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394" w:rsidRPr="0057417D" w:rsidRDefault="00AD4394" w:rsidP="00016AB4">
      <w:pPr>
        <w:ind w:left="426"/>
        <w:rPr>
          <w:rFonts w:ascii="Cambria" w:hAnsi="Cambria"/>
          <w:spacing w:val="22"/>
          <w:sz w:val="18"/>
          <w:szCs w:val="18"/>
        </w:rPr>
      </w:pPr>
    </w:p>
    <w:p w:rsidR="0046129A" w:rsidRPr="0057417D" w:rsidRDefault="0046129A" w:rsidP="00016AB4">
      <w:pPr>
        <w:spacing w:line="240" w:lineRule="auto"/>
        <w:jc w:val="center"/>
        <w:rPr>
          <w:rFonts w:ascii="Century Gothic" w:hAnsi="Century Gothic"/>
          <w:spacing w:val="22"/>
          <w:sz w:val="36"/>
          <w:szCs w:val="36"/>
        </w:rPr>
      </w:pPr>
      <w:r w:rsidRPr="0057417D">
        <w:rPr>
          <w:rFonts w:ascii="Century Gothic" w:hAnsi="Century Gothic"/>
          <w:noProof/>
          <w:spacing w:val="22"/>
          <w:sz w:val="36"/>
          <w:szCs w:val="36"/>
          <w:lang w:eastAsia="es-CR"/>
        </w:rPr>
        <w:drawing>
          <wp:anchor distT="0" distB="0" distL="114300" distR="114300" simplePos="0" relativeHeight="251658240" behindDoc="0" locked="0" layoutInCell="1" allowOverlap="1" wp14:anchorId="53C902E0" wp14:editId="53C902E1">
            <wp:simplePos x="0" y="0"/>
            <wp:positionH relativeFrom="column">
              <wp:posOffset>-63500</wp:posOffset>
            </wp:positionH>
            <wp:positionV relativeFrom="paragraph">
              <wp:posOffset>-191770</wp:posOffset>
            </wp:positionV>
            <wp:extent cx="5742305" cy="76644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42305" cy="766445"/>
                    </a:xfrm>
                    <a:prstGeom prst="rect">
                      <a:avLst/>
                    </a:prstGeom>
                  </pic:spPr>
                </pic:pic>
              </a:graphicData>
            </a:graphic>
            <wp14:sizeRelH relativeFrom="page">
              <wp14:pctWidth>0</wp14:pctWidth>
            </wp14:sizeRelH>
            <wp14:sizeRelV relativeFrom="page">
              <wp14:pctHeight>0</wp14:pctHeight>
            </wp14:sizeRelV>
          </wp:anchor>
        </w:drawing>
      </w:r>
    </w:p>
    <w:p w:rsidR="0046129A" w:rsidRPr="0057417D" w:rsidRDefault="00113C22" w:rsidP="00016AB4">
      <w:pPr>
        <w:spacing w:line="240" w:lineRule="auto"/>
        <w:jc w:val="center"/>
        <w:rPr>
          <w:rFonts w:asciiTheme="majorHAnsi" w:hAnsiTheme="majorHAnsi"/>
          <w:b/>
          <w:smallCaps/>
          <w:color w:val="7F7F7F" w:themeColor="text1" w:themeTint="80"/>
          <w:sz w:val="28"/>
          <w:szCs w:val="28"/>
        </w:rPr>
      </w:pPr>
      <w:r w:rsidRPr="0057417D">
        <w:rPr>
          <w:rFonts w:asciiTheme="majorHAnsi" w:hAnsiTheme="majorHAnsi"/>
          <w:b/>
          <w:noProof/>
          <w:lang w:eastAsia="es-CR"/>
        </w:rPr>
        <mc:AlternateContent>
          <mc:Choice Requires="wps">
            <w:drawing>
              <wp:anchor distT="0" distB="0" distL="114300" distR="114300" simplePos="0" relativeHeight="251658241" behindDoc="0" locked="0" layoutInCell="1" allowOverlap="1" wp14:anchorId="53C902E2" wp14:editId="53C902E3">
                <wp:simplePos x="0" y="0"/>
                <wp:positionH relativeFrom="column">
                  <wp:posOffset>-60960</wp:posOffset>
                </wp:positionH>
                <wp:positionV relativeFrom="paragraph">
                  <wp:posOffset>224789</wp:posOffset>
                </wp:positionV>
                <wp:extent cx="5742305" cy="1381125"/>
                <wp:effectExtent l="0" t="0" r="0" b="0"/>
                <wp:wrapNone/>
                <wp:docPr id="28" name="Títul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381125"/>
                        </a:xfrm>
                        <a:prstGeom prst="rect">
                          <a:avLst/>
                        </a:prstGeom>
                      </wps:spPr>
                      <wps:txbx>
                        <w:txbxContent>
                          <w:p w:rsidR="005F5714" w:rsidRDefault="005F5714"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rsidR="005F5714" w:rsidRPr="00CC2A12" w:rsidRDefault="005F5714"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rsidR="005F5714" w:rsidRPr="00333421" w:rsidRDefault="005F5714"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3C902E2" id="_x0000_t202" coordsize="21600,21600" o:spt="202" path="m,l,21600r21600,l21600,xe">
                <v:stroke joinstyle="miter"/>
                <v:path gradientshapeok="t" o:connecttype="rect"/>
              </v:shapetype>
              <v:shape id="Título 1" o:spid="_x0000_s1026" type="#_x0000_t202" style="position:absolute;left:0;text-align:left;margin-left:-4.8pt;margin-top:17.7pt;width:452.15pt;height:10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" filled="f" stroked="f">
                <v:path arrowok="t"/>
                <v:textbox>
                  <w:txbxContent>
                    <w:p w:rsidR="005F5714" w:rsidRDefault="005F5714"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 xml:space="preserve">Informe Ley para Perfeccionar la Rendición de Cuentas </w:t>
                      </w:r>
                    </w:p>
                    <w:p w:rsidR="005F5714" w:rsidRPr="00CC2A12" w:rsidRDefault="005F5714" w:rsidP="0046129A">
                      <w:pPr>
                        <w:pStyle w:val="NormalWeb"/>
                        <w:spacing w:before="0" w:after="0" w:afterAutospacing="0"/>
                        <w:jc w:val="center"/>
                        <w:rPr>
                          <w:rFonts w:ascii="Century Gothic" w:hAnsi="Century Gothic" w:cs="Century Gothic"/>
                          <w:bCs/>
                          <w:color w:val="808080" w:themeColor="background1" w:themeShade="80"/>
                          <w:kern w:val="24"/>
                          <w:sz w:val="40"/>
                          <w:szCs w:val="40"/>
                        </w:rPr>
                      </w:pPr>
                      <w:r>
                        <w:rPr>
                          <w:rFonts w:ascii="Century Gothic" w:hAnsi="Century Gothic" w:cs="Century Gothic"/>
                          <w:bCs/>
                          <w:color w:val="808080" w:themeColor="background1" w:themeShade="80"/>
                          <w:kern w:val="24"/>
                          <w:sz w:val="40"/>
                          <w:szCs w:val="40"/>
                        </w:rPr>
                        <w:t>Ley N° 9398</w:t>
                      </w:r>
                      <w:r w:rsidRPr="00CC2A12">
                        <w:rPr>
                          <w:rFonts w:ascii="Century Gothic" w:hAnsi="Century Gothic" w:cs="Century Gothic"/>
                          <w:bCs/>
                          <w:color w:val="808080" w:themeColor="background1" w:themeShade="80"/>
                          <w:kern w:val="24"/>
                          <w:sz w:val="40"/>
                          <w:szCs w:val="40"/>
                        </w:rPr>
                        <w:t xml:space="preserve"> </w:t>
                      </w:r>
                    </w:p>
                    <w:p w:rsidR="005F5714" w:rsidRPr="00333421" w:rsidRDefault="005F5714" w:rsidP="0046129A">
                      <w:pPr>
                        <w:pStyle w:val="NormalWeb"/>
                        <w:spacing w:before="0" w:after="0" w:afterAutospacing="0"/>
                        <w:jc w:val="center"/>
                        <w:rPr>
                          <w:b/>
                          <w:sz w:val="44"/>
                          <w:szCs w:val="44"/>
                        </w:rPr>
                      </w:pPr>
                      <w:r w:rsidRPr="00C86B06">
                        <w:rPr>
                          <w:rFonts w:ascii="Century Gothic" w:hAnsi="Century Gothic" w:cs="Century Gothic"/>
                          <w:b/>
                          <w:bCs/>
                          <w:color w:val="365F91" w:themeColor="accent1" w:themeShade="BF"/>
                          <w:kern w:val="24"/>
                          <w:sz w:val="44"/>
                          <w:szCs w:val="44"/>
                        </w:rPr>
                        <w:t>Superintendencia General de Seguros</w:t>
                      </w:r>
                    </w:p>
                  </w:txbxContent>
                </v:textbox>
              </v:shape>
            </w:pict>
          </mc:Fallback>
        </mc:AlternateContent>
      </w: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46129A" w:rsidRPr="0057417D" w:rsidRDefault="0046129A" w:rsidP="00016AB4">
      <w:pPr>
        <w:spacing w:line="240" w:lineRule="auto"/>
        <w:jc w:val="center"/>
        <w:rPr>
          <w:rFonts w:asciiTheme="majorHAnsi" w:hAnsiTheme="majorHAnsi"/>
          <w:b/>
        </w:rPr>
      </w:pPr>
    </w:p>
    <w:p w:rsidR="00F10A0F" w:rsidRPr="0057417D" w:rsidRDefault="00F10A0F" w:rsidP="00016AB4">
      <w:pPr>
        <w:spacing w:line="240" w:lineRule="auto"/>
        <w:jc w:val="center"/>
        <w:rPr>
          <w:rFonts w:asciiTheme="majorHAnsi" w:hAnsiTheme="majorHAnsi"/>
          <w:b/>
        </w:rPr>
      </w:pPr>
    </w:p>
    <w:p w:rsidR="00F10A0F" w:rsidRPr="0057417D" w:rsidRDefault="00F10A0F" w:rsidP="00016AB4">
      <w:pPr>
        <w:spacing w:line="240" w:lineRule="auto"/>
        <w:jc w:val="center"/>
        <w:rPr>
          <w:rFonts w:asciiTheme="majorHAnsi" w:hAnsiTheme="majorHAnsi"/>
          <w:b/>
        </w:rPr>
      </w:pPr>
    </w:p>
    <w:p w:rsidR="00F10A0F" w:rsidRPr="0057417D" w:rsidRDefault="00F10A0F" w:rsidP="00016AB4">
      <w:pPr>
        <w:spacing w:line="240" w:lineRule="auto"/>
        <w:jc w:val="center"/>
        <w:rPr>
          <w:rFonts w:ascii="Century Gothic" w:hAnsi="Century Gothic"/>
          <w:color w:val="7F7F7F" w:themeColor="text1" w:themeTint="80"/>
          <w:sz w:val="22"/>
        </w:rPr>
      </w:pPr>
    </w:p>
    <w:p w:rsidR="0046129A" w:rsidRPr="0057417D" w:rsidRDefault="0011745C" w:rsidP="00016AB4">
      <w:pPr>
        <w:tabs>
          <w:tab w:val="left" w:pos="284"/>
        </w:tabs>
        <w:spacing w:line="240" w:lineRule="auto"/>
        <w:jc w:val="center"/>
        <w:rPr>
          <w:rFonts w:ascii="Century Gothic" w:hAnsi="Century Gothic"/>
          <w:color w:val="7F7F7F" w:themeColor="text1" w:themeTint="80"/>
          <w:szCs w:val="24"/>
        </w:rPr>
      </w:pPr>
      <w:r w:rsidRPr="0057417D">
        <w:rPr>
          <w:rFonts w:ascii="Century Gothic" w:hAnsi="Century Gothic"/>
          <w:color w:val="7F7F7F" w:themeColor="text1" w:themeTint="80"/>
          <w:szCs w:val="24"/>
        </w:rPr>
        <w:t>Ma</w:t>
      </w:r>
      <w:r w:rsidR="00116B95" w:rsidRPr="0057417D">
        <w:rPr>
          <w:rFonts w:ascii="Century Gothic" w:hAnsi="Century Gothic"/>
          <w:color w:val="7F7F7F" w:themeColor="text1" w:themeTint="80"/>
          <w:szCs w:val="24"/>
        </w:rPr>
        <w:t>rzo</w:t>
      </w:r>
      <w:r w:rsidR="005D613A" w:rsidRPr="0057417D">
        <w:rPr>
          <w:rFonts w:ascii="Century Gothic" w:hAnsi="Century Gothic"/>
          <w:color w:val="7F7F7F" w:themeColor="text1" w:themeTint="80"/>
          <w:szCs w:val="24"/>
        </w:rPr>
        <w:t xml:space="preserve"> 20</w:t>
      </w:r>
      <w:r w:rsidR="008F607A" w:rsidRPr="0057417D">
        <w:rPr>
          <w:rFonts w:ascii="Century Gothic" w:hAnsi="Century Gothic"/>
          <w:color w:val="7F7F7F" w:themeColor="text1" w:themeTint="80"/>
          <w:szCs w:val="24"/>
        </w:rPr>
        <w:t>20</w:t>
      </w:r>
    </w:p>
    <w:p w:rsidR="0046129A" w:rsidRPr="0057417D" w:rsidRDefault="0046129A" w:rsidP="00016AB4">
      <w:pPr>
        <w:spacing w:line="240" w:lineRule="auto"/>
        <w:jc w:val="center"/>
        <w:rPr>
          <w:rFonts w:ascii="Century Gothic" w:hAnsi="Century Gothic"/>
          <w:color w:val="7F7F7F" w:themeColor="text1" w:themeTint="80"/>
          <w:sz w:val="20"/>
          <w:szCs w:val="20"/>
        </w:rPr>
      </w:pPr>
    </w:p>
    <w:p w:rsidR="0046129A" w:rsidRPr="0057417D" w:rsidRDefault="0046129A" w:rsidP="00016AB4">
      <w:pPr>
        <w:spacing w:line="240" w:lineRule="auto"/>
        <w:jc w:val="center"/>
        <w:rPr>
          <w:rFonts w:ascii="Century Gothic" w:hAnsi="Century Gothic"/>
          <w:color w:val="7F7F7F" w:themeColor="text1" w:themeTint="80"/>
          <w:sz w:val="20"/>
          <w:szCs w:val="20"/>
        </w:rPr>
      </w:pPr>
    </w:p>
    <w:p w:rsidR="0046129A" w:rsidRPr="0057417D" w:rsidRDefault="0046129A" w:rsidP="00016AB4">
      <w:pPr>
        <w:spacing w:line="240" w:lineRule="auto"/>
        <w:jc w:val="center"/>
        <w:rPr>
          <w:rFonts w:ascii="Century Gothic" w:hAnsi="Century Gothic"/>
          <w:b/>
        </w:rPr>
      </w:pPr>
      <w:r w:rsidRPr="0057417D">
        <w:rPr>
          <w:rFonts w:ascii="Century Gothic" w:hAnsi="Century Gothic"/>
          <w:noProof/>
          <w:lang w:eastAsia="es-CR"/>
        </w:rPr>
        <w:drawing>
          <wp:inline distT="0" distB="0" distL="0" distR="0" wp14:anchorId="53C902E4" wp14:editId="53C902E5">
            <wp:extent cx="5598709" cy="95097"/>
            <wp:effectExtent l="0" t="0" r="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p w:rsidR="0046129A" w:rsidRPr="0057417D" w:rsidRDefault="0046129A" w:rsidP="00016AB4">
      <w:pPr>
        <w:jc w:val="center"/>
        <w:rPr>
          <w:rFonts w:ascii="Century Gothic" w:hAnsi="Century Gothic"/>
          <w:b/>
        </w:rPr>
      </w:pPr>
    </w:p>
    <w:sdt>
      <w:sdtPr>
        <w:rPr>
          <w:rFonts w:asciiTheme="minorHAnsi" w:eastAsiaTheme="minorHAnsi" w:hAnsiTheme="minorHAnsi" w:cstheme="minorHAnsi"/>
          <w:b w:val="0"/>
          <w:bCs w:val="0"/>
          <w:color w:val="auto"/>
          <w:sz w:val="22"/>
          <w:szCs w:val="22"/>
          <w:lang w:val="es-CR" w:eastAsia="es-ES"/>
        </w:rPr>
        <w:id w:val="28532093"/>
        <w:docPartObj>
          <w:docPartGallery w:val="Table of Contents"/>
          <w:docPartUnique/>
        </w:docPartObj>
      </w:sdtPr>
      <w:sdtEndPr>
        <w:rPr>
          <w:sz w:val="24"/>
          <w:lang w:eastAsia="en-US"/>
        </w:rPr>
      </w:sdtEndPr>
      <w:sdtContent>
        <w:p w:rsidR="0046129A" w:rsidRPr="0057417D" w:rsidRDefault="0046129A" w:rsidP="00016AB4">
          <w:pPr>
            <w:pStyle w:val="TtulodeTDC"/>
            <w:spacing w:before="0"/>
            <w:rPr>
              <w:rFonts w:ascii="Century Gothic" w:hAnsi="Century Gothic" w:cstheme="minorHAnsi"/>
              <w:sz w:val="22"/>
              <w:szCs w:val="22"/>
              <w:lang w:val="es-CR"/>
            </w:rPr>
          </w:pPr>
          <w:r w:rsidRPr="0057417D">
            <w:rPr>
              <w:rFonts w:ascii="Century Gothic" w:hAnsi="Century Gothic" w:cstheme="minorHAnsi"/>
              <w:szCs w:val="22"/>
              <w:lang w:val="es-CR"/>
            </w:rPr>
            <w:t>Contenido</w:t>
          </w:r>
        </w:p>
        <w:p w:rsidR="0046129A" w:rsidRPr="0057417D" w:rsidRDefault="0046129A" w:rsidP="00016AB4">
          <w:pPr>
            <w:rPr>
              <w:rFonts w:ascii="Century Gothic" w:hAnsi="Century Gothic" w:cstheme="minorHAnsi"/>
              <w:sz w:val="22"/>
            </w:rPr>
          </w:pPr>
        </w:p>
        <w:p w:rsidR="00F202EF" w:rsidRPr="0057417D" w:rsidRDefault="0046129A" w:rsidP="00016AB4">
          <w:pPr>
            <w:pStyle w:val="TDC1"/>
            <w:spacing w:after="0"/>
            <w:ind w:left="567" w:hanging="567"/>
            <w:rPr>
              <w:noProof/>
              <w:sz w:val="22"/>
            </w:rPr>
          </w:pPr>
          <w:r w:rsidRPr="0057417D">
            <w:rPr>
              <w:rFonts w:ascii="Century Gothic" w:hAnsi="Century Gothic" w:cstheme="minorHAnsi"/>
              <w:sz w:val="22"/>
            </w:rPr>
            <w:fldChar w:fldCharType="begin"/>
          </w:r>
          <w:r w:rsidRPr="0057417D">
            <w:rPr>
              <w:rFonts w:ascii="Century Gothic" w:hAnsi="Century Gothic" w:cstheme="minorHAnsi"/>
              <w:sz w:val="22"/>
            </w:rPr>
            <w:instrText xml:space="preserve"> TOC \o "1-3" \h \z \u </w:instrText>
          </w:r>
          <w:r w:rsidRPr="0057417D">
            <w:rPr>
              <w:rFonts w:ascii="Century Gothic" w:hAnsi="Century Gothic" w:cstheme="minorHAnsi"/>
              <w:sz w:val="22"/>
            </w:rPr>
            <w:fldChar w:fldCharType="separate"/>
          </w:r>
          <w:hyperlink w:anchor="_Toc473006998" w:history="1">
            <w:r w:rsidR="00F202EF" w:rsidRPr="0057417D">
              <w:rPr>
                <w:rStyle w:val="Hipervnculo"/>
                <w:rFonts w:ascii="Century Gothic" w:eastAsiaTheme="majorEastAsia" w:hAnsi="Century Gothic" w:cstheme="majorBidi"/>
                <w:noProof/>
              </w:rPr>
              <w:t>I.</w:t>
            </w:r>
            <w:r w:rsidR="00F202EF" w:rsidRPr="0057417D">
              <w:rPr>
                <w:noProof/>
                <w:sz w:val="22"/>
              </w:rPr>
              <w:tab/>
            </w:r>
            <w:r w:rsidR="00F202EF" w:rsidRPr="0057417D">
              <w:rPr>
                <w:rStyle w:val="Hipervnculo"/>
                <w:rFonts w:ascii="Century Gothic" w:eastAsiaTheme="majorEastAsia" w:hAnsi="Century Gothic" w:cstheme="majorBidi"/>
                <w:noProof/>
              </w:rPr>
              <w:t>PRESENTACIÓN</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_Toc473006998 \h </w:instrText>
            </w:r>
            <w:r w:rsidR="00F202EF" w:rsidRPr="0057417D">
              <w:rPr>
                <w:noProof/>
                <w:webHidden/>
              </w:rPr>
            </w:r>
            <w:r w:rsidR="00F202EF" w:rsidRPr="0057417D">
              <w:rPr>
                <w:noProof/>
                <w:webHidden/>
              </w:rPr>
              <w:fldChar w:fldCharType="separate"/>
            </w:r>
            <w:r w:rsidR="008B097E">
              <w:rPr>
                <w:noProof/>
                <w:webHidden/>
              </w:rPr>
              <w:t>2</w:t>
            </w:r>
            <w:r w:rsidR="00F202EF" w:rsidRPr="0057417D">
              <w:rPr>
                <w:noProof/>
                <w:webHidden/>
              </w:rPr>
              <w:fldChar w:fldCharType="end"/>
            </w:r>
          </w:hyperlink>
        </w:p>
        <w:p w:rsidR="00F202EF" w:rsidRPr="0057417D" w:rsidRDefault="00693EBE" w:rsidP="00016AB4">
          <w:pPr>
            <w:pStyle w:val="TDC1"/>
            <w:spacing w:after="0"/>
            <w:ind w:left="567" w:hanging="567"/>
            <w:rPr>
              <w:noProof/>
              <w:sz w:val="22"/>
            </w:rPr>
          </w:pPr>
          <w:hyperlink w:anchor="_Toc473006999" w:history="1">
            <w:r w:rsidR="00F202EF" w:rsidRPr="0057417D">
              <w:rPr>
                <w:rStyle w:val="Hipervnculo"/>
                <w:rFonts w:ascii="Century Gothic" w:eastAsiaTheme="majorEastAsia" w:hAnsi="Century Gothic" w:cstheme="majorBidi"/>
                <w:noProof/>
              </w:rPr>
              <w:t>II.</w:t>
            </w:r>
            <w:r w:rsidR="00F202EF" w:rsidRPr="0057417D">
              <w:rPr>
                <w:noProof/>
                <w:sz w:val="22"/>
              </w:rPr>
              <w:tab/>
            </w:r>
            <w:r w:rsidR="00F202EF" w:rsidRPr="0057417D">
              <w:rPr>
                <w:rStyle w:val="Hipervnculo"/>
                <w:rFonts w:ascii="Century Gothic" w:eastAsiaTheme="majorEastAsia" w:hAnsi="Century Gothic" w:cstheme="majorBidi"/>
                <w:noProof/>
              </w:rPr>
              <w:t>OBJETIVOS LEGALES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_Toc473006999 \h </w:instrText>
            </w:r>
            <w:r w:rsidR="00F202EF" w:rsidRPr="0057417D">
              <w:rPr>
                <w:noProof/>
                <w:webHidden/>
              </w:rPr>
            </w:r>
            <w:r w:rsidR="00F202EF" w:rsidRPr="0057417D">
              <w:rPr>
                <w:noProof/>
                <w:webHidden/>
              </w:rPr>
              <w:fldChar w:fldCharType="separate"/>
            </w:r>
            <w:r w:rsidR="008B097E">
              <w:rPr>
                <w:noProof/>
                <w:webHidden/>
              </w:rPr>
              <w:t>2</w:t>
            </w:r>
            <w:r w:rsidR="00F202EF" w:rsidRPr="0057417D">
              <w:rPr>
                <w:noProof/>
                <w:webHidden/>
              </w:rPr>
              <w:fldChar w:fldCharType="end"/>
            </w:r>
          </w:hyperlink>
        </w:p>
        <w:p w:rsidR="00F202EF" w:rsidRPr="0057417D" w:rsidRDefault="00693EBE" w:rsidP="00016AB4">
          <w:pPr>
            <w:pStyle w:val="TDC1"/>
            <w:spacing w:after="0"/>
            <w:ind w:left="567" w:hanging="567"/>
            <w:rPr>
              <w:noProof/>
              <w:sz w:val="22"/>
            </w:rPr>
          </w:pPr>
          <w:hyperlink w:anchor="_Toc473007000" w:history="1">
            <w:r w:rsidR="00F202EF" w:rsidRPr="0057417D">
              <w:rPr>
                <w:rStyle w:val="Hipervnculo"/>
                <w:rFonts w:ascii="Century Gothic" w:hAnsi="Century Gothic"/>
                <w:noProof/>
              </w:rPr>
              <w:t>III.</w:t>
            </w:r>
            <w:r w:rsidR="00F202EF" w:rsidRPr="0057417D">
              <w:rPr>
                <w:noProof/>
                <w:sz w:val="22"/>
              </w:rPr>
              <w:tab/>
            </w:r>
            <w:r w:rsidR="00F202EF" w:rsidRPr="0057417D">
              <w:rPr>
                <w:rStyle w:val="Hipervnculo"/>
                <w:rFonts w:ascii="Century Gothic" w:eastAsiaTheme="majorEastAsia" w:hAnsi="Century Gothic" w:cstheme="majorBidi"/>
                <w:noProof/>
              </w:rPr>
              <w:t>RECURSOS INSTITUCIONALES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_Toc473007000 \h </w:instrText>
            </w:r>
            <w:r w:rsidR="00F202EF" w:rsidRPr="0057417D">
              <w:rPr>
                <w:noProof/>
                <w:webHidden/>
              </w:rPr>
            </w:r>
            <w:r w:rsidR="00F202EF" w:rsidRPr="0057417D">
              <w:rPr>
                <w:noProof/>
                <w:webHidden/>
              </w:rPr>
              <w:fldChar w:fldCharType="separate"/>
            </w:r>
            <w:r w:rsidR="008B097E">
              <w:rPr>
                <w:noProof/>
                <w:webHidden/>
              </w:rPr>
              <w:t>3</w:t>
            </w:r>
            <w:r w:rsidR="00F202EF" w:rsidRPr="0057417D">
              <w:rPr>
                <w:noProof/>
                <w:webHidden/>
              </w:rPr>
              <w:fldChar w:fldCharType="end"/>
            </w:r>
          </w:hyperlink>
        </w:p>
        <w:p w:rsidR="00F202EF" w:rsidRPr="0057417D" w:rsidRDefault="00693EBE" w:rsidP="00016AB4">
          <w:pPr>
            <w:pStyle w:val="TDC1"/>
            <w:tabs>
              <w:tab w:val="left" w:pos="660"/>
            </w:tabs>
            <w:spacing w:after="0"/>
            <w:ind w:left="567" w:hanging="567"/>
            <w:rPr>
              <w:noProof/>
              <w:sz w:val="22"/>
            </w:rPr>
          </w:pPr>
          <w:hyperlink w:anchor="_Toc473007001" w:history="1">
            <w:r w:rsidR="00F202EF" w:rsidRPr="0057417D">
              <w:rPr>
                <w:rStyle w:val="Hipervnculo"/>
                <w:rFonts w:ascii="Century Gothic" w:eastAsiaTheme="majorEastAsia" w:hAnsi="Century Gothic" w:cstheme="majorBidi"/>
                <w:noProof/>
              </w:rPr>
              <w:t>IV.</w:t>
            </w:r>
            <w:r w:rsidR="00F202EF" w:rsidRPr="0057417D">
              <w:rPr>
                <w:noProof/>
                <w:sz w:val="22"/>
              </w:rPr>
              <w:tab/>
            </w:r>
            <w:r w:rsidR="00F202EF" w:rsidRPr="0057417D">
              <w:rPr>
                <w:rStyle w:val="Hipervnculo"/>
                <w:rFonts w:ascii="Century Gothic" w:eastAsiaTheme="majorEastAsia" w:hAnsi="Century Gothic" w:cstheme="majorBidi"/>
                <w:noProof/>
              </w:rPr>
              <w:t>ORGANIZACIÓN</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_Toc473007001 \h </w:instrText>
            </w:r>
            <w:r w:rsidR="00F202EF" w:rsidRPr="0057417D">
              <w:rPr>
                <w:noProof/>
                <w:webHidden/>
              </w:rPr>
            </w:r>
            <w:r w:rsidR="00F202EF" w:rsidRPr="0057417D">
              <w:rPr>
                <w:noProof/>
                <w:webHidden/>
              </w:rPr>
              <w:fldChar w:fldCharType="separate"/>
            </w:r>
            <w:r w:rsidR="008B097E">
              <w:rPr>
                <w:noProof/>
                <w:webHidden/>
              </w:rPr>
              <w:t>8</w:t>
            </w:r>
            <w:r w:rsidR="00F202EF" w:rsidRPr="0057417D">
              <w:rPr>
                <w:noProof/>
                <w:webHidden/>
              </w:rPr>
              <w:fldChar w:fldCharType="end"/>
            </w:r>
          </w:hyperlink>
        </w:p>
        <w:p w:rsidR="00F202EF" w:rsidRPr="0057417D" w:rsidRDefault="00693EBE" w:rsidP="00016AB4">
          <w:pPr>
            <w:pStyle w:val="TDC1"/>
            <w:spacing w:after="0"/>
            <w:ind w:left="567" w:hanging="567"/>
            <w:rPr>
              <w:noProof/>
              <w:sz w:val="22"/>
            </w:rPr>
          </w:pPr>
          <w:hyperlink w:anchor="_Toc473007002" w:history="1">
            <w:r w:rsidR="00F202EF" w:rsidRPr="0057417D">
              <w:rPr>
                <w:rStyle w:val="Hipervnculo"/>
                <w:rFonts w:ascii="Century Gothic" w:eastAsiaTheme="majorEastAsia" w:hAnsi="Century Gothic" w:cstheme="majorBidi"/>
                <w:noProof/>
              </w:rPr>
              <w:t>V.</w:t>
            </w:r>
            <w:r w:rsidR="00F202EF" w:rsidRPr="0057417D">
              <w:rPr>
                <w:noProof/>
                <w:sz w:val="22"/>
              </w:rPr>
              <w:tab/>
            </w:r>
            <w:r w:rsidR="00F202EF" w:rsidRPr="0057417D">
              <w:rPr>
                <w:rStyle w:val="Hipervnculo"/>
                <w:rFonts w:ascii="Century Gothic" w:eastAsiaTheme="majorEastAsia" w:hAnsi="Century Gothic" w:cstheme="majorBidi"/>
                <w:noProof/>
              </w:rPr>
              <w:t>CUMPLIMIENTO DE METAS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_Toc473007002 \h </w:instrText>
            </w:r>
            <w:r w:rsidR="00F202EF" w:rsidRPr="0057417D">
              <w:rPr>
                <w:noProof/>
                <w:webHidden/>
              </w:rPr>
            </w:r>
            <w:r w:rsidR="00F202EF" w:rsidRPr="0057417D">
              <w:rPr>
                <w:noProof/>
                <w:webHidden/>
              </w:rPr>
              <w:fldChar w:fldCharType="separate"/>
            </w:r>
            <w:r w:rsidR="008B097E">
              <w:rPr>
                <w:noProof/>
                <w:webHidden/>
              </w:rPr>
              <w:t>11</w:t>
            </w:r>
            <w:r w:rsidR="00F202EF" w:rsidRPr="0057417D">
              <w:rPr>
                <w:noProof/>
                <w:webHidden/>
              </w:rPr>
              <w:fldChar w:fldCharType="end"/>
            </w:r>
          </w:hyperlink>
        </w:p>
        <w:p w:rsidR="00F202EF" w:rsidRPr="0057417D" w:rsidRDefault="00693EBE" w:rsidP="00016AB4">
          <w:pPr>
            <w:pStyle w:val="TDC1"/>
            <w:tabs>
              <w:tab w:val="left" w:pos="660"/>
            </w:tabs>
            <w:spacing w:after="0"/>
            <w:ind w:left="567" w:hanging="567"/>
            <w:rPr>
              <w:noProof/>
              <w:sz w:val="22"/>
            </w:rPr>
          </w:pPr>
          <w:hyperlink w:anchor="_Toc473007003" w:history="1">
            <w:r w:rsidR="00F202EF" w:rsidRPr="0057417D">
              <w:rPr>
                <w:rStyle w:val="Hipervnculo"/>
                <w:rFonts w:ascii="Century Gothic" w:eastAsiaTheme="majorEastAsia" w:hAnsi="Century Gothic" w:cstheme="majorBidi"/>
                <w:noProof/>
              </w:rPr>
              <w:t>VI.</w:t>
            </w:r>
            <w:r w:rsidR="00F202EF" w:rsidRPr="0057417D">
              <w:rPr>
                <w:noProof/>
                <w:sz w:val="22"/>
              </w:rPr>
              <w:tab/>
            </w:r>
            <w:r w:rsidR="00F202EF" w:rsidRPr="0057417D">
              <w:rPr>
                <w:rStyle w:val="Hipervnculo"/>
                <w:rFonts w:ascii="Century Gothic" w:eastAsiaTheme="majorEastAsia" w:hAnsi="Century Gothic" w:cstheme="majorBidi"/>
                <w:noProof/>
              </w:rPr>
              <w:t>COMPROMISOS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_Toc473007003 \h </w:instrText>
            </w:r>
            <w:r w:rsidR="00F202EF" w:rsidRPr="0057417D">
              <w:rPr>
                <w:noProof/>
                <w:webHidden/>
              </w:rPr>
            </w:r>
            <w:r w:rsidR="00F202EF" w:rsidRPr="0057417D">
              <w:rPr>
                <w:noProof/>
                <w:webHidden/>
              </w:rPr>
              <w:fldChar w:fldCharType="separate"/>
            </w:r>
            <w:r w:rsidR="008B097E">
              <w:rPr>
                <w:noProof/>
                <w:webHidden/>
              </w:rPr>
              <w:t>14</w:t>
            </w:r>
            <w:r w:rsidR="00F202EF" w:rsidRPr="0057417D">
              <w:rPr>
                <w:noProof/>
                <w:webHidden/>
              </w:rPr>
              <w:fldChar w:fldCharType="end"/>
            </w:r>
          </w:hyperlink>
        </w:p>
        <w:p w:rsidR="00F202EF" w:rsidRPr="0057417D" w:rsidRDefault="00693EBE" w:rsidP="00016AB4">
          <w:pPr>
            <w:pStyle w:val="TDC1"/>
            <w:tabs>
              <w:tab w:val="left" w:pos="660"/>
            </w:tabs>
            <w:spacing w:after="0"/>
            <w:ind w:left="567" w:hanging="567"/>
            <w:rPr>
              <w:noProof/>
              <w:sz w:val="22"/>
            </w:rPr>
          </w:pPr>
          <w:hyperlink w:anchor="_Toc473007004" w:history="1">
            <w:r w:rsidR="00F202EF" w:rsidRPr="0057417D">
              <w:rPr>
                <w:rStyle w:val="Hipervnculo"/>
                <w:rFonts w:ascii="Century Gothic" w:eastAsiaTheme="majorEastAsia" w:hAnsi="Century Gothic" w:cstheme="majorBidi"/>
                <w:noProof/>
              </w:rPr>
              <w:t>VII.</w:t>
            </w:r>
            <w:r w:rsidR="00F202EF" w:rsidRPr="0057417D">
              <w:rPr>
                <w:noProof/>
                <w:sz w:val="22"/>
              </w:rPr>
              <w:tab/>
            </w:r>
            <w:r w:rsidR="00F202EF" w:rsidRPr="0057417D">
              <w:rPr>
                <w:rStyle w:val="Hipervnculo"/>
                <w:rFonts w:ascii="Century Gothic" w:eastAsiaTheme="majorEastAsia" w:hAnsi="Century Gothic" w:cstheme="majorBidi"/>
                <w:noProof/>
              </w:rPr>
              <w:t>LIMITACIONES Y OBSTÁCULOS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_Toc473007004 \h </w:instrText>
            </w:r>
            <w:r w:rsidR="00F202EF" w:rsidRPr="0057417D">
              <w:rPr>
                <w:noProof/>
                <w:webHidden/>
              </w:rPr>
            </w:r>
            <w:r w:rsidR="00F202EF" w:rsidRPr="0057417D">
              <w:rPr>
                <w:noProof/>
                <w:webHidden/>
              </w:rPr>
              <w:fldChar w:fldCharType="separate"/>
            </w:r>
            <w:r w:rsidR="008B097E">
              <w:rPr>
                <w:noProof/>
                <w:webHidden/>
              </w:rPr>
              <w:t>19</w:t>
            </w:r>
            <w:r w:rsidR="00F202EF" w:rsidRPr="0057417D">
              <w:rPr>
                <w:noProof/>
                <w:webHidden/>
              </w:rPr>
              <w:fldChar w:fldCharType="end"/>
            </w:r>
          </w:hyperlink>
        </w:p>
        <w:p w:rsidR="00F202EF" w:rsidRPr="0057417D" w:rsidRDefault="00693EBE" w:rsidP="00016AB4">
          <w:pPr>
            <w:pStyle w:val="TDC1"/>
            <w:tabs>
              <w:tab w:val="left" w:pos="660"/>
            </w:tabs>
            <w:spacing w:after="0"/>
            <w:ind w:left="567" w:hanging="567"/>
            <w:rPr>
              <w:noProof/>
              <w:sz w:val="22"/>
            </w:rPr>
          </w:pPr>
          <w:hyperlink w:anchor="_Toc473007005" w:history="1">
            <w:r w:rsidR="00F202EF" w:rsidRPr="0057417D">
              <w:rPr>
                <w:rStyle w:val="Hipervnculo"/>
                <w:rFonts w:ascii="Century Gothic" w:eastAsiaTheme="majorEastAsia" w:hAnsi="Century Gothic" w:cstheme="majorBidi"/>
                <w:noProof/>
              </w:rPr>
              <w:t>VIII.</w:t>
            </w:r>
            <w:r w:rsidR="00F202EF" w:rsidRPr="0057417D">
              <w:rPr>
                <w:noProof/>
                <w:sz w:val="22"/>
              </w:rPr>
              <w:tab/>
            </w:r>
            <w:r w:rsidR="00F202EF" w:rsidRPr="0057417D">
              <w:rPr>
                <w:rStyle w:val="Hipervnculo"/>
                <w:rFonts w:ascii="Century Gothic" w:eastAsiaTheme="majorEastAsia" w:hAnsi="Century Gothic" w:cstheme="majorBidi"/>
                <w:noProof/>
              </w:rPr>
              <w:t>RETOS Y VISIÓN DE FUTURO</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_Toc473007005 \h </w:instrText>
            </w:r>
            <w:r w:rsidR="00F202EF" w:rsidRPr="0057417D">
              <w:rPr>
                <w:noProof/>
                <w:webHidden/>
              </w:rPr>
            </w:r>
            <w:r w:rsidR="00F202EF" w:rsidRPr="0057417D">
              <w:rPr>
                <w:noProof/>
                <w:webHidden/>
              </w:rPr>
              <w:fldChar w:fldCharType="separate"/>
            </w:r>
            <w:r w:rsidR="008B097E">
              <w:rPr>
                <w:noProof/>
                <w:webHidden/>
              </w:rPr>
              <w:t>21</w:t>
            </w:r>
            <w:r w:rsidR="00F202EF" w:rsidRPr="0057417D">
              <w:rPr>
                <w:noProof/>
                <w:webHidden/>
              </w:rPr>
              <w:fldChar w:fldCharType="end"/>
            </w:r>
          </w:hyperlink>
        </w:p>
        <w:p w:rsidR="00F202EF" w:rsidRPr="0057417D" w:rsidRDefault="00693EBE" w:rsidP="00016AB4">
          <w:pPr>
            <w:pStyle w:val="TDC1"/>
            <w:spacing w:after="0"/>
            <w:ind w:left="567" w:hanging="567"/>
            <w:rPr>
              <w:noProof/>
              <w:sz w:val="22"/>
            </w:rPr>
          </w:pPr>
          <w:hyperlink w:anchor="_Toc473007006" w:history="1">
            <w:r w:rsidR="00F202EF" w:rsidRPr="0057417D">
              <w:rPr>
                <w:rStyle w:val="Hipervnculo"/>
                <w:rFonts w:ascii="Century Gothic" w:eastAsiaTheme="majorEastAsia" w:hAnsi="Century Gothic" w:cstheme="majorBidi"/>
                <w:noProof/>
              </w:rPr>
              <w:t>IX.</w:t>
            </w:r>
            <w:r w:rsidR="00F202EF" w:rsidRPr="0057417D">
              <w:rPr>
                <w:noProof/>
                <w:sz w:val="22"/>
              </w:rPr>
              <w:tab/>
            </w:r>
            <w:r w:rsidR="00F202EF" w:rsidRPr="0057417D">
              <w:rPr>
                <w:rStyle w:val="Hipervnculo"/>
                <w:rFonts w:ascii="Century Gothic" w:eastAsiaTheme="majorEastAsia" w:hAnsi="Century Gothic" w:cstheme="majorBidi"/>
                <w:noProof/>
              </w:rPr>
              <w:t>ANEXOS</w:t>
            </w:r>
            <w:r w:rsidR="00F202EF" w:rsidRPr="0057417D">
              <w:rPr>
                <w:noProof/>
                <w:webHidden/>
              </w:rPr>
              <w:tab/>
            </w:r>
            <w:r w:rsidR="00F202EF" w:rsidRPr="0057417D">
              <w:rPr>
                <w:noProof/>
                <w:webHidden/>
              </w:rPr>
              <w:fldChar w:fldCharType="begin"/>
            </w:r>
            <w:r w:rsidR="00F202EF" w:rsidRPr="0057417D">
              <w:rPr>
                <w:noProof/>
                <w:webHidden/>
              </w:rPr>
              <w:instrText xml:space="preserve"> PAGEREF _Toc473007006 \h </w:instrText>
            </w:r>
            <w:r w:rsidR="00F202EF" w:rsidRPr="0057417D">
              <w:rPr>
                <w:noProof/>
                <w:webHidden/>
              </w:rPr>
            </w:r>
            <w:r w:rsidR="00F202EF" w:rsidRPr="0057417D">
              <w:rPr>
                <w:noProof/>
                <w:webHidden/>
              </w:rPr>
              <w:fldChar w:fldCharType="separate"/>
            </w:r>
            <w:r w:rsidR="008B097E">
              <w:rPr>
                <w:noProof/>
                <w:webHidden/>
              </w:rPr>
              <w:t>23</w:t>
            </w:r>
            <w:r w:rsidR="00F202EF" w:rsidRPr="0057417D">
              <w:rPr>
                <w:noProof/>
                <w:webHidden/>
              </w:rPr>
              <w:fldChar w:fldCharType="end"/>
            </w:r>
          </w:hyperlink>
        </w:p>
        <w:p w:rsidR="0046129A" w:rsidRPr="0057417D" w:rsidRDefault="0046129A" w:rsidP="00016AB4">
          <w:pPr>
            <w:rPr>
              <w:rFonts w:asciiTheme="majorHAnsi" w:hAnsiTheme="majorHAnsi" w:cstheme="minorHAnsi"/>
            </w:rPr>
          </w:pPr>
          <w:r w:rsidRPr="0057417D">
            <w:rPr>
              <w:rFonts w:ascii="Century Gothic" w:hAnsi="Century Gothic" w:cstheme="minorHAnsi"/>
              <w:sz w:val="22"/>
            </w:rPr>
            <w:fldChar w:fldCharType="end"/>
          </w:r>
          <w:r w:rsidR="00FF37F6" w:rsidRPr="0057417D">
            <w:rPr>
              <w:rFonts w:ascii="Century Gothic" w:hAnsi="Century Gothic"/>
              <w:noProof/>
              <w:lang w:eastAsia="es-CR"/>
            </w:rPr>
            <w:drawing>
              <wp:inline distT="0" distB="0" distL="0" distR="0" wp14:anchorId="53C902E6" wp14:editId="53C902E7">
                <wp:extent cx="5598709" cy="95097"/>
                <wp:effectExtent l="0" t="0" r="0"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84524"/>
                        <a:stretch/>
                      </pic:blipFill>
                      <pic:spPr bwMode="auto">
                        <a:xfrm>
                          <a:off x="0" y="0"/>
                          <a:ext cx="5612130" cy="95325"/>
                        </a:xfrm>
                        <a:prstGeom prst="rect">
                          <a:avLst/>
                        </a:prstGeom>
                        <a:ln>
                          <a:noFill/>
                        </a:ln>
                        <a:extLst>
                          <a:ext uri="{53640926-AAD7-44D8-BBD7-CCE9431645EC}">
                            <a14:shadowObscured xmlns:a14="http://schemas.microsoft.com/office/drawing/2010/main"/>
                          </a:ext>
                        </a:extLst>
                      </pic:spPr>
                    </pic:pic>
                  </a:graphicData>
                </a:graphic>
              </wp:inline>
            </w:drawing>
          </w:r>
        </w:p>
      </w:sdtContent>
    </w:sdt>
    <w:p w:rsidR="00FF37F6" w:rsidRPr="0057417D" w:rsidRDefault="00FF37F6" w:rsidP="00016AB4">
      <w:r w:rsidRPr="0057417D">
        <w:br w:type="page"/>
      </w:r>
    </w:p>
    <w:p w:rsidR="0046129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0" w:name="_Toc473006998"/>
      <w:r w:rsidRPr="0057417D">
        <w:rPr>
          <w:rFonts w:ascii="Century Gothic" w:eastAsiaTheme="majorEastAsia" w:hAnsi="Century Gothic" w:cstheme="majorBidi"/>
          <w:color w:val="365F91" w:themeColor="accent1" w:themeShade="BF"/>
          <w:kern w:val="0"/>
          <w:sz w:val="28"/>
          <w:szCs w:val="28"/>
          <w:lang w:eastAsia="es-CR"/>
        </w:rPr>
        <w:t>PRESENTACIÓN</w:t>
      </w:r>
      <w:bookmarkEnd w:id="0"/>
    </w:p>
    <w:p w:rsidR="00FF37F6" w:rsidRPr="0057417D" w:rsidRDefault="00FF37F6" w:rsidP="00016AB4">
      <w:pPr>
        <w:spacing w:line="240" w:lineRule="auto"/>
        <w:rPr>
          <w:lang w:eastAsia="es-CR"/>
        </w:rPr>
      </w:pPr>
    </w:p>
    <w:p w:rsidR="00FE6C6E" w:rsidRPr="0057417D" w:rsidRDefault="00FE6C6E" w:rsidP="00016AB4">
      <w:pPr>
        <w:pStyle w:val="Encabezado"/>
      </w:pPr>
      <w:r w:rsidRPr="0057417D">
        <w:t xml:space="preserve">La </w:t>
      </w:r>
      <w:r w:rsidRPr="0057417D">
        <w:rPr>
          <w:i/>
        </w:rPr>
        <w:t>Ley para Perfeccionar la Rendición de Cuentas</w:t>
      </w:r>
      <w:r w:rsidRPr="0057417D">
        <w:t>, N°9398 de 28 de setiembre de 2016, en su artículo 1 dispone:</w:t>
      </w:r>
    </w:p>
    <w:p w:rsidR="00FE6C6E" w:rsidRPr="0057417D" w:rsidRDefault="00FE6C6E" w:rsidP="00016AB4">
      <w:pPr>
        <w:spacing w:line="240" w:lineRule="auto"/>
        <w:ind w:firstLine="708"/>
        <w:rPr>
          <w:rFonts w:ascii="Verdana" w:eastAsia="Times New Roman" w:hAnsi="Verdana" w:cs="Times New Roman"/>
          <w:color w:val="000000"/>
          <w:szCs w:val="24"/>
          <w:lang w:eastAsia="es-CR"/>
        </w:rPr>
      </w:pPr>
    </w:p>
    <w:p w:rsidR="00FE6C6E" w:rsidRPr="0057417D" w:rsidRDefault="00FE6C6E" w:rsidP="00016AB4">
      <w:pPr>
        <w:spacing w:line="240" w:lineRule="auto"/>
        <w:ind w:left="426" w:right="474"/>
        <w:rPr>
          <w:i/>
          <w:sz w:val="20"/>
          <w:szCs w:val="20"/>
        </w:rPr>
      </w:pPr>
      <w:r w:rsidRPr="0057417D">
        <w:rPr>
          <w:rFonts w:eastAsia="Times New Roman" w:cs="Times New Roman"/>
          <w:i/>
          <w:color w:val="000000"/>
          <w:sz w:val="20"/>
          <w:szCs w:val="20"/>
          <w:lang w:eastAsia="es-CR"/>
        </w:rPr>
        <w:t>“</w:t>
      </w:r>
      <w:r w:rsidR="00016AB4" w:rsidRPr="0057417D">
        <w:rPr>
          <w:rFonts w:eastAsia="Times New Roman" w:cs="Times New Roman"/>
          <w:b/>
          <w:bCs/>
          <w:i/>
          <w:color w:val="000000"/>
          <w:sz w:val="20"/>
          <w:szCs w:val="20"/>
          <w:lang w:eastAsia="es-CR"/>
        </w:rPr>
        <w:t>ARTÍCULO 1.-</w:t>
      </w:r>
      <w:r w:rsidRPr="0057417D">
        <w:rPr>
          <w:rFonts w:eastAsia="Times New Roman" w:cs="Times New Roman"/>
          <w:i/>
          <w:color w:val="000000"/>
          <w:sz w:val="20"/>
          <w:szCs w:val="20"/>
          <w:lang w:eastAsia="es-CR"/>
        </w:rPr>
        <w:t>Como parte de la obligación constitucional que tienen los funcionarios públicos de rendir cuentas por su labor y en aras de que dicho ejercicio contribuya al mejoramiento continuo en la calidad del accionar estatal, se establece la obligación de los rectores sectoriales, jerarcas ministeriales, de entes descentralizados institucionales y de órganos de desconcentración máxima, de elaborar, publicar y divulgar un informe anual, escrito, de la labor desarrollada por la o las instituciones a su cargo”.</w:t>
      </w:r>
    </w:p>
    <w:p w:rsidR="00FE6C6E" w:rsidRPr="0057417D" w:rsidRDefault="00FE6C6E" w:rsidP="00016AB4">
      <w:pPr>
        <w:pStyle w:val="Encabezado"/>
      </w:pPr>
    </w:p>
    <w:p w:rsidR="00FE6C6E" w:rsidRPr="0057417D" w:rsidRDefault="00FE6C6E" w:rsidP="00016AB4">
      <w:pPr>
        <w:pStyle w:val="Encabezado"/>
      </w:pPr>
      <w:r w:rsidRPr="0057417D">
        <w:t xml:space="preserve">En cumplimiento de este mandato se </w:t>
      </w:r>
      <w:r w:rsidR="00116B95" w:rsidRPr="0057417D">
        <w:t xml:space="preserve">elabora el presente </w:t>
      </w:r>
      <w:r w:rsidRPr="0057417D">
        <w:t>informe de rendición de cuentas de la Superintendencia General de Seguros (</w:t>
      </w:r>
      <w:r w:rsidR="000A0042" w:rsidRPr="0057417D">
        <w:t>SUGESE</w:t>
      </w:r>
      <w:r w:rsidRPr="0057417D">
        <w:t>)</w:t>
      </w:r>
      <w:r w:rsidR="000015D2" w:rsidRPr="0057417D">
        <w:t xml:space="preserve">, </w:t>
      </w:r>
      <w:r w:rsidR="000A0042" w:rsidRPr="0057417D">
        <w:t xml:space="preserve">correspondiente al </w:t>
      </w:r>
      <w:r w:rsidR="000015D2" w:rsidRPr="0057417D">
        <w:t>periodo 201</w:t>
      </w:r>
      <w:r w:rsidR="006951F7" w:rsidRPr="0057417D">
        <w:t>9</w:t>
      </w:r>
      <w:r w:rsidRPr="0057417D">
        <w:t xml:space="preserve">.  Este documento se divide en seis secciones: primero se mencionan los objetivos legales y estratégicos de la </w:t>
      </w:r>
      <w:r w:rsidR="000A0042" w:rsidRPr="0057417D">
        <w:t>SUGESE</w:t>
      </w:r>
      <w:r w:rsidR="00116B95" w:rsidRPr="0057417D">
        <w:t xml:space="preserve"> y</w:t>
      </w:r>
      <w:r w:rsidRPr="0057417D">
        <w:t xml:space="preserve"> luego se detallan los recursos financieros, humanos y materiales disponibles. En la sección tercera se presenta la estructura organizacional</w:t>
      </w:r>
      <w:r w:rsidR="00BC5B2B" w:rsidRPr="0057417D">
        <w:t xml:space="preserve"> vigente para el periodo de</w:t>
      </w:r>
      <w:r w:rsidR="000A0042" w:rsidRPr="0057417D">
        <w:t xml:space="preserve"> este informe.</w:t>
      </w:r>
      <w:r w:rsidRPr="0057417D">
        <w:t xml:space="preserve">  Las metas trazadas y los resultados obtenidos se analizan en la sección cuarta. Posteriormente se presentan las limitaciones y obstáculos. Finalmente, se indican los retos</w:t>
      </w:r>
      <w:r w:rsidR="001554C2" w:rsidRPr="0057417D">
        <w:t xml:space="preserve"> y objetivos </w:t>
      </w:r>
      <w:r w:rsidRPr="0057417D">
        <w:t xml:space="preserve">visualizados para el mediano y largo plazo. </w:t>
      </w:r>
    </w:p>
    <w:p w:rsidR="00FE6C6E" w:rsidRPr="0057417D" w:rsidRDefault="00FE6C6E" w:rsidP="00016AB4">
      <w:pPr>
        <w:spacing w:line="240" w:lineRule="auto"/>
      </w:pPr>
    </w:p>
    <w:p w:rsidR="00213914" w:rsidRPr="0057417D" w:rsidRDefault="00213914" w:rsidP="00016AB4">
      <w:pPr>
        <w:spacing w:line="240" w:lineRule="auto"/>
        <w:rPr>
          <w:rFonts w:asciiTheme="majorHAnsi" w:hAnsiTheme="majorHAnsi"/>
        </w:rPr>
      </w:pPr>
    </w:p>
    <w:p w:rsidR="0046129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1" w:name="_Toc473006999"/>
      <w:r w:rsidRPr="0057417D">
        <w:rPr>
          <w:rFonts w:ascii="Century Gothic" w:eastAsiaTheme="majorEastAsia" w:hAnsi="Century Gothic" w:cstheme="majorBidi"/>
          <w:color w:val="365F91" w:themeColor="accent1" w:themeShade="BF"/>
          <w:kern w:val="0"/>
          <w:sz w:val="28"/>
          <w:szCs w:val="28"/>
          <w:lang w:eastAsia="es-CR"/>
        </w:rPr>
        <w:t>OBJETIVOS LEGALES</w:t>
      </w:r>
      <w:bookmarkEnd w:id="1"/>
    </w:p>
    <w:p w:rsidR="00FF37F6" w:rsidRPr="0057417D" w:rsidRDefault="00FF37F6" w:rsidP="00016AB4">
      <w:pPr>
        <w:spacing w:line="240" w:lineRule="auto"/>
        <w:rPr>
          <w:lang w:eastAsia="es-CR"/>
        </w:rPr>
      </w:pPr>
    </w:p>
    <w:p w:rsidR="00FE6C6E" w:rsidRPr="0057417D" w:rsidRDefault="00FE6C6E" w:rsidP="00016AB4">
      <w:pPr>
        <w:spacing w:line="240" w:lineRule="auto"/>
        <w:rPr>
          <w:szCs w:val="24"/>
        </w:rPr>
      </w:pPr>
      <w:r w:rsidRPr="0057417D">
        <w:rPr>
          <w:szCs w:val="24"/>
        </w:rPr>
        <w:t xml:space="preserve">La </w:t>
      </w:r>
      <w:r w:rsidRPr="0057417D">
        <w:rPr>
          <w:i/>
          <w:szCs w:val="24"/>
        </w:rPr>
        <w:t>Ley Reguladora del Mercado de Seguros</w:t>
      </w:r>
      <w:r w:rsidRPr="0057417D">
        <w:rPr>
          <w:szCs w:val="24"/>
        </w:rPr>
        <w:t>, Ley N°8653, del 07 de agosto de 2008, dispuso la creación de la Superintendencia General de Seguros (</w:t>
      </w:r>
      <w:r w:rsidR="000A0042" w:rsidRPr="0057417D">
        <w:rPr>
          <w:szCs w:val="24"/>
        </w:rPr>
        <w:t>SUGESE</w:t>
      </w:r>
      <w:r w:rsidRPr="0057417D">
        <w:rPr>
          <w:szCs w:val="24"/>
        </w:rPr>
        <w:t>) como órgano de máxima desconcentración adscrito al Banco Central de Costa Rica (BCCR), bajo la dirección del Consejo Nacional de Supervisión del Sistema Financiero (</w:t>
      </w:r>
      <w:r w:rsidR="000A0042" w:rsidRPr="0057417D">
        <w:rPr>
          <w:szCs w:val="24"/>
        </w:rPr>
        <w:t>CONASSIF</w:t>
      </w:r>
      <w:r w:rsidRPr="0057417D">
        <w:rPr>
          <w:szCs w:val="24"/>
        </w:rPr>
        <w:t>).</w:t>
      </w:r>
    </w:p>
    <w:p w:rsidR="00FE6C6E" w:rsidRPr="0057417D" w:rsidRDefault="00FE6C6E" w:rsidP="00016AB4">
      <w:pPr>
        <w:spacing w:line="240" w:lineRule="auto"/>
        <w:rPr>
          <w:szCs w:val="24"/>
        </w:rPr>
      </w:pPr>
    </w:p>
    <w:p w:rsidR="00FE6C6E" w:rsidRPr="0057417D" w:rsidRDefault="00FE6C6E" w:rsidP="00016AB4">
      <w:pPr>
        <w:spacing w:line="240" w:lineRule="auto"/>
        <w:rPr>
          <w:szCs w:val="24"/>
        </w:rPr>
      </w:pPr>
      <w:r w:rsidRPr="0057417D">
        <w:rPr>
          <w:szCs w:val="24"/>
        </w:rPr>
        <w:t xml:space="preserve">La </w:t>
      </w:r>
      <w:r w:rsidRPr="0057417D">
        <w:rPr>
          <w:i/>
          <w:szCs w:val="24"/>
        </w:rPr>
        <w:t>Ley Reguladora del Mercado de Seguros</w:t>
      </w:r>
      <w:r w:rsidRPr="0057417D">
        <w:rPr>
          <w:szCs w:val="24"/>
        </w:rPr>
        <w:t xml:space="preserve"> establece como objetivo general de la </w:t>
      </w:r>
      <w:r w:rsidR="000A0042" w:rsidRPr="0057417D">
        <w:rPr>
          <w:szCs w:val="24"/>
        </w:rPr>
        <w:t>SUGESE</w:t>
      </w:r>
      <w:r w:rsidRPr="0057417D">
        <w:rPr>
          <w:szCs w:val="24"/>
        </w:rPr>
        <w:t>:</w:t>
      </w:r>
    </w:p>
    <w:p w:rsidR="00FE6C6E" w:rsidRPr="0057417D" w:rsidRDefault="00FE6C6E" w:rsidP="00016AB4">
      <w:pPr>
        <w:spacing w:line="240" w:lineRule="auto"/>
        <w:rPr>
          <w:i/>
          <w:iCs/>
          <w:szCs w:val="24"/>
        </w:rPr>
      </w:pPr>
    </w:p>
    <w:p w:rsidR="00FE6C6E" w:rsidRPr="0057417D" w:rsidRDefault="00FE6C6E" w:rsidP="00116B95">
      <w:pPr>
        <w:spacing w:line="240" w:lineRule="auto"/>
        <w:ind w:left="567" w:right="616"/>
        <w:rPr>
          <w:sz w:val="20"/>
          <w:szCs w:val="20"/>
        </w:rPr>
      </w:pPr>
      <w:r w:rsidRPr="0057417D">
        <w:rPr>
          <w:i/>
          <w:iCs/>
          <w:sz w:val="20"/>
          <w:szCs w:val="20"/>
        </w:rPr>
        <w:t>“…velar por la estabilidad y el eficiente funcionamiento del mercado de seguros, así como entregar la más amplia información a los asegurados. Para ello, autorizará, regulará y supervisará a las personas, físicas o jurídicas, que intervengan en los actos o contratos relacionados con la actividad aseguradora, reaseguradora, la oferta pública y la realización de negocios de seguros.”</w:t>
      </w:r>
      <w:r w:rsidRPr="0057417D">
        <w:rPr>
          <w:sz w:val="20"/>
          <w:szCs w:val="20"/>
        </w:rPr>
        <w:t>.</w:t>
      </w:r>
    </w:p>
    <w:p w:rsidR="00FE6C6E" w:rsidRPr="0057417D" w:rsidRDefault="00FE6C6E" w:rsidP="00016AB4">
      <w:pPr>
        <w:spacing w:line="240" w:lineRule="auto"/>
        <w:rPr>
          <w:szCs w:val="24"/>
        </w:rPr>
      </w:pPr>
    </w:p>
    <w:p w:rsidR="00FE6C6E" w:rsidRPr="0057417D" w:rsidRDefault="00FE6C6E" w:rsidP="00016AB4">
      <w:pPr>
        <w:spacing w:line="240" w:lineRule="auto"/>
        <w:rPr>
          <w:szCs w:val="24"/>
        </w:rPr>
      </w:pPr>
    </w:p>
    <w:p w:rsidR="001554C2" w:rsidRPr="0057417D" w:rsidRDefault="001554C2">
      <w:pPr>
        <w:spacing w:line="360" w:lineRule="auto"/>
        <w:jc w:val="left"/>
        <w:rPr>
          <w:rFonts w:asciiTheme="majorHAnsi" w:hAnsiTheme="majorHAnsi"/>
        </w:rPr>
      </w:pPr>
      <w:r w:rsidRPr="0057417D">
        <w:rPr>
          <w:rFonts w:asciiTheme="majorHAnsi" w:hAnsiTheme="majorHAnsi"/>
        </w:rPr>
        <w:br w:type="page"/>
      </w:r>
    </w:p>
    <w:p w:rsidR="0046129A" w:rsidRPr="0057417D" w:rsidRDefault="005D613A" w:rsidP="00016AB4">
      <w:pPr>
        <w:pStyle w:val="Ttulo1"/>
        <w:numPr>
          <w:ilvl w:val="0"/>
          <w:numId w:val="1"/>
        </w:numPr>
        <w:spacing w:before="0" w:beforeAutospacing="0" w:after="0" w:afterAutospacing="0"/>
        <w:ind w:left="426" w:hanging="426"/>
      </w:pPr>
      <w:bookmarkStart w:id="2" w:name="_Toc473007000"/>
      <w:r w:rsidRPr="0057417D">
        <w:rPr>
          <w:rFonts w:ascii="Century Gothic" w:eastAsiaTheme="majorEastAsia" w:hAnsi="Century Gothic" w:cstheme="majorBidi"/>
          <w:color w:val="365F91" w:themeColor="accent1" w:themeShade="BF"/>
          <w:kern w:val="0"/>
          <w:sz w:val="28"/>
          <w:szCs w:val="28"/>
          <w:lang w:eastAsia="es-CR"/>
        </w:rPr>
        <w:t>RECURSOS INSTITUCIONALES</w:t>
      </w:r>
      <w:bookmarkEnd w:id="2"/>
    </w:p>
    <w:p w:rsidR="00340424" w:rsidRPr="0057417D" w:rsidRDefault="00340424" w:rsidP="00016AB4">
      <w:pPr>
        <w:spacing w:line="240" w:lineRule="auto"/>
      </w:pPr>
    </w:p>
    <w:p w:rsidR="00E37803" w:rsidRPr="0057417D" w:rsidRDefault="007A2605" w:rsidP="0003298B">
      <w:pPr>
        <w:spacing w:line="240" w:lineRule="auto"/>
        <w:rPr>
          <w:lang w:eastAsia="es-CR"/>
        </w:rPr>
      </w:pPr>
      <w:r w:rsidRPr="0057417D">
        <w:rPr>
          <w:lang w:eastAsia="es-CR"/>
        </w:rPr>
        <w:t xml:space="preserve">Según el </w:t>
      </w:r>
      <w:r w:rsidR="00B90599" w:rsidRPr="0057417D">
        <w:rPr>
          <w:lang w:eastAsia="es-CR"/>
        </w:rPr>
        <w:t>artículo</w:t>
      </w:r>
      <w:r w:rsidRPr="0057417D">
        <w:rPr>
          <w:lang w:eastAsia="es-CR"/>
        </w:rPr>
        <w:t xml:space="preserve"> 28 de la Ley </w:t>
      </w:r>
      <w:r w:rsidR="00B90599" w:rsidRPr="0057417D">
        <w:rPr>
          <w:lang w:eastAsia="es-CR"/>
        </w:rPr>
        <w:t>№</w:t>
      </w:r>
      <w:r w:rsidR="00682D3A" w:rsidRPr="0057417D">
        <w:rPr>
          <w:lang w:eastAsia="es-CR"/>
        </w:rPr>
        <w:t xml:space="preserve"> </w:t>
      </w:r>
      <w:r w:rsidR="00B90599" w:rsidRPr="0057417D">
        <w:rPr>
          <w:lang w:eastAsia="es-CR"/>
        </w:rPr>
        <w:t xml:space="preserve">8653 de la </w:t>
      </w:r>
      <w:r w:rsidR="00B90599" w:rsidRPr="0057417D">
        <w:rPr>
          <w:i/>
          <w:lang w:eastAsia="es-CR"/>
        </w:rPr>
        <w:t xml:space="preserve">Ley </w:t>
      </w:r>
      <w:r w:rsidR="00682D3A" w:rsidRPr="0057417D">
        <w:rPr>
          <w:i/>
          <w:lang w:eastAsia="es-CR"/>
        </w:rPr>
        <w:t>R</w:t>
      </w:r>
      <w:r w:rsidR="00B90599" w:rsidRPr="0057417D">
        <w:rPr>
          <w:i/>
          <w:lang w:eastAsia="es-CR"/>
        </w:rPr>
        <w:t xml:space="preserve">eguladora del </w:t>
      </w:r>
      <w:r w:rsidR="00682D3A" w:rsidRPr="0057417D">
        <w:rPr>
          <w:i/>
          <w:lang w:eastAsia="es-CR"/>
        </w:rPr>
        <w:t>M</w:t>
      </w:r>
      <w:r w:rsidR="00B90599" w:rsidRPr="0057417D">
        <w:rPr>
          <w:i/>
          <w:lang w:eastAsia="es-CR"/>
        </w:rPr>
        <w:t xml:space="preserve">ercado de </w:t>
      </w:r>
      <w:r w:rsidR="00682D3A" w:rsidRPr="0057417D">
        <w:rPr>
          <w:i/>
          <w:lang w:eastAsia="es-CR"/>
        </w:rPr>
        <w:t>S</w:t>
      </w:r>
      <w:r w:rsidR="00B90599" w:rsidRPr="0057417D">
        <w:rPr>
          <w:i/>
          <w:lang w:eastAsia="es-CR"/>
        </w:rPr>
        <w:t>eguros</w:t>
      </w:r>
      <w:r w:rsidR="00B90599" w:rsidRPr="0057417D">
        <w:rPr>
          <w:lang w:eastAsia="es-CR"/>
        </w:rPr>
        <w:t>, la S</w:t>
      </w:r>
      <w:r w:rsidR="00E37803" w:rsidRPr="0057417D">
        <w:rPr>
          <w:lang w:eastAsia="es-CR"/>
        </w:rPr>
        <w:t>UGESE</w:t>
      </w:r>
      <w:r w:rsidR="00B90599" w:rsidRPr="0057417D">
        <w:rPr>
          <w:lang w:eastAsia="es-CR"/>
        </w:rPr>
        <w:t xml:space="preserve"> </w:t>
      </w:r>
      <w:r w:rsidR="00E33345" w:rsidRPr="0057417D">
        <w:rPr>
          <w:lang w:eastAsia="es-CR"/>
        </w:rPr>
        <w:t>es</w:t>
      </w:r>
      <w:r w:rsidR="00B90599" w:rsidRPr="0057417D">
        <w:rPr>
          <w:lang w:eastAsia="es-CR"/>
        </w:rPr>
        <w:t xml:space="preserve"> un órgano de máxima desconcentración adscrito al B</w:t>
      </w:r>
      <w:r w:rsidR="001554C2" w:rsidRPr="0057417D">
        <w:rPr>
          <w:lang w:eastAsia="es-CR"/>
        </w:rPr>
        <w:t>CCR</w:t>
      </w:r>
      <w:r w:rsidR="00B90599" w:rsidRPr="0057417D">
        <w:rPr>
          <w:lang w:eastAsia="es-CR"/>
        </w:rPr>
        <w:t>, con personalidad y capacidad jurídicas instrumentales</w:t>
      </w:r>
      <w:r w:rsidR="00526A4E" w:rsidRPr="0057417D">
        <w:rPr>
          <w:lang w:eastAsia="es-CR"/>
        </w:rPr>
        <w:t xml:space="preserve">. </w:t>
      </w:r>
      <w:r w:rsidR="00E37803" w:rsidRPr="0057417D">
        <w:rPr>
          <w:lang w:eastAsia="es-CR"/>
        </w:rPr>
        <w:t>El financiamiento de la Super</w:t>
      </w:r>
      <w:r w:rsidR="0057417D">
        <w:rPr>
          <w:lang w:eastAsia="es-CR"/>
        </w:rPr>
        <w:t>in</w:t>
      </w:r>
      <w:r w:rsidR="00E37803" w:rsidRPr="0057417D">
        <w:rPr>
          <w:lang w:eastAsia="es-CR"/>
        </w:rPr>
        <w:t>t</w:t>
      </w:r>
      <w:r w:rsidR="0057417D">
        <w:rPr>
          <w:lang w:eastAsia="es-CR"/>
        </w:rPr>
        <w:t>e</w:t>
      </w:r>
      <w:r w:rsidR="00E37803" w:rsidRPr="0057417D">
        <w:rPr>
          <w:lang w:eastAsia="es-CR"/>
        </w:rPr>
        <w:t>ndencia, de conformidad con el artículo cita, le corresponde al BCCR, lo cual aplicó para el 2019.</w:t>
      </w:r>
    </w:p>
    <w:p w:rsidR="00E37803" w:rsidRPr="0057417D" w:rsidRDefault="00E37803" w:rsidP="0003298B">
      <w:pPr>
        <w:spacing w:line="240" w:lineRule="auto"/>
        <w:rPr>
          <w:lang w:eastAsia="es-CR"/>
        </w:rPr>
      </w:pPr>
    </w:p>
    <w:p w:rsidR="005A12BB" w:rsidRDefault="005A12BB" w:rsidP="005A12BB">
      <w:pPr>
        <w:spacing w:line="240" w:lineRule="auto"/>
        <w:rPr>
          <w:sz w:val="22"/>
          <w:lang w:eastAsia="es-CR"/>
        </w:rPr>
      </w:pPr>
      <w:r>
        <w:rPr>
          <w:lang w:eastAsia="es-CR"/>
        </w:rPr>
        <w:t xml:space="preserve">No obstante lo anterior, de acuerdo con la reforma a la </w:t>
      </w:r>
      <w:r w:rsidRPr="00C11AA6">
        <w:rPr>
          <w:lang w:eastAsia="es-CR"/>
        </w:rPr>
        <w:t>Ley Reguladora del Mercado de Valores</w:t>
      </w:r>
      <w:r>
        <w:rPr>
          <w:lang w:eastAsia="es-CR"/>
        </w:rPr>
        <w:t xml:space="preserve"> del 22 de octubre de 2019, </w:t>
      </w:r>
      <w:r w:rsidR="005F5714">
        <w:rPr>
          <w:lang w:eastAsia="es-CR"/>
        </w:rPr>
        <w:t>se</w:t>
      </w:r>
      <w:r>
        <w:rPr>
          <w:lang w:eastAsia="es-CR"/>
        </w:rPr>
        <w:t xml:space="preserve"> modific</w:t>
      </w:r>
      <w:r w:rsidR="005F5714">
        <w:rPr>
          <w:lang w:eastAsia="es-CR"/>
        </w:rPr>
        <w:t>ó</w:t>
      </w:r>
      <w:r>
        <w:rPr>
          <w:lang w:eastAsia="es-CR"/>
        </w:rPr>
        <w:t xml:space="preserve"> la fuente de financiamiento de la SUGESE, por lo que el 50% de éste corresponderá a las contribuciones obligatorias de los sujetos fiscalizados y el resto lo sufragará el BCCR. La reforma señalada estableció </w:t>
      </w:r>
      <w:r w:rsidRPr="00C11AA6">
        <w:rPr>
          <w:lang w:eastAsia="es-CR"/>
        </w:rPr>
        <w:t xml:space="preserve">que el cambio comenzará a implementarse, gradualmente, a partir del presupuesto del segundo año inmediatamente posterior a la entrada en vigencia de la Ley (presupuesto 2022), a razón de un incremento en 10 puntos porcentuales los primeros dos años y de 7,5 puntos porcentuales los siguientes cuatro años, para alcanzar el 50% señalado en el presupuesto de 2027. </w:t>
      </w:r>
      <w:r>
        <w:rPr>
          <w:lang w:eastAsia="es-CR"/>
        </w:rPr>
        <w:t>Por lo tanto, los presupuestos de la SUGESE del 2020 y 2021 serán sufragados en su totalidad por el BCCR</w:t>
      </w:r>
      <w:r>
        <w:rPr>
          <w:color w:val="1F497D"/>
          <w:lang w:eastAsia="es-CR"/>
        </w:rPr>
        <w:t>.</w:t>
      </w:r>
    </w:p>
    <w:p w:rsidR="00C11AA6" w:rsidRPr="0057417D" w:rsidRDefault="00C11AA6" w:rsidP="00016AB4">
      <w:pPr>
        <w:spacing w:line="240" w:lineRule="auto"/>
        <w:rPr>
          <w:lang w:eastAsia="es-CR"/>
        </w:rPr>
      </w:pPr>
    </w:p>
    <w:p w:rsidR="00B90599" w:rsidRPr="0057417D" w:rsidRDefault="00B90599" w:rsidP="00016AB4">
      <w:pPr>
        <w:autoSpaceDE w:val="0"/>
        <w:autoSpaceDN w:val="0"/>
        <w:adjustRightInd w:val="0"/>
        <w:spacing w:line="240" w:lineRule="auto"/>
        <w:rPr>
          <w:lang w:eastAsia="es-CR"/>
        </w:rPr>
      </w:pPr>
      <w:r w:rsidRPr="0057417D">
        <w:rPr>
          <w:lang w:eastAsia="es-CR"/>
        </w:rPr>
        <w:t xml:space="preserve">La Superintendencia regirá sus </w:t>
      </w:r>
      <w:r w:rsidR="00E33345" w:rsidRPr="0057417D">
        <w:rPr>
          <w:lang w:eastAsia="es-CR"/>
        </w:rPr>
        <w:t xml:space="preserve">actividades por lo dispuesto en </w:t>
      </w:r>
      <w:r w:rsidR="00934FF1" w:rsidRPr="0057417D">
        <w:rPr>
          <w:lang w:eastAsia="es-CR"/>
        </w:rPr>
        <w:t xml:space="preserve">la </w:t>
      </w:r>
      <w:r w:rsidR="00934FF1" w:rsidRPr="001D042A">
        <w:rPr>
          <w:i/>
          <w:lang w:eastAsia="es-CR"/>
        </w:rPr>
        <w:t>Ley Reguladora del Mercado de Seguros</w:t>
      </w:r>
      <w:r w:rsidR="00934FF1" w:rsidRPr="0057417D">
        <w:rPr>
          <w:lang w:eastAsia="es-CR"/>
        </w:rPr>
        <w:t>, sus</w:t>
      </w:r>
      <w:r w:rsidRPr="0057417D">
        <w:rPr>
          <w:lang w:eastAsia="es-CR"/>
        </w:rPr>
        <w:t xml:space="preserve"> reglamentos y las demás leyes aplicables. Las normas generales y directrices dictadas por la Superintendencia, serán de observancia obligatoria para las entidades y personas supervisadas.</w:t>
      </w:r>
    </w:p>
    <w:p w:rsidR="00682D3A" w:rsidRPr="0057417D" w:rsidRDefault="00682D3A" w:rsidP="00016AB4">
      <w:pPr>
        <w:autoSpaceDE w:val="0"/>
        <w:autoSpaceDN w:val="0"/>
        <w:adjustRightInd w:val="0"/>
        <w:spacing w:line="240" w:lineRule="auto"/>
        <w:rPr>
          <w:lang w:eastAsia="es-CR"/>
        </w:rPr>
      </w:pPr>
    </w:p>
    <w:p w:rsidR="00B90599" w:rsidRPr="0057417D" w:rsidRDefault="00B90599" w:rsidP="00016AB4">
      <w:pPr>
        <w:autoSpaceDE w:val="0"/>
        <w:autoSpaceDN w:val="0"/>
        <w:adjustRightInd w:val="0"/>
        <w:spacing w:line="240" w:lineRule="auto"/>
        <w:rPr>
          <w:lang w:eastAsia="es-CR"/>
        </w:rPr>
      </w:pPr>
      <w:r w:rsidRPr="0057417D">
        <w:rPr>
          <w:lang w:eastAsia="es-CR"/>
        </w:rPr>
        <w:t xml:space="preserve">La Superintendencia es un órgano operacionalmente independiente y responsable en el ejercicio de sus funciones; tiene suficientes poderes, protección legal y recursos financieros para ejecutar </w:t>
      </w:r>
      <w:r w:rsidR="00C14664" w:rsidRPr="0057417D">
        <w:rPr>
          <w:lang w:eastAsia="es-CR"/>
        </w:rPr>
        <w:t>las</w:t>
      </w:r>
      <w:r w:rsidRPr="0057417D">
        <w:rPr>
          <w:lang w:eastAsia="es-CR"/>
        </w:rPr>
        <w:t xml:space="preserve"> funciones</w:t>
      </w:r>
      <w:r w:rsidR="00BC5B2B" w:rsidRPr="0057417D">
        <w:rPr>
          <w:lang w:eastAsia="es-CR"/>
        </w:rPr>
        <w:t xml:space="preserve"> asignadas en la ley </w:t>
      </w:r>
      <w:r w:rsidRPr="0057417D">
        <w:rPr>
          <w:lang w:eastAsia="es-CR"/>
        </w:rPr>
        <w:t xml:space="preserve">y ejercer </w:t>
      </w:r>
      <w:r w:rsidR="00BC5B2B" w:rsidRPr="0057417D">
        <w:rPr>
          <w:lang w:eastAsia="es-CR"/>
        </w:rPr>
        <w:t xml:space="preserve">los </w:t>
      </w:r>
      <w:r w:rsidRPr="0057417D">
        <w:rPr>
          <w:lang w:eastAsia="es-CR"/>
        </w:rPr>
        <w:t>poderes</w:t>
      </w:r>
      <w:r w:rsidR="00BC5B2B" w:rsidRPr="0057417D">
        <w:rPr>
          <w:lang w:eastAsia="es-CR"/>
        </w:rPr>
        <w:t xml:space="preserve"> correspondientes</w:t>
      </w:r>
      <w:r w:rsidRPr="0057417D">
        <w:rPr>
          <w:lang w:eastAsia="es-CR"/>
        </w:rPr>
        <w:t>. Asimismo, debe adoptar una clara, transparente y consistente regulación y supervisión, y debe emplear, entrenar y mantener un equipo de trabajo suficiente con altos es</w:t>
      </w:r>
      <w:r w:rsidR="00BC5B2B" w:rsidRPr="0057417D">
        <w:rPr>
          <w:lang w:eastAsia="es-CR"/>
        </w:rPr>
        <w:t xml:space="preserve">tándares profesionales, al cual se le exige </w:t>
      </w:r>
      <w:r w:rsidRPr="0057417D">
        <w:rPr>
          <w:lang w:eastAsia="es-CR"/>
        </w:rPr>
        <w:t>confidencialidad</w:t>
      </w:r>
      <w:r w:rsidR="00BC5B2B" w:rsidRPr="0057417D">
        <w:rPr>
          <w:lang w:eastAsia="es-CR"/>
        </w:rPr>
        <w:t xml:space="preserve"> en el ejercicio de sus labores</w:t>
      </w:r>
      <w:r w:rsidRPr="0057417D">
        <w:rPr>
          <w:lang w:eastAsia="es-CR"/>
        </w:rPr>
        <w:t>.</w:t>
      </w:r>
    </w:p>
    <w:p w:rsidR="009553C4" w:rsidRPr="0057417D" w:rsidRDefault="009553C4" w:rsidP="00016AB4">
      <w:pPr>
        <w:autoSpaceDE w:val="0"/>
        <w:autoSpaceDN w:val="0"/>
        <w:adjustRightInd w:val="0"/>
        <w:spacing w:line="240" w:lineRule="auto"/>
        <w:rPr>
          <w:lang w:eastAsia="es-CR"/>
        </w:rPr>
      </w:pPr>
    </w:p>
    <w:p w:rsidR="00D31288" w:rsidRPr="0057417D" w:rsidRDefault="009553C4" w:rsidP="00016AB4">
      <w:pPr>
        <w:spacing w:line="240" w:lineRule="auto"/>
      </w:pPr>
      <w:r w:rsidRPr="0057417D">
        <w:t>Al término de 201</w:t>
      </w:r>
      <w:r w:rsidR="00990BEF" w:rsidRPr="0057417D">
        <w:t>9</w:t>
      </w:r>
      <w:r w:rsidRPr="0057417D">
        <w:t>,</w:t>
      </w:r>
      <w:r w:rsidR="00803D49" w:rsidRPr="0057417D">
        <w:t xml:space="preserve"> la </w:t>
      </w:r>
      <w:r w:rsidR="000A0042" w:rsidRPr="0057417D">
        <w:t>SUGESE</w:t>
      </w:r>
      <w:r w:rsidR="00803D49" w:rsidRPr="0057417D">
        <w:t xml:space="preserve"> tenía bajo su responsabilidad la supervisión</w:t>
      </w:r>
      <w:r w:rsidR="006D4226" w:rsidRPr="0057417D">
        <w:t xml:space="preserve"> las siguientes entidades: </w:t>
      </w:r>
      <w:r w:rsidR="00803D49" w:rsidRPr="0057417D">
        <w:t>1</w:t>
      </w:r>
      <w:r w:rsidR="0077603C" w:rsidRPr="0057417D">
        <w:t>3</w:t>
      </w:r>
      <w:r w:rsidR="00803D49" w:rsidRPr="0057417D">
        <w:t xml:space="preserve"> compañías aseguradoras, </w:t>
      </w:r>
      <w:r w:rsidR="00F76D4A" w:rsidRPr="0057417D">
        <w:t>3</w:t>
      </w:r>
      <w:r w:rsidR="00990BEF" w:rsidRPr="0057417D">
        <w:t>2</w:t>
      </w:r>
      <w:r w:rsidR="00803D49" w:rsidRPr="0057417D">
        <w:t xml:space="preserve"> sociedades corredoras de seguros, </w:t>
      </w:r>
      <w:r w:rsidR="00990BEF" w:rsidRPr="0057417D">
        <w:t>24</w:t>
      </w:r>
      <w:r w:rsidR="007F14B3" w:rsidRPr="0057417D">
        <w:t xml:space="preserve"> s</w:t>
      </w:r>
      <w:r w:rsidR="00554B54" w:rsidRPr="0057417D">
        <w:t xml:space="preserve">ociedades </w:t>
      </w:r>
      <w:r w:rsidR="00803D49" w:rsidRPr="0057417D">
        <w:t xml:space="preserve">agencia de seguros y </w:t>
      </w:r>
      <w:r w:rsidR="00990BEF" w:rsidRPr="0057417D">
        <w:t>92</w:t>
      </w:r>
      <w:r w:rsidR="00803D49" w:rsidRPr="0057417D">
        <w:t xml:space="preserve"> operadores de seguros autoexpedibles</w:t>
      </w:r>
      <w:r w:rsidR="00145C6D" w:rsidRPr="0057417D">
        <w:t>,</w:t>
      </w:r>
      <w:r w:rsidR="006D4226" w:rsidRPr="0057417D">
        <w:t xml:space="preserve"> todas en condición activa</w:t>
      </w:r>
      <w:r w:rsidR="006D4226" w:rsidRPr="0057417D">
        <w:rPr>
          <w:rStyle w:val="Refdenotaalpie"/>
        </w:rPr>
        <w:footnoteReference w:id="2"/>
      </w:r>
      <w:r w:rsidR="007F14B3" w:rsidRPr="0057417D">
        <w:t xml:space="preserve"> </w:t>
      </w:r>
      <w:r w:rsidR="006D4226" w:rsidRPr="0057417D">
        <w:t>a</w:t>
      </w:r>
      <w:r w:rsidR="00145C6D" w:rsidRPr="0057417D">
        <w:t xml:space="preserve"> esa fecha</w:t>
      </w:r>
      <w:r w:rsidR="00D31288" w:rsidRPr="0057417D">
        <w:t xml:space="preserve">, según se presenta en el Cuadro </w:t>
      </w:r>
      <w:r w:rsidR="00990BEF" w:rsidRPr="0057417D">
        <w:t>1</w:t>
      </w:r>
      <w:r w:rsidR="00803D49" w:rsidRPr="0057417D">
        <w:t>.</w:t>
      </w:r>
    </w:p>
    <w:p w:rsidR="00D31288" w:rsidRPr="0057417D" w:rsidRDefault="00D31288" w:rsidP="00016AB4">
      <w:pPr>
        <w:spacing w:line="240" w:lineRule="auto"/>
      </w:pPr>
    </w:p>
    <w:p w:rsidR="001D042A" w:rsidRDefault="001D042A">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rsidR="00D31288" w:rsidRPr="0057417D" w:rsidRDefault="00D31288" w:rsidP="00D31288">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p>
    <w:p w:rsidR="00D31288" w:rsidRPr="0057417D" w:rsidRDefault="00D31288" w:rsidP="00D31288">
      <w:pPr>
        <w:spacing w:line="240" w:lineRule="auto"/>
        <w:jc w:val="center"/>
        <w:rPr>
          <w:rFonts w:ascii="Century Gothic" w:hAnsi="Century Gothic"/>
          <w:b/>
          <w:color w:val="404040" w:themeColor="text1" w:themeTint="BF"/>
          <w:sz w:val="20"/>
          <w:szCs w:val="20"/>
        </w:rPr>
      </w:pPr>
      <w:r w:rsidRPr="0057417D">
        <w:rPr>
          <w:rFonts w:ascii="Century Gothic" w:hAnsi="Century Gothic" w:cs="Century Gothic"/>
          <w:kern w:val="24"/>
          <w:sz w:val="20"/>
          <w:szCs w:val="20"/>
        </w:rPr>
        <w:t>Superintendencia General de Seguros</w:t>
      </w:r>
      <w:r w:rsidRPr="0057417D">
        <w:rPr>
          <w:rFonts w:ascii="Century Gothic" w:hAnsi="Century Gothic"/>
          <w:b/>
          <w:color w:val="404040" w:themeColor="text1" w:themeTint="BF"/>
          <w:sz w:val="20"/>
          <w:szCs w:val="20"/>
        </w:rPr>
        <w:t xml:space="preserve"> </w:t>
      </w:r>
    </w:p>
    <w:p w:rsidR="00D31288" w:rsidRPr="0057417D" w:rsidRDefault="00D31288" w:rsidP="00D31288">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Participantes Mercado de Seguros – Diciembre 201</w:t>
      </w:r>
      <w:r w:rsidR="00611175" w:rsidRPr="0057417D">
        <w:rPr>
          <w:rFonts w:ascii="Century Gothic" w:hAnsi="Century Gothic"/>
          <w:b/>
          <w:color w:val="404040" w:themeColor="text1" w:themeTint="BF"/>
          <w:sz w:val="20"/>
          <w:szCs w:val="20"/>
        </w:rPr>
        <w:t>9</w:t>
      </w:r>
    </w:p>
    <w:tbl>
      <w:tblPr>
        <w:tblStyle w:val="Listaclara-nfasis11"/>
        <w:tblW w:w="7461" w:type="dxa"/>
        <w:jc w:val="center"/>
        <w:tblLook w:val="0420" w:firstRow="1" w:lastRow="0" w:firstColumn="0" w:lastColumn="0" w:noHBand="0" w:noVBand="1"/>
      </w:tblPr>
      <w:tblGrid>
        <w:gridCol w:w="3392"/>
        <w:gridCol w:w="867"/>
        <w:gridCol w:w="1106"/>
        <w:gridCol w:w="944"/>
        <w:gridCol w:w="1152"/>
      </w:tblGrid>
      <w:tr w:rsidR="00D31288" w:rsidRPr="0057417D" w:rsidTr="00D31288">
        <w:trPr>
          <w:cnfStyle w:val="100000000000" w:firstRow="1" w:lastRow="0" w:firstColumn="0" w:lastColumn="0" w:oddVBand="0" w:evenVBand="0" w:oddHBand="0" w:evenHBand="0" w:firstRowFirstColumn="0" w:firstRowLastColumn="0" w:lastRowFirstColumn="0" w:lastRowLastColumn="0"/>
          <w:trHeight w:val="508"/>
          <w:jc w:val="center"/>
        </w:trPr>
        <w:tc>
          <w:tcPr>
            <w:tcW w:w="3392"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szCs w:val="20"/>
              </w:rPr>
              <w:t>Participante</w:t>
            </w:r>
          </w:p>
        </w:tc>
        <w:tc>
          <w:tcPr>
            <w:tcW w:w="867"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szCs w:val="20"/>
              </w:rPr>
              <w:t>TOTAL</w:t>
            </w:r>
          </w:p>
        </w:tc>
        <w:tc>
          <w:tcPr>
            <w:tcW w:w="1106"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szCs w:val="20"/>
              </w:rPr>
              <w:t>Inscritos</w:t>
            </w:r>
          </w:p>
        </w:tc>
        <w:tc>
          <w:tcPr>
            <w:tcW w:w="944"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szCs w:val="20"/>
              </w:rPr>
              <w:t>Activos</w:t>
            </w:r>
          </w:p>
        </w:tc>
        <w:tc>
          <w:tcPr>
            <w:tcW w:w="1152"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szCs w:val="20"/>
              </w:rPr>
              <w:t>Inactivos</w:t>
            </w:r>
          </w:p>
        </w:tc>
      </w:tr>
      <w:tr w:rsidR="00D31288" w:rsidRPr="0057417D"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D31288" w:rsidRPr="0057417D" w:rsidRDefault="00D31288" w:rsidP="0068706A">
            <w:pPr>
              <w:rPr>
                <w:rFonts w:ascii="Tahoma" w:hAnsi="Tahoma" w:cs="Tahoma"/>
                <w:sz w:val="20"/>
                <w:szCs w:val="20"/>
              </w:rPr>
            </w:pPr>
            <w:r w:rsidRPr="0057417D">
              <w:rPr>
                <w:rFonts w:ascii="Tahoma" w:hAnsi="Tahoma" w:cs="Tahoma"/>
                <w:sz w:val="20"/>
                <w:szCs w:val="20"/>
              </w:rPr>
              <w:t>Aseguradoras</w:t>
            </w:r>
          </w:p>
        </w:tc>
        <w:tc>
          <w:tcPr>
            <w:tcW w:w="867"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13</w:t>
            </w:r>
          </w:p>
        </w:tc>
        <w:tc>
          <w:tcPr>
            <w:tcW w:w="1106"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13</w:t>
            </w:r>
          </w:p>
        </w:tc>
        <w:tc>
          <w:tcPr>
            <w:tcW w:w="944"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13</w:t>
            </w:r>
          </w:p>
        </w:tc>
        <w:tc>
          <w:tcPr>
            <w:tcW w:w="1152"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w:t>
            </w:r>
          </w:p>
        </w:tc>
      </w:tr>
      <w:tr w:rsidR="00D31288" w:rsidRPr="0057417D" w:rsidTr="00D31288">
        <w:trPr>
          <w:trHeight w:val="20"/>
          <w:jc w:val="center"/>
        </w:trPr>
        <w:tc>
          <w:tcPr>
            <w:tcW w:w="3392" w:type="dxa"/>
            <w:hideMark/>
          </w:tcPr>
          <w:p w:rsidR="00D31288" w:rsidRPr="0057417D" w:rsidRDefault="00D31288" w:rsidP="0068706A">
            <w:pPr>
              <w:rPr>
                <w:rFonts w:ascii="Tahoma" w:hAnsi="Tahoma" w:cs="Tahoma"/>
                <w:sz w:val="20"/>
                <w:szCs w:val="20"/>
              </w:rPr>
            </w:pPr>
            <w:r w:rsidRPr="0057417D">
              <w:rPr>
                <w:rFonts w:ascii="Tahoma" w:hAnsi="Tahoma" w:cs="Tahoma"/>
                <w:sz w:val="20"/>
                <w:szCs w:val="20"/>
              </w:rPr>
              <w:t>Sociedades corredoras</w:t>
            </w:r>
          </w:p>
        </w:tc>
        <w:tc>
          <w:tcPr>
            <w:tcW w:w="867"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3</w:t>
            </w:r>
            <w:r w:rsidR="00611175" w:rsidRPr="0057417D">
              <w:rPr>
                <w:rFonts w:ascii="Tahoma" w:hAnsi="Tahoma" w:cs="Tahoma"/>
                <w:sz w:val="20"/>
              </w:rPr>
              <w:t>2</w:t>
            </w:r>
          </w:p>
        </w:tc>
        <w:tc>
          <w:tcPr>
            <w:tcW w:w="1106"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3</w:t>
            </w:r>
            <w:r w:rsidR="00611175" w:rsidRPr="0057417D">
              <w:rPr>
                <w:rFonts w:ascii="Tahoma" w:hAnsi="Tahoma" w:cs="Tahoma"/>
                <w:sz w:val="20"/>
              </w:rPr>
              <w:t>2</w:t>
            </w:r>
          </w:p>
        </w:tc>
        <w:tc>
          <w:tcPr>
            <w:tcW w:w="944"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3</w:t>
            </w:r>
            <w:r w:rsidR="00611175" w:rsidRPr="0057417D">
              <w:rPr>
                <w:rFonts w:ascii="Tahoma" w:hAnsi="Tahoma" w:cs="Tahoma"/>
                <w:sz w:val="20"/>
              </w:rPr>
              <w:t>2</w:t>
            </w:r>
          </w:p>
        </w:tc>
        <w:tc>
          <w:tcPr>
            <w:tcW w:w="1152"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w:t>
            </w:r>
          </w:p>
        </w:tc>
      </w:tr>
      <w:tr w:rsidR="00D31288" w:rsidRPr="0057417D"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D31288" w:rsidRPr="0057417D" w:rsidRDefault="00D31288" w:rsidP="0068706A">
            <w:pPr>
              <w:rPr>
                <w:rFonts w:ascii="Tahoma" w:hAnsi="Tahoma" w:cs="Tahoma"/>
                <w:sz w:val="20"/>
                <w:szCs w:val="20"/>
              </w:rPr>
            </w:pPr>
            <w:r w:rsidRPr="0057417D">
              <w:rPr>
                <w:rFonts w:ascii="Tahoma" w:hAnsi="Tahoma" w:cs="Tahoma"/>
                <w:sz w:val="20"/>
                <w:szCs w:val="20"/>
              </w:rPr>
              <w:t>Corredores de seguros</w:t>
            </w:r>
          </w:p>
        </w:tc>
        <w:tc>
          <w:tcPr>
            <w:tcW w:w="867" w:type="dxa"/>
            <w:hideMark/>
          </w:tcPr>
          <w:p w:rsidR="00D31288" w:rsidRPr="0057417D" w:rsidRDefault="00611175" w:rsidP="00611175">
            <w:pPr>
              <w:jc w:val="center"/>
              <w:rPr>
                <w:rFonts w:ascii="Tahoma" w:hAnsi="Tahoma" w:cs="Tahoma"/>
                <w:sz w:val="20"/>
                <w:szCs w:val="20"/>
              </w:rPr>
            </w:pPr>
            <w:r w:rsidRPr="0057417D">
              <w:rPr>
                <w:rFonts w:ascii="Tahoma" w:hAnsi="Tahoma" w:cs="Tahoma"/>
                <w:sz w:val="20"/>
              </w:rPr>
              <w:t>736</w:t>
            </w:r>
          </w:p>
        </w:tc>
        <w:tc>
          <w:tcPr>
            <w:tcW w:w="1106" w:type="dxa"/>
            <w:hideMark/>
          </w:tcPr>
          <w:p w:rsidR="00D31288" w:rsidRPr="0057417D" w:rsidRDefault="00611175" w:rsidP="00611175">
            <w:pPr>
              <w:jc w:val="center"/>
              <w:rPr>
                <w:rFonts w:ascii="Tahoma" w:hAnsi="Tahoma" w:cs="Tahoma"/>
                <w:sz w:val="20"/>
                <w:szCs w:val="20"/>
              </w:rPr>
            </w:pPr>
            <w:r w:rsidRPr="0057417D">
              <w:rPr>
                <w:rFonts w:ascii="Tahoma" w:hAnsi="Tahoma" w:cs="Tahoma"/>
                <w:sz w:val="20"/>
              </w:rPr>
              <w:t>736</w:t>
            </w:r>
          </w:p>
        </w:tc>
        <w:tc>
          <w:tcPr>
            <w:tcW w:w="944" w:type="dxa"/>
            <w:hideMark/>
          </w:tcPr>
          <w:p w:rsidR="00D31288" w:rsidRPr="0057417D" w:rsidRDefault="00611175" w:rsidP="00611175">
            <w:pPr>
              <w:jc w:val="center"/>
              <w:rPr>
                <w:rFonts w:ascii="Tahoma" w:hAnsi="Tahoma" w:cs="Tahoma"/>
                <w:sz w:val="20"/>
                <w:szCs w:val="20"/>
              </w:rPr>
            </w:pPr>
            <w:r w:rsidRPr="0057417D">
              <w:rPr>
                <w:rFonts w:ascii="Tahoma" w:hAnsi="Tahoma" w:cs="Tahoma"/>
                <w:sz w:val="20"/>
              </w:rPr>
              <w:t>515</w:t>
            </w:r>
          </w:p>
        </w:tc>
        <w:tc>
          <w:tcPr>
            <w:tcW w:w="1152" w:type="dxa"/>
            <w:hideMark/>
          </w:tcPr>
          <w:p w:rsidR="00D31288" w:rsidRPr="0057417D" w:rsidRDefault="00611175" w:rsidP="00611175">
            <w:pPr>
              <w:jc w:val="center"/>
              <w:rPr>
                <w:rFonts w:ascii="Tahoma" w:hAnsi="Tahoma" w:cs="Tahoma"/>
                <w:sz w:val="20"/>
                <w:szCs w:val="20"/>
              </w:rPr>
            </w:pPr>
            <w:r w:rsidRPr="0057417D">
              <w:rPr>
                <w:rFonts w:ascii="Tahoma" w:hAnsi="Tahoma" w:cs="Tahoma"/>
                <w:sz w:val="20"/>
              </w:rPr>
              <w:t>221</w:t>
            </w:r>
          </w:p>
        </w:tc>
      </w:tr>
      <w:tr w:rsidR="00D31288" w:rsidRPr="0057417D" w:rsidTr="00D31288">
        <w:trPr>
          <w:trHeight w:val="83"/>
          <w:jc w:val="center"/>
        </w:trPr>
        <w:tc>
          <w:tcPr>
            <w:tcW w:w="3392" w:type="dxa"/>
            <w:hideMark/>
          </w:tcPr>
          <w:p w:rsidR="00D31288" w:rsidRPr="0057417D" w:rsidRDefault="00D31288" w:rsidP="0068706A">
            <w:pPr>
              <w:rPr>
                <w:rFonts w:ascii="Tahoma" w:hAnsi="Tahoma" w:cs="Tahoma"/>
                <w:sz w:val="20"/>
                <w:szCs w:val="20"/>
              </w:rPr>
            </w:pPr>
            <w:r w:rsidRPr="0057417D">
              <w:rPr>
                <w:rFonts w:ascii="Tahoma" w:hAnsi="Tahoma" w:cs="Tahoma"/>
                <w:sz w:val="20"/>
                <w:szCs w:val="20"/>
              </w:rPr>
              <w:t>Sociedades agencia</w:t>
            </w:r>
          </w:p>
        </w:tc>
        <w:tc>
          <w:tcPr>
            <w:tcW w:w="867" w:type="dxa"/>
            <w:hideMark/>
          </w:tcPr>
          <w:p w:rsidR="00D31288" w:rsidRPr="0057417D" w:rsidRDefault="00611175" w:rsidP="00611175">
            <w:pPr>
              <w:jc w:val="center"/>
              <w:rPr>
                <w:rFonts w:ascii="Tahoma" w:hAnsi="Tahoma" w:cs="Tahoma"/>
                <w:sz w:val="20"/>
                <w:szCs w:val="20"/>
              </w:rPr>
            </w:pPr>
            <w:r w:rsidRPr="0057417D">
              <w:rPr>
                <w:rFonts w:ascii="Tahoma" w:hAnsi="Tahoma" w:cs="Tahoma"/>
                <w:sz w:val="20"/>
              </w:rPr>
              <w:t>53</w:t>
            </w:r>
          </w:p>
        </w:tc>
        <w:tc>
          <w:tcPr>
            <w:tcW w:w="1106"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5</w:t>
            </w:r>
            <w:r w:rsidR="00611175" w:rsidRPr="0057417D">
              <w:rPr>
                <w:rFonts w:ascii="Tahoma" w:hAnsi="Tahoma" w:cs="Tahoma"/>
                <w:sz w:val="20"/>
              </w:rPr>
              <w:t>3</w:t>
            </w:r>
          </w:p>
        </w:tc>
        <w:tc>
          <w:tcPr>
            <w:tcW w:w="944"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2</w:t>
            </w:r>
            <w:r w:rsidR="00611175" w:rsidRPr="0057417D">
              <w:rPr>
                <w:rFonts w:ascii="Tahoma" w:hAnsi="Tahoma" w:cs="Tahoma"/>
                <w:sz w:val="20"/>
              </w:rPr>
              <w:t>4</w:t>
            </w:r>
          </w:p>
        </w:tc>
        <w:tc>
          <w:tcPr>
            <w:tcW w:w="1152" w:type="dxa"/>
            <w:hideMark/>
          </w:tcPr>
          <w:p w:rsidR="00D31288" w:rsidRPr="0057417D" w:rsidRDefault="00D31288" w:rsidP="00611175">
            <w:pPr>
              <w:jc w:val="center"/>
              <w:rPr>
                <w:rFonts w:ascii="Tahoma" w:hAnsi="Tahoma" w:cs="Tahoma"/>
                <w:sz w:val="20"/>
                <w:szCs w:val="20"/>
              </w:rPr>
            </w:pPr>
            <w:r w:rsidRPr="0057417D">
              <w:rPr>
                <w:rFonts w:ascii="Tahoma" w:hAnsi="Tahoma" w:cs="Tahoma"/>
                <w:sz w:val="20"/>
              </w:rPr>
              <w:t>2</w:t>
            </w:r>
            <w:r w:rsidR="00611175" w:rsidRPr="0057417D">
              <w:rPr>
                <w:rFonts w:ascii="Tahoma" w:hAnsi="Tahoma" w:cs="Tahoma"/>
                <w:sz w:val="20"/>
              </w:rPr>
              <w:t>9</w:t>
            </w:r>
          </w:p>
        </w:tc>
      </w:tr>
      <w:tr w:rsidR="00D31288" w:rsidRPr="0057417D" w:rsidTr="00D31288">
        <w:trPr>
          <w:cnfStyle w:val="000000100000" w:firstRow="0" w:lastRow="0" w:firstColumn="0" w:lastColumn="0" w:oddVBand="0" w:evenVBand="0" w:oddHBand="1" w:evenHBand="0" w:firstRowFirstColumn="0" w:firstRowLastColumn="0" w:lastRowFirstColumn="0" w:lastRowLastColumn="0"/>
          <w:trHeight w:val="20"/>
          <w:jc w:val="center"/>
        </w:trPr>
        <w:tc>
          <w:tcPr>
            <w:tcW w:w="3392" w:type="dxa"/>
            <w:hideMark/>
          </w:tcPr>
          <w:p w:rsidR="00D31288" w:rsidRPr="0057417D" w:rsidRDefault="00D31288" w:rsidP="0068706A">
            <w:pPr>
              <w:rPr>
                <w:rFonts w:ascii="Tahoma" w:hAnsi="Tahoma" w:cs="Tahoma"/>
                <w:sz w:val="20"/>
                <w:szCs w:val="20"/>
              </w:rPr>
            </w:pPr>
            <w:r w:rsidRPr="0057417D">
              <w:rPr>
                <w:rFonts w:ascii="Tahoma" w:hAnsi="Tahoma" w:cs="Tahoma"/>
                <w:sz w:val="20"/>
                <w:szCs w:val="20"/>
              </w:rPr>
              <w:t>Agentes de seguros</w:t>
            </w:r>
          </w:p>
        </w:tc>
        <w:tc>
          <w:tcPr>
            <w:tcW w:w="867" w:type="dxa"/>
            <w:hideMark/>
          </w:tcPr>
          <w:p w:rsidR="00D31288" w:rsidRPr="0057417D" w:rsidRDefault="00D31288" w:rsidP="00EA7C5E">
            <w:pPr>
              <w:jc w:val="center"/>
              <w:rPr>
                <w:rFonts w:ascii="Tahoma" w:hAnsi="Tahoma" w:cs="Tahoma"/>
                <w:sz w:val="20"/>
                <w:szCs w:val="20"/>
              </w:rPr>
            </w:pPr>
            <w:r w:rsidRPr="0057417D">
              <w:rPr>
                <w:rFonts w:ascii="Tahoma" w:hAnsi="Tahoma" w:cs="Tahoma"/>
                <w:sz w:val="20"/>
              </w:rPr>
              <w:t>2.</w:t>
            </w:r>
            <w:r w:rsidR="00EA7C5E" w:rsidRPr="0057417D">
              <w:rPr>
                <w:rFonts w:ascii="Tahoma" w:hAnsi="Tahoma" w:cs="Tahoma"/>
                <w:sz w:val="20"/>
              </w:rPr>
              <w:t>5</w:t>
            </w:r>
            <w:r w:rsidRPr="0057417D">
              <w:rPr>
                <w:rFonts w:ascii="Tahoma" w:hAnsi="Tahoma" w:cs="Tahoma"/>
                <w:sz w:val="20"/>
              </w:rPr>
              <w:t>3</w:t>
            </w:r>
            <w:r w:rsidR="00EA7C5E" w:rsidRPr="0057417D">
              <w:rPr>
                <w:rFonts w:ascii="Tahoma" w:hAnsi="Tahoma" w:cs="Tahoma"/>
                <w:sz w:val="20"/>
              </w:rPr>
              <w:t>2</w:t>
            </w:r>
          </w:p>
        </w:tc>
        <w:tc>
          <w:tcPr>
            <w:tcW w:w="1106" w:type="dxa"/>
            <w:hideMark/>
          </w:tcPr>
          <w:p w:rsidR="00D31288" w:rsidRPr="0057417D" w:rsidRDefault="00D31288" w:rsidP="00EA7C5E">
            <w:pPr>
              <w:jc w:val="center"/>
              <w:rPr>
                <w:rFonts w:ascii="Tahoma" w:hAnsi="Tahoma" w:cs="Tahoma"/>
                <w:sz w:val="20"/>
                <w:szCs w:val="20"/>
              </w:rPr>
            </w:pPr>
            <w:r w:rsidRPr="0057417D">
              <w:rPr>
                <w:rFonts w:ascii="Tahoma" w:hAnsi="Tahoma" w:cs="Tahoma"/>
                <w:sz w:val="20"/>
              </w:rPr>
              <w:t>2.</w:t>
            </w:r>
            <w:r w:rsidR="00EA7C5E" w:rsidRPr="0057417D">
              <w:rPr>
                <w:rFonts w:ascii="Tahoma" w:hAnsi="Tahoma" w:cs="Tahoma"/>
                <w:sz w:val="20"/>
              </w:rPr>
              <w:t>5</w:t>
            </w:r>
            <w:r w:rsidRPr="0057417D">
              <w:rPr>
                <w:rFonts w:ascii="Tahoma" w:hAnsi="Tahoma" w:cs="Tahoma"/>
                <w:sz w:val="20"/>
              </w:rPr>
              <w:t>3</w:t>
            </w:r>
            <w:r w:rsidR="00EA7C5E" w:rsidRPr="0057417D">
              <w:rPr>
                <w:rFonts w:ascii="Tahoma" w:hAnsi="Tahoma" w:cs="Tahoma"/>
                <w:sz w:val="20"/>
              </w:rPr>
              <w:t>2</w:t>
            </w:r>
          </w:p>
        </w:tc>
        <w:tc>
          <w:tcPr>
            <w:tcW w:w="944" w:type="dxa"/>
            <w:hideMark/>
          </w:tcPr>
          <w:p w:rsidR="00D31288" w:rsidRPr="0057417D" w:rsidRDefault="00EA7C5E" w:rsidP="00EA7C5E">
            <w:pPr>
              <w:jc w:val="center"/>
              <w:rPr>
                <w:rFonts w:ascii="Tahoma" w:hAnsi="Tahoma" w:cs="Tahoma"/>
                <w:sz w:val="20"/>
                <w:szCs w:val="20"/>
              </w:rPr>
            </w:pPr>
            <w:r w:rsidRPr="0057417D">
              <w:rPr>
                <w:rFonts w:ascii="Tahoma" w:hAnsi="Tahoma" w:cs="Tahoma"/>
                <w:sz w:val="20"/>
              </w:rPr>
              <w:t>1.088</w:t>
            </w:r>
          </w:p>
        </w:tc>
        <w:tc>
          <w:tcPr>
            <w:tcW w:w="1152" w:type="dxa"/>
            <w:hideMark/>
          </w:tcPr>
          <w:p w:rsidR="00D31288" w:rsidRPr="0057417D" w:rsidRDefault="00D31288" w:rsidP="00EA7C5E">
            <w:pPr>
              <w:jc w:val="center"/>
              <w:rPr>
                <w:rFonts w:ascii="Tahoma" w:hAnsi="Tahoma" w:cs="Tahoma"/>
                <w:sz w:val="20"/>
                <w:szCs w:val="20"/>
              </w:rPr>
            </w:pPr>
            <w:r w:rsidRPr="0057417D">
              <w:rPr>
                <w:rFonts w:ascii="Tahoma" w:hAnsi="Tahoma" w:cs="Tahoma"/>
                <w:sz w:val="20"/>
              </w:rPr>
              <w:t>1</w:t>
            </w:r>
            <w:r w:rsidR="00EA7C5E" w:rsidRPr="0057417D">
              <w:rPr>
                <w:rFonts w:ascii="Tahoma" w:hAnsi="Tahoma" w:cs="Tahoma"/>
                <w:sz w:val="20"/>
              </w:rPr>
              <w:t>.444</w:t>
            </w:r>
          </w:p>
        </w:tc>
      </w:tr>
      <w:tr w:rsidR="00D31288" w:rsidRPr="0057417D" w:rsidTr="00D31288">
        <w:trPr>
          <w:trHeight w:val="20"/>
          <w:jc w:val="center"/>
        </w:trPr>
        <w:tc>
          <w:tcPr>
            <w:tcW w:w="3392" w:type="dxa"/>
            <w:hideMark/>
          </w:tcPr>
          <w:p w:rsidR="00D31288" w:rsidRPr="0057417D" w:rsidRDefault="00D31288" w:rsidP="00D31288">
            <w:pPr>
              <w:rPr>
                <w:rFonts w:ascii="Tahoma" w:hAnsi="Tahoma" w:cs="Tahoma"/>
                <w:sz w:val="20"/>
                <w:szCs w:val="20"/>
              </w:rPr>
            </w:pPr>
            <w:r w:rsidRPr="0057417D">
              <w:rPr>
                <w:rFonts w:ascii="Tahoma" w:hAnsi="Tahoma" w:cs="Tahoma"/>
                <w:sz w:val="20"/>
                <w:szCs w:val="20"/>
              </w:rPr>
              <w:t>Operadores Seguros Autoexpedibles</w:t>
            </w:r>
          </w:p>
        </w:tc>
        <w:tc>
          <w:tcPr>
            <w:tcW w:w="867" w:type="dxa"/>
            <w:hideMark/>
          </w:tcPr>
          <w:p w:rsidR="00D31288" w:rsidRPr="0057417D" w:rsidRDefault="00D31288" w:rsidP="00652F26">
            <w:pPr>
              <w:jc w:val="center"/>
              <w:rPr>
                <w:rFonts w:ascii="Tahoma" w:hAnsi="Tahoma" w:cs="Tahoma"/>
                <w:sz w:val="20"/>
                <w:szCs w:val="20"/>
              </w:rPr>
            </w:pPr>
            <w:r w:rsidRPr="0057417D">
              <w:rPr>
                <w:rFonts w:ascii="Tahoma" w:hAnsi="Tahoma" w:cs="Tahoma"/>
                <w:sz w:val="20"/>
              </w:rPr>
              <w:t>1</w:t>
            </w:r>
            <w:r w:rsidR="00652F26" w:rsidRPr="0057417D">
              <w:rPr>
                <w:rFonts w:ascii="Tahoma" w:hAnsi="Tahoma" w:cs="Tahoma"/>
                <w:sz w:val="20"/>
              </w:rPr>
              <w:t>17</w:t>
            </w:r>
          </w:p>
        </w:tc>
        <w:tc>
          <w:tcPr>
            <w:tcW w:w="1106" w:type="dxa"/>
            <w:hideMark/>
          </w:tcPr>
          <w:p w:rsidR="00D31288" w:rsidRPr="0057417D" w:rsidRDefault="00D31288" w:rsidP="00652F26">
            <w:pPr>
              <w:jc w:val="center"/>
              <w:rPr>
                <w:rFonts w:ascii="Tahoma" w:hAnsi="Tahoma" w:cs="Tahoma"/>
                <w:sz w:val="20"/>
                <w:szCs w:val="20"/>
              </w:rPr>
            </w:pPr>
            <w:r w:rsidRPr="0057417D">
              <w:rPr>
                <w:rFonts w:ascii="Tahoma" w:hAnsi="Tahoma" w:cs="Tahoma"/>
                <w:sz w:val="20"/>
              </w:rPr>
              <w:t>1</w:t>
            </w:r>
            <w:r w:rsidR="00652F26" w:rsidRPr="0057417D">
              <w:rPr>
                <w:rFonts w:ascii="Tahoma" w:hAnsi="Tahoma" w:cs="Tahoma"/>
                <w:sz w:val="20"/>
              </w:rPr>
              <w:t>17</w:t>
            </w:r>
          </w:p>
        </w:tc>
        <w:tc>
          <w:tcPr>
            <w:tcW w:w="944" w:type="dxa"/>
            <w:hideMark/>
          </w:tcPr>
          <w:p w:rsidR="00D31288" w:rsidRPr="0057417D" w:rsidRDefault="00652F26" w:rsidP="00652F26">
            <w:pPr>
              <w:jc w:val="center"/>
              <w:rPr>
                <w:rFonts w:ascii="Tahoma" w:hAnsi="Tahoma" w:cs="Tahoma"/>
                <w:sz w:val="20"/>
                <w:szCs w:val="20"/>
              </w:rPr>
            </w:pPr>
            <w:r w:rsidRPr="0057417D">
              <w:rPr>
                <w:rFonts w:ascii="Tahoma" w:hAnsi="Tahoma" w:cs="Tahoma"/>
                <w:sz w:val="20"/>
              </w:rPr>
              <w:t>92</w:t>
            </w:r>
          </w:p>
        </w:tc>
        <w:tc>
          <w:tcPr>
            <w:tcW w:w="1152" w:type="dxa"/>
            <w:hideMark/>
          </w:tcPr>
          <w:p w:rsidR="00D31288" w:rsidRPr="0057417D" w:rsidRDefault="00D31288" w:rsidP="0068706A">
            <w:pPr>
              <w:jc w:val="center"/>
              <w:rPr>
                <w:rFonts w:ascii="Tahoma" w:hAnsi="Tahoma" w:cs="Tahoma"/>
                <w:sz w:val="20"/>
                <w:szCs w:val="20"/>
              </w:rPr>
            </w:pPr>
            <w:r w:rsidRPr="0057417D">
              <w:rPr>
                <w:rFonts w:ascii="Tahoma" w:hAnsi="Tahoma" w:cs="Tahoma"/>
                <w:sz w:val="20"/>
              </w:rPr>
              <w:t>25</w:t>
            </w:r>
          </w:p>
        </w:tc>
      </w:tr>
    </w:tbl>
    <w:p w:rsidR="000E39EF" w:rsidRPr="0057417D" w:rsidRDefault="000E39EF" w:rsidP="00D31288">
      <w:pPr>
        <w:rPr>
          <w:lang w:eastAsia="es-CR"/>
        </w:rPr>
      </w:pPr>
    </w:p>
    <w:p w:rsidR="00C93F51" w:rsidRPr="0057417D" w:rsidRDefault="00D31288" w:rsidP="00C93F51">
      <w:pPr>
        <w:spacing w:line="240" w:lineRule="auto"/>
        <w:rPr>
          <w:rFonts w:eastAsia="Calibri" w:cstheme="minorHAnsi"/>
          <w:i/>
        </w:rPr>
      </w:pPr>
      <w:r w:rsidRPr="0057417D">
        <w:t>Durante 201</w:t>
      </w:r>
      <w:r w:rsidR="00C93F51" w:rsidRPr="0057417D">
        <w:t>9</w:t>
      </w:r>
      <w:r w:rsidRPr="0057417D">
        <w:t xml:space="preserve"> se mantuvo el crecimiento sostenido de los intermediarios </w:t>
      </w:r>
      <w:r w:rsidR="00C93F51" w:rsidRPr="0057417D">
        <w:t xml:space="preserve">físicos </w:t>
      </w:r>
      <w:r w:rsidRPr="0057417D">
        <w:t>y productos de seguros, observado desde la apertura del mercado</w:t>
      </w:r>
      <w:r w:rsidR="00C93F51" w:rsidRPr="0057417D">
        <w:t xml:space="preserve">. En el caso de las sociedades agencia, se </w:t>
      </w:r>
      <w:r w:rsidR="00C93F51" w:rsidRPr="0057417D">
        <w:rPr>
          <w:rFonts w:cstheme="minorHAnsi"/>
        </w:rPr>
        <w:t xml:space="preserve">tramitó la disolución de </w:t>
      </w:r>
      <w:r w:rsidR="00C93F51" w:rsidRPr="0057417D">
        <w:rPr>
          <w:rFonts w:eastAsia="Calibri" w:cstheme="minorHAnsi"/>
          <w:i/>
        </w:rPr>
        <w:t>Bancrédito Sociedad Agencia de Seguros, S.A</w:t>
      </w:r>
      <w:r w:rsidR="00C93F51" w:rsidRPr="0057417D">
        <w:rPr>
          <w:rFonts w:eastAsia="Calibri" w:cstheme="minorHAnsi"/>
        </w:rPr>
        <w:t xml:space="preserve">. </w:t>
      </w:r>
      <w:r w:rsidR="001462FF" w:rsidRPr="0057417D">
        <w:rPr>
          <w:rFonts w:eastAsia="Calibri" w:cstheme="minorHAnsi"/>
        </w:rPr>
        <w:t xml:space="preserve">y la transformación de la </w:t>
      </w:r>
      <w:r w:rsidR="001462FF" w:rsidRPr="0057417D">
        <w:rPr>
          <w:rFonts w:eastAsia="Calibri" w:cstheme="minorHAnsi"/>
          <w:i/>
        </w:rPr>
        <w:t>Agencia de Seguros Internacional de Seguros S.A</w:t>
      </w:r>
      <w:r w:rsidR="001462FF" w:rsidRPr="0057417D">
        <w:rPr>
          <w:rFonts w:eastAsia="Calibri" w:cstheme="minorHAnsi"/>
        </w:rPr>
        <w:t xml:space="preserve">. en corredora de seguros </w:t>
      </w:r>
      <w:r w:rsidR="0074703C" w:rsidRPr="0057417D">
        <w:rPr>
          <w:rFonts w:eastAsia="Calibri" w:cstheme="minorHAnsi"/>
        </w:rPr>
        <w:t>bajo denominación</w:t>
      </w:r>
      <w:r w:rsidR="001462FF" w:rsidRPr="0057417D">
        <w:rPr>
          <w:rFonts w:eastAsia="Calibri" w:cstheme="minorHAnsi"/>
        </w:rPr>
        <w:t xml:space="preserve"> </w:t>
      </w:r>
      <w:r w:rsidR="001462FF" w:rsidRPr="0057417D">
        <w:rPr>
          <w:rFonts w:eastAsia="Calibri" w:cstheme="minorHAnsi"/>
          <w:i/>
        </w:rPr>
        <w:t>InterSeguros Corredora de Seguros, S.A.</w:t>
      </w:r>
    </w:p>
    <w:p w:rsidR="001462FF" w:rsidRPr="0057417D" w:rsidRDefault="001462FF" w:rsidP="00C93F51">
      <w:pPr>
        <w:spacing w:line="240" w:lineRule="auto"/>
        <w:rPr>
          <w:rFonts w:eastAsia="Calibri" w:cstheme="minorHAnsi"/>
        </w:rPr>
      </w:pPr>
    </w:p>
    <w:p w:rsidR="0074703C" w:rsidRPr="0057417D" w:rsidRDefault="001462FF" w:rsidP="0074703C">
      <w:pPr>
        <w:spacing w:line="240" w:lineRule="auto"/>
        <w:rPr>
          <w:rFonts w:eastAsia="Calibri" w:cstheme="minorHAnsi"/>
        </w:rPr>
      </w:pPr>
      <w:r w:rsidRPr="0057417D">
        <w:rPr>
          <w:rFonts w:eastAsia="Calibri" w:cstheme="minorHAnsi"/>
        </w:rPr>
        <w:t>Por otra parte, e</w:t>
      </w:r>
      <w:r w:rsidR="00D31288" w:rsidRPr="0057417D">
        <w:rPr>
          <w:rFonts w:cstheme="minorHAnsi"/>
          <w:lang w:eastAsia="es-CR"/>
        </w:rPr>
        <w:t xml:space="preserve">n el caso de las aseguradoras, durante el </w:t>
      </w:r>
      <w:r w:rsidRPr="0057417D">
        <w:rPr>
          <w:rFonts w:cstheme="minorHAnsi"/>
          <w:lang w:eastAsia="es-CR"/>
        </w:rPr>
        <w:t>año</w:t>
      </w:r>
      <w:r w:rsidR="00D31288" w:rsidRPr="0057417D">
        <w:rPr>
          <w:rFonts w:cstheme="minorHAnsi"/>
          <w:lang w:eastAsia="es-CR"/>
        </w:rPr>
        <w:t>, fue autorizada</w:t>
      </w:r>
      <w:r w:rsidR="001D042A">
        <w:rPr>
          <w:rFonts w:cstheme="minorHAnsi"/>
          <w:lang w:eastAsia="es-CR"/>
        </w:rPr>
        <w:t xml:space="preserve"> en forma condicionada </w:t>
      </w:r>
      <w:r w:rsidR="00D31288" w:rsidRPr="0057417D">
        <w:rPr>
          <w:rFonts w:cstheme="minorHAnsi"/>
          <w:lang w:eastAsia="es-CR"/>
        </w:rPr>
        <w:t xml:space="preserve">la </w:t>
      </w:r>
      <w:r w:rsidRPr="0057417D">
        <w:rPr>
          <w:rFonts w:cstheme="minorHAnsi"/>
          <w:lang w:eastAsia="es-CR"/>
        </w:rPr>
        <w:t>constitución de una</w:t>
      </w:r>
      <w:r w:rsidR="0074703C" w:rsidRPr="0057417D">
        <w:rPr>
          <w:rFonts w:cstheme="minorHAnsi"/>
          <w:lang w:eastAsia="es-CR"/>
        </w:rPr>
        <w:t xml:space="preserve"> </w:t>
      </w:r>
      <w:r w:rsidRPr="0057417D">
        <w:rPr>
          <w:rFonts w:cstheme="minorHAnsi"/>
          <w:lang w:eastAsia="es-CR"/>
        </w:rPr>
        <w:t xml:space="preserve">nueva sociedad anónima aseguradora </w:t>
      </w:r>
      <w:r w:rsidR="0074703C" w:rsidRPr="0057417D">
        <w:rPr>
          <w:rFonts w:eastAsia="Calibri" w:cstheme="minorHAnsi"/>
          <w:i/>
        </w:rPr>
        <w:t>B.M.I. Best Meridian Insurance S.A.</w:t>
      </w:r>
      <w:r w:rsidR="0074703C" w:rsidRPr="0057417D">
        <w:rPr>
          <w:rFonts w:eastAsia="Calibri" w:cstheme="minorHAnsi"/>
        </w:rPr>
        <w:t xml:space="preserve"> </w:t>
      </w:r>
      <w:r w:rsidR="001D042A">
        <w:rPr>
          <w:rFonts w:eastAsia="Calibri" w:cstheme="minorHAnsi"/>
        </w:rPr>
        <w:t xml:space="preserve">junto con </w:t>
      </w:r>
      <w:r w:rsidR="0074703C" w:rsidRPr="0057417D">
        <w:rPr>
          <w:rFonts w:eastAsia="Calibri" w:cstheme="minorHAnsi"/>
        </w:rPr>
        <w:t xml:space="preserve">el traslado de la cartera de la sucursal de </w:t>
      </w:r>
      <w:r w:rsidR="0074703C" w:rsidRPr="0057417D">
        <w:rPr>
          <w:rFonts w:eastAsia="Calibri" w:cstheme="minorHAnsi"/>
          <w:i/>
        </w:rPr>
        <w:t>Best Merididan Insurance</w:t>
      </w:r>
      <w:r w:rsidR="0074703C" w:rsidRPr="0057417D">
        <w:rPr>
          <w:rFonts w:eastAsia="Calibri" w:cstheme="minorHAnsi"/>
        </w:rPr>
        <w:t xml:space="preserve"> a la nueva sociedad anónima</w:t>
      </w:r>
      <w:r w:rsidR="001D042A">
        <w:rPr>
          <w:rStyle w:val="Refdenotaalpie"/>
          <w:rFonts w:eastAsia="Calibri" w:cstheme="minorHAnsi"/>
        </w:rPr>
        <w:footnoteReference w:id="3"/>
      </w:r>
      <w:r w:rsidR="0074703C" w:rsidRPr="0057417D">
        <w:rPr>
          <w:rFonts w:eastAsia="Calibri" w:cstheme="minorHAnsi"/>
        </w:rPr>
        <w:t>. El proceso de inscripción se encontraba pendiente al cierre del año.</w:t>
      </w:r>
    </w:p>
    <w:p w:rsidR="0074703C" w:rsidRPr="0057417D" w:rsidRDefault="0074703C" w:rsidP="001462FF">
      <w:pPr>
        <w:spacing w:line="240" w:lineRule="auto"/>
        <w:rPr>
          <w:rFonts w:cstheme="minorHAnsi"/>
          <w:lang w:eastAsia="es-CR"/>
        </w:rPr>
      </w:pPr>
    </w:p>
    <w:p w:rsidR="0074703C" w:rsidRPr="0057417D" w:rsidRDefault="0074703C" w:rsidP="0074703C">
      <w:pPr>
        <w:spacing w:line="240" w:lineRule="auto"/>
        <w:rPr>
          <w:rFonts w:ascii="Tahoma" w:eastAsia="Calibri" w:hAnsi="Tahoma" w:cs="Tahoma"/>
        </w:rPr>
      </w:pPr>
      <w:r w:rsidRPr="0057417D">
        <w:rPr>
          <w:rFonts w:eastAsia="Calibri" w:cstheme="minorHAnsi"/>
        </w:rPr>
        <w:t>En el 2019 se registraron nueve nuevos operadores de seguros autoexpedibles y no se presentaron inactivaciones, lo que se tradujo en un incremento de entidades activas en ese canal de comercialización</w:t>
      </w:r>
      <w:r w:rsidRPr="0057417D">
        <w:rPr>
          <w:rFonts w:ascii="Tahoma" w:eastAsia="Calibri" w:hAnsi="Tahoma" w:cs="Tahoma"/>
        </w:rPr>
        <w:t xml:space="preserve">. </w:t>
      </w:r>
    </w:p>
    <w:p w:rsidR="0074703C" w:rsidRPr="0057417D" w:rsidRDefault="0074703C" w:rsidP="001462FF">
      <w:pPr>
        <w:spacing w:line="240" w:lineRule="auto"/>
        <w:rPr>
          <w:lang w:eastAsia="es-CR"/>
        </w:rPr>
      </w:pPr>
    </w:p>
    <w:p w:rsidR="00917D96" w:rsidRPr="0057417D" w:rsidRDefault="00917D96" w:rsidP="001462FF">
      <w:pPr>
        <w:spacing w:line="240" w:lineRule="auto"/>
        <w:rPr>
          <w:rFonts w:eastAsia="Calibri" w:cstheme="minorHAnsi"/>
        </w:rPr>
      </w:pPr>
      <w:r w:rsidRPr="0057417D">
        <w:rPr>
          <w:rFonts w:eastAsia="Calibri" w:cstheme="minorHAnsi"/>
        </w:rPr>
        <w:t xml:space="preserve">El número de agentes inscritos aumentó en </w:t>
      </w:r>
      <w:r w:rsidR="00233F3C" w:rsidRPr="0057417D">
        <w:rPr>
          <w:rFonts w:eastAsia="Calibri" w:cstheme="minorHAnsi"/>
        </w:rPr>
        <w:t>199</w:t>
      </w:r>
      <w:r w:rsidRPr="0057417D">
        <w:rPr>
          <w:rFonts w:eastAsia="Calibri" w:cstheme="minorHAnsi"/>
        </w:rPr>
        <w:t xml:space="preserve"> durante el 201</w:t>
      </w:r>
      <w:r w:rsidR="0074703C" w:rsidRPr="0057417D">
        <w:rPr>
          <w:rFonts w:eastAsia="Calibri" w:cstheme="minorHAnsi"/>
        </w:rPr>
        <w:t>9 y los corredores en 8</w:t>
      </w:r>
      <w:r w:rsidR="00233F3C" w:rsidRPr="0057417D">
        <w:rPr>
          <w:rFonts w:eastAsia="Calibri" w:cstheme="minorHAnsi"/>
        </w:rPr>
        <w:t>5</w:t>
      </w:r>
      <w:r w:rsidRPr="0057417D">
        <w:rPr>
          <w:rFonts w:eastAsia="Calibri" w:cstheme="minorHAnsi"/>
        </w:rPr>
        <w:t>,</w:t>
      </w:r>
      <w:r w:rsidR="00233F3C" w:rsidRPr="0057417D">
        <w:rPr>
          <w:rFonts w:eastAsia="Calibri" w:cstheme="minorHAnsi"/>
        </w:rPr>
        <w:t xml:space="preserve"> mientras que la cantidad de</w:t>
      </w:r>
      <w:r w:rsidRPr="0057417D">
        <w:rPr>
          <w:rFonts w:eastAsia="Calibri" w:cstheme="minorHAnsi"/>
        </w:rPr>
        <w:t xml:space="preserve"> agentes de seguros activos</w:t>
      </w:r>
      <w:r w:rsidR="00233F3C" w:rsidRPr="0057417D">
        <w:rPr>
          <w:rFonts w:eastAsia="Calibri" w:cstheme="minorHAnsi"/>
        </w:rPr>
        <w:t xml:space="preserve"> se incrementó </w:t>
      </w:r>
      <w:r w:rsidRPr="0057417D">
        <w:rPr>
          <w:rFonts w:eastAsia="Calibri" w:cstheme="minorHAnsi"/>
        </w:rPr>
        <w:t xml:space="preserve">en </w:t>
      </w:r>
      <w:r w:rsidR="00233F3C" w:rsidRPr="0057417D">
        <w:rPr>
          <w:rFonts w:eastAsia="Calibri" w:cstheme="minorHAnsi"/>
        </w:rPr>
        <w:t>111 y los</w:t>
      </w:r>
      <w:r w:rsidRPr="0057417D">
        <w:rPr>
          <w:rFonts w:eastAsia="Calibri" w:cstheme="minorHAnsi"/>
        </w:rPr>
        <w:t xml:space="preserve"> corredores activos en </w:t>
      </w:r>
      <w:r w:rsidR="00233F3C" w:rsidRPr="0057417D">
        <w:rPr>
          <w:rFonts w:eastAsia="Calibri" w:cstheme="minorHAnsi"/>
        </w:rPr>
        <w:t>34</w:t>
      </w:r>
      <w:r w:rsidRPr="0057417D">
        <w:rPr>
          <w:rFonts w:eastAsia="Calibri" w:cstheme="minorHAnsi"/>
        </w:rPr>
        <w:t>.</w:t>
      </w:r>
    </w:p>
    <w:p w:rsidR="00A4685F" w:rsidRPr="0057417D" w:rsidRDefault="00A4685F" w:rsidP="00A4685F">
      <w:pPr>
        <w:ind w:left="720"/>
        <w:jc w:val="center"/>
        <w:rPr>
          <w:rFonts w:ascii="Tahoma" w:hAnsi="Tahoma" w:cs="Tahoma"/>
          <w:b/>
          <w:color w:val="000000"/>
        </w:rPr>
      </w:pPr>
    </w:p>
    <w:p w:rsidR="007209FB" w:rsidRPr="001D042A" w:rsidRDefault="00930933" w:rsidP="00016AB4">
      <w:pPr>
        <w:spacing w:line="240" w:lineRule="auto"/>
        <w:rPr>
          <w:lang w:eastAsia="es-CR"/>
        </w:rPr>
      </w:pPr>
      <w:r w:rsidRPr="001D042A">
        <w:rPr>
          <w:lang w:eastAsia="es-CR"/>
        </w:rPr>
        <w:t xml:space="preserve">Para </w:t>
      </w:r>
      <w:r w:rsidR="007A2605" w:rsidRPr="001D042A">
        <w:rPr>
          <w:lang w:eastAsia="es-CR"/>
        </w:rPr>
        <w:t xml:space="preserve">la ejecución de sus funciones, </w:t>
      </w:r>
      <w:r w:rsidRPr="001D042A">
        <w:rPr>
          <w:lang w:eastAsia="es-CR"/>
        </w:rPr>
        <w:t xml:space="preserve">la </w:t>
      </w:r>
      <w:r w:rsidR="000A0042" w:rsidRPr="001D042A">
        <w:rPr>
          <w:lang w:eastAsia="es-CR"/>
        </w:rPr>
        <w:t>SUGESE</w:t>
      </w:r>
      <w:r w:rsidRPr="001D042A">
        <w:rPr>
          <w:lang w:eastAsia="es-CR"/>
        </w:rPr>
        <w:t xml:space="preserve"> </w:t>
      </w:r>
      <w:r w:rsidR="007A2605" w:rsidRPr="001D042A">
        <w:rPr>
          <w:lang w:eastAsia="es-CR"/>
        </w:rPr>
        <w:t>tiene asignadas un total de 5</w:t>
      </w:r>
      <w:r w:rsidR="00DE32ED" w:rsidRPr="001D042A">
        <w:rPr>
          <w:lang w:eastAsia="es-CR"/>
        </w:rPr>
        <w:t>0</w:t>
      </w:r>
      <w:r w:rsidR="007A2605" w:rsidRPr="001D042A">
        <w:rPr>
          <w:lang w:eastAsia="es-CR"/>
        </w:rPr>
        <w:t xml:space="preserve"> plazas, de las cuales </w:t>
      </w:r>
      <w:r w:rsidR="008F2EB0" w:rsidRPr="001D042A">
        <w:rPr>
          <w:lang w:eastAsia="es-CR"/>
        </w:rPr>
        <w:t>cinco</w:t>
      </w:r>
      <w:r w:rsidR="007A2605" w:rsidRPr="001D042A">
        <w:rPr>
          <w:lang w:eastAsia="es-CR"/>
        </w:rPr>
        <w:t xml:space="preserve"> de ellas se enc</w:t>
      </w:r>
      <w:r w:rsidR="00BC5B2B" w:rsidRPr="001D042A">
        <w:rPr>
          <w:lang w:eastAsia="es-CR"/>
        </w:rPr>
        <w:t>on</w:t>
      </w:r>
      <w:r w:rsidR="007A2605" w:rsidRPr="001D042A">
        <w:rPr>
          <w:lang w:eastAsia="es-CR"/>
        </w:rPr>
        <w:t>tra</w:t>
      </w:r>
      <w:r w:rsidR="00BC5B2B" w:rsidRPr="001D042A">
        <w:rPr>
          <w:lang w:eastAsia="es-CR"/>
        </w:rPr>
        <w:t>ba</w:t>
      </w:r>
      <w:r w:rsidR="007A2605" w:rsidRPr="001D042A">
        <w:rPr>
          <w:lang w:eastAsia="es-CR"/>
        </w:rPr>
        <w:t>n vacantes</w:t>
      </w:r>
      <w:r w:rsidR="00BC5B2B" w:rsidRPr="001D042A">
        <w:rPr>
          <w:lang w:eastAsia="es-CR"/>
        </w:rPr>
        <w:t xml:space="preserve"> al finalizar el 201</w:t>
      </w:r>
      <w:r w:rsidR="00DE32ED" w:rsidRPr="001D042A">
        <w:rPr>
          <w:lang w:eastAsia="es-CR"/>
        </w:rPr>
        <w:t>9</w:t>
      </w:r>
      <w:r w:rsidR="007A2605" w:rsidRPr="001D042A">
        <w:rPr>
          <w:lang w:eastAsia="es-CR"/>
        </w:rPr>
        <w:t>, como</w:t>
      </w:r>
      <w:r w:rsidR="007209FB" w:rsidRPr="001D042A">
        <w:rPr>
          <w:lang w:eastAsia="es-CR"/>
        </w:rPr>
        <w:t xml:space="preserve"> </w:t>
      </w:r>
      <w:r w:rsidR="007A2605" w:rsidRPr="001D042A">
        <w:rPr>
          <w:lang w:eastAsia="es-CR"/>
        </w:rPr>
        <w:t xml:space="preserve">se </w:t>
      </w:r>
      <w:r w:rsidR="007209FB" w:rsidRPr="001D042A">
        <w:rPr>
          <w:lang w:eastAsia="es-CR"/>
        </w:rPr>
        <w:t xml:space="preserve">observa en el </w:t>
      </w:r>
      <w:r w:rsidR="000E0259" w:rsidRPr="001D042A">
        <w:rPr>
          <w:lang w:eastAsia="es-CR"/>
        </w:rPr>
        <w:t xml:space="preserve">Cuadro </w:t>
      </w:r>
      <w:r w:rsidR="00BE29B9" w:rsidRPr="001D042A">
        <w:rPr>
          <w:lang w:eastAsia="es-CR"/>
        </w:rPr>
        <w:t>2</w:t>
      </w:r>
      <w:r w:rsidR="00E15002" w:rsidRPr="001D042A">
        <w:rPr>
          <w:lang w:eastAsia="es-CR"/>
        </w:rPr>
        <w:t>.</w:t>
      </w:r>
    </w:p>
    <w:p w:rsidR="007A2605" w:rsidRPr="0057417D" w:rsidRDefault="007A2605" w:rsidP="00016AB4">
      <w:pPr>
        <w:spacing w:line="240" w:lineRule="auto"/>
        <w:rPr>
          <w:rFonts w:ascii="Cambria" w:hAnsi="Cambria"/>
          <w:spacing w:val="4"/>
          <w:sz w:val="20"/>
          <w:szCs w:val="20"/>
          <w:highlight w:val="yellow"/>
          <w:lang w:eastAsia="es-CR"/>
        </w:rPr>
      </w:pPr>
    </w:p>
    <w:p w:rsidR="001D042A" w:rsidRDefault="001D042A">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rsidR="00682D3A" w:rsidRPr="0057417D" w:rsidRDefault="00682D3A" w:rsidP="00016AB4">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p>
    <w:p w:rsidR="00EC1F2C" w:rsidRPr="0057417D" w:rsidRDefault="00EC1F2C"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cs="Century Gothic"/>
          <w:kern w:val="24"/>
          <w:sz w:val="20"/>
          <w:szCs w:val="20"/>
        </w:rPr>
        <w:t>Superintendencia General de Seguros</w:t>
      </w:r>
      <w:r w:rsidRPr="0057417D">
        <w:rPr>
          <w:rFonts w:ascii="Century Gothic" w:hAnsi="Century Gothic"/>
          <w:b/>
          <w:color w:val="404040" w:themeColor="text1" w:themeTint="BF"/>
          <w:sz w:val="20"/>
          <w:szCs w:val="20"/>
        </w:rPr>
        <w:t xml:space="preserve"> </w:t>
      </w:r>
    </w:p>
    <w:p w:rsidR="00682D3A" w:rsidRPr="0057417D" w:rsidRDefault="00682D3A"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Plazas vacantes</w:t>
      </w:r>
    </w:p>
    <w:tbl>
      <w:tblPr>
        <w:tblW w:w="8767" w:type="dxa"/>
        <w:tblCellMar>
          <w:left w:w="70" w:type="dxa"/>
          <w:right w:w="70" w:type="dxa"/>
        </w:tblCellMar>
        <w:tblLook w:val="04A0" w:firstRow="1" w:lastRow="0" w:firstColumn="1" w:lastColumn="0" w:noHBand="0" w:noVBand="1"/>
      </w:tblPr>
      <w:tblGrid>
        <w:gridCol w:w="2542"/>
        <w:gridCol w:w="2268"/>
        <w:gridCol w:w="1984"/>
        <w:gridCol w:w="1973"/>
      </w:tblGrid>
      <w:tr w:rsidR="00682D3A" w:rsidRPr="0057417D" w:rsidTr="00682D3A">
        <w:trPr>
          <w:trHeight w:val="808"/>
        </w:trPr>
        <w:tc>
          <w:tcPr>
            <w:tcW w:w="2542" w:type="dxa"/>
            <w:tcBorders>
              <w:top w:val="single" w:sz="8" w:space="0" w:color="4F81BD"/>
              <w:left w:val="single" w:sz="8" w:space="0" w:color="4F81BD"/>
              <w:bottom w:val="single" w:sz="8" w:space="0" w:color="4F81BD"/>
              <w:right w:val="nil"/>
            </w:tcBorders>
            <w:shd w:val="clear" w:color="000000" w:fill="365F91"/>
            <w:vAlign w:val="center"/>
            <w:hideMark/>
          </w:tcPr>
          <w:p w:rsidR="00682D3A" w:rsidRPr="0057417D" w:rsidRDefault="00682D3A" w:rsidP="00016AB4">
            <w:pPr>
              <w:spacing w:line="240" w:lineRule="auto"/>
              <w:jc w:val="center"/>
              <w:rPr>
                <w:rFonts w:ascii="Calibri" w:eastAsia="Times New Roman" w:hAnsi="Calibri" w:cs="Times New Roman"/>
                <w:b/>
                <w:color w:val="FFFFFF"/>
                <w:sz w:val="22"/>
                <w:lang w:eastAsia="es-CR"/>
              </w:rPr>
            </w:pPr>
            <w:r w:rsidRPr="0057417D">
              <w:rPr>
                <w:rFonts w:ascii="Calibri" w:eastAsia="Times New Roman" w:hAnsi="Calibri" w:cs="Times New Roman"/>
                <w:b/>
                <w:color w:val="FFFFFF"/>
                <w:sz w:val="22"/>
                <w:lang w:eastAsia="es-CR"/>
              </w:rPr>
              <w:t>Clasificación</w:t>
            </w:r>
          </w:p>
        </w:tc>
        <w:tc>
          <w:tcPr>
            <w:tcW w:w="2268" w:type="dxa"/>
            <w:tcBorders>
              <w:top w:val="single" w:sz="8" w:space="0" w:color="4F81BD"/>
              <w:left w:val="nil"/>
              <w:bottom w:val="single" w:sz="8" w:space="0" w:color="4F81BD"/>
              <w:right w:val="nil"/>
            </w:tcBorders>
            <w:shd w:val="clear" w:color="000000" w:fill="365F91"/>
            <w:vAlign w:val="center"/>
            <w:hideMark/>
          </w:tcPr>
          <w:p w:rsidR="00682D3A" w:rsidRPr="0057417D" w:rsidRDefault="00682D3A" w:rsidP="00016AB4">
            <w:pPr>
              <w:spacing w:line="240" w:lineRule="auto"/>
              <w:jc w:val="center"/>
              <w:rPr>
                <w:rFonts w:ascii="Calibri" w:eastAsia="Times New Roman" w:hAnsi="Calibri" w:cs="Times New Roman"/>
                <w:b/>
                <w:color w:val="FFFFFF"/>
                <w:sz w:val="22"/>
                <w:lang w:eastAsia="es-CR"/>
              </w:rPr>
            </w:pPr>
            <w:r w:rsidRPr="0057417D">
              <w:rPr>
                <w:rFonts w:ascii="Calibri" w:eastAsia="Times New Roman" w:hAnsi="Calibri" w:cs="Times New Roman"/>
                <w:b/>
                <w:color w:val="FFFFFF"/>
                <w:sz w:val="22"/>
                <w:lang w:eastAsia="es-CR"/>
              </w:rPr>
              <w:t>Código de ubicación</w:t>
            </w:r>
          </w:p>
        </w:tc>
        <w:tc>
          <w:tcPr>
            <w:tcW w:w="1984" w:type="dxa"/>
            <w:tcBorders>
              <w:top w:val="single" w:sz="8" w:space="0" w:color="4F81BD"/>
              <w:left w:val="nil"/>
              <w:bottom w:val="single" w:sz="8" w:space="0" w:color="4F81BD"/>
              <w:right w:val="nil"/>
            </w:tcBorders>
            <w:shd w:val="clear" w:color="000000" w:fill="365F91"/>
            <w:vAlign w:val="center"/>
            <w:hideMark/>
          </w:tcPr>
          <w:p w:rsidR="00682D3A" w:rsidRPr="0057417D" w:rsidRDefault="00682D3A" w:rsidP="00016AB4">
            <w:pPr>
              <w:spacing w:line="240" w:lineRule="auto"/>
              <w:jc w:val="center"/>
              <w:rPr>
                <w:rFonts w:ascii="Calibri" w:eastAsia="Times New Roman" w:hAnsi="Calibri" w:cs="Times New Roman"/>
                <w:b/>
                <w:color w:val="FFFFFF"/>
                <w:sz w:val="22"/>
                <w:lang w:eastAsia="es-CR"/>
              </w:rPr>
            </w:pPr>
            <w:r w:rsidRPr="0057417D">
              <w:rPr>
                <w:rFonts w:ascii="Calibri" w:eastAsia="Times New Roman" w:hAnsi="Calibri" w:cs="Times New Roman"/>
                <w:b/>
                <w:color w:val="FFFFFF"/>
                <w:sz w:val="22"/>
                <w:lang w:eastAsia="es-CR"/>
              </w:rPr>
              <w:t>Dependencia</w:t>
            </w:r>
          </w:p>
        </w:tc>
        <w:tc>
          <w:tcPr>
            <w:tcW w:w="1973" w:type="dxa"/>
            <w:tcBorders>
              <w:top w:val="single" w:sz="8" w:space="0" w:color="4F81BD"/>
              <w:left w:val="nil"/>
              <w:bottom w:val="single" w:sz="8" w:space="0" w:color="4F81BD"/>
              <w:right w:val="single" w:sz="8" w:space="0" w:color="4F81BD"/>
            </w:tcBorders>
            <w:shd w:val="clear" w:color="000000" w:fill="365F91"/>
            <w:vAlign w:val="center"/>
            <w:hideMark/>
          </w:tcPr>
          <w:p w:rsidR="00682D3A" w:rsidRPr="0057417D" w:rsidRDefault="00682D3A" w:rsidP="00016AB4">
            <w:pPr>
              <w:spacing w:line="240" w:lineRule="auto"/>
              <w:jc w:val="center"/>
              <w:rPr>
                <w:rFonts w:ascii="Calibri" w:eastAsia="Times New Roman" w:hAnsi="Calibri" w:cs="Times New Roman"/>
                <w:b/>
                <w:color w:val="FFFFFF"/>
                <w:sz w:val="22"/>
                <w:lang w:eastAsia="es-CR"/>
              </w:rPr>
            </w:pPr>
            <w:r w:rsidRPr="0057417D">
              <w:rPr>
                <w:rFonts w:ascii="Calibri" w:eastAsia="Times New Roman" w:hAnsi="Calibri" w:cs="Times New Roman"/>
                <w:b/>
                <w:color w:val="FFFFFF"/>
                <w:sz w:val="22"/>
                <w:lang w:eastAsia="es-CR"/>
              </w:rPr>
              <w:t>Estado</w:t>
            </w:r>
          </w:p>
        </w:tc>
      </w:tr>
      <w:tr w:rsidR="00682D3A" w:rsidRPr="0057417D" w:rsidTr="00682D3A">
        <w:trPr>
          <w:trHeight w:val="413"/>
        </w:trPr>
        <w:tc>
          <w:tcPr>
            <w:tcW w:w="2542" w:type="dxa"/>
            <w:tcBorders>
              <w:top w:val="single" w:sz="8" w:space="0" w:color="4F81BD"/>
              <w:left w:val="single" w:sz="8" w:space="0" w:color="4F81BD"/>
              <w:bottom w:val="single" w:sz="8" w:space="0" w:color="4F81BD"/>
              <w:right w:val="nil"/>
            </w:tcBorders>
            <w:shd w:val="clear" w:color="auto" w:fill="auto"/>
            <w:vAlign w:val="center"/>
            <w:hideMark/>
          </w:tcPr>
          <w:p w:rsidR="00682D3A" w:rsidRPr="0057417D" w:rsidRDefault="00682D3A" w:rsidP="00016AB4">
            <w:pPr>
              <w:spacing w:line="240" w:lineRule="auto"/>
              <w:jc w:val="left"/>
              <w:rPr>
                <w:rFonts w:eastAsia="Times New Roman" w:cstheme="minorHAnsi"/>
                <w:color w:val="000000"/>
                <w:sz w:val="22"/>
                <w:lang w:eastAsia="es-CR"/>
              </w:rPr>
            </w:pPr>
            <w:r w:rsidRPr="0057417D">
              <w:rPr>
                <w:rFonts w:eastAsia="Times New Roman" w:cstheme="minorHAnsi"/>
                <w:color w:val="000000"/>
                <w:sz w:val="22"/>
                <w:lang w:eastAsia="es-CR"/>
              </w:rPr>
              <w:t>Intendente</w:t>
            </w:r>
          </w:p>
        </w:tc>
        <w:tc>
          <w:tcPr>
            <w:tcW w:w="2268" w:type="dxa"/>
            <w:tcBorders>
              <w:top w:val="single" w:sz="8" w:space="0" w:color="4F81BD"/>
              <w:left w:val="nil"/>
              <w:bottom w:val="single" w:sz="8"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24-15-10-10-09</w:t>
            </w:r>
          </w:p>
        </w:tc>
        <w:tc>
          <w:tcPr>
            <w:tcW w:w="1984" w:type="dxa"/>
            <w:tcBorders>
              <w:top w:val="single" w:sz="8" w:space="0" w:color="4F81BD"/>
              <w:left w:val="nil"/>
              <w:bottom w:val="single" w:sz="8"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Despacho</w:t>
            </w:r>
          </w:p>
        </w:tc>
        <w:tc>
          <w:tcPr>
            <w:tcW w:w="1973" w:type="dxa"/>
            <w:tcBorders>
              <w:top w:val="single" w:sz="8" w:space="0" w:color="4F81BD"/>
              <w:left w:val="nil"/>
              <w:bottom w:val="single" w:sz="8" w:space="0" w:color="4F81BD"/>
              <w:right w:val="single" w:sz="8" w:space="0" w:color="4F81BD"/>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Nombramiento por definir</w:t>
            </w:r>
          </w:p>
        </w:tc>
      </w:tr>
      <w:tr w:rsidR="00682D3A" w:rsidRPr="0057417D" w:rsidTr="00A755E0">
        <w:trPr>
          <w:trHeight w:val="413"/>
        </w:trPr>
        <w:tc>
          <w:tcPr>
            <w:tcW w:w="2542" w:type="dxa"/>
            <w:tcBorders>
              <w:top w:val="single" w:sz="8" w:space="0" w:color="4F81BD"/>
              <w:left w:val="single" w:sz="8" w:space="0" w:color="4F81BD"/>
              <w:bottom w:val="single" w:sz="4" w:space="0" w:color="4F81BD"/>
              <w:right w:val="nil"/>
            </w:tcBorders>
            <w:shd w:val="clear" w:color="auto" w:fill="auto"/>
            <w:vAlign w:val="center"/>
            <w:hideMark/>
          </w:tcPr>
          <w:p w:rsidR="00682D3A" w:rsidRPr="0057417D" w:rsidRDefault="00682D3A" w:rsidP="00016AB4">
            <w:pPr>
              <w:spacing w:line="240" w:lineRule="auto"/>
              <w:jc w:val="left"/>
              <w:rPr>
                <w:rFonts w:eastAsia="Times New Roman" w:cstheme="minorHAnsi"/>
                <w:color w:val="000000"/>
                <w:sz w:val="22"/>
                <w:lang w:eastAsia="es-CR"/>
              </w:rPr>
            </w:pPr>
            <w:r w:rsidRPr="0057417D">
              <w:rPr>
                <w:rFonts w:eastAsia="Times New Roman" w:cstheme="minorHAnsi"/>
                <w:color w:val="000000"/>
                <w:sz w:val="22"/>
                <w:lang w:eastAsia="es-CR"/>
              </w:rPr>
              <w:t>Asistente Servicios Institucionales 2</w:t>
            </w:r>
          </w:p>
        </w:tc>
        <w:tc>
          <w:tcPr>
            <w:tcW w:w="2268" w:type="dxa"/>
            <w:tcBorders>
              <w:top w:val="single" w:sz="8" w:space="0" w:color="4F81BD"/>
              <w:left w:val="nil"/>
              <w:bottom w:val="single" w:sz="4"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24-01-10-20-05</w:t>
            </w:r>
          </w:p>
        </w:tc>
        <w:tc>
          <w:tcPr>
            <w:tcW w:w="1984" w:type="dxa"/>
            <w:tcBorders>
              <w:top w:val="single" w:sz="8" w:space="0" w:color="4F81BD"/>
              <w:left w:val="nil"/>
              <w:bottom w:val="single" w:sz="4"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Comunicación y Servicios</w:t>
            </w:r>
          </w:p>
        </w:tc>
        <w:tc>
          <w:tcPr>
            <w:tcW w:w="1973" w:type="dxa"/>
            <w:tcBorders>
              <w:top w:val="single" w:sz="8" w:space="0" w:color="4F81BD"/>
              <w:left w:val="nil"/>
              <w:bottom w:val="single" w:sz="4" w:space="0" w:color="4F81BD"/>
              <w:right w:val="single" w:sz="8" w:space="0" w:color="4F81BD"/>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Vacante</w:t>
            </w:r>
          </w:p>
        </w:tc>
      </w:tr>
      <w:tr w:rsidR="00682D3A" w:rsidRPr="0057417D" w:rsidTr="008F2EB0">
        <w:trPr>
          <w:trHeight w:val="413"/>
        </w:trPr>
        <w:tc>
          <w:tcPr>
            <w:tcW w:w="2542" w:type="dxa"/>
            <w:tcBorders>
              <w:top w:val="single" w:sz="4" w:space="0" w:color="4F81BD"/>
              <w:left w:val="single" w:sz="8" w:space="0" w:color="4F81BD"/>
              <w:bottom w:val="single" w:sz="4" w:space="0" w:color="4F81BD"/>
              <w:right w:val="nil"/>
            </w:tcBorders>
            <w:shd w:val="clear" w:color="auto" w:fill="auto"/>
            <w:vAlign w:val="center"/>
            <w:hideMark/>
          </w:tcPr>
          <w:p w:rsidR="00682D3A" w:rsidRPr="0057417D" w:rsidRDefault="00682D3A" w:rsidP="00016AB4">
            <w:pPr>
              <w:spacing w:line="240" w:lineRule="auto"/>
              <w:jc w:val="left"/>
              <w:rPr>
                <w:rFonts w:eastAsia="Times New Roman" w:cstheme="minorHAnsi"/>
                <w:color w:val="000000"/>
                <w:sz w:val="22"/>
                <w:lang w:eastAsia="es-CR"/>
              </w:rPr>
            </w:pPr>
            <w:r w:rsidRPr="0057417D">
              <w:rPr>
                <w:rFonts w:eastAsia="Times New Roman" w:cstheme="minorHAnsi"/>
                <w:color w:val="000000"/>
                <w:sz w:val="22"/>
                <w:lang w:eastAsia="es-CR"/>
              </w:rPr>
              <w:t>Asistente de Servicios Institucionales 1</w:t>
            </w:r>
          </w:p>
        </w:tc>
        <w:tc>
          <w:tcPr>
            <w:tcW w:w="2268" w:type="dxa"/>
            <w:tcBorders>
              <w:top w:val="single" w:sz="4" w:space="0" w:color="4F81BD"/>
              <w:left w:val="nil"/>
              <w:bottom w:val="single" w:sz="4"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24-01-10-20-09</w:t>
            </w:r>
          </w:p>
        </w:tc>
        <w:tc>
          <w:tcPr>
            <w:tcW w:w="1984" w:type="dxa"/>
            <w:tcBorders>
              <w:top w:val="single" w:sz="4" w:space="0" w:color="4F81BD"/>
              <w:left w:val="nil"/>
              <w:bottom w:val="single" w:sz="4" w:space="0" w:color="4F81BD"/>
              <w:right w:val="nil"/>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Comunicación y Servicios</w:t>
            </w:r>
          </w:p>
        </w:tc>
        <w:tc>
          <w:tcPr>
            <w:tcW w:w="1973" w:type="dxa"/>
            <w:tcBorders>
              <w:top w:val="single" w:sz="4" w:space="0" w:color="4F81BD"/>
              <w:left w:val="nil"/>
              <w:bottom w:val="single" w:sz="4" w:space="0" w:color="4F81BD"/>
              <w:right w:val="single" w:sz="8" w:space="0" w:color="4F81BD"/>
            </w:tcBorders>
            <w:shd w:val="clear" w:color="auto" w:fill="auto"/>
            <w:vAlign w:val="center"/>
          </w:tcPr>
          <w:p w:rsidR="00682D3A" w:rsidRPr="0057417D" w:rsidRDefault="00A755E0" w:rsidP="00016AB4">
            <w:pPr>
              <w:spacing w:line="240" w:lineRule="auto"/>
              <w:jc w:val="center"/>
              <w:rPr>
                <w:rFonts w:eastAsia="Times New Roman" w:cstheme="minorHAnsi"/>
                <w:color w:val="000000"/>
                <w:sz w:val="22"/>
                <w:lang w:eastAsia="es-CR"/>
              </w:rPr>
            </w:pPr>
            <w:r w:rsidRPr="0057417D">
              <w:rPr>
                <w:rFonts w:eastAsia="Times New Roman" w:cstheme="minorHAnsi"/>
                <w:color w:val="000000"/>
                <w:sz w:val="22"/>
                <w:lang w:eastAsia="es-CR"/>
              </w:rPr>
              <w:t>Vacante</w:t>
            </w:r>
          </w:p>
        </w:tc>
      </w:tr>
      <w:tr w:rsidR="008F2EB0" w:rsidRPr="0057417D" w:rsidTr="008F2EB0">
        <w:trPr>
          <w:trHeight w:val="413"/>
        </w:trPr>
        <w:tc>
          <w:tcPr>
            <w:tcW w:w="2542" w:type="dxa"/>
            <w:tcBorders>
              <w:top w:val="single" w:sz="4" w:space="0" w:color="4F81BD"/>
              <w:left w:val="single" w:sz="8" w:space="0" w:color="4F81BD"/>
              <w:bottom w:val="single" w:sz="4" w:space="0" w:color="4F81BD"/>
              <w:right w:val="nil"/>
            </w:tcBorders>
            <w:shd w:val="clear" w:color="auto" w:fill="auto"/>
            <w:vAlign w:val="center"/>
          </w:tcPr>
          <w:p w:rsidR="008F2EB0" w:rsidRPr="0057417D" w:rsidRDefault="008F2EB0" w:rsidP="008F2EB0">
            <w:pPr>
              <w:rPr>
                <w:rFonts w:cstheme="minorHAnsi"/>
                <w:sz w:val="22"/>
                <w:lang w:eastAsia="es-CR"/>
              </w:rPr>
            </w:pPr>
            <w:r w:rsidRPr="0057417D">
              <w:rPr>
                <w:rFonts w:cstheme="minorHAnsi"/>
                <w:sz w:val="22"/>
                <w:lang w:eastAsia="es-CR"/>
              </w:rPr>
              <w:t>Director de Supervisión</w:t>
            </w:r>
          </w:p>
          <w:p w:rsidR="008F2EB0" w:rsidRPr="0057417D" w:rsidRDefault="008F2EB0" w:rsidP="008F2EB0">
            <w:pPr>
              <w:jc w:val="center"/>
              <w:rPr>
                <w:rFonts w:cstheme="minorHAnsi"/>
                <w:sz w:val="22"/>
                <w:lang w:eastAsia="es-CR"/>
              </w:rPr>
            </w:pPr>
          </w:p>
          <w:p w:rsidR="008F2EB0" w:rsidRPr="0057417D" w:rsidRDefault="008F2EB0" w:rsidP="008F2EB0">
            <w:pPr>
              <w:jc w:val="center"/>
              <w:rPr>
                <w:rFonts w:cstheme="minorHAnsi"/>
                <w:sz w:val="22"/>
                <w:lang w:eastAsia="es-CR"/>
              </w:rPr>
            </w:pPr>
          </w:p>
          <w:p w:rsidR="008F2EB0" w:rsidRPr="0057417D" w:rsidRDefault="008F2EB0" w:rsidP="008F2EB0">
            <w:pPr>
              <w:jc w:val="center"/>
              <w:rPr>
                <w:rFonts w:eastAsia="Times New Roman" w:cstheme="minorHAnsi"/>
                <w:color w:val="000000"/>
                <w:sz w:val="22"/>
                <w:lang w:eastAsia="es-CR"/>
              </w:rPr>
            </w:pPr>
          </w:p>
        </w:tc>
        <w:tc>
          <w:tcPr>
            <w:tcW w:w="2268" w:type="dxa"/>
            <w:tcBorders>
              <w:top w:val="single" w:sz="4" w:space="0" w:color="4F81BD"/>
              <w:left w:val="nil"/>
              <w:bottom w:val="single" w:sz="4" w:space="0" w:color="4F81BD"/>
              <w:right w:val="nil"/>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lang w:eastAsia="es-CR"/>
              </w:rPr>
            </w:pPr>
            <w:r w:rsidRPr="0057417D">
              <w:rPr>
                <w:rFonts w:cstheme="minorHAnsi"/>
                <w:sz w:val="22"/>
                <w:lang w:eastAsia="es-CR"/>
              </w:rPr>
              <w:t>24-05-10-10-01</w:t>
            </w:r>
          </w:p>
        </w:tc>
        <w:tc>
          <w:tcPr>
            <w:tcW w:w="1984" w:type="dxa"/>
            <w:tcBorders>
              <w:top w:val="single" w:sz="4" w:space="0" w:color="4F81BD"/>
              <w:left w:val="nil"/>
              <w:bottom w:val="single" w:sz="4" w:space="0" w:color="4F81BD"/>
              <w:right w:val="nil"/>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lang w:eastAsia="es-CR"/>
              </w:rPr>
            </w:pPr>
            <w:r w:rsidRPr="0057417D">
              <w:rPr>
                <w:rFonts w:cstheme="minorHAnsi"/>
                <w:sz w:val="22"/>
                <w:lang w:eastAsia="es-CR"/>
              </w:rPr>
              <w:t xml:space="preserve">Supervisión </w:t>
            </w:r>
          </w:p>
        </w:tc>
        <w:tc>
          <w:tcPr>
            <w:tcW w:w="1973" w:type="dxa"/>
            <w:tcBorders>
              <w:top w:val="single" w:sz="4" w:space="0" w:color="4F81BD"/>
              <w:left w:val="nil"/>
              <w:bottom w:val="single" w:sz="4" w:space="0" w:color="4F81BD"/>
              <w:right w:val="single" w:sz="8" w:space="0" w:color="4F81BD"/>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lang w:eastAsia="es-CR"/>
              </w:rPr>
            </w:pPr>
            <w:r w:rsidRPr="0057417D">
              <w:rPr>
                <w:rFonts w:cstheme="minorHAnsi"/>
                <w:sz w:val="22"/>
                <w:lang w:eastAsia="es-CR"/>
              </w:rPr>
              <w:t>Concurso en proceso; Etapa III, recepción de currículos</w:t>
            </w:r>
          </w:p>
        </w:tc>
      </w:tr>
      <w:tr w:rsidR="008F2EB0" w:rsidRPr="0057417D" w:rsidTr="00A755E0">
        <w:trPr>
          <w:trHeight w:val="413"/>
        </w:trPr>
        <w:tc>
          <w:tcPr>
            <w:tcW w:w="2542" w:type="dxa"/>
            <w:tcBorders>
              <w:top w:val="single" w:sz="4" w:space="0" w:color="4F81BD"/>
              <w:left w:val="single" w:sz="8" w:space="0" w:color="4F81BD"/>
              <w:bottom w:val="single" w:sz="8" w:space="0" w:color="4F81BD"/>
              <w:right w:val="nil"/>
            </w:tcBorders>
            <w:shd w:val="clear" w:color="auto" w:fill="auto"/>
            <w:vAlign w:val="center"/>
          </w:tcPr>
          <w:p w:rsidR="008F2EB0" w:rsidRPr="0057417D" w:rsidRDefault="008F2EB0" w:rsidP="008F2EB0">
            <w:pPr>
              <w:spacing w:line="240" w:lineRule="auto"/>
              <w:jc w:val="left"/>
              <w:rPr>
                <w:rFonts w:eastAsia="Times New Roman" w:cstheme="minorHAnsi"/>
                <w:color w:val="000000"/>
                <w:sz w:val="22"/>
                <w:highlight w:val="yellow"/>
                <w:lang w:eastAsia="es-CR"/>
              </w:rPr>
            </w:pPr>
            <w:r w:rsidRPr="0057417D">
              <w:rPr>
                <w:rFonts w:cstheme="minorHAnsi"/>
                <w:bCs/>
                <w:sz w:val="22"/>
              </w:rPr>
              <w:t xml:space="preserve">Abogado Disciplina de Mercados </w:t>
            </w:r>
          </w:p>
        </w:tc>
        <w:tc>
          <w:tcPr>
            <w:tcW w:w="2268" w:type="dxa"/>
            <w:tcBorders>
              <w:top w:val="single" w:sz="4" w:space="0" w:color="4F81BD"/>
              <w:left w:val="nil"/>
              <w:bottom w:val="single" w:sz="8" w:space="0" w:color="4F81BD"/>
              <w:right w:val="nil"/>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highlight w:val="yellow"/>
                <w:lang w:eastAsia="es-CR"/>
              </w:rPr>
            </w:pPr>
            <w:r w:rsidRPr="0057417D">
              <w:rPr>
                <w:rFonts w:cstheme="minorHAnsi"/>
                <w:sz w:val="22"/>
                <w:lang w:eastAsia="es-CR"/>
              </w:rPr>
              <w:t>24-15-10-10-07</w:t>
            </w:r>
          </w:p>
        </w:tc>
        <w:tc>
          <w:tcPr>
            <w:tcW w:w="1984" w:type="dxa"/>
            <w:tcBorders>
              <w:top w:val="single" w:sz="4" w:space="0" w:color="4F81BD"/>
              <w:left w:val="nil"/>
              <w:bottom w:val="single" w:sz="8" w:space="0" w:color="4F81BD"/>
              <w:right w:val="nil"/>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highlight w:val="yellow"/>
                <w:lang w:eastAsia="es-CR"/>
              </w:rPr>
            </w:pPr>
            <w:r w:rsidRPr="0057417D">
              <w:rPr>
                <w:rFonts w:cstheme="minorHAnsi"/>
                <w:sz w:val="22"/>
                <w:lang w:eastAsia="es-CR"/>
              </w:rPr>
              <w:t>Asesoría Jurídica</w:t>
            </w:r>
          </w:p>
        </w:tc>
        <w:tc>
          <w:tcPr>
            <w:tcW w:w="1973" w:type="dxa"/>
            <w:tcBorders>
              <w:top w:val="single" w:sz="4" w:space="0" w:color="4F81BD"/>
              <w:left w:val="nil"/>
              <w:bottom w:val="single" w:sz="8" w:space="0" w:color="4F81BD"/>
              <w:right w:val="single" w:sz="8" w:space="0" w:color="4F81BD"/>
            </w:tcBorders>
            <w:shd w:val="clear" w:color="auto" w:fill="auto"/>
            <w:vAlign w:val="center"/>
          </w:tcPr>
          <w:p w:rsidR="008F2EB0" w:rsidRPr="0057417D" w:rsidRDefault="008F2EB0" w:rsidP="008F2EB0">
            <w:pPr>
              <w:spacing w:line="240" w:lineRule="auto"/>
              <w:jc w:val="center"/>
              <w:rPr>
                <w:rFonts w:eastAsia="Times New Roman" w:cstheme="minorHAnsi"/>
                <w:color w:val="000000"/>
                <w:sz w:val="22"/>
                <w:highlight w:val="yellow"/>
                <w:lang w:eastAsia="es-CR"/>
              </w:rPr>
            </w:pPr>
            <w:r w:rsidRPr="0057417D">
              <w:rPr>
                <w:rFonts w:cstheme="minorHAnsi"/>
                <w:sz w:val="22"/>
                <w:lang w:eastAsia="es-CR"/>
              </w:rPr>
              <w:t>Plaza reclasificada</w:t>
            </w:r>
          </w:p>
        </w:tc>
      </w:tr>
    </w:tbl>
    <w:p w:rsidR="00682D3A" w:rsidRPr="0057417D" w:rsidRDefault="00682D3A" w:rsidP="00016AB4">
      <w:pPr>
        <w:spacing w:line="240" w:lineRule="auto"/>
        <w:rPr>
          <w:rFonts w:ascii="Cambria" w:hAnsi="Cambria"/>
          <w:spacing w:val="4"/>
          <w:sz w:val="20"/>
          <w:szCs w:val="20"/>
          <w:highlight w:val="yellow"/>
          <w:lang w:eastAsia="es-CR"/>
        </w:rPr>
      </w:pPr>
    </w:p>
    <w:p w:rsidR="00D270D0" w:rsidRPr="0057417D" w:rsidRDefault="00B90599" w:rsidP="00016AB4">
      <w:pPr>
        <w:spacing w:line="240" w:lineRule="auto"/>
        <w:rPr>
          <w:rFonts w:cstheme="minorHAnsi"/>
          <w:szCs w:val="24"/>
          <w:lang w:eastAsia="es-CR"/>
        </w:rPr>
      </w:pPr>
      <w:r w:rsidRPr="0057417D">
        <w:rPr>
          <w:rFonts w:cstheme="minorHAnsi"/>
          <w:szCs w:val="24"/>
          <w:lang w:eastAsia="es-CR"/>
        </w:rPr>
        <w:t xml:space="preserve">Importante mencionar que </w:t>
      </w:r>
      <w:r w:rsidR="00AC7895" w:rsidRPr="0057417D">
        <w:rPr>
          <w:rFonts w:cstheme="minorHAnsi"/>
          <w:szCs w:val="24"/>
          <w:lang w:eastAsia="es-CR"/>
        </w:rPr>
        <w:t xml:space="preserve">el </w:t>
      </w:r>
      <w:r w:rsidR="004B1688" w:rsidRPr="0057417D">
        <w:rPr>
          <w:rFonts w:cstheme="minorHAnsi"/>
          <w:szCs w:val="24"/>
          <w:lang w:eastAsia="es-CR"/>
        </w:rPr>
        <w:t>92</w:t>
      </w:r>
      <w:r w:rsidR="00AC7895" w:rsidRPr="0057417D">
        <w:rPr>
          <w:rFonts w:cstheme="minorHAnsi"/>
          <w:szCs w:val="24"/>
          <w:lang w:eastAsia="es-CR"/>
        </w:rPr>
        <w:t>% del personal es profesional</w:t>
      </w:r>
      <w:r w:rsidR="007A2605" w:rsidRPr="0057417D">
        <w:rPr>
          <w:rFonts w:cstheme="minorHAnsi"/>
          <w:szCs w:val="24"/>
          <w:lang w:eastAsia="es-CR"/>
        </w:rPr>
        <w:t>, de ahí que la mayor parte del presupuesto se destina al rubro de remuneraciones</w:t>
      </w:r>
      <w:r w:rsidR="00AC7895" w:rsidRPr="0057417D">
        <w:rPr>
          <w:rFonts w:cstheme="minorHAnsi"/>
          <w:szCs w:val="24"/>
          <w:lang w:eastAsia="es-CR"/>
        </w:rPr>
        <w:t xml:space="preserve"> y </w:t>
      </w:r>
      <w:r w:rsidR="006876FB" w:rsidRPr="0057417D">
        <w:rPr>
          <w:rFonts w:cstheme="minorHAnsi"/>
          <w:szCs w:val="24"/>
          <w:lang w:eastAsia="es-CR"/>
        </w:rPr>
        <w:t>que</w:t>
      </w:r>
      <w:r w:rsidR="001D042A">
        <w:rPr>
          <w:rFonts w:cstheme="minorHAnsi"/>
          <w:szCs w:val="24"/>
          <w:lang w:eastAsia="es-CR"/>
        </w:rPr>
        <w:t>,</w:t>
      </w:r>
      <w:r w:rsidR="006876FB" w:rsidRPr="0057417D">
        <w:rPr>
          <w:rFonts w:cstheme="minorHAnsi"/>
          <w:szCs w:val="24"/>
          <w:lang w:eastAsia="es-CR"/>
        </w:rPr>
        <w:t xml:space="preserve"> en conjunto con la</w:t>
      </w:r>
      <w:r w:rsidR="00844266" w:rsidRPr="0057417D">
        <w:rPr>
          <w:rFonts w:cstheme="minorHAnsi"/>
          <w:szCs w:val="24"/>
          <w:lang w:eastAsia="es-CR"/>
        </w:rPr>
        <w:t>s</w:t>
      </w:r>
      <w:r w:rsidR="006876FB" w:rsidRPr="0057417D">
        <w:rPr>
          <w:rFonts w:cstheme="minorHAnsi"/>
          <w:szCs w:val="24"/>
          <w:lang w:eastAsia="es-CR"/>
        </w:rPr>
        <w:t xml:space="preserve"> partida</w:t>
      </w:r>
      <w:r w:rsidR="00844266" w:rsidRPr="0057417D">
        <w:rPr>
          <w:rFonts w:cstheme="minorHAnsi"/>
          <w:szCs w:val="24"/>
          <w:lang w:eastAsia="es-CR"/>
        </w:rPr>
        <w:t>s</w:t>
      </w:r>
      <w:r w:rsidR="006876FB" w:rsidRPr="0057417D">
        <w:rPr>
          <w:rFonts w:cstheme="minorHAnsi"/>
          <w:szCs w:val="24"/>
          <w:lang w:eastAsia="es-CR"/>
        </w:rPr>
        <w:t xml:space="preserve"> de “servicios”</w:t>
      </w:r>
      <w:r w:rsidR="00BC5B2B" w:rsidRPr="0057417D">
        <w:rPr>
          <w:rFonts w:cstheme="minorHAnsi"/>
          <w:szCs w:val="24"/>
          <w:lang w:eastAsia="es-CR"/>
        </w:rPr>
        <w:t xml:space="preserve">, </w:t>
      </w:r>
      <w:r w:rsidR="006876FB" w:rsidRPr="0057417D">
        <w:rPr>
          <w:rFonts w:cstheme="minorHAnsi"/>
          <w:szCs w:val="24"/>
          <w:lang w:eastAsia="es-CR"/>
        </w:rPr>
        <w:t xml:space="preserve">en donde se incluye </w:t>
      </w:r>
      <w:r w:rsidR="00AC7895" w:rsidRPr="0057417D">
        <w:rPr>
          <w:rFonts w:cstheme="minorHAnsi"/>
          <w:szCs w:val="24"/>
          <w:lang w:eastAsia="es-CR"/>
        </w:rPr>
        <w:t xml:space="preserve">el pago de los servicios administrativos </w:t>
      </w:r>
      <w:r w:rsidR="00D270D0" w:rsidRPr="0057417D">
        <w:rPr>
          <w:rFonts w:cstheme="minorHAnsi"/>
          <w:szCs w:val="24"/>
          <w:lang w:eastAsia="es-CR"/>
        </w:rPr>
        <w:t xml:space="preserve">que recibe la </w:t>
      </w:r>
      <w:r w:rsidR="000A0042" w:rsidRPr="0057417D">
        <w:rPr>
          <w:rFonts w:cstheme="minorHAnsi"/>
          <w:szCs w:val="24"/>
          <w:lang w:eastAsia="es-CR"/>
        </w:rPr>
        <w:t>SUGESE</w:t>
      </w:r>
      <w:r w:rsidR="00D270D0" w:rsidRPr="0057417D">
        <w:rPr>
          <w:rFonts w:cstheme="minorHAnsi"/>
          <w:szCs w:val="24"/>
          <w:lang w:eastAsia="es-CR"/>
        </w:rPr>
        <w:t xml:space="preserve"> </w:t>
      </w:r>
      <w:r w:rsidR="00C14664" w:rsidRPr="0057417D">
        <w:rPr>
          <w:rFonts w:cstheme="minorHAnsi"/>
          <w:szCs w:val="24"/>
          <w:lang w:eastAsia="es-CR"/>
        </w:rPr>
        <w:t xml:space="preserve">por parte </w:t>
      </w:r>
      <w:r w:rsidR="00D270D0" w:rsidRPr="0057417D">
        <w:rPr>
          <w:rFonts w:cstheme="minorHAnsi"/>
          <w:szCs w:val="24"/>
          <w:lang w:eastAsia="es-CR"/>
        </w:rPr>
        <w:t>del BCCR, alcanzan un 9</w:t>
      </w:r>
      <w:r w:rsidR="00D46274" w:rsidRPr="0057417D">
        <w:rPr>
          <w:rFonts w:cstheme="minorHAnsi"/>
          <w:szCs w:val="24"/>
          <w:lang w:eastAsia="es-CR"/>
        </w:rPr>
        <w:t>8</w:t>
      </w:r>
      <w:r w:rsidR="00D270D0" w:rsidRPr="0057417D">
        <w:rPr>
          <w:rFonts w:cstheme="minorHAnsi"/>
          <w:szCs w:val="24"/>
          <w:lang w:eastAsia="es-CR"/>
        </w:rPr>
        <w:t xml:space="preserve">% del presupuesto total ejecutado, </w:t>
      </w:r>
      <w:r w:rsidR="00BC5B2B" w:rsidRPr="0057417D">
        <w:rPr>
          <w:rFonts w:cstheme="minorHAnsi"/>
          <w:szCs w:val="24"/>
          <w:lang w:eastAsia="es-CR"/>
        </w:rPr>
        <w:t>lo que significa</w:t>
      </w:r>
      <w:r w:rsidR="00EC1F2C" w:rsidRPr="0057417D">
        <w:rPr>
          <w:rFonts w:cstheme="minorHAnsi"/>
          <w:szCs w:val="24"/>
          <w:lang w:eastAsia="es-CR"/>
        </w:rPr>
        <w:t xml:space="preserve"> e</w:t>
      </w:r>
      <w:r w:rsidR="00D270D0" w:rsidRPr="0057417D">
        <w:rPr>
          <w:rFonts w:cstheme="minorHAnsi"/>
          <w:szCs w:val="24"/>
          <w:lang w:eastAsia="es-CR"/>
        </w:rPr>
        <w:t>n términos absolutos ¢3</w:t>
      </w:r>
      <w:r w:rsidR="00EC1F2C" w:rsidRPr="0057417D">
        <w:rPr>
          <w:rFonts w:cstheme="minorHAnsi"/>
          <w:szCs w:val="24"/>
          <w:lang w:eastAsia="es-CR"/>
        </w:rPr>
        <w:t>.</w:t>
      </w:r>
      <w:r w:rsidR="00D46274" w:rsidRPr="0057417D">
        <w:rPr>
          <w:rFonts w:cstheme="minorHAnsi"/>
          <w:szCs w:val="24"/>
          <w:lang w:eastAsia="es-CR"/>
        </w:rPr>
        <w:t>363</w:t>
      </w:r>
      <w:r w:rsidR="006876FB" w:rsidRPr="0057417D">
        <w:rPr>
          <w:rFonts w:cstheme="minorHAnsi"/>
          <w:szCs w:val="24"/>
          <w:lang w:eastAsia="es-CR"/>
        </w:rPr>
        <w:t>,</w:t>
      </w:r>
      <w:r w:rsidR="00D46274" w:rsidRPr="0057417D">
        <w:rPr>
          <w:rFonts w:cstheme="minorHAnsi"/>
          <w:szCs w:val="24"/>
          <w:lang w:eastAsia="es-CR"/>
        </w:rPr>
        <w:t>09</w:t>
      </w:r>
      <w:r w:rsidR="00D270D0" w:rsidRPr="0057417D">
        <w:rPr>
          <w:rFonts w:cstheme="minorHAnsi"/>
          <w:szCs w:val="24"/>
          <w:lang w:eastAsia="es-CR"/>
        </w:rPr>
        <w:t xml:space="preserve"> millones. El remanente de ¢</w:t>
      </w:r>
      <w:r w:rsidR="00D46274" w:rsidRPr="0057417D">
        <w:rPr>
          <w:rFonts w:cstheme="minorHAnsi"/>
          <w:szCs w:val="24"/>
          <w:lang w:eastAsia="es-CR"/>
        </w:rPr>
        <w:t>69</w:t>
      </w:r>
      <w:r w:rsidR="00D270D0" w:rsidRPr="0057417D">
        <w:rPr>
          <w:rFonts w:cstheme="minorHAnsi"/>
          <w:szCs w:val="24"/>
          <w:lang w:eastAsia="es-CR"/>
        </w:rPr>
        <w:t>,</w:t>
      </w:r>
      <w:r w:rsidR="00D46274" w:rsidRPr="0057417D">
        <w:rPr>
          <w:rFonts w:cstheme="minorHAnsi"/>
          <w:szCs w:val="24"/>
          <w:lang w:eastAsia="es-CR"/>
        </w:rPr>
        <w:t>15</w:t>
      </w:r>
      <w:r w:rsidR="00D270D0" w:rsidRPr="0057417D">
        <w:rPr>
          <w:rFonts w:cstheme="minorHAnsi"/>
          <w:szCs w:val="24"/>
          <w:lang w:eastAsia="es-CR"/>
        </w:rPr>
        <w:t xml:space="preserve"> millones obedece a la ejecución de las otras partidas presupuestarias “materiales y suministros”, “Bienes duraderos” y “Transferencias corrientes</w:t>
      </w:r>
      <w:r w:rsidR="00BC5B2B" w:rsidRPr="0057417D">
        <w:rPr>
          <w:rFonts w:cstheme="minorHAnsi"/>
          <w:szCs w:val="24"/>
          <w:lang w:eastAsia="es-CR"/>
        </w:rPr>
        <w:t>”</w:t>
      </w:r>
      <w:r w:rsidR="00D270D0" w:rsidRPr="0057417D">
        <w:rPr>
          <w:rFonts w:cstheme="minorHAnsi"/>
          <w:szCs w:val="24"/>
          <w:lang w:eastAsia="es-CR"/>
        </w:rPr>
        <w:t>.</w:t>
      </w:r>
    </w:p>
    <w:p w:rsidR="00D270D0" w:rsidRPr="0057417D" w:rsidRDefault="00D270D0" w:rsidP="00016AB4">
      <w:pPr>
        <w:spacing w:line="240" w:lineRule="auto"/>
        <w:rPr>
          <w:rFonts w:cstheme="minorHAnsi"/>
          <w:szCs w:val="24"/>
          <w:lang w:eastAsia="es-CR"/>
        </w:rPr>
      </w:pPr>
    </w:p>
    <w:p w:rsidR="00D270D0" w:rsidRPr="0057417D" w:rsidRDefault="00BC5B2B" w:rsidP="00016AB4">
      <w:pPr>
        <w:spacing w:line="240" w:lineRule="auto"/>
        <w:rPr>
          <w:rFonts w:cstheme="minorHAnsi"/>
          <w:szCs w:val="24"/>
          <w:lang w:eastAsia="es-CR"/>
        </w:rPr>
      </w:pPr>
      <w:r w:rsidRPr="0057417D">
        <w:rPr>
          <w:rFonts w:cstheme="minorHAnsi"/>
          <w:szCs w:val="24"/>
          <w:lang w:eastAsia="es-CR"/>
        </w:rPr>
        <w:t xml:space="preserve">En el Cuadro </w:t>
      </w:r>
      <w:r w:rsidR="00BE29B9" w:rsidRPr="0057417D">
        <w:rPr>
          <w:rFonts w:cstheme="minorHAnsi"/>
          <w:szCs w:val="24"/>
          <w:lang w:eastAsia="es-CR"/>
        </w:rPr>
        <w:t>3</w:t>
      </w:r>
      <w:r w:rsidRPr="0057417D">
        <w:rPr>
          <w:rFonts w:cstheme="minorHAnsi"/>
          <w:szCs w:val="24"/>
          <w:lang w:eastAsia="es-CR"/>
        </w:rPr>
        <w:t xml:space="preserve"> se presenta </w:t>
      </w:r>
      <w:r w:rsidR="00D270D0" w:rsidRPr="0057417D">
        <w:rPr>
          <w:rFonts w:cstheme="minorHAnsi"/>
          <w:szCs w:val="24"/>
          <w:lang w:eastAsia="es-CR"/>
        </w:rPr>
        <w:t>el presupuesto</w:t>
      </w:r>
      <w:r w:rsidRPr="0057417D">
        <w:rPr>
          <w:rFonts w:cstheme="minorHAnsi"/>
          <w:szCs w:val="24"/>
          <w:lang w:eastAsia="es-CR"/>
        </w:rPr>
        <w:t xml:space="preserve"> de la Superintendencia</w:t>
      </w:r>
      <w:r w:rsidR="00D270D0" w:rsidRPr="0057417D">
        <w:rPr>
          <w:rFonts w:cstheme="minorHAnsi"/>
          <w:szCs w:val="24"/>
          <w:lang w:eastAsia="es-CR"/>
        </w:rPr>
        <w:t>, con su respectiva ejecución, para el período 201</w:t>
      </w:r>
      <w:r w:rsidR="003821C9" w:rsidRPr="0057417D">
        <w:rPr>
          <w:rFonts w:cstheme="minorHAnsi"/>
          <w:szCs w:val="24"/>
          <w:lang w:eastAsia="es-CR"/>
        </w:rPr>
        <w:t>9</w:t>
      </w:r>
      <w:r w:rsidR="00D270D0" w:rsidRPr="0057417D">
        <w:rPr>
          <w:rFonts w:cstheme="minorHAnsi"/>
          <w:szCs w:val="24"/>
          <w:lang w:eastAsia="es-CR"/>
        </w:rPr>
        <w:t>.</w:t>
      </w:r>
    </w:p>
    <w:p w:rsidR="005A36E4" w:rsidRPr="0057417D" w:rsidRDefault="005A36E4" w:rsidP="00016AB4">
      <w:pPr>
        <w:spacing w:line="240" w:lineRule="auto"/>
        <w:rPr>
          <w:rFonts w:cstheme="minorHAnsi"/>
          <w:szCs w:val="24"/>
          <w:lang w:eastAsia="es-CR"/>
        </w:rPr>
      </w:pPr>
    </w:p>
    <w:p w:rsidR="00975A88" w:rsidRDefault="00975A88">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rsidR="00EC1F2C" w:rsidRPr="0057417D" w:rsidRDefault="00673D7B" w:rsidP="00016AB4">
      <w:pPr>
        <w:spacing w:line="240" w:lineRule="auto"/>
        <w:jc w:val="center"/>
        <w:rPr>
          <w:rFonts w:ascii="Century Gothic" w:hAnsi="Century Gothic" w:cs="Century Gothic"/>
          <w:kern w:val="24"/>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r w:rsidR="00EC1F2C" w:rsidRPr="0057417D">
        <w:rPr>
          <w:rFonts w:ascii="Century Gothic" w:hAnsi="Century Gothic" w:cs="Century Gothic"/>
          <w:kern w:val="24"/>
          <w:sz w:val="20"/>
          <w:szCs w:val="20"/>
        </w:rPr>
        <w:t xml:space="preserve"> </w:t>
      </w:r>
    </w:p>
    <w:p w:rsidR="00673D7B" w:rsidRPr="0057417D" w:rsidRDefault="00EC1F2C" w:rsidP="00016AB4">
      <w:pPr>
        <w:spacing w:line="240" w:lineRule="auto"/>
        <w:jc w:val="center"/>
        <w:rPr>
          <w:rFonts w:ascii="Century Gothic" w:hAnsi="Century Gothic"/>
          <w:b/>
          <w:color w:val="002060"/>
          <w:sz w:val="20"/>
          <w:szCs w:val="20"/>
        </w:rPr>
      </w:pPr>
      <w:r w:rsidRPr="0057417D">
        <w:rPr>
          <w:rFonts w:ascii="Century Gothic" w:hAnsi="Century Gothic" w:cs="Century Gothic"/>
          <w:kern w:val="24"/>
          <w:sz w:val="20"/>
          <w:szCs w:val="20"/>
        </w:rPr>
        <w:t>Superintendencia General de Seguros</w:t>
      </w:r>
    </w:p>
    <w:p w:rsidR="00673D7B" w:rsidRPr="0057417D" w:rsidRDefault="00673D7B"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Ejecución presupuestaria 201</w:t>
      </w:r>
      <w:r w:rsidR="00972BD6" w:rsidRPr="0057417D">
        <w:rPr>
          <w:rFonts w:ascii="Century Gothic" w:hAnsi="Century Gothic"/>
          <w:b/>
          <w:color w:val="404040" w:themeColor="text1" w:themeTint="BF"/>
          <w:sz w:val="20"/>
          <w:szCs w:val="20"/>
        </w:rPr>
        <w:t>9</w:t>
      </w:r>
    </w:p>
    <w:tbl>
      <w:tblPr>
        <w:tblW w:w="7438" w:type="dxa"/>
        <w:jc w:val="center"/>
        <w:tblCellMar>
          <w:left w:w="70" w:type="dxa"/>
          <w:right w:w="70" w:type="dxa"/>
        </w:tblCellMar>
        <w:tblLook w:val="04A0" w:firstRow="1" w:lastRow="0" w:firstColumn="1" w:lastColumn="0" w:noHBand="0" w:noVBand="1"/>
      </w:tblPr>
      <w:tblGrid>
        <w:gridCol w:w="1975"/>
        <w:gridCol w:w="1843"/>
        <w:gridCol w:w="1780"/>
        <w:gridCol w:w="139"/>
        <w:gridCol w:w="1701"/>
      </w:tblGrid>
      <w:tr w:rsidR="0038445F" w:rsidRPr="0057417D" w:rsidTr="003567A8">
        <w:trPr>
          <w:trHeight w:val="525"/>
          <w:jc w:val="center"/>
        </w:trPr>
        <w:tc>
          <w:tcPr>
            <w:tcW w:w="1975" w:type="dxa"/>
            <w:tcBorders>
              <w:top w:val="single" w:sz="8" w:space="0" w:color="4F81BD"/>
              <w:left w:val="single" w:sz="8" w:space="0" w:color="4F81BD"/>
              <w:bottom w:val="nil"/>
              <w:right w:val="nil"/>
            </w:tcBorders>
            <w:shd w:val="clear" w:color="000000" w:fill="365F91"/>
            <w:vAlign w:val="center"/>
            <w:hideMark/>
          </w:tcPr>
          <w:p w:rsidR="0038445F" w:rsidRPr="0057417D" w:rsidRDefault="0038445F" w:rsidP="0038445F">
            <w:pPr>
              <w:spacing w:line="240" w:lineRule="auto"/>
              <w:jc w:val="center"/>
              <w:rPr>
                <w:rFonts w:ascii="Calibri" w:eastAsia="Times New Roman" w:hAnsi="Calibri" w:cs="Calibri"/>
                <w:b/>
                <w:bCs/>
                <w:color w:val="FFFFFF"/>
                <w:sz w:val="22"/>
                <w:lang w:eastAsia="es-CR"/>
              </w:rPr>
            </w:pPr>
            <w:r w:rsidRPr="0057417D">
              <w:rPr>
                <w:rFonts w:ascii="Calibri" w:eastAsia="Times New Roman" w:hAnsi="Calibri" w:cs="Calibri"/>
                <w:b/>
                <w:bCs/>
                <w:color w:val="FFFFFF"/>
                <w:sz w:val="22"/>
                <w:lang w:eastAsia="es-CR"/>
              </w:rPr>
              <w:t>Partida presupuestaria</w:t>
            </w:r>
          </w:p>
        </w:tc>
        <w:tc>
          <w:tcPr>
            <w:tcW w:w="1843" w:type="dxa"/>
            <w:tcBorders>
              <w:top w:val="single" w:sz="8" w:space="0" w:color="4F81BD"/>
              <w:left w:val="nil"/>
              <w:bottom w:val="single" w:sz="8" w:space="0" w:color="4F81BD"/>
              <w:right w:val="nil"/>
            </w:tcBorders>
            <w:shd w:val="clear" w:color="000000" w:fill="365F91"/>
            <w:vAlign w:val="center"/>
            <w:hideMark/>
          </w:tcPr>
          <w:p w:rsidR="0038445F" w:rsidRPr="0057417D" w:rsidRDefault="0038445F" w:rsidP="0038445F">
            <w:pPr>
              <w:spacing w:line="240" w:lineRule="auto"/>
              <w:jc w:val="center"/>
              <w:rPr>
                <w:rFonts w:ascii="Calibri" w:eastAsia="Times New Roman" w:hAnsi="Calibri" w:cs="Calibri"/>
                <w:b/>
                <w:bCs/>
                <w:color w:val="FFFFFF"/>
                <w:sz w:val="22"/>
                <w:lang w:eastAsia="es-CR"/>
              </w:rPr>
            </w:pPr>
            <w:r w:rsidRPr="0057417D">
              <w:rPr>
                <w:rFonts w:ascii="Calibri" w:eastAsia="Times New Roman" w:hAnsi="Calibri" w:cs="Calibri"/>
                <w:b/>
                <w:bCs/>
                <w:color w:val="FFFFFF"/>
                <w:sz w:val="22"/>
                <w:lang w:eastAsia="es-CR"/>
              </w:rPr>
              <w:t>Presupuesto</w:t>
            </w:r>
          </w:p>
        </w:tc>
        <w:tc>
          <w:tcPr>
            <w:tcW w:w="1780" w:type="dxa"/>
            <w:tcBorders>
              <w:top w:val="single" w:sz="8" w:space="0" w:color="4F81BD"/>
              <w:left w:val="nil"/>
              <w:bottom w:val="single" w:sz="8" w:space="0" w:color="4F81BD"/>
              <w:right w:val="nil"/>
            </w:tcBorders>
            <w:shd w:val="clear" w:color="000000" w:fill="365F91"/>
            <w:vAlign w:val="center"/>
            <w:hideMark/>
          </w:tcPr>
          <w:p w:rsidR="0038445F" w:rsidRPr="0057417D" w:rsidRDefault="0038445F" w:rsidP="0038445F">
            <w:pPr>
              <w:spacing w:line="240" w:lineRule="auto"/>
              <w:jc w:val="center"/>
              <w:rPr>
                <w:rFonts w:ascii="Calibri" w:eastAsia="Times New Roman" w:hAnsi="Calibri" w:cs="Calibri"/>
                <w:b/>
                <w:bCs/>
                <w:color w:val="FFFFFF"/>
                <w:sz w:val="22"/>
                <w:lang w:eastAsia="es-CR"/>
              </w:rPr>
            </w:pPr>
            <w:r w:rsidRPr="0057417D">
              <w:rPr>
                <w:rFonts w:ascii="Calibri" w:eastAsia="Times New Roman" w:hAnsi="Calibri" w:cs="Calibri"/>
                <w:b/>
                <w:bCs/>
                <w:color w:val="FFFFFF"/>
                <w:sz w:val="22"/>
                <w:lang w:eastAsia="es-CR"/>
              </w:rPr>
              <w:t>Gasto 2019</w:t>
            </w:r>
          </w:p>
        </w:tc>
        <w:tc>
          <w:tcPr>
            <w:tcW w:w="1840" w:type="dxa"/>
            <w:gridSpan w:val="2"/>
            <w:tcBorders>
              <w:top w:val="single" w:sz="8" w:space="0" w:color="4F81BD"/>
              <w:left w:val="nil"/>
              <w:bottom w:val="single" w:sz="8" w:space="0" w:color="4F81BD"/>
              <w:right w:val="single" w:sz="8" w:space="0" w:color="4F81BD"/>
            </w:tcBorders>
            <w:shd w:val="clear" w:color="000000" w:fill="365F91"/>
            <w:vAlign w:val="center"/>
            <w:hideMark/>
          </w:tcPr>
          <w:p w:rsidR="0038445F" w:rsidRPr="0057417D" w:rsidRDefault="0038445F" w:rsidP="0038445F">
            <w:pPr>
              <w:spacing w:line="240" w:lineRule="auto"/>
              <w:jc w:val="center"/>
              <w:rPr>
                <w:rFonts w:ascii="Calibri" w:eastAsia="Times New Roman" w:hAnsi="Calibri" w:cs="Calibri"/>
                <w:b/>
                <w:bCs/>
                <w:color w:val="FFFFFF"/>
                <w:sz w:val="22"/>
                <w:lang w:eastAsia="es-CR"/>
              </w:rPr>
            </w:pPr>
            <w:r w:rsidRPr="0057417D">
              <w:rPr>
                <w:rFonts w:ascii="Calibri" w:eastAsia="Times New Roman" w:hAnsi="Calibri" w:cs="Calibri"/>
                <w:b/>
                <w:bCs/>
                <w:color w:val="FFFFFF"/>
                <w:sz w:val="22"/>
                <w:lang w:eastAsia="es-CR"/>
              </w:rPr>
              <w:t>Porcentaje de ejecución</w:t>
            </w:r>
          </w:p>
        </w:tc>
      </w:tr>
      <w:tr w:rsidR="0038445F" w:rsidRPr="0057417D" w:rsidTr="003567A8">
        <w:trPr>
          <w:trHeight w:val="315"/>
          <w:jc w:val="center"/>
        </w:trPr>
        <w:tc>
          <w:tcPr>
            <w:tcW w:w="1975" w:type="dxa"/>
            <w:tcBorders>
              <w:top w:val="single" w:sz="8" w:space="0" w:color="4F81BD"/>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Remuneraciones</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₡2 056 359 771,22</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₡1 695 752 296,97</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82,5%</w:t>
            </w:r>
          </w:p>
        </w:tc>
      </w:tr>
      <w:tr w:rsidR="0038445F" w:rsidRPr="0057417D" w:rsidTr="003567A8">
        <w:trPr>
          <w:trHeight w:val="615"/>
          <w:jc w:val="center"/>
        </w:trPr>
        <w:tc>
          <w:tcPr>
            <w:tcW w:w="1975" w:type="dxa"/>
            <w:tcBorders>
              <w:top w:val="nil"/>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Servicios Generales</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₡506 821 259,20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₡319 035 354,51</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62,9%</w:t>
            </w:r>
          </w:p>
        </w:tc>
      </w:tr>
      <w:tr w:rsidR="0038445F" w:rsidRPr="0057417D" w:rsidTr="003567A8">
        <w:trPr>
          <w:trHeight w:val="615"/>
          <w:jc w:val="center"/>
        </w:trPr>
        <w:tc>
          <w:tcPr>
            <w:tcW w:w="1975" w:type="dxa"/>
            <w:tcBorders>
              <w:top w:val="nil"/>
              <w:left w:val="single" w:sz="8" w:space="0" w:color="4F81BD"/>
              <w:bottom w:val="nil"/>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Servicios Consultorías *</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₡1 453 095 903,10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₡1 348 306 987,10</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92,8%</w:t>
            </w:r>
          </w:p>
        </w:tc>
      </w:tr>
      <w:tr w:rsidR="0038445F" w:rsidRPr="0057417D" w:rsidTr="003567A8">
        <w:trPr>
          <w:trHeight w:val="615"/>
          <w:jc w:val="center"/>
        </w:trPr>
        <w:tc>
          <w:tcPr>
            <w:tcW w:w="1975" w:type="dxa"/>
            <w:tcBorders>
              <w:top w:val="single" w:sz="8" w:space="0" w:color="4F81BD"/>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Materiales y suministros</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₡7 237 205,00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₡4 350 952,19</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60,1%</w:t>
            </w:r>
          </w:p>
        </w:tc>
      </w:tr>
      <w:tr w:rsidR="0038445F" w:rsidRPr="0057417D" w:rsidTr="003567A8">
        <w:trPr>
          <w:trHeight w:val="615"/>
          <w:jc w:val="center"/>
        </w:trPr>
        <w:tc>
          <w:tcPr>
            <w:tcW w:w="1975" w:type="dxa"/>
            <w:tcBorders>
              <w:top w:val="nil"/>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Bienes duraderos</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₡20 582 844,20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₡19 262 844,14</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93,6%</w:t>
            </w:r>
          </w:p>
        </w:tc>
      </w:tr>
      <w:tr w:rsidR="0038445F" w:rsidRPr="0057417D" w:rsidTr="003567A8">
        <w:trPr>
          <w:trHeight w:val="615"/>
          <w:jc w:val="center"/>
        </w:trPr>
        <w:tc>
          <w:tcPr>
            <w:tcW w:w="1975" w:type="dxa"/>
            <w:tcBorders>
              <w:top w:val="nil"/>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Transferencias corrientes</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₡81 924 608,50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₡45 538 503,51</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55,6%</w:t>
            </w:r>
          </w:p>
        </w:tc>
      </w:tr>
      <w:tr w:rsidR="0038445F" w:rsidRPr="0057417D" w:rsidTr="003567A8">
        <w:trPr>
          <w:trHeight w:val="915"/>
          <w:jc w:val="center"/>
        </w:trPr>
        <w:tc>
          <w:tcPr>
            <w:tcW w:w="1975" w:type="dxa"/>
            <w:tcBorders>
              <w:top w:val="nil"/>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Sumas sin asignación presupuestaria</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₡159 336 360,00</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₡0,00</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0,0%</w:t>
            </w:r>
          </w:p>
        </w:tc>
      </w:tr>
      <w:tr w:rsidR="0038445F" w:rsidRPr="0057417D" w:rsidTr="003567A8">
        <w:trPr>
          <w:trHeight w:val="315"/>
          <w:jc w:val="center"/>
        </w:trPr>
        <w:tc>
          <w:tcPr>
            <w:tcW w:w="1975" w:type="dxa"/>
            <w:tcBorders>
              <w:top w:val="nil"/>
              <w:left w:val="single" w:sz="8" w:space="0" w:color="4F81BD"/>
              <w:bottom w:val="single" w:sz="8" w:space="0" w:color="4F81BD"/>
              <w:right w:val="nil"/>
            </w:tcBorders>
            <w:shd w:val="clear" w:color="auto" w:fill="auto"/>
            <w:vAlign w:val="center"/>
            <w:hideMark/>
          </w:tcPr>
          <w:p w:rsidR="0038445F" w:rsidRPr="0057417D" w:rsidRDefault="0038445F" w:rsidP="0038445F">
            <w:pPr>
              <w:spacing w:line="240" w:lineRule="auto"/>
              <w:jc w:val="left"/>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Total</w:t>
            </w:r>
          </w:p>
        </w:tc>
        <w:tc>
          <w:tcPr>
            <w:tcW w:w="1843" w:type="dxa"/>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₡4 285 357 951,22</w:t>
            </w:r>
          </w:p>
        </w:tc>
        <w:tc>
          <w:tcPr>
            <w:tcW w:w="1919" w:type="dxa"/>
            <w:gridSpan w:val="2"/>
            <w:tcBorders>
              <w:top w:val="nil"/>
              <w:left w:val="nil"/>
              <w:bottom w:val="single" w:sz="8" w:space="0" w:color="4F81BD"/>
              <w:right w:val="nil"/>
            </w:tcBorders>
            <w:shd w:val="clear" w:color="auto" w:fill="auto"/>
            <w:vAlign w:val="center"/>
            <w:hideMark/>
          </w:tcPr>
          <w:p w:rsidR="0038445F" w:rsidRPr="0057417D" w:rsidRDefault="0038445F" w:rsidP="0038445F">
            <w:pPr>
              <w:spacing w:line="240" w:lineRule="auto"/>
              <w:jc w:val="right"/>
              <w:rPr>
                <w:rFonts w:ascii="Calibri" w:eastAsia="Times New Roman" w:hAnsi="Calibri" w:cs="Calibri"/>
                <w:color w:val="000000"/>
                <w:sz w:val="22"/>
                <w:lang w:eastAsia="es-CR"/>
              </w:rPr>
            </w:pPr>
            <w:r w:rsidRPr="0057417D">
              <w:rPr>
                <w:rFonts w:ascii="Calibri" w:eastAsia="Times New Roman" w:hAnsi="Calibri" w:cs="Calibri"/>
                <w:color w:val="000000"/>
                <w:sz w:val="22"/>
                <w:lang w:eastAsia="es-CR"/>
              </w:rPr>
              <w:t>₡3 432 246 938,42</w:t>
            </w:r>
          </w:p>
        </w:tc>
        <w:tc>
          <w:tcPr>
            <w:tcW w:w="1701" w:type="dxa"/>
            <w:tcBorders>
              <w:top w:val="nil"/>
              <w:left w:val="nil"/>
              <w:bottom w:val="single" w:sz="8" w:space="0" w:color="4F81BD"/>
              <w:right w:val="single" w:sz="8" w:space="0" w:color="4F81BD"/>
            </w:tcBorders>
            <w:shd w:val="clear" w:color="auto" w:fill="auto"/>
            <w:vAlign w:val="center"/>
            <w:hideMark/>
          </w:tcPr>
          <w:p w:rsidR="0038445F" w:rsidRPr="0057417D" w:rsidRDefault="0038445F" w:rsidP="0038445F">
            <w:pPr>
              <w:spacing w:line="240" w:lineRule="auto"/>
              <w:jc w:val="center"/>
              <w:rPr>
                <w:rFonts w:ascii="Calibri" w:eastAsia="Times New Roman" w:hAnsi="Calibri" w:cs="Calibri"/>
                <w:b/>
                <w:bCs/>
                <w:color w:val="000000"/>
                <w:sz w:val="22"/>
                <w:lang w:eastAsia="es-CR"/>
              </w:rPr>
            </w:pPr>
            <w:r w:rsidRPr="0057417D">
              <w:rPr>
                <w:rFonts w:ascii="Calibri" w:eastAsia="Times New Roman" w:hAnsi="Calibri" w:cs="Calibri"/>
                <w:b/>
                <w:bCs/>
                <w:color w:val="000000"/>
                <w:sz w:val="22"/>
                <w:lang w:eastAsia="es-CR"/>
              </w:rPr>
              <w:t>80,1%</w:t>
            </w:r>
          </w:p>
        </w:tc>
      </w:tr>
    </w:tbl>
    <w:p w:rsidR="00673D7B" w:rsidRPr="0057417D" w:rsidRDefault="00F9318D" w:rsidP="00975A88">
      <w:pPr>
        <w:spacing w:line="240" w:lineRule="auto"/>
        <w:ind w:left="709" w:right="758"/>
        <w:rPr>
          <w:sz w:val="20"/>
          <w:szCs w:val="20"/>
          <w:lang w:eastAsia="es-CR"/>
        </w:rPr>
      </w:pPr>
      <w:r w:rsidRPr="0057417D">
        <w:rPr>
          <w:rFonts w:cs="Century Gothic"/>
          <w:kern w:val="24"/>
          <w:sz w:val="20"/>
          <w:szCs w:val="20"/>
        </w:rPr>
        <w:t xml:space="preserve">(*) </w:t>
      </w:r>
      <w:r w:rsidR="002C07D4" w:rsidRPr="0057417D">
        <w:rPr>
          <w:sz w:val="20"/>
          <w:szCs w:val="20"/>
          <w:lang w:eastAsia="es-CR"/>
        </w:rPr>
        <w:t xml:space="preserve">Servicios consultorías contempla los gastos administrativos cobrados por el BCCR a la </w:t>
      </w:r>
      <w:r w:rsidR="000A0042" w:rsidRPr="0057417D">
        <w:rPr>
          <w:sz w:val="20"/>
          <w:szCs w:val="20"/>
          <w:lang w:eastAsia="es-CR"/>
        </w:rPr>
        <w:t>SUGESE</w:t>
      </w:r>
      <w:r w:rsidR="002C07D4" w:rsidRPr="0057417D">
        <w:rPr>
          <w:sz w:val="20"/>
          <w:szCs w:val="20"/>
          <w:lang w:eastAsia="es-CR"/>
        </w:rPr>
        <w:t xml:space="preserve">, representando un </w:t>
      </w:r>
      <w:r w:rsidR="0038445F" w:rsidRPr="0057417D">
        <w:rPr>
          <w:sz w:val="20"/>
          <w:szCs w:val="20"/>
          <w:lang w:eastAsia="es-CR"/>
        </w:rPr>
        <w:t>96</w:t>
      </w:r>
      <w:r w:rsidR="00AC278B" w:rsidRPr="0057417D">
        <w:rPr>
          <w:sz w:val="20"/>
          <w:szCs w:val="20"/>
          <w:lang w:eastAsia="es-CR"/>
        </w:rPr>
        <w:t>,</w:t>
      </w:r>
      <w:r w:rsidR="0038445F" w:rsidRPr="0057417D">
        <w:rPr>
          <w:sz w:val="20"/>
          <w:szCs w:val="20"/>
          <w:lang w:eastAsia="es-CR"/>
        </w:rPr>
        <w:t>4</w:t>
      </w:r>
      <w:r w:rsidR="008C0C89" w:rsidRPr="0057417D">
        <w:rPr>
          <w:sz w:val="20"/>
          <w:szCs w:val="20"/>
          <w:lang w:eastAsia="es-CR"/>
        </w:rPr>
        <w:t>% de</w:t>
      </w:r>
      <w:r w:rsidR="00844266" w:rsidRPr="0057417D">
        <w:rPr>
          <w:sz w:val="20"/>
          <w:szCs w:val="20"/>
          <w:lang w:eastAsia="es-CR"/>
        </w:rPr>
        <w:t xml:space="preserve"> dicho rubro.</w:t>
      </w:r>
    </w:p>
    <w:p w:rsidR="008C0C89" w:rsidRPr="0057417D" w:rsidRDefault="008C0C89" w:rsidP="00016AB4">
      <w:pPr>
        <w:spacing w:line="240" w:lineRule="auto"/>
        <w:rPr>
          <w:highlight w:val="yellow"/>
          <w:lang w:eastAsia="es-CR"/>
        </w:rPr>
      </w:pPr>
    </w:p>
    <w:p w:rsidR="00AD6990" w:rsidRPr="0057417D" w:rsidRDefault="00F9318D" w:rsidP="00AD6990">
      <w:pPr>
        <w:rPr>
          <w:rFonts w:cstheme="minorHAnsi"/>
          <w:szCs w:val="24"/>
        </w:rPr>
      </w:pPr>
      <w:r w:rsidRPr="0057417D">
        <w:rPr>
          <w:rFonts w:cstheme="minorHAnsi"/>
          <w:szCs w:val="24"/>
        </w:rPr>
        <w:t xml:space="preserve">Una de las partidas más relevantes del presupuesto y ejecución presupuestaria de </w:t>
      </w:r>
      <w:r w:rsidR="000A0042" w:rsidRPr="0057417D">
        <w:rPr>
          <w:rFonts w:cstheme="minorHAnsi"/>
          <w:szCs w:val="24"/>
        </w:rPr>
        <w:t>SUGESE</w:t>
      </w:r>
      <w:r w:rsidRPr="0057417D">
        <w:rPr>
          <w:rFonts w:cstheme="minorHAnsi"/>
          <w:szCs w:val="24"/>
        </w:rPr>
        <w:t xml:space="preserve"> es la de </w:t>
      </w:r>
      <w:r w:rsidR="00803B1C" w:rsidRPr="0057417D">
        <w:rPr>
          <w:rFonts w:cstheme="minorHAnsi"/>
          <w:szCs w:val="24"/>
        </w:rPr>
        <w:t>“servicios”</w:t>
      </w:r>
      <w:r w:rsidR="00975A88">
        <w:rPr>
          <w:rFonts w:cstheme="minorHAnsi"/>
          <w:szCs w:val="24"/>
        </w:rPr>
        <w:t xml:space="preserve"> como se indicó de previo, </w:t>
      </w:r>
      <w:r w:rsidR="00AD6990" w:rsidRPr="0057417D">
        <w:rPr>
          <w:rFonts w:cstheme="minorHAnsi"/>
          <w:szCs w:val="24"/>
        </w:rPr>
        <w:t xml:space="preserve">la cual constituye una de las cuentas de mayor incidencia en la ejecución de las partidas presupuestarias. La partida bajo análisis, entre otros rubros, contempla recursos destinados a la contratación de los servicios comerciales y financieros, actividades de capacitación y el pago de gastos administrativos al BCCR, según el siguiente detalle: </w:t>
      </w:r>
    </w:p>
    <w:p w:rsidR="00AD6990" w:rsidRPr="0057417D" w:rsidRDefault="00AD6990" w:rsidP="00AD6990">
      <w:pPr>
        <w:rPr>
          <w:rFonts w:cstheme="minorHAnsi"/>
          <w:szCs w:val="24"/>
        </w:rPr>
      </w:pPr>
    </w:p>
    <w:p w:rsidR="00AD6990" w:rsidRPr="0057417D" w:rsidRDefault="00AD6990" w:rsidP="00975A88">
      <w:pPr>
        <w:pStyle w:val="Prrafodelista"/>
        <w:numPr>
          <w:ilvl w:val="0"/>
          <w:numId w:val="35"/>
        </w:numPr>
        <w:spacing w:after="0" w:line="240" w:lineRule="auto"/>
        <w:ind w:left="1134" w:hanging="567"/>
        <w:rPr>
          <w:rFonts w:cstheme="minorHAnsi"/>
          <w:szCs w:val="24"/>
        </w:rPr>
      </w:pPr>
      <w:r w:rsidRPr="0057417D">
        <w:rPr>
          <w:rFonts w:cstheme="minorHAnsi"/>
          <w:szCs w:val="24"/>
        </w:rPr>
        <w:t xml:space="preserve">En las cuentas del subgrupo de </w:t>
      </w:r>
      <w:r w:rsidRPr="00975A88">
        <w:rPr>
          <w:rFonts w:cstheme="minorHAnsi"/>
          <w:szCs w:val="24"/>
        </w:rPr>
        <w:t>“Servicios comerciales y financieros”,</w:t>
      </w:r>
      <w:r w:rsidRPr="0057417D">
        <w:rPr>
          <w:rFonts w:cstheme="minorHAnsi"/>
          <w:szCs w:val="24"/>
        </w:rPr>
        <w:t xml:space="preserve"> se incluyen los servicios de información que corresponden a la publicación en medios escritos, así como los servicios de impresión, encuadernación y otros. </w:t>
      </w:r>
      <w:r w:rsidRPr="00975A88">
        <w:rPr>
          <w:rFonts w:cstheme="minorHAnsi"/>
          <w:szCs w:val="24"/>
        </w:rPr>
        <w:t>Para el período en estudio, los recursos ejecutados alcanzo un 95,41%, significando en términos absolutos ¢129,49 millones.</w:t>
      </w:r>
      <w:r w:rsidRPr="0057417D">
        <w:rPr>
          <w:rFonts w:cstheme="minorHAnsi"/>
          <w:szCs w:val="24"/>
        </w:rPr>
        <w:t xml:space="preserve"> Así mismo se incluyen todas las erogaciones que tienen relación con los servicios de transferencia electrónica de información, como por ejemplo el acceso a BLOOMBERG, DATUM, Vlex y la Suscripción IFRS. </w:t>
      </w:r>
    </w:p>
    <w:p w:rsidR="00AD6990" w:rsidRPr="00AF0345" w:rsidRDefault="00AD6990" w:rsidP="00975A88">
      <w:pPr>
        <w:pStyle w:val="Prrafodelista"/>
        <w:ind w:left="1134" w:hanging="567"/>
        <w:rPr>
          <w:rFonts w:cstheme="minorHAnsi"/>
          <w:szCs w:val="24"/>
        </w:rPr>
      </w:pPr>
    </w:p>
    <w:p w:rsidR="00AD6990" w:rsidRPr="003A6523" w:rsidRDefault="00AD6990" w:rsidP="00975A88">
      <w:pPr>
        <w:pStyle w:val="Prrafodelista"/>
        <w:numPr>
          <w:ilvl w:val="0"/>
          <w:numId w:val="35"/>
        </w:numPr>
        <w:spacing w:after="0" w:line="240" w:lineRule="auto"/>
        <w:ind w:left="1134" w:hanging="567"/>
        <w:rPr>
          <w:rFonts w:cstheme="minorHAnsi"/>
          <w:szCs w:val="24"/>
        </w:rPr>
      </w:pPr>
      <w:r w:rsidRPr="00AF0345">
        <w:rPr>
          <w:rFonts w:cstheme="minorHAnsi"/>
          <w:szCs w:val="24"/>
        </w:rPr>
        <w:t xml:space="preserve">Al considerar la partida de </w:t>
      </w:r>
      <w:r w:rsidR="00AF0345" w:rsidRPr="00AF0345">
        <w:rPr>
          <w:rFonts w:cstheme="minorHAnsi"/>
          <w:szCs w:val="24"/>
        </w:rPr>
        <w:t>“</w:t>
      </w:r>
      <w:r w:rsidRPr="00AF0345">
        <w:rPr>
          <w:rFonts w:cstheme="minorHAnsi"/>
          <w:szCs w:val="24"/>
        </w:rPr>
        <w:t>Servicios de gestión y apoyo</w:t>
      </w:r>
      <w:r w:rsidR="00AF0345" w:rsidRPr="00AF0345">
        <w:rPr>
          <w:rFonts w:cstheme="minorHAnsi"/>
          <w:szCs w:val="24"/>
        </w:rPr>
        <w:t>”</w:t>
      </w:r>
      <w:r w:rsidRPr="00AF0345">
        <w:rPr>
          <w:rFonts w:cstheme="minorHAnsi"/>
          <w:szCs w:val="24"/>
        </w:rPr>
        <w:t>, se incluyó en la subpartida de servicios en ciencias económicas y sociales (consultorías) y</w:t>
      </w:r>
      <w:r w:rsidRPr="0057417D">
        <w:rPr>
          <w:rFonts w:cstheme="minorHAnsi"/>
          <w:szCs w:val="24"/>
        </w:rPr>
        <w:t xml:space="preserve"> </w:t>
      </w:r>
      <w:r w:rsidRPr="003A6523">
        <w:rPr>
          <w:rFonts w:cstheme="minorHAnsi"/>
          <w:szCs w:val="24"/>
        </w:rPr>
        <w:t>desarrollo de sistema de información, ¢1</w:t>
      </w:r>
      <w:r w:rsidR="00AF0345" w:rsidRPr="003A6523">
        <w:rPr>
          <w:rFonts w:cstheme="minorHAnsi"/>
          <w:szCs w:val="24"/>
        </w:rPr>
        <w:t>. 453,</w:t>
      </w:r>
      <w:r w:rsidRPr="003A6523">
        <w:rPr>
          <w:rFonts w:cstheme="minorHAnsi"/>
          <w:szCs w:val="24"/>
        </w:rPr>
        <w:t>10 millones. Lo ejecutado alcanzo un porcentaje de 92,8%, del monto presupuestado para todo el año, lo cual representa en términos absolutos ¢1</w:t>
      </w:r>
      <w:r w:rsidR="00AF0345" w:rsidRPr="003A6523">
        <w:rPr>
          <w:rFonts w:cstheme="minorHAnsi"/>
          <w:szCs w:val="24"/>
        </w:rPr>
        <w:t>.</w:t>
      </w:r>
      <w:r w:rsidRPr="003A6523">
        <w:rPr>
          <w:rFonts w:cstheme="minorHAnsi"/>
          <w:szCs w:val="24"/>
        </w:rPr>
        <w:t>348,30 millones. El 98,7% de este monto corresponde al pago de los gastos administrativos y servicios de desarrollo de sistemas de información al BCCR por los servicios brindados.</w:t>
      </w:r>
    </w:p>
    <w:p w:rsidR="00AD6990" w:rsidRPr="003A6523" w:rsidRDefault="00AD6990" w:rsidP="00975A88">
      <w:pPr>
        <w:pStyle w:val="Prrafodelista"/>
        <w:ind w:left="1134" w:hanging="567"/>
        <w:rPr>
          <w:rFonts w:cstheme="minorHAnsi"/>
          <w:szCs w:val="24"/>
        </w:rPr>
      </w:pPr>
    </w:p>
    <w:p w:rsidR="00AD6990" w:rsidRPr="003A6523" w:rsidRDefault="00AD6990" w:rsidP="00975A88">
      <w:pPr>
        <w:pStyle w:val="Prrafodelista"/>
        <w:numPr>
          <w:ilvl w:val="0"/>
          <w:numId w:val="35"/>
        </w:numPr>
        <w:spacing w:after="0" w:line="240" w:lineRule="auto"/>
        <w:ind w:left="1134" w:hanging="567"/>
        <w:rPr>
          <w:rFonts w:cstheme="minorHAnsi"/>
          <w:szCs w:val="24"/>
        </w:rPr>
      </w:pPr>
      <w:r w:rsidRPr="003A6523">
        <w:rPr>
          <w:rFonts w:cstheme="minorHAnsi"/>
          <w:szCs w:val="24"/>
        </w:rPr>
        <w:t xml:space="preserve">En actividades de capacitación, el porcentaje de ejecución de esta cuenta de los recursos destinados para dicho fin para el periodo evaluado </w:t>
      </w:r>
      <w:r w:rsidR="00AF0345" w:rsidRPr="003A6523">
        <w:rPr>
          <w:rFonts w:cstheme="minorHAnsi"/>
          <w:szCs w:val="24"/>
        </w:rPr>
        <w:t>fue</w:t>
      </w:r>
      <w:r w:rsidRPr="003A6523">
        <w:rPr>
          <w:rFonts w:cstheme="minorHAnsi"/>
          <w:szCs w:val="24"/>
        </w:rPr>
        <w:t xml:space="preserve"> de 90,4%, que en términos absolutos representa ¢77,9 millones. </w:t>
      </w:r>
    </w:p>
    <w:p w:rsidR="00AD6990" w:rsidRPr="003A6523" w:rsidRDefault="00AD6990" w:rsidP="00AD6990">
      <w:pPr>
        <w:pStyle w:val="Prrafodelista"/>
        <w:ind w:left="1080"/>
        <w:rPr>
          <w:rFonts w:cstheme="minorHAnsi"/>
          <w:szCs w:val="24"/>
        </w:rPr>
      </w:pPr>
    </w:p>
    <w:p w:rsidR="00AD6990" w:rsidRPr="003A6523" w:rsidRDefault="00AD6990" w:rsidP="00B83C94">
      <w:pPr>
        <w:pStyle w:val="Prrafodelista"/>
        <w:ind w:left="1134"/>
        <w:rPr>
          <w:rFonts w:cstheme="minorHAnsi"/>
          <w:szCs w:val="24"/>
        </w:rPr>
      </w:pPr>
      <w:r w:rsidRPr="003A6523">
        <w:rPr>
          <w:rFonts w:cstheme="minorHAnsi"/>
          <w:szCs w:val="24"/>
        </w:rPr>
        <w:t>Entre otros, se realizaron 39 cursos de capacitación de diferentes temas</w:t>
      </w:r>
      <w:r w:rsidR="003A6523" w:rsidRPr="003A6523">
        <w:rPr>
          <w:rFonts w:cstheme="minorHAnsi"/>
          <w:szCs w:val="24"/>
        </w:rPr>
        <w:t xml:space="preserve"> y </w:t>
      </w:r>
      <w:r w:rsidRPr="003A6523">
        <w:rPr>
          <w:rFonts w:cstheme="minorHAnsi"/>
          <w:szCs w:val="24"/>
        </w:rPr>
        <w:t xml:space="preserve"> siete viajes de capacitación al exterior a Bolivia, Panamá, México, y Canadá,</w:t>
      </w:r>
      <w:r w:rsidR="003A6523" w:rsidRPr="003A6523">
        <w:rPr>
          <w:rFonts w:cstheme="minorHAnsi"/>
          <w:szCs w:val="24"/>
        </w:rPr>
        <w:t xml:space="preserve"> específicamente  en este último caso a las siguientes actividades</w:t>
      </w:r>
      <w:r w:rsidR="00B83C94" w:rsidRPr="003A6523">
        <w:rPr>
          <w:rFonts w:cstheme="minorHAnsi"/>
          <w:szCs w:val="24"/>
        </w:rPr>
        <w:t>:</w:t>
      </w:r>
      <w:r w:rsidRPr="003A6523">
        <w:rPr>
          <w:rFonts w:cstheme="minorHAnsi"/>
          <w:szCs w:val="24"/>
        </w:rPr>
        <w:t xml:space="preserve"> </w:t>
      </w:r>
    </w:p>
    <w:p w:rsidR="00B83C94" w:rsidRPr="003A6523" w:rsidRDefault="00B83C94" w:rsidP="00B83C94">
      <w:pPr>
        <w:pStyle w:val="Prrafodelista"/>
        <w:ind w:left="1134"/>
        <w:rPr>
          <w:rFonts w:cstheme="minorHAnsi"/>
          <w:szCs w:val="24"/>
        </w:rPr>
      </w:pPr>
    </w:p>
    <w:p w:rsidR="00AD6990" w:rsidRPr="003A6523" w:rsidRDefault="00AD6990" w:rsidP="00B83C94">
      <w:pPr>
        <w:pStyle w:val="Prrafodelista"/>
        <w:numPr>
          <w:ilvl w:val="0"/>
          <w:numId w:val="39"/>
        </w:numPr>
        <w:spacing w:after="0" w:line="240" w:lineRule="auto"/>
        <w:rPr>
          <w:rFonts w:cstheme="minorHAnsi"/>
          <w:szCs w:val="24"/>
        </w:rPr>
      </w:pPr>
      <w:r w:rsidRPr="003A6523">
        <w:rPr>
          <w:rFonts w:cstheme="minorHAnsi"/>
          <w:szCs w:val="24"/>
        </w:rPr>
        <w:t>Seminario Regional para Supervisores de Seguros de Latinoamérica ASSAL-FSI-IAIS.</w:t>
      </w:r>
    </w:p>
    <w:p w:rsidR="00AD6990" w:rsidRPr="003A6523" w:rsidRDefault="00AD6990" w:rsidP="00B83C94">
      <w:pPr>
        <w:pStyle w:val="Prrafodelista"/>
        <w:numPr>
          <w:ilvl w:val="0"/>
          <w:numId w:val="39"/>
        </w:numPr>
        <w:spacing w:after="0" w:line="240" w:lineRule="auto"/>
        <w:rPr>
          <w:rFonts w:cstheme="minorHAnsi"/>
          <w:szCs w:val="24"/>
        </w:rPr>
      </w:pPr>
      <w:r w:rsidRPr="003A6523">
        <w:rPr>
          <w:rFonts w:cstheme="minorHAnsi"/>
          <w:szCs w:val="24"/>
        </w:rPr>
        <w:t>XX Conferencia sobre Regulación y Supervisión de Seguros en América Latina IAIS-ASSAL y XXX Asamblea Anual de ASSAL.</w:t>
      </w:r>
    </w:p>
    <w:p w:rsidR="00AD6990" w:rsidRPr="003A6523" w:rsidRDefault="005A1A15" w:rsidP="00B83C94">
      <w:pPr>
        <w:pStyle w:val="Prrafodelista"/>
        <w:numPr>
          <w:ilvl w:val="0"/>
          <w:numId w:val="39"/>
        </w:numPr>
        <w:spacing w:after="0" w:line="240" w:lineRule="auto"/>
        <w:rPr>
          <w:rFonts w:cstheme="minorHAnsi"/>
          <w:szCs w:val="24"/>
        </w:rPr>
      </w:pPr>
      <w:r w:rsidRPr="003A6523">
        <w:rPr>
          <w:rFonts w:cstheme="minorHAnsi"/>
          <w:szCs w:val="24"/>
        </w:rPr>
        <w:t>Programa Insuarance &amp; Pensions de Toronto Centre</w:t>
      </w:r>
    </w:p>
    <w:p w:rsidR="00AD6990" w:rsidRPr="003A6523" w:rsidRDefault="00AD6990" w:rsidP="00B83C94">
      <w:pPr>
        <w:pStyle w:val="Prrafodelista"/>
        <w:numPr>
          <w:ilvl w:val="0"/>
          <w:numId w:val="39"/>
        </w:numPr>
        <w:spacing w:after="0" w:line="240" w:lineRule="auto"/>
        <w:rPr>
          <w:rFonts w:cstheme="minorHAnsi"/>
          <w:szCs w:val="24"/>
        </w:rPr>
      </w:pPr>
      <w:r w:rsidRPr="003A6523">
        <w:rPr>
          <w:rFonts w:cstheme="minorHAnsi"/>
          <w:szCs w:val="24"/>
        </w:rPr>
        <w:t>Core Curriculum Certificate Course</w:t>
      </w:r>
      <w:r w:rsidR="005A1A15" w:rsidRPr="003A6523">
        <w:rPr>
          <w:rFonts w:cstheme="minorHAnsi"/>
          <w:szCs w:val="24"/>
        </w:rPr>
        <w:t xml:space="preserve"> de Toronto Centre</w:t>
      </w:r>
    </w:p>
    <w:p w:rsidR="00AD6990" w:rsidRPr="003A6523" w:rsidRDefault="005A1A15" w:rsidP="00B83C94">
      <w:pPr>
        <w:pStyle w:val="Prrafodelista"/>
        <w:numPr>
          <w:ilvl w:val="0"/>
          <w:numId w:val="39"/>
        </w:numPr>
        <w:spacing w:after="0" w:line="240" w:lineRule="auto"/>
        <w:rPr>
          <w:rFonts w:cstheme="minorHAnsi"/>
          <w:szCs w:val="24"/>
        </w:rPr>
      </w:pPr>
      <w:r w:rsidRPr="003A6523">
        <w:rPr>
          <w:rFonts w:cstheme="minorHAnsi"/>
          <w:szCs w:val="24"/>
        </w:rPr>
        <w:t>XXIX Congreso Nacional de A</w:t>
      </w:r>
      <w:r w:rsidR="00AD6990" w:rsidRPr="003A6523">
        <w:rPr>
          <w:rFonts w:cstheme="minorHAnsi"/>
          <w:szCs w:val="24"/>
        </w:rPr>
        <w:t>ctuarios</w:t>
      </w:r>
      <w:r w:rsidRPr="003A6523">
        <w:rPr>
          <w:rFonts w:cstheme="minorHAnsi"/>
          <w:szCs w:val="24"/>
        </w:rPr>
        <w:t>, de la Asociación Mexicana de Actuarios.</w:t>
      </w:r>
    </w:p>
    <w:p w:rsidR="00AD6990" w:rsidRPr="003A6523" w:rsidRDefault="00AD6990" w:rsidP="00016AB4">
      <w:pPr>
        <w:spacing w:line="240" w:lineRule="auto"/>
        <w:rPr>
          <w:rFonts w:cs="Arial"/>
        </w:rPr>
      </w:pPr>
    </w:p>
    <w:p w:rsidR="003A6523" w:rsidRDefault="003A6523" w:rsidP="003A6523">
      <w:pPr>
        <w:ind w:left="1134"/>
        <w:rPr>
          <w:color w:val="1F497D"/>
        </w:rPr>
      </w:pPr>
      <w:r w:rsidRPr="003A6523">
        <w:rPr>
          <w:rFonts w:cs="Arial"/>
        </w:rPr>
        <w:t>Adicionalmente, esta cu</w:t>
      </w:r>
      <w:r w:rsidR="005F5714">
        <w:rPr>
          <w:rFonts w:cs="Arial"/>
        </w:rPr>
        <w:t>e</w:t>
      </w:r>
      <w:r w:rsidRPr="003A6523">
        <w:rPr>
          <w:rFonts w:cs="Arial"/>
        </w:rPr>
        <w:t xml:space="preserve">nta incluye cuatro </w:t>
      </w:r>
      <w:r w:rsidR="005F5714">
        <w:rPr>
          <w:rFonts w:cs="Arial"/>
        </w:rPr>
        <w:t>misiones</w:t>
      </w:r>
      <w:r w:rsidRPr="003A6523">
        <w:rPr>
          <w:rFonts w:cs="Arial"/>
        </w:rPr>
        <w:t xml:space="preserve"> a Francia relacionados con el proceso de adhesión de país a la Organización de Cooperación y Desarrollo Económico (OCDE), en particular dos reuniones al Comité de Seguros y Pensiones Privadas (IPPC, por su siglas en inglés) y otros dos para asistir a las reuniones </w:t>
      </w:r>
      <w:r w:rsidR="005F5714">
        <w:rPr>
          <w:rFonts w:cs="Arial"/>
        </w:rPr>
        <w:t xml:space="preserve">del </w:t>
      </w:r>
      <w:r w:rsidRPr="003A6523">
        <w:t>Grupo de Trabajo del G20/OECD sobre Protección del Consumidor Financiero).</w:t>
      </w:r>
    </w:p>
    <w:p w:rsidR="003A6523" w:rsidRDefault="003A6523" w:rsidP="00016AB4">
      <w:pPr>
        <w:spacing w:line="240" w:lineRule="auto"/>
        <w:rPr>
          <w:rFonts w:cs="Arial"/>
          <w:highlight w:val="yellow"/>
        </w:rPr>
      </w:pPr>
    </w:p>
    <w:p w:rsidR="00043E29" w:rsidRPr="0057417D" w:rsidRDefault="006876FB" w:rsidP="00016AB4">
      <w:pPr>
        <w:pStyle w:val="Textoindependiente"/>
        <w:rPr>
          <w:rFonts w:asciiTheme="minorHAnsi" w:hAnsiTheme="minorHAnsi" w:cs="Arial"/>
          <w:szCs w:val="24"/>
          <w:u w:val="none"/>
        </w:rPr>
      </w:pPr>
      <w:r w:rsidRPr="0057417D">
        <w:rPr>
          <w:rFonts w:asciiTheme="minorHAnsi" w:hAnsiTheme="minorHAnsi" w:cs="Arial"/>
          <w:szCs w:val="24"/>
          <w:u w:val="none"/>
        </w:rPr>
        <w:t>Por otra parte</w:t>
      </w:r>
      <w:r w:rsidR="000E0259" w:rsidRPr="0057417D">
        <w:rPr>
          <w:rFonts w:asciiTheme="minorHAnsi" w:hAnsiTheme="minorHAnsi" w:cs="Arial"/>
          <w:szCs w:val="24"/>
          <w:u w:val="none"/>
        </w:rPr>
        <w:t>,</w:t>
      </w:r>
      <w:r w:rsidRPr="0057417D">
        <w:rPr>
          <w:rFonts w:asciiTheme="minorHAnsi" w:hAnsiTheme="minorHAnsi" w:cs="Arial"/>
          <w:szCs w:val="24"/>
          <w:u w:val="none"/>
        </w:rPr>
        <w:t xml:space="preserve"> l</w:t>
      </w:r>
      <w:r w:rsidR="00043E29" w:rsidRPr="0057417D">
        <w:rPr>
          <w:rFonts w:asciiTheme="minorHAnsi" w:hAnsiTheme="minorHAnsi" w:cs="Arial"/>
          <w:szCs w:val="24"/>
          <w:u w:val="none"/>
        </w:rPr>
        <w:t xml:space="preserve">a partida de materiales y suministros tuvo una ejecución general del </w:t>
      </w:r>
      <w:r w:rsidR="00380227" w:rsidRPr="0057417D">
        <w:rPr>
          <w:rFonts w:asciiTheme="minorHAnsi" w:hAnsiTheme="minorHAnsi" w:cs="Arial"/>
          <w:szCs w:val="24"/>
          <w:u w:val="none"/>
        </w:rPr>
        <w:t>60,1</w:t>
      </w:r>
      <w:r w:rsidR="00043E29" w:rsidRPr="0057417D">
        <w:rPr>
          <w:rFonts w:asciiTheme="minorHAnsi" w:hAnsiTheme="minorHAnsi" w:cs="Arial"/>
          <w:szCs w:val="24"/>
          <w:u w:val="none"/>
        </w:rPr>
        <w:t>%, correspondiendo en términos absolutos a ¢</w:t>
      </w:r>
      <w:r w:rsidR="00380227" w:rsidRPr="0057417D">
        <w:rPr>
          <w:rFonts w:asciiTheme="minorHAnsi" w:hAnsiTheme="minorHAnsi" w:cs="Arial"/>
          <w:szCs w:val="24"/>
          <w:u w:val="none"/>
        </w:rPr>
        <w:t>4</w:t>
      </w:r>
      <w:r w:rsidR="00043E29" w:rsidRPr="0057417D">
        <w:rPr>
          <w:rFonts w:asciiTheme="minorHAnsi" w:hAnsiTheme="minorHAnsi" w:cs="Arial"/>
          <w:szCs w:val="24"/>
          <w:u w:val="none"/>
        </w:rPr>
        <w:t>,</w:t>
      </w:r>
      <w:r w:rsidR="00380227" w:rsidRPr="0057417D">
        <w:rPr>
          <w:rFonts w:asciiTheme="minorHAnsi" w:hAnsiTheme="minorHAnsi" w:cs="Arial"/>
          <w:szCs w:val="24"/>
          <w:u w:val="none"/>
        </w:rPr>
        <w:t>35</w:t>
      </w:r>
      <w:r w:rsidR="00043E29" w:rsidRPr="0057417D">
        <w:rPr>
          <w:rFonts w:asciiTheme="minorHAnsi" w:hAnsiTheme="minorHAnsi" w:cs="Arial"/>
          <w:szCs w:val="24"/>
          <w:u w:val="none"/>
        </w:rPr>
        <w:t xml:space="preserve"> millones, los cuales incluyen los gastos erogados por la compra de útiles, materiales, artículos y </w:t>
      </w:r>
      <w:r w:rsidR="000E0259" w:rsidRPr="0057417D">
        <w:rPr>
          <w:rFonts w:asciiTheme="minorHAnsi" w:hAnsiTheme="minorHAnsi" w:cs="Arial"/>
          <w:szCs w:val="24"/>
          <w:u w:val="none"/>
        </w:rPr>
        <w:t xml:space="preserve">todo </w:t>
      </w:r>
      <w:r w:rsidR="00043E29" w:rsidRPr="0057417D">
        <w:rPr>
          <w:rFonts w:asciiTheme="minorHAnsi" w:hAnsiTheme="minorHAnsi" w:cs="Arial"/>
          <w:szCs w:val="24"/>
          <w:u w:val="none"/>
        </w:rPr>
        <w:t xml:space="preserve">suministro que </w:t>
      </w:r>
      <w:r w:rsidR="000E0259" w:rsidRPr="0057417D">
        <w:rPr>
          <w:rFonts w:asciiTheme="minorHAnsi" w:hAnsiTheme="minorHAnsi" w:cs="Arial"/>
          <w:szCs w:val="24"/>
          <w:u w:val="none"/>
        </w:rPr>
        <w:t>tenga</w:t>
      </w:r>
      <w:r w:rsidR="00043E29" w:rsidRPr="0057417D">
        <w:rPr>
          <w:rFonts w:asciiTheme="minorHAnsi" w:hAnsiTheme="minorHAnsi" w:cs="Arial"/>
          <w:szCs w:val="24"/>
          <w:u w:val="none"/>
        </w:rPr>
        <w:t xml:space="preserve"> como característica principal una corta duración.</w:t>
      </w:r>
      <w:r w:rsidR="000E0259" w:rsidRPr="0057417D">
        <w:rPr>
          <w:rFonts w:asciiTheme="minorHAnsi" w:hAnsiTheme="minorHAnsi" w:cs="Arial"/>
          <w:szCs w:val="24"/>
          <w:u w:val="none"/>
        </w:rPr>
        <w:t xml:space="preserve">  </w:t>
      </w:r>
      <w:r w:rsidR="00043E29" w:rsidRPr="0057417D">
        <w:rPr>
          <w:rFonts w:asciiTheme="minorHAnsi" w:hAnsiTheme="minorHAnsi" w:cs="Arial"/>
          <w:szCs w:val="24"/>
          <w:u w:val="none"/>
        </w:rPr>
        <w:t xml:space="preserve">Se estima que los artículos adquiridos son consumidos en el lapso de un año, y contribuyen al desarrollo de las actividades y labores de cada día de la oficina. </w:t>
      </w:r>
      <w:r w:rsidR="00C14664" w:rsidRPr="0057417D">
        <w:rPr>
          <w:rFonts w:asciiTheme="minorHAnsi" w:hAnsiTheme="minorHAnsi" w:cs="Arial"/>
          <w:szCs w:val="24"/>
          <w:u w:val="none"/>
        </w:rPr>
        <w:t>Dentro de éstos se</w:t>
      </w:r>
      <w:r w:rsidR="00043E29" w:rsidRPr="0057417D">
        <w:rPr>
          <w:rFonts w:asciiTheme="minorHAnsi" w:hAnsiTheme="minorHAnsi" w:cs="Arial"/>
          <w:szCs w:val="24"/>
          <w:u w:val="none"/>
        </w:rPr>
        <w:t xml:space="preserve"> incluyen los gastos erogados y presupuestados, como por ejemplo; tintas, pintura y diluyentes, materiales y útiles de oficina, limpieza, resguardo y seguridad, productos de papel, entre otros. </w:t>
      </w:r>
    </w:p>
    <w:p w:rsidR="000E0259" w:rsidRPr="0057417D" w:rsidRDefault="000E0259" w:rsidP="00016AB4">
      <w:pPr>
        <w:spacing w:line="240" w:lineRule="auto"/>
        <w:rPr>
          <w:rFonts w:cs="Arial"/>
          <w:szCs w:val="24"/>
        </w:rPr>
      </w:pPr>
    </w:p>
    <w:p w:rsidR="00EC1F2C" w:rsidRPr="0057417D" w:rsidRDefault="00EC1F2C" w:rsidP="00016AB4">
      <w:pPr>
        <w:spacing w:line="240" w:lineRule="auto"/>
        <w:rPr>
          <w:rFonts w:cs="Arial"/>
          <w:szCs w:val="24"/>
        </w:rPr>
      </w:pPr>
    </w:p>
    <w:p w:rsidR="00B04562" w:rsidRPr="0057417D" w:rsidRDefault="00B04562" w:rsidP="00016AB4">
      <w:pPr>
        <w:spacing w:line="240" w:lineRule="auto"/>
        <w:rPr>
          <w:rFonts w:cs="Arial"/>
          <w:szCs w:val="24"/>
        </w:rPr>
      </w:pPr>
    </w:p>
    <w:p w:rsidR="0046129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3" w:name="_Toc473007001"/>
      <w:r w:rsidRPr="0057417D">
        <w:rPr>
          <w:rFonts w:ascii="Century Gothic" w:eastAsiaTheme="majorEastAsia" w:hAnsi="Century Gothic" w:cstheme="majorBidi"/>
          <w:color w:val="365F91" w:themeColor="accent1" w:themeShade="BF"/>
          <w:kern w:val="0"/>
          <w:sz w:val="28"/>
          <w:szCs w:val="28"/>
          <w:lang w:eastAsia="es-CR"/>
        </w:rPr>
        <w:t>ORGANIZACIÓN</w:t>
      </w:r>
      <w:bookmarkEnd w:id="3"/>
    </w:p>
    <w:p w:rsidR="000E2392" w:rsidRPr="0057417D" w:rsidRDefault="000E2392" w:rsidP="00016AB4">
      <w:pPr>
        <w:spacing w:line="240" w:lineRule="auto"/>
      </w:pPr>
    </w:p>
    <w:p w:rsidR="006074F7" w:rsidRPr="0057417D" w:rsidRDefault="00A547D8" w:rsidP="00016AB4">
      <w:pPr>
        <w:pStyle w:val="Ttulo2"/>
        <w:numPr>
          <w:ilvl w:val="0"/>
          <w:numId w:val="4"/>
        </w:numPr>
        <w:spacing w:before="0" w:line="240" w:lineRule="auto"/>
        <w:rPr>
          <w:b/>
          <w:lang w:eastAsia="es-CR"/>
        </w:rPr>
      </w:pPr>
      <w:r w:rsidRPr="0057417D">
        <w:rPr>
          <w:b/>
          <w:lang w:eastAsia="es-CR"/>
        </w:rPr>
        <w:t>Organigrama</w:t>
      </w:r>
    </w:p>
    <w:p w:rsidR="00AC0BAB" w:rsidRPr="0057417D" w:rsidRDefault="00AC0BAB" w:rsidP="00016AB4">
      <w:pPr>
        <w:spacing w:line="240" w:lineRule="auto"/>
        <w:rPr>
          <w:lang w:eastAsia="es-CR"/>
        </w:rPr>
      </w:pPr>
    </w:p>
    <w:p w:rsidR="002437B8" w:rsidRPr="0057417D" w:rsidRDefault="00213D81" w:rsidP="00016AB4">
      <w:pPr>
        <w:spacing w:line="240" w:lineRule="auto"/>
        <w:rPr>
          <w:lang w:eastAsia="es-CR"/>
        </w:rPr>
      </w:pPr>
      <w:r w:rsidRPr="0057417D">
        <w:rPr>
          <w:lang w:eastAsia="es-CR"/>
        </w:rPr>
        <w:t xml:space="preserve"> El gráfico 1 muestra la estructura organizacional de la Superintendencia</w:t>
      </w:r>
      <w:r w:rsidR="00116B95" w:rsidRPr="0057417D">
        <w:rPr>
          <w:lang w:eastAsia="es-CR"/>
        </w:rPr>
        <w:t xml:space="preserve"> en el año 201</w:t>
      </w:r>
      <w:r w:rsidR="00380227" w:rsidRPr="0057417D">
        <w:rPr>
          <w:lang w:eastAsia="es-CR"/>
        </w:rPr>
        <w:t>9</w:t>
      </w:r>
      <w:r w:rsidRPr="0057417D">
        <w:rPr>
          <w:lang w:eastAsia="es-CR"/>
        </w:rPr>
        <w:t>.</w:t>
      </w:r>
    </w:p>
    <w:p w:rsidR="00373405" w:rsidRPr="0057417D" w:rsidRDefault="00373405" w:rsidP="00016AB4">
      <w:pPr>
        <w:spacing w:line="240" w:lineRule="auto"/>
        <w:jc w:val="center"/>
        <w:rPr>
          <w:rFonts w:ascii="Century Gothic" w:hAnsi="Century Gothic"/>
          <w:b/>
          <w:color w:val="002060"/>
          <w:sz w:val="20"/>
          <w:szCs w:val="20"/>
        </w:rPr>
      </w:pPr>
    </w:p>
    <w:p w:rsidR="00B12944" w:rsidRPr="0057417D" w:rsidRDefault="00B12944" w:rsidP="00016AB4">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GRÁFICO 1</w:t>
      </w:r>
    </w:p>
    <w:p w:rsidR="00B12944" w:rsidRPr="0057417D" w:rsidRDefault="00B12944"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ORGANIGRAMA</w:t>
      </w:r>
    </w:p>
    <w:p w:rsidR="00B12944" w:rsidRPr="0057417D" w:rsidRDefault="00B12944" w:rsidP="00016AB4">
      <w:pPr>
        <w:spacing w:line="240" w:lineRule="auto"/>
        <w:jc w:val="center"/>
        <w:rPr>
          <w:rFonts w:ascii="Century Gothic" w:hAnsi="Century Gothic" w:cs="Century Gothic"/>
          <w:kern w:val="24"/>
          <w:sz w:val="20"/>
          <w:szCs w:val="20"/>
        </w:rPr>
      </w:pPr>
      <w:r w:rsidRPr="0057417D">
        <w:rPr>
          <w:rFonts w:ascii="Century Gothic" w:hAnsi="Century Gothic" w:cs="Century Gothic"/>
          <w:kern w:val="24"/>
          <w:sz w:val="20"/>
          <w:szCs w:val="20"/>
        </w:rPr>
        <w:t>Superintendencia General de Seguros</w:t>
      </w:r>
    </w:p>
    <w:p w:rsidR="00ED2070" w:rsidRPr="0057417D" w:rsidRDefault="00ED2070" w:rsidP="00016AB4">
      <w:pPr>
        <w:spacing w:line="240" w:lineRule="auto"/>
        <w:jc w:val="center"/>
        <w:rPr>
          <w:color w:val="0070C0"/>
          <w:highlight w:val="yellow"/>
          <w:lang w:eastAsia="es-CR"/>
        </w:rPr>
      </w:pPr>
      <w:r w:rsidRPr="0057417D">
        <w:rPr>
          <w:rFonts w:ascii="Calibri" w:hAnsi="Calibri" w:cstheme="minorHAnsi"/>
          <w:noProof/>
          <w:szCs w:val="24"/>
          <w:highlight w:val="yellow"/>
          <w:lang w:eastAsia="es-CR"/>
        </w:rPr>
        <mc:AlternateContent>
          <mc:Choice Requires="wpg">
            <w:drawing>
              <wp:anchor distT="0" distB="0" distL="114300" distR="114300" simplePos="0" relativeHeight="251658242" behindDoc="0" locked="0" layoutInCell="1" allowOverlap="1" wp14:anchorId="5D508F7A" wp14:editId="46E27832">
                <wp:simplePos x="0" y="0"/>
                <wp:positionH relativeFrom="column">
                  <wp:posOffset>252284</wp:posOffset>
                </wp:positionH>
                <wp:positionV relativeFrom="paragraph">
                  <wp:posOffset>110571</wp:posOffset>
                </wp:positionV>
                <wp:extent cx="5650230" cy="3238500"/>
                <wp:effectExtent l="76200" t="57150" r="64770" b="114300"/>
                <wp:wrapNone/>
                <wp:docPr id="23" name="477 Grupo"/>
                <wp:cNvGraphicFramePr/>
                <a:graphic xmlns:a="http://schemas.openxmlformats.org/drawingml/2006/main">
                  <a:graphicData uri="http://schemas.microsoft.com/office/word/2010/wordprocessingGroup">
                    <wpg:wgp>
                      <wpg:cNvGrpSpPr/>
                      <wpg:grpSpPr>
                        <a:xfrm>
                          <a:off x="0" y="0"/>
                          <a:ext cx="5650230" cy="3238500"/>
                          <a:chOff x="0" y="0"/>
                          <a:chExt cx="5650230" cy="3238500"/>
                        </a:xfrm>
                      </wpg:grpSpPr>
                      <wps:wsp>
                        <wps:cNvPr id="546" name="471 Conector recto"/>
                        <wps:cNvCnPr/>
                        <wps:spPr>
                          <a:xfrm>
                            <a:off x="552450" y="933450"/>
                            <a:ext cx="448754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cNvPr id="547" name="476 Grupo"/>
                        <wpg:cNvGrpSpPr/>
                        <wpg:grpSpPr>
                          <a:xfrm>
                            <a:off x="0" y="0"/>
                            <a:ext cx="5650230" cy="3238500"/>
                            <a:chOff x="0" y="0"/>
                            <a:chExt cx="5650230" cy="3238500"/>
                          </a:xfrm>
                        </wpg:grpSpPr>
                        <wpg:grpSp>
                          <wpg:cNvPr id="550" name="27 Grupo"/>
                          <wpg:cNvGrpSpPr/>
                          <wpg:grpSpPr>
                            <a:xfrm>
                              <a:off x="0" y="0"/>
                              <a:ext cx="5650230" cy="3238500"/>
                              <a:chOff x="0" y="0"/>
                              <a:chExt cx="5680582" cy="3353169"/>
                            </a:xfrm>
                            <a:scene3d>
                              <a:camera prst="orthographicFront">
                                <a:rot lat="0" lon="0" rev="0"/>
                              </a:camera>
                              <a:lightRig rig="balanced" dir="t">
                                <a:rot lat="0" lon="0" rev="8700000"/>
                              </a:lightRig>
                            </a:scene3d>
                          </wpg:grpSpPr>
                          <wps:wsp>
                            <wps:cNvPr id="551" name="22 Conector recto"/>
                            <wps:cNvCnPr/>
                            <wps:spPr>
                              <a:xfrm>
                                <a:off x="5067300" y="962025"/>
                                <a:ext cx="0" cy="1541944"/>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cNvPr id="552" name="26 Grupo"/>
                            <wpg:cNvGrpSpPr/>
                            <wpg:grpSpPr>
                              <a:xfrm>
                                <a:off x="0" y="0"/>
                                <a:ext cx="5680582" cy="3353169"/>
                                <a:chOff x="0" y="0"/>
                                <a:chExt cx="5680582" cy="3353169"/>
                              </a:xfrm>
                            </wpg:grpSpPr>
                            <wps:wsp>
                              <wps:cNvPr id="553" name="6 Forma libre"/>
                              <wps:cNvSpPr/>
                              <wps:spPr>
                                <a:xfrm>
                                  <a:off x="2400300" y="762000"/>
                                  <a:ext cx="73032" cy="356199"/>
                                </a:xfrm>
                                <a:custGeom>
                                  <a:avLst/>
                                  <a:gdLst/>
                                  <a:ahLst/>
                                  <a:cxnLst/>
                                  <a:rect l="0" t="0" r="0" b="0"/>
                                  <a:pathLst>
                                    <a:path>
                                      <a:moveTo>
                                        <a:pt x="45720" y="0"/>
                                      </a:moveTo>
                                      <a:lnTo>
                                        <a:pt x="45720" y="374265"/>
                                      </a:lnTo>
                                    </a:path>
                                  </a:pathLst>
                                </a:custGeom>
                                <a:no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Default="005F5714" w:rsidP="00ED2070">
                                    <w:pPr>
                                      <w:rPr>
                                        <w:rFonts w:eastAsia="Times New Roman"/>
                                      </w:rPr>
                                    </w:pPr>
                                  </w:p>
                                </w:txbxContent>
                              </wps:txbx>
                              <wps:bodyPr/>
                            </wps:wsp>
                            <wpg:grpSp>
                              <wpg:cNvPr id="554" name="25 Grupo"/>
                              <wpg:cNvGrpSpPr/>
                              <wpg:grpSpPr>
                                <a:xfrm>
                                  <a:off x="0" y="0"/>
                                  <a:ext cx="5680582" cy="3353169"/>
                                  <a:chOff x="0" y="0"/>
                                  <a:chExt cx="5680582" cy="3353169"/>
                                </a:xfrm>
                              </wpg:grpSpPr>
                              <wpg:grpSp>
                                <wpg:cNvPr id="555" name="24 Grupo"/>
                                <wpg:cNvGrpSpPr/>
                                <wpg:grpSpPr>
                                  <a:xfrm>
                                    <a:off x="0" y="0"/>
                                    <a:ext cx="5680582" cy="3353169"/>
                                    <a:chOff x="0" y="0"/>
                                    <a:chExt cx="5680582" cy="3353169"/>
                                  </a:xfrm>
                                </wpg:grpSpPr>
                                <wpg:grpSp>
                                  <wpg:cNvPr id="556" name="20 Grupo"/>
                                  <wpg:cNvGrpSpPr/>
                                  <wpg:grpSpPr>
                                    <a:xfrm>
                                      <a:off x="0" y="0"/>
                                      <a:ext cx="5680582" cy="3353169"/>
                                      <a:chOff x="0" y="0"/>
                                      <a:chExt cx="5680582" cy="3353169"/>
                                    </a:xfrm>
                                  </wpg:grpSpPr>
                                  <wpg:grpSp>
                                    <wpg:cNvPr id="557" name="15 Grupo"/>
                                    <wpg:cNvGrpSpPr/>
                                    <wpg:grpSpPr>
                                      <a:xfrm>
                                        <a:off x="0" y="0"/>
                                        <a:ext cx="5680582" cy="3353169"/>
                                        <a:chOff x="0" y="0"/>
                                        <a:chExt cx="5680582" cy="3353169"/>
                                      </a:xfrm>
                                    </wpg:grpSpPr>
                                    <wps:wsp>
                                      <wps:cNvPr id="558" name="8 Forma libre"/>
                                      <wps:cNvSpPr/>
                                      <wps:spPr>
                                        <a:xfrm>
                                          <a:off x="1724025" y="0"/>
                                          <a:ext cx="1325784" cy="757430"/>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62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Pr="00DA0709" w:rsidRDefault="005F5714"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rsidR="005F5714" w:rsidRPr="00DA0709" w:rsidRDefault="005F5714"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wps:txbx>
                                      <wps:bodyPr spcFirstLastPara="0" vert="horz" wrap="square" lIns="12700" tIns="12700" rIns="12700" bIns="12700" numCol="1" spcCol="1270" anchor="ctr" anchorCtr="0">
                                        <a:noAutofit/>
                                      </wps:bodyPr>
                                    </wps:wsp>
                                    <wps:wsp>
                                      <wps:cNvPr id="559" name="9 Forma libre"/>
                                      <wps:cNvSpPr/>
                                      <wps:spPr>
                                        <a:xfrm>
                                          <a:off x="0" y="1114425"/>
                                          <a:ext cx="1150245"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rsidR="005F5714" w:rsidRPr="00DA0709" w:rsidRDefault="005F5714" w:rsidP="00ED2070">
                                            <w:pPr>
                                              <w:pStyle w:val="NormalWeb"/>
                                              <w:spacing w:before="0" w:after="134" w:afterAutospacing="0" w:line="216" w:lineRule="auto"/>
                                              <w:jc w:val="center"/>
                                              <w:rPr>
                                                <w:sz w:val="20"/>
                                              </w:rPr>
                                            </w:pPr>
                                            <w:r w:rsidRPr="00DA0709">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8</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s:wsp>
                                      <wps:cNvPr id="561" name="10 Forma libre"/>
                                      <wps:cNvSpPr/>
                                      <wps:spPr>
                                        <a:xfrm>
                                          <a:off x="1724025" y="1114425"/>
                                          <a:ext cx="1325784"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rsidR="005F5714" w:rsidRPr="00DA0709" w:rsidRDefault="005F5714"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(21</w:t>
                                            </w:r>
                                            <w:r w:rsidRPr="00DA0709">
                                              <w:rPr>
                                                <w:rFonts w:asciiTheme="minorHAnsi" w:hAnsi="Calibri" w:cstheme="minorBidi"/>
                                                <w:bCs/>
                                                <w:color w:val="FFFFFF" w:themeColor="light1"/>
                                                <w:kern w:val="24"/>
                                                <w:sz w:val="22"/>
                                                <w:szCs w:val="32"/>
                                              </w:rPr>
                                              <w:t xml:space="preserve"> funcionarios)</w:t>
                                            </w:r>
                                          </w:p>
                                          <w:p w:rsidR="005F5714" w:rsidRPr="00DA0709" w:rsidRDefault="005F5714" w:rsidP="00ED2070">
                                            <w:pPr>
                                              <w:pStyle w:val="NormalWeb"/>
                                              <w:spacing w:before="0" w:after="134" w:afterAutospacing="0" w:line="216" w:lineRule="auto"/>
                                              <w:jc w:val="center"/>
                                              <w:rPr>
                                                <w:sz w:val="20"/>
                                              </w:rPr>
                                            </w:pPr>
                                          </w:p>
                                        </w:txbxContent>
                                      </wps:txbx>
                                      <wps:bodyPr spcFirstLastPara="0" vert="horz" wrap="square" lIns="12700" tIns="12700" rIns="12700" bIns="12700" numCol="1" spcCol="1270" anchor="ctr" anchorCtr="0">
                                        <a:noAutofit/>
                                      </wps:bodyPr>
                                    </wps:wsp>
                                    <wps:wsp>
                                      <wps:cNvPr id="562" name="11 Forma libre"/>
                                      <wps:cNvSpPr/>
                                      <wps:spPr>
                                        <a:xfrm>
                                          <a:off x="3448050" y="1114425"/>
                                          <a:ext cx="1271273" cy="848094"/>
                                        </a:xfrm>
                                        <a:custGeom>
                                          <a:avLst/>
                                          <a:gdLst>
                                            <a:gd name="connsiteX0" fmla="*/ 0 w 1782216"/>
                                            <a:gd name="connsiteY0" fmla="*/ 0 h 891108"/>
                                            <a:gd name="connsiteX1" fmla="*/ 1782216 w 1782216"/>
                                            <a:gd name="connsiteY1" fmla="*/ 0 h 891108"/>
                                            <a:gd name="connsiteX2" fmla="*/ 1782216 w 1782216"/>
                                            <a:gd name="connsiteY2" fmla="*/ 891108 h 891108"/>
                                            <a:gd name="connsiteX3" fmla="*/ 0 w 1782216"/>
                                            <a:gd name="connsiteY3" fmla="*/ 891108 h 891108"/>
                                            <a:gd name="connsiteX4" fmla="*/ 0 w 1782216"/>
                                            <a:gd name="connsiteY4" fmla="*/ 0 h 8911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2216" h="891108">
                                              <a:moveTo>
                                                <a:pt x="0" y="0"/>
                                              </a:moveTo>
                                              <a:lnTo>
                                                <a:pt x="1782216" y="0"/>
                                              </a:lnTo>
                                              <a:lnTo>
                                                <a:pt x="1782216" y="891108"/>
                                              </a:lnTo>
                                              <a:lnTo>
                                                <a:pt x="0" y="891108"/>
                                              </a:lnTo>
                                              <a:lnTo>
                                                <a:pt x="0" y="0"/>
                                              </a:lnTo>
                                              <a:close/>
                                            </a:path>
                                          </a:pathLst>
                                        </a:cu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rsidR="005F5714" w:rsidRPr="00DA0709" w:rsidRDefault="005F5714" w:rsidP="00ED2070">
                                            <w:pPr>
                                              <w:pStyle w:val="NormalWeb"/>
                                              <w:spacing w:before="0" w:after="134" w:afterAutospacing="0" w:line="216" w:lineRule="auto"/>
                                              <w:jc w:val="center"/>
                                            </w:pP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wps:txbx>
                                      <wps:bodyPr spcFirstLastPara="0" vert="horz" wrap="square" lIns="12700" tIns="12700" rIns="12700" bIns="12700" numCol="1" spcCol="1270" anchor="ctr" anchorCtr="0">
                                        <a:noAutofit/>
                                      </wps:bodyPr>
                                    </wps:wsp>
                                    <wpg:grpSp>
                                      <wpg:cNvPr id="563" name="12 Grupo"/>
                                      <wpg:cNvGrpSpPr/>
                                      <wpg:grpSpPr>
                                        <a:xfrm>
                                          <a:off x="4457700" y="2505075"/>
                                          <a:ext cx="1222882" cy="848094"/>
                                          <a:chOff x="5576635" y="2727004"/>
                                          <a:chExt cx="1782216" cy="891108"/>
                                        </a:xfrm>
                                      </wpg:grpSpPr>
                                      <wps:wsp>
                                        <wps:cNvPr id="564" name="13 Rectángulo"/>
                                        <wps:cNvSpPr/>
                                        <wps:spPr>
                                          <a:xfrm>
                                            <a:off x="5576635" y="2727004"/>
                                            <a:ext cx="1782216" cy="891108"/>
                                          </a:xfrm>
                                          <a:prstGeom prst="rect">
                                            <a:avLst/>
                                          </a:prstGeom>
                                          <a:gradFill flip="none" rotWithShape="1">
                                            <a:gsLst>
                                              <a:gs pos="0">
                                                <a:srgbClr val="4F81BD">
                                                  <a:hueOff val="0"/>
                                                  <a:satOff val="0"/>
                                                  <a:lumOff val="0"/>
                                                  <a:shade val="30000"/>
                                                  <a:satMod val="115000"/>
                                                </a:srgbClr>
                                              </a:gs>
                                              <a:gs pos="50000">
                                                <a:srgbClr val="4F81BD">
                                                  <a:hueOff val="0"/>
                                                  <a:satOff val="0"/>
                                                  <a:lumOff val="0"/>
                                                  <a:shade val="67500"/>
                                                  <a:satMod val="115000"/>
                                                </a:srgbClr>
                                              </a:gs>
                                              <a:gs pos="100000">
                                                <a:srgbClr val="4F81BD">
                                                  <a:hueOff val="0"/>
                                                  <a:satOff val="0"/>
                                                  <a:lumOff val="0"/>
                                                  <a:shade val="100000"/>
                                                  <a:satMod val="115000"/>
                                                </a:srgbClr>
                                              </a:gs>
                                            </a:gsLst>
                                            <a:lin ang="13500000" scaled="1"/>
                                            <a:tileRect/>
                                          </a:gradFill>
                                          <a:ln w="25400" cap="flat" cmpd="sng" algn="ctr">
                                            <a:noFill/>
                                            <a:prstDash val="solid"/>
                                          </a:ln>
                                          <a:effectLst>
                                            <a:outerShdw blurRad="44450" dist="27940" dir="5400000" algn="ctr">
                                              <a:srgbClr val="000000">
                                                <a:alpha val="32000"/>
                                              </a:srgbClr>
                                            </a:outerShdw>
                                          </a:effectLst>
                                          <a:sp3d>
                                            <a:bevelT w="190500" h="38100"/>
                                          </a:sp3d>
                                        </wps:spPr>
                                        <wps:txbx>
                                          <w:txbxContent>
                                            <w:p w:rsidR="005F5714" w:rsidRPr="00F23093" w:rsidRDefault="005F5714" w:rsidP="00ED2070">
                                              <w:pPr>
                                                <w:rPr>
                                                  <w:rFonts w:eastAsia="Times New Roman"/>
                                                  <w:sz w:val="16"/>
                                                </w:rPr>
                                              </w:pPr>
                                            </w:p>
                                          </w:txbxContent>
                                        </wps:txbx>
                                        <wps:bodyPr/>
                                      </wps:wsp>
                                      <wps:wsp>
                                        <wps:cNvPr id="565" name="14 Rectángulo"/>
                                        <wps:cNvSpPr/>
                                        <wps:spPr>
                                          <a:xfrm>
                                            <a:off x="5576635" y="2727004"/>
                                            <a:ext cx="1782216" cy="891108"/>
                                          </a:xfrm>
                                          <a:prstGeom prst="rect">
                                            <a:avLst/>
                                          </a:prstGeom>
                                          <a:noFill/>
                                          <a:ln>
                                            <a:noFill/>
                                          </a:ln>
                                          <a:effectLst>
                                            <a:outerShdw blurRad="44450" dist="27940" dir="5400000" algn="ctr">
                                              <a:srgbClr val="000000">
                                                <a:alpha val="32000"/>
                                              </a:srgbClr>
                                            </a:outerShdw>
                                          </a:effectLst>
                                          <a:sp3d>
                                            <a:bevelT w="190500" h="38100"/>
                                          </a:sp3d>
                                        </wps:spPr>
                                        <wps:txbx>
                                          <w:txbxContent>
                                            <w:p w:rsidR="005F5714" w:rsidRPr="00DA0709" w:rsidRDefault="005F5714"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rsidR="005F5714" w:rsidRPr="00DA0709" w:rsidRDefault="005F5714" w:rsidP="00ED2070">
                                              <w:pPr>
                                                <w:pStyle w:val="NormalWeb"/>
                                                <w:spacing w:before="0" w:after="118" w:afterAutospacing="0" w:line="216" w:lineRule="auto"/>
                                                <w:jc w:val="center"/>
                                                <w:rPr>
                                                  <w:sz w:val="20"/>
                                                </w:rPr>
                                              </w:pPr>
                                              <w:r w:rsidRPr="00DA0709">
                                                <w:rPr>
                                                  <w:rFonts w:asciiTheme="minorHAnsi" w:hAnsi="Calibri" w:cstheme="minorBidi"/>
                                                  <w:bCs/>
                                                  <w:color w:val="FFFFFF" w:themeColor="light1"/>
                                                  <w:kern w:val="24"/>
                                                  <w:sz w:val="22"/>
                                                  <w:szCs w:val="28"/>
                                                </w:rPr>
                                                <w:t>(</w:t>
                                              </w:r>
                                              <w:r>
                                                <w:rPr>
                                                  <w:rFonts w:asciiTheme="minorHAnsi" w:hAnsi="Calibri" w:cstheme="minorBidi"/>
                                                  <w:bCs/>
                                                  <w:color w:val="FFFFFF" w:themeColor="light1"/>
                                                  <w:kern w:val="24"/>
                                                  <w:sz w:val="22"/>
                                                  <w:szCs w:val="28"/>
                                                </w:rPr>
                                                <w:t>9</w:t>
                                              </w:r>
                                              <w:r w:rsidRPr="00DA0709">
                                                <w:rPr>
                                                  <w:rFonts w:asciiTheme="minorHAnsi" w:hAnsi="Calibri" w:cstheme="minorBidi"/>
                                                  <w:bCs/>
                                                  <w:color w:val="FFFFFF" w:themeColor="light1"/>
                                                  <w:kern w:val="24"/>
                                                  <w:sz w:val="22"/>
                                                  <w:szCs w:val="28"/>
                                                </w:rPr>
                                                <w:t xml:space="preserve"> funcionarios)</w:t>
                                              </w:r>
                                            </w:p>
                                          </w:txbxContent>
                                        </wps:txbx>
                                        <wps:bodyPr spcFirstLastPara="0" vert="horz" wrap="square" lIns="12700" tIns="12700" rIns="12700" bIns="12700" numCol="1" spcCol="1270" anchor="ctr" anchorCtr="0">
                                          <a:noAutofit/>
                                        </wps:bodyPr>
                                      </wps:wsp>
                                    </wpg:grpSp>
                                  </wpg:grpSp>
                                  <wps:wsp>
                                    <wps:cNvPr id="566" name="20 Conector recto"/>
                                    <wps:cNvCnPr/>
                                    <wps:spPr>
                                      <a:xfrm>
                                        <a:off x="485775" y="952500"/>
                                        <a:ext cx="4581525" cy="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7" name="20 Conector recto"/>
                                  <wps:cNvCnPr/>
                                  <wps:spPr>
                                    <a:xfrm flipV="1">
                                      <a:off x="485775" y="952500"/>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s:wsp>
                                <wps:cNvPr id="568" name="20 Conector recto"/>
                                <wps:cNvCnPr/>
                                <wps:spPr>
                                  <a:xfrm flipV="1">
                                    <a:off x="4057650" y="962025"/>
                                    <a:ext cx="0" cy="152400"/>
                                  </a:xfrm>
                                  <a:prstGeom prst="line">
                                    <a:avLst/>
                                  </a:prstGeom>
                                  <a:noFill/>
                                  <a:ln w="25400" cap="flat" cmpd="sng" algn="ctr">
                                    <a:noFill/>
                                    <a:prstDash val="solid"/>
                                  </a:ln>
                                  <a:effectLst>
                                    <a:outerShdw blurRad="44450" dist="27940" dir="5400000" algn="ctr">
                                      <a:srgbClr val="000000">
                                        <a:alpha val="32000"/>
                                      </a:srgbClr>
                                    </a:outerShdw>
                                  </a:effectLst>
                                  <a:sp3d>
                                    <a:bevelT w="190500" h="38100"/>
                                  </a:sp3d>
                                </wps:spPr>
                                <wps:bodyPr/>
                              </wps:wsp>
                            </wpg:grpSp>
                          </wpg:grpSp>
                        </wpg:grpSp>
                        <wpg:grpSp>
                          <wpg:cNvPr id="569" name="475 Grupo"/>
                          <wpg:cNvGrpSpPr/>
                          <wpg:grpSpPr>
                            <a:xfrm>
                              <a:off x="552450" y="733425"/>
                              <a:ext cx="4486275" cy="1685925"/>
                              <a:chOff x="0" y="0"/>
                              <a:chExt cx="4486275" cy="1685925"/>
                            </a:xfrm>
                          </wpg:grpSpPr>
                          <wps:wsp>
                            <wps:cNvPr id="570" name="469 Conector recto"/>
                            <wps:cNvCnPr/>
                            <wps:spPr>
                              <a:xfrm>
                                <a:off x="1838325" y="0"/>
                                <a:ext cx="0" cy="344018"/>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1" name="472 Conector recto"/>
                            <wps:cNvCnPr/>
                            <wps:spPr>
                              <a:xfrm>
                                <a:off x="4486275" y="200025"/>
                                <a:ext cx="0" cy="1485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2" name="473 Conector recto"/>
                            <wps:cNvCnPr/>
                            <wps:spPr>
                              <a:xfrm>
                                <a:off x="0" y="200025"/>
                                <a:ext cx="0" cy="14605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73" name="474 Conector recto"/>
                            <wps:cNvCnPr/>
                            <wps:spPr>
                              <a:xfrm>
                                <a:off x="3476625" y="209550"/>
                                <a:ext cx="0" cy="146050"/>
                              </a:xfrm>
                              <a:prstGeom prst="line">
                                <a:avLst/>
                              </a:prstGeom>
                              <a:noFill/>
                              <a:ln w="25400" cap="flat" cmpd="sng" algn="ctr">
                                <a:solidFill>
                                  <a:srgbClr val="4F81BD">
                                    <a:shade val="95000"/>
                                    <a:satMod val="105000"/>
                                  </a:srgbClr>
                                </a:solidFill>
                                <a:prstDash val="solid"/>
                              </a:ln>
                              <a:effectLst/>
                            </wps:spPr>
                            <wps:bodyPr/>
                          </wps:wsp>
                        </wpg:grpSp>
                      </wpg:grpSp>
                    </wpg:wgp>
                  </a:graphicData>
                </a:graphic>
              </wp:anchor>
            </w:drawing>
          </mc:Choice>
          <mc:Fallback>
            <w:pict>
              <v:group w14:anchorId="5D508F7A" id="477 Grupo" o:spid="_x0000_s1027" style="position:absolute;left:0;text-align:left;margin-left:19.85pt;margin-top:8.7pt;width:444.9pt;height:255pt;z-index:251658242" coordsize="56502,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">
                <v:line id="471 Conector recto" o:spid="_x0000_s1028" style="position:absolute;visibility:visible;mso-wrap-style:square" from="5524,9334" to="50399,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ZreMYAAADcAAAADwAAAGRycy9kb3ducmV2LnhtbESP3WrCQBSE7wu+w3IE7+rGGmNJXUWK&#10;RelFgz8PcJo9TYLZs2F3q/HtXaHQy2FmvmEWq9604kLON5YVTMYJCOLS6oYrBafjx/MrCB+QNbaW&#10;ScGNPKyWg6cF5tpeeU+XQ6hEhLDPUUEdQpdL6cuaDPqx7Yij92OdwRClq6R2eI1w08qXJMmkwYbj&#10;Qo0dvddUng+/RoH+nM+nu83pq2g3aVF8++6M25lSo2G/fgMRqA//4b/2TiuYpRk8zs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2a3jGAAAA3AAAAA8AAAAAAAAA&#10;AAAAAAAAoQIAAGRycy9kb3ducmV2LnhtbFBLBQYAAAAABAAEAPkAAACUAwAAAAA=&#10;" strokecolor="#4f81bd [3204]" strokeweight="2pt">
                  <v:stroke joinstyle="miter"/>
                </v:line>
                <v:group id="476 Grupo" o:spid="_x0000_s1029" style="position:absolute;width:56502;height:32385" coordsize="56502,32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group id="27 Grupo" o:spid="_x0000_s1030" style="position:absolute;width:56502;height:32385"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line id="22 Conector recto" o:spid="_x0000_s1031" style="position:absolute;visibility:visible;mso-wrap-style:square" from="50673,9620" to="50673,2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hiCsUAAADcAAAADwAAAGRycy9kb3ducmV2LnhtbESPW2sCMRSE3wv9D+EIvtWsFaVdjdIL&#10;hdIH8cY+HzbHTXRzsmzSdf33TUHwcZiZb5jFqne16KgN1rOC8SgDQVx6bblScNh/Pb2ACBFZY+2Z&#10;FFwpwGr5+LDAXPsLb6nbxUokCIccFZgYm1zKUBpyGEa+IU7e0bcOY5JtJXWLlwR3tXzOspl0aDkt&#10;GGzow1B53v06BZPO/9j6c1+8rzezzfXVFifjC6WGg/5tDiJSH+/hW/tbK5hOx/B/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hiCsUAAADcAAAADwAAAAAAAAAA&#10;AAAAAAChAgAAZHJzL2Rvd25yZXYueG1sUEsFBgAAAAAEAAQA+QAAAJMDAAAAAA==&#10;" stroked="f" strokeweight="2pt">
                      <v:shadow on="t" color="black" opacity="20971f" offset="0,2.2pt"/>
                    </v:line>
                    <v:group id="26 Grupo" o:spid="_x0000_s1032" style="position:absolute;width:56805;height:33531"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6 Forma libre" o:spid="_x0000_s1033" style="position:absolute;left:24003;top:7620;width:730;height:3561;visibility:visible;mso-wrap-style:square;v-text-anchor:top" coordsize="73032,356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07sYA&#10;AADcAAAADwAAAGRycy9kb3ducmV2LnhtbESPW2sCMRSE34X+h3AKvmlWxQtboxRR0AdLvSD4dtic&#10;7m7dnCxJ1PXfG6HQx2FmvmGm88ZU4kbOl5YV9LoJCOLM6pJzBcfDqjMB4QOyxsoyKXiQh/nsrTXF&#10;VNs77+i2D7mIEPYpKihCqFMpfVaQQd+1NXH0fqwzGKJ0udQO7xFuKtlPkpE0WHJcKLCmRUHZZX81&#10;Cq7h1PDX96Y37i8lbke/4/Nl65RqvzefHyACNeE//NdeawXD4QBeZ+IR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L07sYAAADcAAAADwAAAAAAAAAAAAAAAACYAgAAZHJz&#10;L2Rvd25yZXYueG1sUEsFBgAAAAAEAAQA9QAAAIsDAAAAAA==&#10;" adj="-11796480,,5400" path="m45720,r,374265e" filled="f" stroked="f" strokeweight="2pt">
                        <v:stroke joinstyle="miter"/>
                        <v:shadow on="t" color="black" opacity="20971f" offset="0,2.2pt"/>
                        <v:formulas/>
                        <v:path arrowok="t" o:connecttype="custom" textboxrect="0,0,73032,356199"/>
                        <v:textbox>
                          <w:txbxContent>
                            <w:p w:rsidR="005F5714" w:rsidRDefault="005F5714" w:rsidP="00ED2070">
                              <w:pPr>
                                <w:rPr>
                                  <w:rFonts w:eastAsia="Times New Roman"/>
                                </w:rPr>
                              </w:pPr>
                            </w:p>
                          </w:txbxContent>
                        </v:textbox>
                      </v:shape>
                      <v:group id="25 Grupo" o:spid="_x0000_s1034" style="position:absolute;width:56805;height:33531"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group id="24 Grupo" o:spid="_x0000_s1035" style="position:absolute;width:56805;height:33531"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group id="20 Grupo" o:spid="_x0000_s1036" style="position:absolute;width:56805;height:33531"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group id="15 Grupo" o:spid="_x0000_s1037" style="position:absolute;width:56805;height:33531" coordsize="56805,33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8 Forma libre" o:spid="_x0000_s1038" style="position:absolute;left:17240;width:13258;height:7574;visibility:visible;mso-wrap-style:square;v-text-anchor:middle" coordsize="1782216,891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1PfsEA&#10;AADcAAAADwAAAGRycy9kb3ducmV2LnhtbERPTYvCMBC9C/sfwizsTdNdUKSaFhFEL3uw9eJtaMa2&#10;tpl0m9R2/705CB4f73ubTqYVD+pdbVnB9yICQVxYXXOp4JIf5msQziNrbC2Tgn9ykCYfsy3G2o58&#10;pkfmSxFC2MWooPK+i6V0RUUG3cJ2xIG72d6gD7Avpe5xDOGmlT9RtJIGaw4NFXa0r6hossEouDX5&#10;dXTD/fdvXZ+y5krHIc9Yqa/PabcB4Wnyb/HLfdIKlsuwNpwJR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tT37BAAAA3AAAAA8AAAAAAAAAAAAAAAAAmAIAAGRycy9kb3du&#10;cmV2LnhtbFBLBQYAAAAABAAEAPUAAACGAwAAAAA=&#10;" adj="-11796480,,5400" path="m,l1782216,r,891108l,891108,,xe" fillcolor="#254872" stroked="f" strokeweight="2pt">
                                <v:fill color2="#4780c5" rotate="t" angle="180" colors="0 #254872;.5 #3a6ba5;1 #4780c5" focus="100%" type="gradient"/>
                                <v:stroke joinstyle="miter"/>
                                <v:shadow on="t" color="black" opacity="20971f" offset="0,2.2pt"/>
                                <v:formulas/>
                                <v:path arrowok="t" o:connecttype="custom" o:connectlocs="0,0;1325784,0;1325784,757430;0,757430;0,0" o:connectangles="0,0,0,0,0" textboxrect="0,0,1782216,891108"/>
                                <v:textbox inset="1pt,1pt,1pt,1pt">
                                  <w:txbxContent>
                                    <w:p w:rsidR="005F5714" w:rsidRPr="00DA0709" w:rsidRDefault="005F5714" w:rsidP="00ED2070">
                                      <w:pPr>
                                        <w:pStyle w:val="NormalWeb"/>
                                        <w:spacing w:before="0" w:after="168" w:afterAutospacing="0" w:line="216" w:lineRule="auto"/>
                                        <w:jc w:val="center"/>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pPr>
                                      <w:r w:rsidRPr="00DA0709">
                                        <w:rPr>
                                          <w:rFonts w:asciiTheme="minorHAnsi" w:hAnsi="Calibri" w:cstheme="minorBidi"/>
                                          <w:b/>
                                          <w:bCs/>
                                          <w:color w:val="FFFFFF" w:themeColor="light1"/>
                                          <w:kern w:val="24"/>
                                          <w:sz w:val="28"/>
                                          <w:szCs w:val="40"/>
                                          <w14:shadow w14:blurRad="50800" w14:dist="38100" w14:dir="18900000" w14:sx="100000" w14:sy="100000" w14:kx="0" w14:ky="0" w14:algn="bl">
                                            <w14:srgbClr w14:val="000000">
                                              <w14:alpha w14:val="60000"/>
                                            </w14:srgbClr>
                                          </w14:shadow>
                                        </w:rPr>
                                        <w:t>Despacho</w:t>
                                      </w:r>
                                    </w:p>
                                    <w:p w:rsidR="005F5714" w:rsidRPr="00DA0709" w:rsidRDefault="005F5714" w:rsidP="00ED2070">
                                      <w:pPr>
                                        <w:pStyle w:val="NormalWeb"/>
                                        <w:spacing w:before="0" w:after="168" w:afterAutospacing="0" w:line="216" w:lineRule="auto"/>
                                        <w:jc w:val="center"/>
                                        <w:rPr>
                                          <w:sz w:val="22"/>
                                          <w:szCs w:val="22"/>
                                        </w:rPr>
                                      </w:pPr>
                                      <w:r>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(3</w:t>
                                      </w:r>
                                      <w:r w:rsidRPr="00DA0709">
                                        <w:rPr>
                                          <w:rFonts w:asciiTheme="minorHAnsi" w:hAnsi="Calibri" w:cstheme="minorBidi"/>
                                          <w:bCs/>
                                          <w:color w:val="FFFFFF" w:themeColor="light1"/>
                                          <w:kern w:val="24"/>
                                          <w:sz w:val="22"/>
                                          <w:szCs w:val="22"/>
                                          <w14:shadow w14:blurRad="50800" w14:dist="38100" w14:dir="18900000" w14:sx="100000" w14:sy="100000" w14:kx="0" w14:ky="0" w14:algn="bl">
                                            <w14:srgbClr w14:val="000000">
                                              <w14:alpha w14:val="60000"/>
                                            </w14:srgbClr>
                                          </w14:shadow>
                                        </w:rPr>
                                        <w:t xml:space="preserve"> funcionarios)</w:t>
                                      </w:r>
                                    </w:p>
                                  </w:txbxContent>
                                </v:textbox>
                              </v:shape>
                              <v:shape id="9 Forma libre" o:spid="_x0000_s1039" style="position:absolute;top:11144;width:11502;height:8481;visibility:visible;mso-wrap-style:square;v-text-anchor:middle" coordsize="1782216,891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nLcYA&#10;AADcAAAADwAAAGRycy9kb3ducmV2LnhtbESPQWvCQBSE74X+h+UVequbCkoTs0optdSDUDUouT2y&#10;zyQm+zZktxr/vVsoeBxm5hsmXQymFWfqXW1ZwesoAkFcWF1zqSDbLV/eQDiPrLG1TAqu5GAxf3xI&#10;MdH2whs6b30pAoRdggoq77tESldUZNCNbEccvKPtDfog+1LqHi8Bblo5jqKpNFhzWKiwo4+Kimb7&#10;axTYvMlPzXT9s+dVljEe9hR/fin1/DS8z0B4Gvw9/N/+1gomkxj+zo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WnLcYAAADcAAAADwAAAAAAAAAAAAAAAACYAgAAZHJz&#10;L2Rvd25yZXYueG1sUEsFBgAAAAAEAAQA9QAAAIsD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150245,0;1150245,848094;0,848094;0,0" o:connectangles="0,0,0,0,0" textboxrect="0,0,1782216,891108"/>
                                <v:textbox inset="1pt,1pt,1pt,1pt">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Normativa y Autorizaciones</w:t>
                                      </w:r>
                                    </w:p>
                                    <w:p w:rsidR="005F5714" w:rsidRPr="00DA0709" w:rsidRDefault="005F5714" w:rsidP="00ED2070">
                                      <w:pPr>
                                        <w:pStyle w:val="NormalWeb"/>
                                        <w:spacing w:before="0" w:after="134" w:afterAutospacing="0" w:line="216" w:lineRule="auto"/>
                                        <w:jc w:val="center"/>
                                        <w:rPr>
                                          <w:sz w:val="20"/>
                                        </w:rPr>
                                      </w:pPr>
                                      <w:r w:rsidRPr="00DA0709">
                                        <w:rPr>
                                          <w:rFonts w:asciiTheme="minorHAnsi" w:hAnsi="Calibri" w:cstheme="minorBidi"/>
                                          <w:bCs/>
                                          <w:color w:val="FFFFFF" w:themeColor="light1"/>
                                          <w:kern w:val="24"/>
                                          <w:sz w:val="22"/>
                                          <w:szCs w:val="32"/>
                                        </w:rPr>
                                        <w:t>(</w:t>
                                      </w:r>
                                      <w:r>
                                        <w:rPr>
                                          <w:rFonts w:asciiTheme="minorHAnsi" w:hAnsi="Calibri" w:cstheme="minorBidi"/>
                                          <w:bCs/>
                                          <w:color w:val="FFFFFF" w:themeColor="light1"/>
                                          <w:kern w:val="24"/>
                                          <w:sz w:val="22"/>
                                          <w:szCs w:val="32"/>
                                        </w:rPr>
                                        <w:t>8</w:t>
                                      </w:r>
                                      <w:r w:rsidRPr="00DA0709">
                                        <w:rPr>
                                          <w:rFonts w:asciiTheme="minorHAnsi" w:hAnsi="Calibri" w:cstheme="minorBidi"/>
                                          <w:bCs/>
                                          <w:color w:val="FFFFFF" w:themeColor="light1"/>
                                          <w:kern w:val="24"/>
                                          <w:sz w:val="22"/>
                                          <w:szCs w:val="32"/>
                                        </w:rPr>
                                        <w:t xml:space="preserve"> funcionarios)</w:t>
                                      </w:r>
                                    </w:p>
                                  </w:txbxContent>
                                </v:textbox>
                              </v:shape>
                              <v:shape id="10 Forma libre" o:spid="_x0000_s1040" style="position:absolute;left:17240;top:11144;width:13258;height:8481;visibility:visible;mso-wrap-style:square;v-text-anchor:middle" coordsize="1782216,891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hlsYA&#10;AADcAAAADwAAAGRycy9kb3ducmV2LnhtbESPQWvCQBSE74X+h+UVeqsbhQaNWaUUW9qDUDUouT2y&#10;zyQm+zZkt5r+e7cgeBxm5hsmXQ6mFWfqXW1ZwXgUgSAurK65VJDtPl6mIJxH1thaJgV/5GC5eHxI&#10;MdH2whs6b30pAoRdggoq77tESldUZNCNbEccvKPtDfog+1LqHi8Bblo5iaJYGqw5LFTY0XtFRbP9&#10;NQps3uSnJl7/7Pk7yxgPe5qtPpV6fhre5iA8Df4evrW/tILXeAz/Z8IR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9hlsYAAADcAAAADwAAAAAAAAAAAAAAAACYAgAAZHJz&#10;L2Rvd25yZXYueG1sUEsFBgAAAAAEAAQA9QAAAIsD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325784,0;1325784,848094;0,848094;0,0" o:connectangles="0,0,0,0,0" textboxrect="0,0,1782216,891108"/>
                                <v:textbox inset="1pt,1pt,1pt,1pt">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División de Supervisión</w:t>
                                      </w:r>
                                    </w:p>
                                    <w:p w:rsidR="005F5714" w:rsidRPr="00DA0709" w:rsidRDefault="005F5714" w:rsidP="00ED2070">
                                      <w:pPr>
                                        <w:pStyle w:val="NormalWeb"/>
                                        <w:spacing w:before="0" w:after="0" w:afterAutospacing="0" w:line="216" w:lineRule="auto"/>
                                        <w:jc w:val="center"/>
                                        <w:rPr>
                                          <w:rFonts w:asciiTheme="minorHAnsi" w:hAnsi="Calibri" w:cstheme="minorBidi"/>
                                          <w:bCs/>
                                          <w:color w:val="FFFFFF" w:themeColor="light1"/>
                                          <w:kern w:val="24"/>
                                          <w:sz w:val="22"/>
                                          <w:szCs w:val="32"/>
                                        </w:rPr>
                                      </w:pPr>
                                      <w:r>
                                        <w:rPr>
                                          <w:rFonts w:asciiTheme="minorHAnsi" w:hAnsi="Calibri" w:cstheme="minorBidi"/>
                                          <w:bCs/>
                                          <w:color w:val="FFFFFF" w:themeColor="light1"/>
                                          <w:kern w:val="24"/>
                                          <w:sz w:val="22"/>
                                          <w:szCs w:val="32"/>
                                        </w:rPr>
                                        <w:t>(21</w:t>
                                      </w:r>
                                      <w:r w:rsidRPr="00DA0709">
                                        <w:rPr>
                                          <w:rFonts w:asciiTheme="minorHAnsi" w:hAnsi="Calibri" w:cstheme="minorBidi"/>
                                          <w:bCs/>
                                          <w:color w:val="FFFFFF" w:themeColor="light1"/>
                                          <w:kern w:val="24"/>
                                          <w:sz w:val="22"/>
                                          <w:szCs w:val="32"/>
                                        </w:rPr>
                                        <w:t xml:space="preserve"> funcionarios)</w:t>
                                      </w:r>
                                    </w:p>
                                    <w:p w:rsidR="005F5714" w:rsidRPr="00DA0709" w:rsidRDefault="005F5714" w:rsidP="00ED2070">
                                      <w:pPr>
                                        <w:pStyle w:val="NormalWeb"/>
                                        <w:spacing w:before="0" w:after="134" w:afterAutospacing="0" w:line="216" w:lineRule="auto"/>
                                        <w:jc w:val="center"/>
                                        <w:rPr>
                                          <w:sz w:val="20"/>
                                        </w:rPr>
                                      </w:pPr>
                                    </w:p>
                                  </w:txbxContent>
                                </v:textbox>
                              </v:shape>
                              <v:shape id="11 Forma libre" o:spid="_x0000_s1041" style="position:absolute;left:34480;top:11144;width:12713;height:8481;visibility:visible;mso-wrap-style:square;v-text-anchor:middle" coordsize="1782216,8911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4cYA&#10;AADcAAAADwAAAGRycy9kb3ducmV2LnhtbESPQWvCQBSE70L/w/IKvemmQkONWaWUttSDYDUouT2y&#10;zyQm+zZktxr/vSsUehxm5hsmXQ6mFWfqXW1ZwfMkAkFcWF1zqSDbfY5fQTiPrLG1TAqu5GC5eBil&#10;mGh74R86b30pAoRdggoq77tESldUZNBNbEccvKPtDfog+1LqHi8Bblo5jaJYGqw5LFTY0XtFRbP9&#10;NQps3uSnJl5v9rzKMsbDnmYfX0o9PQ5vcxCeBv8f/mt/awUv8RTu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3/4cYAAADcAAAADwAAAAAAAAAAAAAAAACYAgAAZHJz&#10;L2Rvd25yZXYueG1sUEsFBgAAAAAEAAQA9QAAAIsDAAAAAA==&#10;" adj="-11796480,,5400" path="m,l1782216,r,891108l,891108,,xe" fillcolor="#254872" stroked="f" strokeweight="2pt">
                                <v:fill color2="#4780c5" rotate="t" angle="225" colors="0 #254872;.5 #3a6ba5;1 #4780c5" focus="100%" type="gradient"/>
                                <v:stroke joinstyle="miter"/>
                                <v:shadow on="t" color="black" opacity="20971f" offset="0,2.2pt"/>
                                <v:formulas/>
                                <v:path arrowok="t" o:connecttype="custom" o:connectlocs="0,0;1271273,0;1271273,848094;0,848094;0,0" o:connectangles="0,0,0,0,0" textboxrect="0,0,1782216,891108"/>
                                <v:textbox inset="1pt,1pt,1pt,1pt">
                                  <w:txbxContent>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 xml:space="preserve">División </w:t>
                                      </w:r>
                                    </w:p>
                                    <w:p w:rsidR="005F5714" w:rsidRPr="00DA0709" w:rsidRDefault="005F5714" w:rsidP="00ED2070">
                                      <w:pPr>
                                        <w:pStyle w:val="NormalWeb"/>
                                        <w:spacing w:before="0" w:after="134" w:afterAutospacing="0" w:line="216" w:lineRule="auto"/>
                                        <w:jc w:val="center"/>
                                        <w:rPr>
                                          <w:rFonts w:asciiTheme="minorHAnsi" w:hAnsi="Calibri" w:cstheme="minorBidi"/>
                                          <w:b/>
                                          <w:bCs/>
                                          <w:color w:val="FFFFFF" w:themeColor="light1"/>
                                          <w:kern w:val="24"/>
                                          <w:szCs w:val="32"/>
                                        </w:rPr>
                                      </w:pPr>
                                      <w:r w:rsidRPr="00DA0709">
                                        <w:rPr>
                                          <w:rFonts w:asciiTheme="minorHAnsi" w:hAnsi="Calibri" w:cstheme="minorBidi"/>
                                          <w:b/>
                                          <w:bCs/>
                                          <w:color w:val="FFFFFF" w:themeColor="light1"/>
                                          <w:kern w:val="24"/>
                                          <w:szCs w:val="32"/>
                                        </w:rPr>
                                        <w:t>Jurídica</w:t>
                                      </w:r>
                                    </w:p>
                                    <w:p w:rsidR="005F5714" w:rsidRPr="00DA0709" w:rsidRDefault="005F5714" w:rsidP="00ED2070">
                                      <w:pPr>
                                        <w:pStyle w:val="NormalWeb"/>
                                        <w:spacing w:before="0" w:after="134" w:afterAutospacing="0" w:line="216" w:lineRule="auto"/>
                                        <w:jc w:val="center"/>
                                      </w:pPr>
                                      <w:r>
                                        <w:rPr>
                                          <w:rFonts w:asciiTheme="minorHAnsi" w:hAnsi="Calibri" w:cstheme="minorBidi"/>
                                          <w:bCs/>
                                          <w:color w:val="FFFFFF" w:themeColor="light1"/>
                                          <w:kern w:val="24"/>
                                          <w:sz w:val="22"/>
                                          <w:szCs w:val="32"/>
                                        </w:rPr>
                                        <w:t>(9</w:t>
                                      </w:r>
                                      <w:r w:rsidRPr="00DA0709">
                                        <w:rPr>
                                          <w:rFonts w:asciiTheme="minorHAnsi" w:hAnsi="Calibri" w:cstheme="minorBidi"/>
                                          <w:bCs/>
                                          <w:color w:val="FFFFFF" w:themeColor="light1"/>
                                          <w:kern w:val="24"/>
                                          <w:sz w:val="22"/>
                                          <w:szCs w:val="32"/>
                                        </w:rPr>
                                        <w:t xml:space="preserve"> funcionarios)</w:t>
                                      </w:r>
                                    </w:p>
                                  </w:txbxContent>
                                </v:textbox>
                              </v:shape>
                              <v:group id="12 Grupo" o:spid="_x0000_s1042" style="position:absolute;left:44577;top:25050;width:12228;height:8481" coordorigin="55766,27270" coordsize="17822,8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rect id="13 Rectángulo" o:spid="_x0000_s1043" style="position:absolute;left:55766;top:27270;width:17822;height:8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MEMYA&#10;AADcAAAADwAAAGRycy9kb3ducmV2LnhtbESP3WrCQBSE7wu+w3KE3hTdWKxI6ipFEFtEsP6Bd4fs&#10;aRKaPRt21yS+vSsUejnMzDfMbNGZSjTkfGlZwWiYgCDOrC45V3A8rAZTED4ga6wsk4IbeVjMe08z&#10;TLVt+ZuafchFhLBPUUERQp1K6bOCDPqhrYmj92OdwRCly6V22Ea4qeRrkkykwZLjQoE1LQvKfvdX&#10;o4BO19G5Wb/Uq9ZdxsfdV2k325tSz/3u4x1EoC78h//an1rB22QMj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EMEMYAAADcAAAADwAAAAAAAAAAAAAAAACYAgAAZHJz&#10;L2Rvd25yZXYueG1sUEsFBgAAAAAEAAQA9QAAAIsDAAAAAA==&#10;" fillcolor="#254872" stroked="f" strokeweight="2pt">
                                  <v:fill color2="#4780c5" rotate="t" angle="225" colors="0 #254872;.5 #3a6ba5;1 #4780c5" focus="100%" type="gradient"/>
                                  <v:shadow on="t" color="black" opacity="20971f" offset="0,2.2pt"/>
                                  <v:textbox>
                                    <w:txbxContent>
                                      <w:p w:rsidR="005F5714" w:rsidRPr="00F23093" w:rsidRDefault="005F5714" w:rsidP="00ED2070">
                                        <w:pPr>
                                          <w:rPr>
                                            <w:rFonts w:eastAsia="Times New Roman"/>
                                            <w:sz w:val="16"/>
                                          </w:rPr>
                                        </w:pPr>
                                      </w:p>
                                    </w:txbxContent>
                                  </v:textbox>
                                </v:rect>
                                <v:rect id="14 Rectángulo" o:spid="_x0000_s1044" style="position:absolute;left:55766;top:27270;width:17822;height:8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vv8QA&#10;AADcAAAADwAAAGRycy9kb3ducmV2LnhtbESPQYvCMBSE7wv+h/AEb2vqgiLVKEVQF0VYq+j10Tzb&#10;YvNSmqh1f/1GWPA4zMw3zHTemkrcqXGlZQWDfgSCOLO65FzB8bD8HINwHlljZZkUPMnBfNb5mGKs&#10;7YP3dE99LgKEXYwKCu/rWEqXFWTQ9W1NHLyLbQz6IJtc6gYfAW4q+RVFI2mw5LBQYE2LgrJrejMK&#10;0vUWk5+LPWXpJh8nu+N6dfs9K9XrtskEhKfWv8P/7W+tYDgawut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b7/EAAAA3AAAAA8AAAAAAAAAAAAAAAAAmAIAAGRycy9k&#10;b3ducmV2LnhtbFBLBQYAAAAABAAEAPUAAACJAwAAAAA=&#10;" filled="f" stroked="f">
                                  <v:shadow on="t" color="black" opacity="20971f" offset="0,2.2pt"/>
                                  <v:textbox inset="1pt,1pt,1pt,1pt">
                                    <w:txbxContent>
                                      <w:p w:rsidR="005F5714" w:rsidRPr="00DA0709" w:rsidRDefault="005F5714" w:rsidP="00ED2070">
                                        <w:pPr>
                                          <w:pStyle w:val="NormalWeb"/>
                                          <w:spacing w:before="0" w:after="118" w:afterAutospacing="0" w:line="216" w:lineRule="auto"/>
                                          <w:jc w:val="center"/>
                                          <w:rPr>
                                            <w:rFonts w:asciiTheme="minorHAnsi" w:hAnsi="Calibri" w:cstheme="minorBidi"/>
                                            <w:b/>
                                            <w:bCs/>
                                            <w:color w:val="FFFFFF" w:themeColor="light1"/>
                                            <w:kern w:val="24"/>
                                            <w:szCs w:val="28"/>
                                          </w:rPr>
                                        </w:pPr>
                                        <w:r w:rsidRPr="00DA0709">
                                          <w:rPr>
                                            <w:rFonts w:asciiTheme="minorHAnsi" w:hAnsi="Calibri" w:cstheme="minorBidi"/>
                                            <w:b/>
                                            <w:bCs/>
                                            <w:color w:val="FFFFFF" w:themeColor="light1"/>
                                            <w:kern w:val="24"/>
                                            <w:szCs w:val="28"/>
                                          </w:rPr>
                                          <w:t>Área de Comunicación y Servicios</w:t>
                                        </w:r>
                                      </w:p>
                                      <w:p w:rsidR="005F5714" w:rsidRPr="00DA0709" w:rsidRDefault="005F5714" w:rsidP="00ED2070">
                                        <w:pPr>
                                          <w:pStyle w:val="NormalWeb"/>
                                          <w:spacing w:before="0" w:after="118" w:afterAutospacing="0" w:line="216" w:lineRule="auto"/>
                                          <w:jc w:val="center"/>
                                          <w:rPr>
                                            <w:sz w:val="20"/>
                                          </w:rPr>
                                        </w:pPr>
                                        <w:r w:rsidRPr="00DA0709">
                                          <w:rPr>
                                            <w:rFonts w:asciiTheme="minorHAnsi" w:hAnsi="Calibri" w:cstheme="minorBidi"/>
                                            <w:bCs/>
                                            <w:color w:val="FFFFFF" w:themeColor="light1"/>
                                            <w:kern w:val="24"/>
                                            <w:sz w:val="22"/>
                                            <w:szCs w:val="28"/>
                                          </w:rPr>
                                          <w:t>(</w:t>
                                        </w:r>
                                        <w:r>
                                          <w:rPr>
                                            <w:rFonts w:asciiTheme="minorHAnsi" w:hAnsi="Calibri" w:cstheme="minorBidi"/>
                                            <w:bCs/>
                                            <w:color w:val="FFFFFF" w:themeColor="light1"/>
                                            <w:kern w:val="24"/>
                                            <w:sz w:val="22"/>
                                            <w:szCs w:val="28"/>
                                          </w:rPr>
                                          <w:t>9</w:t>
                                        </w:r>
                                        <w:r w:rsidRPr="00DA0709">
                                          <w:rPr>
                                            <w:rFonts w:asciiTheme="minorHAnsi" w:hAnsi="Calibri" w:cstheme="minorBidi"/>
                                            <w:bCs/>
                                            <w:color w:val="FFFFFF" w:themeColor="light1"/>
                                            <w:kern w:val="24"/>
                                            <w:sz w:val="22"/>
                                            <w:szCs w:val="28"/>
                                          </w:rPr>
                                          <w:t xml:space="preserve"> funcionarios)</w:t>
                                        </w:r>
                                      </w:p>
                                    </w:txbxContent>
                                  </v:textbox>
                                </v:rect>
                              </v:group>
                            </v:group>
                            <v:line id="20 Conector recto" o:spid="_x0000_s1045" style="position:absolute;visibility:visible;mso-wrap-style:square" from="4857,9525" to="50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0ww8UAAADcAAAADwAAAGRycy9kb3ducmV2LnhtbESPQWsCMRSE7wX/Q3iCt5ptS5d2NYq2&#10;CNJDsSp7fmyem9jNy7KJ6/rvm0Khx2FmvmHmy8E1oqcuWM8KHqYZCOLKa8u1guNhc/8CIkRkjY1n&#10;UnCjAMvF6G6OhfZX/qJ+H2uRIBwKVGBibAspQ2XIYZj6ljh5J985jEl2tdQdXhPcNfIxy3Lp0HJa&#10;MNjSm6Hqe39xCp56/2Gb90O5/tzlu9urLc/Gl0pNxsNqBiLSEP/Df+2tVvCc5/B7Jh0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0ww8UAAADcAAAADwAAAAAAAAAA&#10;AAAAAAChAgAAZHJzL2Rvd25yZXYueG1sUEsFBgAAAAAEAAQA+QAAAJMDAAAAAA==&#10;" stroked="f" strokeweight="2pt">
                              <v:shadow on="t" color="black" opacity="20971f" offset="0,2.2pt"/>
                            </v:line>
                          </v:group>
                          <v:line id="20 Conector recto" o:spid="_x0000_s1046" style="position:absolute;flip:y;visibility:visible;mso-wrap-style:square" from="4857,9525" to="4857,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W2McAAADcAAAADwAAAGRycy9kb3ducmV2LnhtbESPW2vCQBSE34X+h+UUfNONgrGmrlK8&#10;4AWENhbq4yF7moRmz4bsqvHfu4LQx2FmvmGm89ZU4kKNKy0rGPQjEMSZ1SXnCr6P694bCOeRNVaW&#10;ScGNHMxnL50pJtpe+Ysuqc9FgLBLUEHhfZ1I6bKCDLq+rYmD92sbgz7IJpe6wWuAm0oOoyiWBksO&#10;CwXWtCgo+0vPRsFpH5/i2+Zw/FwvD+UuXU1+Bm6iVPe1/XgH4an1/+Fne6sVjOI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tbYxwAAANwAAAAPAAAAAAAA&#10;AAAAAAAAAKECAABkcnMvZG93bnJldi54bWxQSwUGAAAAAAQABAD5AAAAlQMAAAAA&#10;" stroked="f" strokeweight="2pt">
                            <v:shadow on="t" color="black" opacity="20971f" offset="0,2.2pt"/>
                          </v:line>
                        </v:group>
                        <v:line id="20 Conector recto" o:spid="_x0000_s1047" style="position:absolute;flip:y;visibility:visible;mso-wrap-style:square" from="40576,9620" to="4057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lCqsQAAADcAAAADwAAAGRycy9kb3ducmV2LnhtbERPy2rCQBTdF/yH4Rbc1YmCoaYZpbSG&#10;PkDQpKDLS+aaBDN3QmYa4993FgWXh/NON6NpxUC9aywrmM8iEMSl1Q1XCn6K7OkZhPPIGlvLpOBG&#10;DjbryUOKibZXPtCQ+0qEEHYJKqi97xIpXVmTQTezHXHgzrY36APsK6l7vIZw08pFFMXSYMOhocaO&#10;3moqL/mvUXD6jk/x7WNX7LP3XfOVb1fHuVspNX0cX19AeBr9Xfzv/tQKlnFYG86E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UKqxAAAANwAAAAPAAAAAAAAAAAA&#10;AAAAAKECAABkcnMvZG93bnJldi54bWxQSwUGAAAAAAQABAD5AAAAkgMAAAAA&#10;" stroked="f" strokeweight="2pt">
                          <v:shadow on="t" color="black" opacity="20971f" offset="0,2.2pt"/>
                        </v:line>
                      </v:group>
                    </v:group>
                  </v:group>
                  <v:group id="475 Grupo" o:spid="_x0000_s1048" style="position:absolute;left:5524;top:7334;width:44863;height:16859" coordsize="44862,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line id="469 Conector recto" o:spid="_x0000_s1049" style="position:absolute;visibility:visible;mso-wrap-style:square" from="18383,0" to="18383,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cKsIAAADcAAAADwAAAGRycy9kb3ducmV2LnhtbERPy4rCMBTdC/5DuMLsNB0fU6lGEVEU&#10;F5apfsC1udMWm5vSZLT+/WQx4PJw3st1Z2rxoNZVlhV8jiIQxLnVFRcKrpf9cA7CeWSNtWVS8CIH&#10;61W/t8RE2yd/0yPzhQgh7BJUUHrfJFK6vCSDbmQb4sD92NagD7AtpG7xGcJNLcdR9CUNVhwaSmxo&#10;W1J+z36NAn2K48lxdz2n9W6apjfX3PEwU+pj0G0WIDx1/i3+dx+1glkc5ocz4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cKsIAAADcAAAADwAAAAAAAAAAAAAA&#10;AAChAgAAZHJzL2Rvd25yZXYueG1sUEsFBgAAAAAEAAQA+QAAAJADAAAAAA==&#10;" strokecolor="#4f81bd [3204]" strokeweight="2pt">
                      <v:stroke joinstyle="miter"/>
                    </v:line>
                    <v:line id="472 Conector recto" o:spid="_x0000_s1050" style="position:absolute;visibility:visible;mso-wrap-style:square" from="44862,2000" to="44862,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M5scQAAADcAAAADwAAAGRycy9kb3ducmV2LnhtbESP3YrCMBSE7wXfIRzBuzV1Xa1Uo8ii&#10;rOyFxZ8HODbHtticlCZqfXuzsODlMDPfMPNlaypxp8aVlhUMBxEI4szqknMFp+PmYwrCeWSNlWVS&#10;8CQHy0W3M8dE2wfv6X7wuQgQdgkqKLyvEyldVpBBN7A1cfAutjHog2xyqRt8BLip5GcUTaTBksNC&#10;gTV9F5RdDzejQP/G8Wi7Pu3Sav2VpmdXX/FnrFS/165mIDy1/h3+b2+1gnE8hL8z4QjIx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mxxAAAANwAAAAPAAAAAAAAAAAA&#10;AAAAAKECAABkcnMvZG93bnJldi54bWxQSwUGAAAAAAQABAD5AAAAkgMAAAAA&#10;" strokecolor="#4f81bd [3204]" strokeweight="2pt">
                      <v:stroke joinstyle="miter"/>
                    </v:line>
                    <v:line id="473 Conector recto" o:spid="_x0000_s1051" style="position:absolute;visibility:visible;mso-wrap-style:square" from="0,2000" to="0,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nxsYAAADcAAAADwAAAGRycy9kb3ducmV2LnhtbESP0WrCQBRE3wX/YblC3+qmtjYlZiOl&#10;KJU+GGrzAdfsbRKSvRuyq8a/dwsFH4eZOcOk69F04kyDaywreJpHIIhLqxuuFBQ/28c3EM4ja+ws&#10;k4IrOVhn00mKibYX/qbzwVciQNglqKD2vk+kdGVNBt3c9sTB+7WDQR/kUEk94CXATScXUfQqDTYc&#10;Fmrs6aOmsj2cjAL9FcfPu02xz7vNS54fXd/i51Kph9n4vgLhafT38H97pxUs4wX8nQ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hp8bGAAAA3AAAAA8AAAAAAAAA&#10;AAAAAAAAoQIAAGRycy9kb3ducmV2LnhtbFBLBQYAAAAABAAEAPkAAACUAwAAAAA=&#10;" strokecolor="#4f81bd [3204]" strokeweight="2pt">
                      <v:stroke joinstyle="miter"/>
                    </v:line>
                    <v:line id="474 Conector recto" o:spid="_x0000_s1052" style="position:absolute;visibility:visible;mso-wrap-style:square" from="34766,2095" to="34766,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KvWcUAAADcAAAADwAAAGRycy9kb3ducmV2LnhtbESPQWvCQBSE74X+h+UVetONijWmrlIE&#10;oUUUjEqvj+xrkjb7NuxuNfn3bkHocZiZb5jFqjONuJDztWUFo2ECgriwuuZSwem4GaQgfEDW2Fgm&#10;BT15WC0fHxaYaXvlA13yUIoIYZ+hgiqENpPSFxUZ9EPbEkfvyzqDIUpXSu3wGuGmkeMkeZEGa44L&#10;Fba0rqj4yX+Ngs/epe2ZdqOP8nu+c9s+n+6xV+r5qXt7BRGoC//he/tdK5jOJvB3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KvWcUAAADcAAAADwAAAAAAAAAA&#10;AAAAAAChAgAAZHJzL2Rvd25yZXYueG1sUEsFBgAAAAAEAAQA+QAAAJMDAAAAAA==&#10;" strokecolor="#4a7ebb" strokeweight="2pt"/>
                  </v:group>
                </v:group>
              </v:group>
            </w:pict>
          </mc:Fallback>
        </mc:AlternateContent>
      </w:r>
    </w:p>
    <w:p w:rsidR="00ED2070" w:rsidRPr="0057417D" w:rsidRDefault="00ED2070" w:rsidP="00016AB4">
      <w:pPr>
        <w:spacing w:line="240" w:lineRule="auto"/>
        <w:jc w:val="center"/>
        <w:rPr>
          <w:color w:val="0070C0"/>
          <w:highlight w:val="yellow"/>
          <w:lang w:eastAsia="es-CR"/>
        </w:rPr>
      </w:pPr>
    </w:p>
    <w:p w:rsidR="00ED2070" w:rsidRPr="0057417D" w:rsidRDefault="00ED2070" w:rsidP="00016AB4">
      <w:pPr>
        <w:spacing w:line="240" w:lineRule="auto"/>
        <w:jc w:val="center"/>
        <w:rPr>
          <w:color w:val="0070C0"/>
          <w:highlight w:val="yellow"/>
          <w:lang w:eastAsia="es-CR"/>
        </w:rPr>
      </w:pPr>
    </w:p>
    <w:p w:rsidR="00ED2070" w:rsidRPr="0057417D" w:rsidRDefault="00ED2070" w:rsidP="00016AB4">
      <w:pPr>
        <w:spacing w:line="240" w:lineRule="auto"/>
        <w:jc w:val="center"/>
        <w:rPr>
          <w:color w:val="0070C0"/>
          <w:highlight w:val="yellow"/>
          <w:lang w:eastAsia="es-CR"/>
        </w:rPr>
      </w:pPr>
    </w:p>
    <w:p w:rsidR="00ED2070" w:rsidRPr="0057417D" w:rsidRDefault="00ED2070" w:rsidP="00016AB4">
      <w:pPr>
        <w:spacing w:line="240" w:lineRule="auto"/>
        <w:jc w:val="center"/>
        <w:rPr>
          <w:color w:val="0070C0"/>
          <w:highlight w:val="yellow"/>
          <w:lang w:eastAsia="es-CR"/>
        </w:rPr>
      </w:pPr>
    </w:p>
    <w:p w:rsidR="00ED2070" w:rsidRPr="0057417D" w:rsidRDefault="00ED2070" w:rsidP="00016AB4">
      <w:pPr>
        <w:spacing w:line="240" w:lineRule="auto"/>
        <w:rPr>
          <w:highlight w:val="yellow"/>
        </w:rPr>
      </w:pPr>
    </w:p>
    <w:p w:rsidR="00B12944" w:rsidRPr="0057417D" w:rsidRDefault="00B12944" w:rsidP="00016AB4">
      <w:pPr>
        <w:spacing w:line="240" w:lineRule="auto"/>
        <w:jc w:val="center"/>
        <w:rPr>
          <w:highlight w:val="yellow"/>
        </w:rPr>
      </w:pPr>
    </w:p>
    <w:p w:rsidR="00B12944" w:rsidRPr="0057417D" w:rsidRDefault="00B12944" w:rsidP="00016AB4">
      <w:pPr>
        <w:spacing w:line="240" w:lineRule="auto"/>
        <w:rPr>
          <w:highlight w:val="yellow"/>
        </w:rPr>
      </w:pPr>
    </w:p>
    <w:p w:rsidR="00B12944" w:rsidRPr="0057417D" w:rsidRDefault="00B12944" w:rsidP="00016AB4">
      <w:pPr>
        <w:spacing w:line="240" w:lineRule="auto"/>
        <w:rPr>
          <w:highlight w:val="yellow"/>
        </w:rPr>
      </w:pPr>
    </w:p>
    <w:p w:rsidR="00B12944" w:rsidRPr="0057417D" w:rsidRDefault="00B12944" w:rsidP="00016AB4">
      <w:pPr>
        <w:spacing w:line="240" w:lineRule="auto"/>
        <w:rPr>
          <w:highlight w:val="yellow"/>
        </w:rPr>
      </w:pPr>
    </w:p>
    <w:p w:rsidR="00B12944" w:rsidRPr="0057417D" w:rsidRDefault="00B12944" w:rsidP="00016AB4">
      <w:pPr>
        <w:spacing w:line="240" w:lineRule="auto"/>
        <w:rPr>
          <w:highlight w:val="yellow"/>
        </w:rPr>
      </w:pPr>
    </w:p>
    <w:p w:rsidR="00ED2070" w:rsidRPr="0057417D" w:rsidRDefault="00ED2070" w:rsidP="00016AB4">
      <w:pPr>
        <w:spacing w:line="240" w:lineRule="auto"/>
        <w:rPr>
          <w:highlight w:val="yellow"/>
        </w:rPr>
      </w:pPr>
    </w:p>
    <w:p w:rsidR="00ED2070" w:rsidRPr="0057417D" w:rsidRDefault="00ED2070" w:rsidP="00016AB4">
      <w:pPr>
        <w:spacing w:line="240" w:lineRule="auto"/>
        <w:rPr>
          <w:highlight w:val="yellow"/>
        </w:rPr>
      </w:pPr>
    </w:p>
    <w:p w:rsidR="00ED2070" w:rsidRPr="0057417D" w:rsidRDefault="00ED2070" w:rsidP="00016AB4">
      <w:pPr>
        <w:spacing w:line="240" w:lineRule="auto"/>
        <w:rPr>
          <w:highlight w:val="yellow"/>
        </w:rPr>
      </w:pPr>
    </w:p>
    <w:p w:rsidR="00047405" w:rsidRPr="0057417D" w:rsidRDefault="00047405">
      <w:pPr>
        <w:spacing w:line="360" w:lineRule="auto"/>
        <w:jc w:val="left"/>
        <w:rPr>
          <w:highlight w:val="yellow"/>
        </w:rPr>
      </w:pPr>
    </w:p>
    <w:p w:rsidR="00047405" w:rsidRPr="0057417D" w:rsidRDefault="00047405">
      <w:pPr>
        <w:spacing w:line="360" w:lineRule="auto"/>
        <w:jc w:val="left"/>
        <w:rPr>
          <w:highlight w:val="yellow"/>
        </w:rPr>
      </w:pPr>
    </w:p>
    <w:p w:rsidR="00047405" w:rsidRPr="0057417D" w:rsidRDefault="00047405">
      <w:pPr>
        <w:spacing w:line="360" w:lineRule="auto"/>
        <w:jc w:val="left"/>
        <w:rPr>
          <w:highlight w:val="yellow"/>
        </w:rPr>
      </w:pPr>
    </w:p>
    <w:p w:rsidR="00047405" w:rsidRPr="0057417D" w:rsidRDefault="00047405" w:rsidP="00047405">
      <w:pPr>
        <w:spacing w:line="360" w:lineRule="auto"/>
        <w:jc w:val="left"/>
        <w:rPr>
          <w:sz w:val="20"/>
          <w:szCs w:val="20"/>
          <w:highlight w:val="yellow"/>
        </w:rPr>
      </w:pPr>
    </w:p>
    <w:p w:rsidR="00A547D8" w:rsidRPr="0057417D" w:rsidRDefault="00A547D8" w:rsidP="00016AB4">
      <w:pPr>
        <w:pStyle w:val="Ttulo2"/>
        <w:numPr>
          <w:ilvl w:val="0"/>
          <w:numId w:val="4"/>
        </w:numPr>
        <w:spacing w:before="0" w:line="240" w:lineRule="auto"/>
        <w:rPr>
          <w:b/>
        </w:rPr>
      </w:pPr>
      <w:r w:rsidRPr="0057417D">
        <w:rPr>
          <w:b/>
        </w:rPr>
        <w:t>Descripción de las diferentes áreas de trabajo</w:t>
      </w:r>
    </w:p>
    <w:p w:rsidR="00213D81" w:rsidRPr="0057417D" w:rsidRDefault="00213D81" w:rsidP="00016AB4">
      <w:pPr>
        <w:spacing w:line="240" w:lineRule="auto"/>
      </w:pPr>
    </w:p>
    <w:p w:rsidR="00213D81" w:rsidRPr="0057417D" w:rsidRDefault="00213D81" w:rsidP="00016AB4">
      <w:pPr>
        <w:spacing w:line="240" w:lineRule="auto"/>
        <w:rPr>
          <w:szCs w:val="24"/>
        </w:rPr>
      </w:pPr>
      <w:r w:rsidRPr="0057417D">
        <w:rPr>
          <w:szCs w:val="24"/>
        </w:rPr>
        <w:t xml:space="preserve">A continuación se presenta una breve descripción de las funciones y responsabilidades de cada una de las dependencias que conforman la estructura organizacional de la </w:t>
      </w:r>
      <w:r w:rsidR="000A0042" w:rsidRPr="0057417D">
        <w:rPr>
          <w:szCs w:val="24"/>
        </w:rPr>
        <w:t>SUGESE</w:t>
      </w:r>
      <w:r w:rsidRPr="0057417D">
        <w:rPr>
          <w:szCs w:val="24"/>
        </w:rPr>
        <w:t>.</w:t>
      </w:r>
    </w:p>
    <w:p w:rsidR="00A547D8" w:rsidRPr="0057417D" w:rsidRDefault="00A547D8" w:rsidP="00016AB4">
      <w:pPr>
        <w:pStyle w:val="Default"/>
        <w:rPr>
          <w:rFonts w:ascii="Cambria" w:hAnsi="Cambria"/>
          <w:color w:val="auto"/>
        </w:rPr>
      </w:pPr>
    </w:p>
    <w:p w:rsidR="00A547D8" w:rsidRPr="0057417D" w:rsidRDefault="00A547D8" w:rsidP="00016AB4">
      <w:pPr>
        <w:pStyle w:val="Default"/>
        <w:jc w:val="both"/>
        <w:rPr>
          <w:rFonts w:asciiTheme="minorHAnsi" w:hAnsiTheme="minorHAnsi" w:cstheme="minorBidi"/>
          <w:b/>
          <w:color w:val="auto"/>
        </w:rPr>
      </w:pPr>
      <w:r w:rsidRPr="0057417D">
        <w:rPr>
          <w:rFonts w:asciiTheme="minorHAnsi" w:hAnsiTheme="minorHAnsi" w:cstheme="minorBidi"/>
          <w:b/>
          <w:color w:val="auto"/>
        </w:rPr>
        <w:t>Despacho de</w:t>
      </w:r>
      <w:r w:rsidR="00213D81" w:rsidRPr="0057417D">
        <w:rPr>
          <w:rFonts w:asciiTheme="minorHAnsi" w:hAnsiTheme="minorHAnsi" w:cstheme="minorBidi"/>
          <w:b/>
          <w:color w:val="auto"/>
        </w:rPr>
        <w:t xml:space="preserve"> la Superintendencia</w:t>
      </w:r>
      <w:r w:rsidRPr="0057417D">
        <w:rPr>
          <w:rFonts w:asciiTheme="minorHAnsi" w:hAnsiTheme="minorHAnsi" w:cstheme="minorBidi"/>
          <w:b/>
          <w:color w:val="auto"/>
        </w:rPr>
        <w:t xml:space="preserve"> </w:t>
      </w:r>
    </w:p>
    <w:p w:rsidR="00A547D8" w:rsidRPr="0057417D" w:rsidRDefault="00A547D8" w:rsidP="00016AB4">
      <w:pPr>
        <w:pStyle w:val="Default"/>
        <w:jc w:val="both"/>
        <w:rPr>
          <w:rFonts w:ascii="Cambria" w:hAnsi="Cambria"/>
          <w:color w:val="auto"/>
        </w:rPr>
      </w:pPr>
    </w:p>
    <w:p w:rsidR="00213D81" w:rsidRPr="0057417D" w:rsidRDefault="00A547D8" w:rsidP="00016AB4">
      <w:pPr>
        <w:pStyle w:val="Default"/>
        <w:tabs>
          <w:tab w:val="left" w:pos="1843"/>
        </w:tabs>
        <w:jc w:val="both"/>
        <w:rPr>
          <w:rFonts w:asciiTheme="minorHAnsi" w:hAnsiTheme="minorHAnsi" w:cstheme="minorBidi"/>
          <w:color w:val="auto"/>
        </w:rPr>
      </w:pPr>
      <w:r w:rsidRPr="0057417D">
        <w:rPr>
          <w:rFonts w:asciiTheme="minorHAnsi" w:hAnsiTheme="minorHAnsi" w:cstheme="minorBidi"/>
          <w:b/>
          <w:color w:val="auto"/>
        </w:rPr>
        <w:t>Objetivo:</w:t>
      </w:r>
      <w:r w:rsidR="00213D81" w:rsidRPr="0057417D">
        <w:rPr>
          <w:rFonts w:asciiTheme="minorHAnsi" w:hAnsiTheme="minorHAnsi" w:cstheme="minorBidi"/>
          <w:color w:val="auto"/>
        </w:rPr>
        <w:t xml:space="preserve"> tiene a su cargo planificar, dirigir y coordinar todas aquellas actividades relacionadas con la organización, funcionamiento y coordinación de las dependencias de la Institución, con apoyo de las leyes, r</w:t>
      </w:r>
      <w:r w:rsidR="00EC1F2C" w:rsidRPr="0057417D">
        <w:rPr>
          <w:rFonts w:asciiTheme="minorHAnsi" w:hAnsiTheme="minorHAnsi" w:cstheme="minorBidi"/>
          <w:color w:val="auto"/>
        </w:rPr>
        <w:t xml:space="preserve">eglamentos y resoluciones del </w:t>
      </w:r>
      <w:r w:rsidR="000A0042" w:rsidRPr="0057417D">
        <w:rPr>
          <w:rFonts w:asciiTheme="minorHAnsi" w:hAnsiTheme="minorHAnsi" w:cstheme="minorBidi"/>
          <w:color w:val="auto"/>
        </w:rPr>
        <w:t>CONASSIF</w:t>
      </w:r>
      <w:r w:rsidR="00213D81" w:rsidRPr="0057417D">
        <w:rPr>
          <w:rFonts w:asciiTheme="minorHAnsi" w:hAnsiTheme="minorHAnsi" w:cstheme="minorBidi"/>
          <w:color w:val="auto"/>
        </w:rPr>
        <w:t>.</w:t>
      </w:r>
    </w:p>
    <w:p w:rsidR="00213D81" w:rsidRPr="0057417D" w:rsidRDefault="00213D81" w:rsidP="00016AB4">
      <w:pPr>
        <w:pStyle w:val="Default"/>
        <w:jc w:val="both"/>
        <w:rPr>
          <w:rFonts w:asciiTheme="minorHAnsi" w:hAnsiTheme="minorHAnsi" w:cstheme="minorBidi"/>
          <w:color w:val="auto"/>
        </w:rPr>
      </w:pPr>
    </w:p>
    <w:p w:rsidR="00A547D8" w:rsidRPr="0057417D" w:rsidRDefault="00A547D8" w:rsidP="00016AB4">
      <w:pPr>
        <w:pStyle w:val="Default"/>
        <w:jc w:val="both"/>
        <w:rPr>
          <w:rFonts w:asciiTheme="minorHAnsi" w:hAnsiTheme="minorHAnsi" w:cstheme="minorBidi"/>
          <w:b/>
          <w:color w:val="auto"/>
        </w:rPr>
      </w:pPr>
      <w:r w:rsidRPr="0057417D">
        <w:rPr>
          <w:rFonts w:asciiTheme="minorHAnsi" w:hAnsiTheme="minorHAnsi" w:cstheme="minorBidi"/>
          <w:b/>
          <w:color w:val="auto"/>
        </w:rPr>
        <w:t xml:space="preserve">Dependencias adscritas: </w:t>
      </w:r>
    </w:p>
    <w:p w:rsidR="00A547D8" w:rsidRPr="0057417D" w:rsidRDefault="00A547D8" w:rsidP="00016AB4">
      <w:pPr>
        <w:pStyle w:val="Default"/>
        <w:jc w:val="both"/>
        <w:rPr>
          <w:rFonts w:ascii="Cambria" w:hAnsi="Cambria"/>
          <w:color w:val="auto"/>
        </w:rPr>
      </w:pPr>
    </w:p>
    <w:p w:rsidR="00A547D8" w:rsidRPr="0057417D" w:rsidRDefault="00A547D8" w:rsidP="00016AB4">
      <w:pPr>
        <w:pStyle w:val="Default"/>
        <w:jc w:val="both"/>
        <w:rPr>
          <w:rFonts w:asciiTheme="minorHAnsi" w:hAnsiTheme="minorHAnsi" w:cstheme="minorBidi"/>
          <w:b/>
          <w:color w:val="auto"/>
        </w:rPr>
      </w:pPr>
      <w:r w:rsidRPr="0057417D">
        <w:rPr>
          <w:rFonts w:asciiTheme="minorHAnsi" w:hAnsiTheme="minorHAnsi" w:cstheme="minorBidi"/>
          <w:b/>
          <w:color w:val="auto"/>
        </w:rPr>
        <w:t xml:space="preserve">Áreas de </w:t>
      </w:r>
      <w:r w:rsidRPr="0057417D">
        <w:rPr>
          <w:rFonts w:asciiTheme="minorHAnsi" w:hAnsiTheme="minorHAnsi" w:cstheme="minorBidi"/>
          <w:b/>
          <w:i/>
          <w:color w:val="auto"/>
        </w:rPr>
        <w:t>staff</w:t>
      </w:r>
      <w:r w:rsidRPr="0057417D">
        <w:rPr>
          <w:rFonts w:asciiTheme="minorHAnsi" w:hAnsiTheme="minorHAnsi" w:cstheme="minorBidi"/>
          <w:b/>
          <w:color w:val="auto"/>
        </w:rPr>
        <w:t xml:space="preserve">: </w:t>
      </w:r>
    </w:p>
    <w:p w:rsidR="00213D81" w:rsidRPr="0057417D" w:rsidRDefault="00213D81" w:rsidP="00016AB4">
      <w:pPr>
        <w:pStyle w:val="Default"/>
        <w:ind w:left="720"/>
        <w:jc w:val="both"/>
        <w:rPr>
          <w:rFonts w:ascii="Cambria" w:hAnsi="Cambria"/>
          <w:color w:val="auto"/>
        </w:rPr>
      </w:pPr>
    </w:p>
    <w:p w:rsidR="00B773D0" w:rsidRPr="0057417D" w:rsidRDefault="00B773D0" w:rsidP="00016AB4">
      <w:pPr>
        <w:pStyle w:val="Default"/>
        <w:ind w:left="426"/>
        <w:jc w:val="both"/>
        <w:rPr>
          <w:rFonts w:asciiTheme="minorHAnsi" w:hAnsiTheme="minorHAnsi" w:cstheme="minorBidi"/>
          <w:b/>
          <w:color w:val="auto"/>
        </w:rPr>
      </w:pPr>
      <w:r w:rsidRPr="0057417D">
        <w:rPr>
          <w:rFonts w:asciiTheme="minorHAnsi" w:hAnsiTheme="minorHAnsi" w:cstheme="minorBidi"/>
          <w:b/>
          <w:i/>
          <w:color w:val="auto"/>
        </w:rPr>
        <w:t>Aseguramiento de la Calidad</w:t>
      </w:r>
    </w:p>
    <w:p w:rsidR="00A547D8" w:rsidRPr="0057417D" w:rsidRDefault="00A547D8" w:rsidP="00016AB4">
      <w:pPr>
        <w:pStyle w:val="Default"/>
        <w:ind w:left="426"/>
        <w:jc w:val="both"/>
        <w:rPr>
          <w:rFonts w:asciiTheme="minorHAnsi" w:hAnsiTheme="minorHAnsi" w:cstheme="minorBidi"/>
          <w:color w:val="auto"/>
        </w:rPr>
      </w:pPr>
      <w:r w:rsidRPr="0057417D">
        <w:rPr>
          <w:rFonts w:asciiTheme="minorHAnsi" w:hAnsiTheme="minorHAnsi" w:cstheme="minorBidi"/>
          <w:color w:val="auto"/>
          <w:u w:val="single"/>
        </w:rPr>
        <w:t>Objetivo</w:t>
      </w:r>
      <w:r w:rsidRPr="0057417D">
        <w:rPr>
          <w:rFonts w:asciiTheme="minorHAnsi" w:hAnsiTheme="minorHAnsi" w:cstheme="minorBidi"/>
          <w:b/>
          <w:color w:val="auto"/>
        </w:rPr>
        <w:t>:</w:t>
      </w:r>
      <w:r w:rsidRPr="0057417D">
        <w:rPr>
          <w:rFonts w:asciiTheme="minorHAnsi" w:hAnsiTheme="minorHAnsi" w:cstheme="minorBidi"/>
          <w:color w:val="auto"/>
        </w:rPr>
        <w:t xml:space="preserve"> </w:t>
      </w:r>
      <w:r w:rsidR="00B773D0" w:rsidRPr="0057417D">
        <w:rPr>
          <w:rFonts w:asciiTheme="minorHAnsi" w:hAnsiTheme="minorHAnsi" w:cstheme="minorBidi"/>
          <w:color w:val="auto"/>
        </w:rPr>
        <w:t>asegurar que el Sistema de Gestión de Calidad</w:t>
      </w:r>
      <w:r w:rsidR="00E6667E" w:rsidRPr="0057417D">
        <w:rPr>
          <w:rFonts w:asciiTheme="minorHAnsi" w:hAnsiTheme="minorHAnsi" w:cstheme="minorBidi"/>
          <w:color w:val="auto"/>
        </w:rPr>
        <w:t xml:space="preserve"> (SGC)</w:t>
      </w:r>
      <w:r w:rsidR="00B773D0" w:rsidRPr="0057417D">
        <w:rPr>
          <w:rFonts w:asciiTheme="minorHAnsi" w:hAnsiTheme="minorHAnsi" w:cstheme="minorBidi"/>
          <w:color w:val="auto"/>
        </w:rPr>
        <w:t xml:space="preserve"> de la </w:t>
      </w:r>
      <w:r w:rsidR="000A0042" w:rsidRPr="0057417D">
        <w:rPr>
          <w:rFonts w:asciiTheme="minorHAnsi" w:hAnsiTheme="minorHAnsi" w:cstheme="minorBidi"/>
          <w:color w:val="auto"/>
        </w:rPr>
        <w:t>SUGESE</w:t>
      </w:r>
      <w:r w:rsidR="00B773D0" w:rsidRPr="0057417D">
        <w:rPr>
          <w:rFonts w:asciiTheme="minorHAnsi" w:hAnsiTheme="minorHAnsi" w:cstheme="minorBidi"/>
          <w:color w:val="auto"/>
        </w:rPr>
        <w:t xml:space="preserve"> promueva la mejora continua de los procesos, la</w:t>
      </w:r>
      <w:r w:rsidR="00C14664" w:rsidRPr="0057417D">
        <w:rPr>
          <w:rFonts w:asciiTheme="minorHAnsi" w:hAnsiTheme="minorHAnsi" w:cstheme="minorBidi"/>
          <w:color w:val="auto"/>
        </w:rPr>
        <w:t xml:space="preserve"> satisfacción del cliente y esté</w:t>
      </w:r>
      <w:r w:rsidR="00B773D0" w:rsidRPr="0057417D">
        <w:rPr>
          <w:rFonts w:asciiTheme="minorHAnsi" w:hAnsiTheme="minorHAnsi" w:cstheme="minorBidi"/>
          <w:color w:val="auto"/>
        </w:rPr>
        <w:t xml:space="preserve"> soportado por un sistema documental confiable.</w:t>
      </w:r>
    </w:p>
    <w:p w:rsidR="00B773D0" w:rsidRPr="0057417D" w:rsidRDefault="00B773D0" w:rsidP="00016AB4">
      <w:pPr>
        <w:pStyle w:val="Default"/>
        <w:ind w:left="720"/>
        <w:jc w:val="both"/>
        <w:rPr>
          <w:rFonts w:ascii="Cambria" w:hAnsi="Cambria"/>
          <w:color w:val="auto"/>
        </w:rPr>
      </w:pPr>
    </w:p>
    <w:p w:rsidR="00A547D8" w:rsidRPr="0057417D" w:rsidRDefault="00B773D0" w:rsidP="00016AB4">
      <w:pPr>
        <w:pStyle w:val="Default"/>
        <w:jc w:val="both"/>
        <w:rPr>
          <w:rFonts w:asciiTheme="minorHAnsi" w:hAnsiTheme="minorHAnsi" w:cstheme="minorBidi"/>
          <w:b/>
          <w:color w:val="auto"/>
        </w:rPr>
      </w:pPr>
      <w:r w:rsidRPr="0057417D">
        <w:rPr>
          <w:rFonts w:asciiTheme="minorHAnsi" w:hAnsiTheme="minorHAnsi" w:cstheme="minorBidi"/>
          <w:b/>
          <w:color w:val="auto"/>
        </w:rPr>
        <w:t>Divisiones</w:t>
      </w:r>
      <w:r w:rsidR="00A547D8" w:rsidRPr="0057417D">
        <w:rPr>
          <w:rFonts w:asciiTheme="minorHAnsi" w:hAnsiTheme="minorHAnsi" w:cstheme="minorBidi"/>
          <w:b/>
          <w:color w:val="auto"/>
        </w:rPr>
        <w:t xml:space="preserve">: </w:t>
      </w:r>
    </w:p>
    <w:p w:rsidR="00B773D0" w:rsidRPr="0057417D" w:rsidRDefault="00B773D0" w:rsidP="00016AB4">
      <w:pPr>
        <w:pStyle w:val="Default"/>
        <w:jc w:val="both"/>
        <w:rPr>
          <w:rFonts w:asciiTheme="minorHAnsi" w:hAnsiTheme="minorHAnsi" w:cstheme="minorBidi"/>
          <w:b/>
          <w:color w:val="auto"/>
        </w:rPr>
      </w:pPr>
    </w:p>
    <w:p w:rsidR="00B773D0" w:rsidRPr="0057417D" w:rsidRDefault="00B773D0" w:rsidP="00016AB4">
      <w:pPr>
        <w:pStyle w:val="Default"/>
        <w:ind w:left="360"/>
        <w:jc w:val="both"/>
        <w:rPr>
          <w:rFonts w:asciiTheme="minorHAnsi" w:hAnsiTheme="minorHAnsi" w:cstheme="minorBidi"/>
          <w:b/>
          <w:i/>
          <w:color w:val="auto"/>
        </w:rPr>
      </w:pPr>
      <w:r w:rsidRPr="0057417D">
        <w:rPr>
          <w:rFonts w:asciiTheme="minorHAnsi" w:hAnsiTheme="minorHAnsi" w:cstheme="minorBidi"/>
          <w:b/>
          <w:i/>
          <w:color w:val="auto"/>
        </w:rPr>
        <w:t>División Asesoría Jurídica</w:t>
      </w:r>
    </w:p>
    <w:p w:rsidR="00B773D0" w:rsidRPr="0057417D" w:rsidRDefault="00B773D0" w:rsidP="003A5DE3">
      <w:pPr>
        <w:autoSpaceDE w:val="0"/>
        <w:autoSpaceDN w:val="0"/>
        <w:adjustRightInd w:val="0"/>
        <w:spacing w:line="240" w:lineRule="auto"/>
        <w:ind w:left="360"/>
      </w:pPr>
      <w:r w:rsidRPr="0057417D">
        <w:rPr>
          <w:szCs w:val="24"/>
          <w:u w:val="single"/>
        </w:rPr>
        <w:t>Objetivo</w:t>
      </w:r>
      <w:r w:rsidRPr="0057417D">
        <w:rPr>
          <w:b/>
          <w:szCs w:val="24"/>
        </w:rPr>
        <w:t xml:space="preserve">: </w:t>
      </w:r>
      <w:r w:rsidRPr="0057417D">
        <w:rPr>
          <w:szCs w:val="24"/>
        </w:rPr>
        <w:t xml:space="preserve">asesorar en materia jurídica a la </w:t>
      </w:r>
      <w:r w:rsidR="000A0042" w:rsidRPr="0057417D">
        <w:rPr>
          <w:szCs w:val="24"/>
        </w:rPr>
        <w:t>SUGESE</w:t>
      </w:r>
      <w:r w:rsidRPr="0057417D">
        <w:rPr>
          <w:szCs w:val="24"/>
        </w:rPr>
        <w:t xml:space="preserve"> en el ejercicio de sus labores, de forma oportuna, con los atributos establecidos para cada producto. </w:t>
      </w:r>
      <w:r w:rsidRPr="0057417D">
        <w:t>Resolver las denuncias y consultas presentadas ante la Superintendencia por consumidores de seguros, de forma oportuna, con los atributos establecidos para cada producto. Igualmente, supervisar la conducta de los participantes en el mercado, en materia de protección de los derechos de los consumidores, de conformidad con las competencias otorgadas por ley a la Superintendencia. Lo anterior, mediante la aplicación de las acciones administrativas correspondientes, con los atributos establecidos para cada producto.</w:t>
      </w:r>
    </w:p>
    <w:p w:rsidR="00B773D0" w:rsidRPr="0057417D" w:rsidRDefault="00B773D0" w:rsidP="00016AB4">
      <w:pPr>
        <w:pStyle w:val="Default"/>
        <w:ind w:left="360"/>
        <w:jc w:val="both"/>
        <w:rPr>
          <w:rFonts w:asciiTheme="minorHAnsi" w:hAnsiTheme="minorHAnsi" w:cstheme="minorBidi"/>
          <w:color w:val="auto"/>
        </w:rPr>
      </w:pPr>
    </w:p>
    <w:p w:rsidR="00B773D0" w:rsidRPr="0057417D" w:rsidRDefault="00B773D0" w:rsidP="00016AB4">
      <w:pPr>
        <w:pStyle w:val="Default"/>
        <w:ind w:left="360"/>
        <w:jc w:val="both"/>
        <w:rPr>
          <w:rFonts w:asciiTheme="minorHAnsi" w:hAnsiTheme="minorHAnsi" w:cstheme="minorBidi"/>
          <w:b/>
          <w:i/>
          <w:color w:val="auto"/>
        </w:rPr>
      </w:pPr>
      <w:r w:rsidRPr="0057417D">
        <w:rPr>
          <w:rFonts w:asciiTheme="minorHAnsi" w:hAnsiTheme="minorHAnsi" w:cstheme="minorBidi"/>
          <w:b/>
          <w:i/>
          <w:color w:val="auto"/>
        </w:rPr>
        <w:t>División de Normativa y Autorizaciones</w:t>
      </w:r>
    </w:p>
    <w:p w:rsidR="00B773D0" w:rsidRPr="0057417D" w:rsidRDefault="00B773D0" w:rsidP="005032CD">
      <w:pPr>
        <w:pStyle w:val="Default"/>
        <w:ind w:left="357"/>
        <w:jc w:val="both"/>
        <w:rPr>
          <w:rFonts w:asciiTheme="minorHAnsi" w:hAnsiTheme="minorHAnsi" w:cstheme="minorBidi"/>
          <w:color w:val="auto"/>
        </w:rPr>
      </w:pPr>
      <w:r w:rsidRPr="0057417D">
        <w:rPr>
          <w:rFonts w:asciiTheme="minorHAnsi" w:hAnsiTheme="minorHAnsi" w:cstheme="minorBidi"/>
          <w:color w:val="auto"/>
          <w:u w:val="single"/>
        </w:rPr>
        <w:t>Objetivo</w:t>
      </w:r>
      <w:r w:rsidRPr="0057417D">
        <w:rPr>
          <w:rFonts w:asciiTheme="minorHAnsi" w:hAnsiTheme="minorHAnsi" w:cstheme="minorBidi"/>
          <w:b/>
          <w:color w:val="auto"/>
        </w:rPr>
        <w:t>:</w:t>
      </w:r>
      <w:r w:rsidR="00184A50" w:rsidRPr="0057417D">
        <w:rPr>
          <w:rFonts w:asciiTheme="minorHAnsi" w:hAnsiTheme="minorHAnsi" w:cstheme="minorBidi"/>
          <w:b/>
          <w:color w:val="auto"/>
        </w:rPr>
        <w:t xml:space="preserve"> </w:t>
      </w:r>
      <w:r w:rsidR="00184A50" w:rsidRPr="0057417D">
        <w:rPr>
          <w:rFonts w:asciiTheme="minorHAnsi" w:hAnsiTheme="minorHAnsi" w:cstheme="minorBidi"/>
          <w:color w:val="auto"/>
        </w:rPr>
        <w:t>p</w:t>
      </w:r>
      <w:r w:rsidRPr="0057417D">
        <w:rPr>
          <w:rFonts w:asciiTheme="minorHAnsi" w:hAnsiTheme="minorHAnsi" w:cstheme="minorBidi"/>
          <w:color w:val="auto"/>
        </w:rPr>
        <w:t xml:space="preserve">roponer las normas y disposiciones legales que regulan la organización, funcionamiento y operación del mercado de seguros, así como valorar y recomendar las resoluciones de autorización y registro que se soliciten para la operación y funcionamiento por parte de los participantes del Mercado de Seguros. </w:t>
      </w:r>
      <w:r w:rsidR="00EC1F2C" w:rsidRPr="0057417D">
        <w:rPr>
          <w:rFonts w:asciiTheme="minorHAnsi" w:hAnsiTheme="minorHAnsi" w:cstheme="minorBidi"/>
          <w:color w:val="auto"/>
        </w:rPr>
        <w:t>Además</w:t>
      </w:r>
      <w:r w:rsidRPr="0057417D">
        <w:rPr>
          <w:rFonts w:asciiTheme="minorHAnsi" w:hAnsiTheme="minorHAnsi" w:cstheme="minorBidi"/>
          <w:color w:val="auto"/>
        </w:rPr>
        <w:t>, coadyuva al Despacho de la Superintendencia a planificar, dirigir, coordinar y controlar la planificación estratégica de la Institución, en particular la actualización permanente del modelo de supervisión del mercado de seguro.</w:t>
      </w:r>
    </w:p>
    <w:p w:rsidR="00B773D0" w:rsidRPr="0057417D" w:rsidRDefault="00B773D0" w:rsidP="00016AB4">
      <w:pPr>
        <w:pStyle w:val="Default"/>
        <w:ind w:left="360"/>
        <w:jc w:val="both"/>
        <w:rPr>
          <w:rFonts w:asciiTheme="minorHAnsi" w:hAnsiTheme="minorHAnsi" w:cstheme="minorBidi"/>
          <w:color w:val="auto"/>
        </w:rPr>
      </w:pPr>
    </w:p>
    <w:p w:rsidR="00B773D0" w:rsidRPr="0057417D" w:rsidRDefault="00B773D0" w:rsidP="00016AB4">
      <w:pPr>
        <w:pStyle w:val="Default"/>
        <w:ind w:left="360"/>
        <w:jc w:val="both"/>
        <w:rPr>
          <w:rFonts w:asciiTheme="minorHAnsi" w:hAnsiTheme="minorHAnsi" w:cstheme="minorBidi"/>
          <w:b/>
          <w:i/>
          <w:color w:val="auto"/>
        </w:rPr>
      </w:pPr>
      <w:r w:rsidRPr="0057417D">
        <w:rPr>
          <w:rFonts w:asciiTheme="minorHAnsi" w:hAnsiTheme="minorHAnsi" w:cstheme="minorBidi"/>
          <w:b/>
          <w:i/>
          <w:color w:val="auto"/>
        </w:rPr>
        <w:t>División de Supervisión</w:t>
      </w:r>
    </w:p>
    <w:p w:rsidR="00B773D0" w:rsidRPr="0057417D" w:rsidRDefault="00B773D0" w:rsidP="00016AB4">
      <w:pPr>
        <w:pStyle w:val="Default"/>
        <w:ind w:left="360"/>
        <w:jc w:val="both"/>
        <w:rPr>
          <w:rFonts w:asciiTheme="minorHAnsi" w:hAnsiTheme="minorHAnsi" w:cstheme="minorBidi"/>
          <w:color w:val="auto"/>
        </w:rPr>
      </w:pPr>
      <w:r w:rsidRPr="0057417D">
        <w:rPr>
          <w:rFonts w:asciiTheme="minorHAnsi" w:hAnsiTheme="minorHAnsi" w:cstheme="minorBidi"/>
          <w:color w:val="auto"/>
          <w:u w:val="single"/>
        </w:rPr>
        <w:t>Objetivo</w:t>
      </w:r>
      <w:r w:rsidRPr="0057417D">
        <w:rPr>
          <w:rFonts w:asciiTheme="minorHAnsi" w:hAnsiTheme="minorHAnsi" w:cstheme="minorBidi"/>
          <w:b/>
          <w:color w:val="auto"/>
        </w:rPr>
        <w:t xml:space="preserve">: </w:t>
      </w:r>
      <w:r w:rsidR="00184A50" w:rsidRPr="0057417D">
        <w:rPr>
          <w:rFonts w:asciiTheme="minorHAnsi" w:hAnsiTheme="minorHAnsi" w:cstheme="minorBidi"/>
          <w:b/>
          <w:color w:val="auto"/>
        </w:rPr>
        <w:t>s</w:t>
      </w:r>
      <w:r w:rsidRPr="0057417D">
        <w:rPr>
          <w:rFonts w:asciiTheme="minorHAnsi" w:hAnsiTheme="minorHAnsi" w:cstheme="minorBidi"/>
          <w:color w:val="auto"/>
        </w:rPr>
        <w:t>upervisar de manera eficaz y eficiente el mercado de seguros, apegados a los mejores estándares y prácticas internacionales.</w:t>
      </w:r>
    </w:p>
    <w:p w:rsidR="00A547D8" w:rsidRPr="0057417D" w:rsidRDefault="00A547D8" w:rsidP="00016AB4">
      <w:pPr>
        <w:pStyle w:val="Default"/>
        <w:jc w:val="both"/>
        <w:rPr>
          <w:rFonts w:ascii="Cambria" w:hAnsi="Cambria"/>
          <w:color w:val="auto"/>
        </w:rPr>
      </w:pPr>
    </w:p>
    <w:p w:rsidR="00A547D8" w:rsidRPr="0057417D" w:rsidRDefault="00A547D8" w:rsidP="00016AB4">
      <w:pPr>
        <w:pStyle w:val="Default"/>
        <w:jc w:val="both"/>
        <w:rPr>
          <w:rFonts w:asciiTheme="minorHAnsi" w:hAnsiTheme="minorHAnsi" w:cstheme="minorBidi"/>
          <w:b/>
          <w:color w:val="auto"/>
        </w:rPr>
      </w:pPr>
      <w:r w:rsidRPr="0057417D">
        <w:rPr>
          <w:rFonts w:asciiTheme="minorHAnsi" w:hAnsiTheme="minorHAnsi" w:cstheme="minorBidi"/>
          <w:b/>
          <w:color w:val="auto"/>
        </w:rPr>
        <w:t xml:space="preserve">Áreas de apoyo: </w:t>
      </w:r>
    </w:p>
    <w:p w:rsidR="002B24E6" w:rsidRPr="0057417D" w:rsidRDefault="002B24E6" w:rsidP="00016AB4">
      <w:pPr>
        <w:pStyle w:val="Default"/>
        <w:ind w:left="360"/>
        <w:jc w:val="both"/>
        <w:rPr>
          <w:rFonts w:ascii="Cambria" w:hAnsi="Cambria"/>
          <w:color w:val="auto"/>
        </w:rPr>
      </w:pPr>
    </w:p>
    <w:p w:rsidR="002B24E6" w:rsidRPr="0057417D" w:rsidRDefault="002B24E6" w:rsidP="00016AB4">
      <w:pPr>
        <w:pStyle w:val="Default"/>
        <w:ind w:left="360"/>
        <w:jc w:val="both"/>
        <w:rPr>
          <w:rFonts w:asciiTheme="minorHAnsi" w:hAnsiTheme="minorHAnsi" w:cstheme="minorBidi"/>
          <w:b/>
          <w:i/>
          <w:color w:val="auto"/>
        </w:rPr>
      </w:pPr>
      <w:r w:rsidRPr="0057417D">
        <w:rPr>
          <w:rFonts w:asciiTheme="minorHAnsi" w:hAnsiTheme="minorHAnsi" w:cstheme="minorBidi"/>
          <w:b/>
          <w:i/>
          <w:color w:val="auto"/>
        </w:rPr>
        <w:t>Área de Comunicación y Servicios</w:t>
      </w:r>
    </w:p>
    <w:p w:rsidR="002B24E6" w:rsidRPr="0057417D" w:rsidRDefault="002B24E6" w:rsidP="00016AB4">
      <w:pPr>
        <w:pStyle w:val="Default"/>
        <w:ind w:left="360"/>
        <w:jc w:val="both"/>
        <w:rPr>
          <w:rFonts w:asciiTheme="minorHAnsi" w:hAnsiTheme="minorHAnsi" w:cstheme="minorBidi"/>
          <w:color w:val="auto"/>
        </w:rPr>
      </w:pPr>
      <w:r w:rsidRPr="0057417D">
        <w:rPr>
          <w:rFonts w:asciiTheme="minorHAnsi" w:hAnsiTheme="minorHAnsi" w:cstheme="minorBidi"/>
          <w:color w:val="auto"/>
          <w:u w:val="single"/>
        </w:rPr>
        <w:t>Objetivo</w:t>
      </w:r>
      <w:r w:rsidRPr="0057417D">
        <w:rPr>
          <w:rFonts w:asciiTheme="minorHAnsi" w:hAnsiTheme="minorHAnsi" w:cstheme="minorBidi"/>
          <w:color w:val="auto"/>
        </w:rPr>
        <w:t>:</w:t>
      </w:r>
      <w:r w:rsidRPr="0057417D">
        <w:t xml:space="preserve"> </w:t>
      </w:r>
      <w:r w:rsidRPr="0057417D">
        <w:rPr>
          <w:rFonts w:asciiTheme="minorHAnsi" w:hAnsiTheme="minorHAnsi" w:cstheme="minorBidi"/>
          <w:color w:val="auto"/>
        </w:rPr>
        <w:t>proveer bienes y servicios, de forma eficiente en apego a los requerimientos y normas que rigen los procesos internos de compras, necesarios para el desarrollo de la institución y el fortalecimiento de la comunicación con los consumidores de seguros y la sociedad.</w:t>
      </w:r>
      <w:r w:rsidR="003A5DE3" w:rsidRPr="0057417D">
        <w:rPr>
          <w:rFonts w:asciiTheme="minorHAnsi" w:hAnsiTheme="minorHAnsi" w:cstheme="minorBidi"/>
          <w:color w:val="auto"/>
        </w:rPr>
        <w:t xml:space="preserve">   </w:t>
      </w:r>
      <w:r w:rsidRPr="0057417D">
        <w:rPr>
          <w:rFonts w:asciiTheme="minorHAnsi" w:hAnsiTheme="minorHAnsi" w:cstheme="minorBidi"/>
          <w:color w:val="auto"/>
        </w:rPr>
        <w:t>Asimismo, tiene a su cargo la formulación de planes y presupuestos institucionales, así como su ejecución, seguimiento y evaluación.</w:t>
      </w:r>
    </w:p>
    <w:p w:rsidR="002B24E6" w:rsidRPr="0057417D" w:rsidRDefault="002B24E6" w:rsidP="00016AB4">
      <w:pPr>
        <w:pStyle w:val="Default"/>
        <w:ind w:left="360"/>
        <w:jc w:val="both"/>
        <w:rPr>
          <w:rFonts w:ascii="Cambria" w:hAnsi="Cambria"/>
          <w:color w:val="auto"/>
          <w:sz w:val="20"/>
          <w:szCs w:val="20"/>
          <w:highlight w:val="yellow"/>
        </w:rPr>
      </w:pPr>
    </w:p>
    <w:p w:rsidR="0092090A" w:rsidRPr="0057417D" w:rsidRDefault="0092090A" w:rsidP="00016AB4">
      <w:pPr>
        <w:pStyle w:val="Default"/>
        <w:ind w:left="360"/>
        <w:jc w:val="both"/>
        <w:rPr>
          <w:rFonts w:ascii="Cambria" w:hAnsi="Cambria"/>
          <w:color w:val="auto"/>
          <w:sz w:val="20"/>
          <w:szCs w:val="20"/>
          <w:highlight w:val="yellow"/>
        </w:rPr>
      </w:pPr>
    </w:p>
    <w:p w:rsidR="00A547D8" w:rsidRPr="0057417D" w:rsidRDefault="00A547D8" w:rsidP="00016AB4">
      <w:pPr>
        <w:pStyle w:val="Ttulo2"/>
        <w:numPr>
          <w:ilvl w:val="0"/>
          <w:numId w:val="4"/>
        </w:numPr>
        <w:spacing w:before="0" w:line="240" w:lineRule="auto"/>
        <w:rPr>
          <w:b/>
        </w:rPr>
      </w:pPr>
      <w:r w:rsidRPr="0057417D">
        <w:rPr>
          <w:b/>
        </w:rPr>
        <w:t>Plazas por tipo de puesto</w:t>
      </w:r>
    </w:p>
    <w:p w:rsidR="006074F7" w:rsidRPr="0057417D" w:rsidRDefault="006074F7" w:rsidP="00016AB4">
      <w:pPr>
        <w:spacing w:line="240" w:lineRule="auto"/>
        <w:rPr>
          <w:color w:val="0070C0"/>
          <w:lang w:eastAsia="es-CR"/>
        </w:rPr>
      </w:pPr>
    </w:p>
    <w:p w:rsidR="00C248BF" w:rsidRPr="0057417D" w:rsidRDefault="00C248BF" w:rsidP="00016AB4">
      <w:pPr>
        <w:spacing w:line="240" w:lineRule="auto"/>
        <w:rPr>
          <w:lang w:eastAsia="es-CR"/>
        </w:rPr>
      </w:pPr>
      <w:r w:rsidRPr="0057417D">
        <w:rPr>
          <w:lang w:eastAsia="es-CR"/>
        </w:rPr>
        <w:t xml:space="preserve">En el Cuadro </w:t>
      </w:r>
      <w:r w:rsidR="005032CD" w:rsidRPr="0057417D">
        <w:rPr>
          <w:lang w:eastAsia="es-CR"/>
        </w:rPr>
        <w:t>4</w:t>
      </w:r>
      <w:r w:rsidRPr="0057417D">
        <w:rPr>
          <w:lang w:eastAsia="es-CR"/>
        </w:rPr>
        <w:t xml:space="preserve"> se indican los recursos humanos con que cuenta la </w:t>
      </w:r>
      <w:r w:rsidR="000A0042" w:rsidRPr="0057417D">
        <w:rPr>
          <w:lang w:eastAsia="es-CR"/>
        </w:rPr>
        <w:t>SUGESE</w:t>
      </w:r>
      <w:r w:rsidRPr="0057417D">
        <w:rPr>
          <w:lang w:eastAsia="es-CR"/>
        </w:rPr>
        <w:t xml:space="preserve">, donde se detalla la composición por actividad ocupacional de las </w:t>
      </w:r>
      <w:r w:rsidR="00E92310" w:rsidRPr="0057417D">
        <w:rPr>
          <w:lang w:eastAsia="es-CR"/>
        </w:rPr>
        <w:t>45</w:t>
      </w:r>
      <w:r w:rsidRPr="0057417D">
        <w:rPr>
          <w:lang w:eastAsia="es-CR"/>
        </w:rPr>
        <w:t xml:space="preserve"> plazas ocupadas, además del salario promedio mensual de éstas, al 31 de diciembre de 201</w:t>
      </w:r>
      <w:r w:rsidR="00E92310" w:rsidRPr="0057417D">
        <w:rPr>
          <w:lang w:eastAsia="es-CR"/>
        </w:rPr>
        <w:t>9</w:t>
      </w:r>
      <w:r w:rsidR="00C14664" w:rsidRPr="0057417D">
        <w:rPr>
          <w:lang w:eastAsia="es-CR"/>
        </w:rPr>
        <w:t xml:space="preserve">. </w:t>
      </w:r>
      <w:r w:rsidR="00647CB0">
        <w:rPr>
          <w:lang w:eastAsia="es-CR"/>
        </w:rPr>
        <w:t>Además</w:t>
      </w:r>
      <w:r w:rsidR="00C14664" w:rsidRPr="0057417D">
        <w:rPr>
          <w:lang w:eastAsia="es-CR"/>
        </w:rPr>
        <w:t>,</w:t>
      </w:r>
      <w:r w:rsidRPr="0057417D">
        <w:rPr>
          <w:lang w:eastAsia="es-CR"/>
        </w:rPr>
        <w:t xml:space="preserve"> </w:t>
      </w:r>
      <w:r w:rsidR="003B3012" w:rsidRPr="0057417D">
        <w:rPr>
          <w:lang w:eastAsia="es-CR"/>
        </w:rPr>
        <w:t xml:space="preserve">se </w:t>
      </w:r>
      <w:r w:rsidR="005032CD" w:rsidRPr="0057417D">
        <w:rPr>
          <w:lang w:eastAsia="es-CR"/>
        </w:rPr>
        <w:t xml:space="preserve">incluye la información de </w:t>
      </w:r>
      <w:r w:rsidR="003B3012" w:rsidRPr="0057417D">
        <w:rPr>
          <w:lang w:eastAsia="es-CR"/>
        </w:rPr>
        <w:t xml:space="preserve"> las </w:t>
      </w:r>
      <w:r w:rsidR="00E92310" w:rsidRPr="0057417D">
        <w:rPr>
          <w:lang w:eastAsia="es-CR"/>
        </w:rPr>
        <w:t>cinco</w:t>
      </w:r>
      <w:r w:rsidR="003B3012" w:rsidRPr="0057417D">
        <w:rPr>
          <w:lang w:eastAsia="es-CR"/>
        </w:rPr>
        <w:t xml:space="preserve"> plazas  vacantes a esa fecha.</w:t>
      </w:r>
    </w:p>
    <w:p w:rsidR="00376D6C" w:rsidRPr="0057417D" w:rsidRDefault="00376D6C" w:rsidP="00016AB4">
      <w:pPr>
        <w:spacing w:line="240" w:lineRule="auto"/>
        <w:rPr>
          <w:lang w:eastAsia="es-CR"/>
        </w:rPr>
      </w:pPr>
    </w:p>
    <w:p w:rsidR="0093653C" w:rsidRPr="0057417D" w:rsidRDefault="006074F7" w:rsidP="00016AB4">
      <w:pPr>
        <w:spacing w:line="240" w:lineRule="auto"/>
        <w:jc w:val="center"/>
        <w:rPr>
          <w:rFonts w:ascii="Century Gothic" w:hAnsi="Century Gothic" w:cs="Century Gothic"/>
          <w:bCs/>
          <w:kern w:val="24"/>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r w:rsidR="0093653C" w:rsidRPr="0057417D">
        <w:rPr>
          <w:rFonts w:ascii="Century Gothic" w:hAnsi="Century Gothic" w:cs="Century Gothic"/>
          <w:bCs/>
          <w:kern w:val="24"/>
          <w:sz w:val="20"/>
          <w:szCs w:val="20"/>
        </w:rPr>
        <w:t xml:space="preserve"> </w:t>
      </w:r>
    </w:p>
    <w:p w:rsidR="00554B54" w:rsidRPr="0057417D" w:rsidRDefault="00554B54" w:rsidP="00016AB4">
      <w:pPr>
        <w:spacing w:line="240" w:lineRule="auto"/>
        <w:jc w:val="center"/>
        <w:rPr>
          <w:rFonts w:ascii="Century Gothic" w:hAnsi="Century Gothic" w:cs="Century Gothic"/>
          <w:bCs/>
          <w:kern w:val="24"/>
          <w:sz w:val="20"/>
          <w:szCs w:val="20"/>
        </w:rPr>
      </w:pPr>
      <w:r w:rsidRPr="0057417D">
        <w:rPr>
          <w:rFonts w:ascii="Century Gothic" w:hAnsi="Century Gothic" w:cs="Century Gothic"/>
          <w:bCs/>
          <w:kern w:val="24"/>
          <w:sz w:val="20"/>
          <w:szCs w:val="20"/>
        </w:rPr>
        <w:t>Superintendencia General de Seguros</w:t>
      </w:r>
    </w:p>
    <w:p w:rsidR="00554B54" w:rsidRPr="0057417D" w:rsidRDefault="00554B54"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Recursos humanos</w:t>
      </w:r>
    </w:p>
    <w:p w:rsidR="00385313" w:rsidRPr="0057417D" w:rsidRDefault="00385313" w:rsidP="00016AB4">
      <w:pPr>
        <w:spacing w:line="240" w:lineRule="auto"/>
        <w:jc w:val="center"/>
        <w:rPr>
          <w:rFonts w:ascii="Century Gothic" w:hAnsi="Century Gothic" w:cs="Century Gothic"/>
          <w:bCs/>
          <w:kern w:val="24"/>
          <w:sz w:val="20"/>
          <w:szCs w:val="20"/>
        </w:rPr>
      </w:pPr>
      <w:r w:rsidRPr="0057417D">
        <w:rPr>
          <w:rFonts w:ascii="Century Gothic" w:hAnsi="Century Gothic" w:cs="Century Gothic"/>
          <w:bCs/>
          <w:kern w:val="24"/>
          <w:sz w:val="20"/>
          <w:szCs w:val="20"/>
        </w:rPr>
        <w:t>Al 31 de diciembre de 201</w:t>
      </w:r>
      <w:r w:rsidR="00E92310" w:rsidRPr="0057417D">
        <w:rPr>
          <w:rFonts w:ascii="Century Gothic" w:hAnsi="Century Gothic" w:cs="Century Gothic"/>
          <w:bCs/>
          <w:kern w:val="24"/>
          <w:sz w:val="20"/>
          <w:szCs w:val="20"/>
        </w:rPr>
        <w:t>9</w:t>
      </w:r>
    </w:p>
    <w:tbl>
      <w:tblPr>
        <w:tblStyle w:val="Listaclara-nfasis11"/>
        <w:tblW w:w="8212" w:type="dxa"/>
        <w:jc w:val="center"/>
        <w:tblLayout w:type="fixed"/>
        <w:tblLook w:val="04A0" w:firstRow="1" w:lastRow="0" w:firstColumn="1" w:lastColumn="0" w:noHBand="0" w:noVBand="1"/>
      </w:tblPr>
      <w:tblGrid>
        <w:gridCol w:w="3534"/>
        <w:gridCol w:w="1603"/>
        <w:gridCol w:w="1418"/>
        <w:gridCol w:w="1657"/>
      </w:tblGrid>
      <w:tr w:rsidR="00FE4D31" w:rsidRPr="0057417D" w:rsidTr="00647CB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34" w:type="dxa"/>
            <w:shd w:val="clear" w:color="auto" w:fill="365F91" w:themeFill="accent1" w:themeFillShade="BF"/>
            <w:vAlign w:val="center"/>
          </w:tcPr>
          <w:p w:rsidR="00FE4D31" w:rsidRPr="0057417D" w:rsidRDefault="00FE4D31" w:rsidP="00DC373C">
            <w:pPr>
              <w:spacing w:line="240" w:lineRule="auto"/>
              <w:jc w:val="center"/>
              <w:rPr>
                <w:sz w:val="22"/>
              </w:rPr>
            </w:pPr>
            <w:r w:rsidRPr="0057417D">
              <w:rPr>
                <w:rFonts w:ascii="Calibri" w:hAnsi="Calibri"/>
                <w:sz w:val="22"/>
              </w:rPr>
              <w:t>Actividad Ocupacional</w:t>
            </w:r>
          </w:p>
        </w:tc>
        <w:tc>
          <w:tcPr>
            <w:tcW w:w="1603" w:type="dxa"/>
            <w:shd w:val="clear" w:color="auto" w:fill="365F91" w:themeFill="accent1" w:themeFillShade="BF"/>
            <w:vAlign w:val="center"/>
          </w:tcPr>
          <w:p w:rsidR="00FE4D31" w:rsidRPr="0057417D" w:rsidRDefault="00FE4D31" w:rsidP="00DC373C">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57417D">
              <w:rPr>
                <w:rFonts w:ascii="Calibri" w:hAnsi="Calibri"/>
                <w:sz w:val="22"/>
              </w:rPr>
              <w:t>Plazas ocupadas</w:t>
            </w:r>
          </w:p>
        </w:tc>
        <w:tc>
          <w:tcPr>
            <w:tcW w:w="1418" w:type="dxa"/>
            <w:shd w:val="clear" w:color="auto" w:fill="365F91" w:themeFill="accent1" w:themeFillShade="BF"/>
            <w:vAlign w:val="center"/>
          </w:tcPr>
          <w:p w:rsidR="00FE4D31" w:rsidRPr="0057417D" w:rsidRDefault="00FE4D31" w:rsidP="00DC373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57417D">
              <w:rPr>
                <w:rFonts w:ascii="Calibri" w:hAnsi="Calibri"/>
                <w:sz w:val="22"/>
              </w:rPr>
              <w:t>Plazas vacantes</w:t>
            </w:r>
          </w:p>
        </w:tc>
        <w:tc>
          <w:tcPr>
            <w:tcW w:w="1657" w:type="dxa"/>
            <w:shd w:val="clear" w:color="auto" w:fill="365F91" w:themeFill="accent1" w:themeFillShade="BF"/>
            <w:vAlign w:val="center"/>
          </w:tcPr>
          <w:p w:rsidR="00FE4D31" w:rsidRPr="0057417D" w:rsidRDefault="00FE4D31" w:rsidP="00DC373C">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57417D">
              <w:rPr>
                <w:rFonts w:ascii="Calibri" w:hAnsi="Calibri"/>
                <w:sz w:val="22"/>
              </w:rPr>
              <w:t xml:space="preserve">Salario promedio </w:t>
            </w:r>
            <w:r w:rsidR="00375F43" w:rsidRPr="0057417D">
              <w:rPr>
                <w:rFonts w:ascii="Calibri" w:hAnsi="Calibri"/>
                <w:sz w:val="22"/>
              </w:rPr>
              <w:t>anual</w:t>
            </w:r>
            <w:r w:rsidR="00393C8C" w:rsidRPr="0057417D">
              <w:rPr>
                <w:rFonts w:ascii="Calibri" w:hAnsi="Calibri"/>
                <w:sz w:val="22"/>
              </w:rPr>
              <w:t xml:space="preserve"> en miles</w:t>
            </w:r>
            <w:r w:rsidR="00647CB0">
              <w:rPr>
                <w:rFonts w:ascii="Calibri" w:hAnsi="Calibri"/>
                <w:sz w:val="22"/>
              </w:rPr>
              <w:t xml:space="preserve"> de colones</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center"/>
              <w:rPr>
                <w:rStyle w:val="Hipervnculo"/>
                <w:color w:val="0070C0"/>
                <w:sz w:val="22"/>
              </w:rPr>
            </w:pPr>
            <w:r w:rsidRPr="0057417D">
              <w:rPr>
                <w:color w:val="000000"/>
                <w:sz w:val="22"/>
                <w:u w:val="single"/>
              </w:rPr>
              <w:t>TOTAL</w:t>
            </w:r>
          </w:p>
        </w:tc>
        <w:tc>
          <w:tcPr>
            <w:tcW w:w="1603" w:type="dxa"/>
            <w:vAlign w:val="bottom"/>
          </w:tcPr>
          <w:p w:rsidR="00FE4D31" w:rsidRPr="0057417D" w:rsidRDefault="00135AB5" w:rsidP="00DC373C">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r w:rsidRPr="0057417D">
              <w:rPr>
                <w:b/>
                <w:bCs/>
                <w:color w:val="000000"/>
                <w:sz w:val="22"/>
                <w:u w:val="single"/>
              </w:rPr>
              <w:t>4</w:t>
            </w:r>
            <w:r w:rsidR="00636994" w:rsidRPr="0057417D">
              <w:rPr>
                <w:b/>
                <w:bCs/>
                <w:color w:val="000000"/>
                <w:sz w:val="22"/>
                <w:u w:val="single"/>
              </w:rPr>
              <w:t>5</w:t>
            </w:r>
          </w:p>
        </w:tc>
        <w:tc>
          <w:tcPr>
            <w:tcW w:w="1418" w:type="dxa"/>
          </w:tcPr>
          <w:p w:rsidR="00FE4D31" w:rsidRPr="0057417D" w:rsidRDefault="00636994" w:rsidP="00DC373C">
            <w:pPr>
              <w:spacing w:line="240" w:lineRule="auto"/>
              <w:jc w:val="center"/>
              <w:cnfStyle w:val="000000100000" w:firstRow="0" w:lastRow="0" w:firstColumn="0" w:lastColumn="0" w:oddVBand="0" w:evenVBand="0" w:oddHBand="1" w:evenHBand="0" w:firstRowFirstColumn="0" w:firstRowLastColumn="0" w:lastRowFirstColumn="0" w:lastRowLastColumn="0"/>
              <w:rPr>
                <w:b/>
                <w:color w:val="000000"/>
                <w:sz w:val="22"/>
                <w:u w:val="single"/>
              </w:rPr>
            </w:pPr>
            <w:r w:rsidRPr="0057417D">
              <w:rPr>
                <w:b/>
                <w:color w:val="000000"/>
                <w:sz w:val="22"/>
                <w:u w:val="single"/>
              </w:rPr>
              <w:t>5</w:t>
            </w:r>
          </w:p>
        </w:tc>
        <w:tc>
          <w:tcPr>
            <w:tcW w:w="1657"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rStyle w:val="Hipervnculo"/>
                <w:b w:val="0"/>
                <w:color w:val="0070C0"/>
                <w:sz w:val="22"/>
              </w:rPr>
            </w:pPr>
            <w:r w:rsidRPr="0057417D">
              <w:rPr>
                <w:rStyle w:val="Hipervnculo"/>
                <w:color w:val="auto"/>
                <w:sz w:val="22"/>
              </w:rPr>
              <w:t>Despacho</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FE4D31" w:rsidP="00647CB0">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Superintendente</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135AB5"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114</w:t>
            </w:r>
            <w:r w:rsidR="00FE4D31" w:rsidRPr="0057417D">
              <w:rPr>
                <w:color w:val="000000"/>
                <w:sz w:val="22"/>
              </w:rPr>
              <w:t>.</w:t>
            </w:r>
            <w:r w:rsidR="00375F43" w:rsidRPr="0057417D">
              <w:rPr>
                <w:color w:val="000000"/>
                <w:sz w:val="22"/>
              </w:rPr>
              <w:t>4</w:t>
            </w:r>
            <w:r w:rsidRPr="0057417D">
              <w:rPr>
                <w:color w:val="000000"/>
                <w:sz w:val="22"/>
              </w:rPr>
              <w:t>98</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0000"/>
                <w:sz w:val="22"/>
              </w:rPr>
            </w:pPr>
            <w:r w:rsidRPr="0057417D">
              <w:rPr>
                <w:b w:val="0"/>
                <w:color w:val="000000"/>
                <w:sz w:val="22"/>
              </w:rPr>
              <w:t>Intendente</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1</w:t>
            </w:r>
          </w:p>
        </w:tc>
        <w:tc>
          <w:tcPr>
            <w:tcW w:w="1657" w:type="dxa"/>
            <w:vAlign w:val="bottom"/>
          </w:tcPr>
          <w:p w:rsidR="00FE4D31" w:rsidRPr="0057417D" w:rsidRDefault="00375F43"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rFonts w:ascii="Calibri" w:hAnsi="Calibri"/>
                <w:color w:val="000000"/>
                <w:sz w:val="22"/>
              </w:rPr>
              <w:t>8</w:t>
            </w:r>
            <w:r w:rsidR="00135AB5" w:rsidRPr="0057417D">
              <w:rPr>
                <w:rFonts w:ascii="Calibri" w:hAnsi="Calibri"/>
                <w:color w:val="000000"/>
                <w:sz w:val="22"/>
              </w:rPr>
              <w:t>4</w:t>
            </w:r>
            <w:r w:rsidR="00FE4D31" w:rsidRPr="0057417D">
              <w:rPr>
                <w:rFonts w:ascii="Calibri" w:hAnsi="Calibri"/>
                <w:color w:val="000000"/>
                <w:sz w:val="22"/>
              </w:rPr>
              <w:t>.</w:t>
            </w:r>
            <w:r w:rsidR="00135AB5" w:rsidRPr="0057417D">
              <w:rPr>
                <w:rFonts w:ascii="Calibri" w:hAnsi="Calibri"/>
                <w:color w:val="000000"/>
                <w:sz w:val="22"/>
              </w:rPr>
              <w:t>33</w:t>
            </w:r>
            <w:r w:rsidR="00FE4D31" w:rsidRPr="0057417D">
              <w:rPr>
                <w:rFonts w:ascii="Calibri" w:hAnsi="Calibri"/>
                <w:color w:val="000000"/>
                <w:sz w:val="22"/>
              </w:rPr>
              <w:t>3</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3</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375F43"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00FE4D31" w:rsidRPr="0057417D">
              <w:rPr>
                <w:color w:val="000000"/>
                <w:sz w:val="22"/>
              </w:rPr>
              <w:t>.</w:t>
            </w:r>
            <w:r w:rsidR="00135AB5" w:rsidRPr="0057417D">
              <w:rPr>
                <w:color w:val="000000"/>
                <w:sz w:val="22"/>
              </w:rPr>
              <w:t>636</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rStyle w:val="Hipervnculo"/>
                <w:color w:val="0070C0"/>
                <w:sz w:val="22"/>
              </w:rPr>
            </w:pPr>
            <w:bookmarkStart w:id="4" w:name="_Hlk35267147"/>
            <w:r w:rsidRPr="0057417D">
              <w:rPr>
                <w:rStyle w:val="Hipervnculo"/>
                <w:color w:val="auto"/>
                <w:sz w:val="22"/>
              </w:rPr>
              <w:t>División Normativa y Autorizaciones</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FE4D31" w:rsidP="00647CB0">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b w:val="0"/>
                <w:color w:val="000000"/>
                <w:sz w:val="22"/>
              </w:rPr>
              <w:t>Director de División</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375F43"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6</w:t>
            </w:r>
            <w:r w:rsidR="00135AB5" w:rsidRPr="0057417D">
              <w:rPr>
                <w:color w:val="000000"/>
                <w:sz w:val="22"/>
              </w:rPr>
              <w:t>4</w:t>
            </w:r>
            <w:r w:rsidR="00FE4D31" w:rsidRPr="0057417D">
              <w:rPr>
                <w:color w:val="000000"/>
                <w:sz w:val="22"/>
              </w:rPr>
              <w:t>.</w:t>
            </w:r>
            <w:r w:rsidR="00135AB5" w:rsidRPr="0057417D">
              <w:rPr>
                <w:color w:val="000000"/>
                <w:sz w:val="22"/>
              </w:rPr>
              <w:t>979</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Ejecutivo de área</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75F43"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5</w:t>
            </w:r>
            <w:r w:rsidR="00FE4D31" w:rsidRPr="0057417D">
              <w:rPr>
                <w:color w:val="000000"/>
                <w:sz w:val="22"/>
              </w:rPr>
              <w:t>.</w:t>
            </w:r>
            <w:r w:rsidR="00135AB5" w:rsidRPr="0057417D">
              <w:rPr>
                <w:color w:val="000000"/>
                <w:sz w:val="22"/>
              </w:rPr>
              <w:t>273</w:t>
            </w:r>
          </w:p>
        </w:tc>
      </w:tr>
      <w:tr w:rsidR="00DC2ADC"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DC2ADC" w:rsidRPr="0057417D" w:rsidRDefault="00DC2ADC" w:rsidP="00DC373C">
            <w:pPr>
              <w:spacing w:line="240" w:lineRule="auto"/>
              <w:jc w:val="left"/>
              <w:rPr>
                <w:b w:val="0"/>
                <w:color w:val="000000"/>
                <w:sz w:val="22"/>
              </w:rPr>
            </w:pPr>
            <w:r>
              <w:rPr>
                <w:b w:val="0"/>
                <w:color w:val="000000"/>
                <w:sz w:val="22"/>
              </w:rPr>
              <w:t>Profesional Gestión Bancaria 4</w:t>
            </w:r>
          </w:p>
        </w:tc>
        <w:tc>
          <w:tcPr>
            <w:tcW w:w="1603" w:type="dxa"/>
            <w:vAlign w:val="bottom"/>
          </w:tcPr>
          <w:p w:rsidR="00DC2ADC" w:rsidRPr="0057417D" w:rsidRDefault="00DC2ADC"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Pr>
                <w:color w:val="000000"/>
                <w:sz w:val="22"/>
              </w:rPr>
              <w:t>1</w:t>
            </w:r>
          </w:p>
        </w:tc>
        <w:tc>
          <w:tcPr>
            <w:tcW w:w="1418" w:type="dxa"/>
          </w:tcPr>
          <w:p w:rsidR="00DC2ADC" w:rsidRPr="0057417D" w:rsidRDefault="00DC2ADC"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DC2ADC" w:rsidRPr="0057417D" w:rsidRDefault="00DC2ADC"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25.273</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3</w:t>
            </w:r>
          </w:p>
        </w:tc>
        <w:tc>
          <w:tcPr>
            <w:tcW w:w="1603" w:type="dxa"/>
            <w:vAlign w:val="bottom"/>
          </w:tcPr>
          <w:p w:rsidR="00FE4D31" w:rsidRPr="0057417D" w:rsidRDefault="00DC2ADC"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DC2ADC">
              <w:rPr>
                <w:sz w:val="22"/>
              </w:rPr>
              <w:t>5</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75F43"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Pr="0057417D">
              <w:rPr>
                <w:color w:val="000000"/>
                <w:sz w:val="22"/>
              </w:rPr>
              <w:t>.</w:t>
            </w:r>
            <w:r w:rsidR="00135AB5" w:rsidRPr="0057417D">
              <w:rPr>
                <w:color w:val="000000"/>
                <w:sz w:val="22"/>
              </w:rPr>
              <w:t>636</w:t>
            </w:r>
          </w:p>
        </w:tc>
      </w:tr>
      <w:bookmarkEnd w:id="4"/>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rStyle w:val="Hipervnculo"/>
                <w:color w:val="auto"/>
              </w:rPr>
              <w:t>División de Supervisión</w:t>
            </w:r>
            <w:r w:rsidR="00047405" w:rsidRPr="0057417D">
              <w:rPr>
                <w:rStyle w:val="Hipervnculo"/>
                <w:color w:val="auto"/>
              </w:rPr>
              <w:t xml:space="preserve"> </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FE4D31"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b w:val="0"/>
                <w:color w:val="000000"/>
                <w:sz w:val="22"/>
              </w:rPr>
              <w:t>Director de División</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418" w:type="dxa"/>
          </w:tcPr>
          <w:p w:rsidR="00FE4D31" w:rsidRPr="0057417D" w:rsidRDefault="00636994"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1</w:t>
            </w:r>
          </w:p>
        </w:tc>
        <w:tc>
          <w:tcPr>
            <w:tcW w:w="1657" w:type="dxa"/>
            <w:vAlign w:val="bottom"/>
          </w:tcPr>
          <w:p w:rsidR="00FE4D31" w:rsidRPr="0057417D" w:rsidRDefault="00375F43"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6</w:t>
            </w:r>
            <w:r w:rsidR="00135AB5" w:rsidRPr="0057417D">
              <w:rPr>
                <w:color w:val="000000"/>
                <w:sz w:val="22"/>
              </w:rPr>
              <w:t>4</w:t>
            </w:r>
            <w:r w:rsidRPr="0057417D">
              <w:rPr>
                <w:color w:val="000000"/>
                <w:sz w:val="22"/>
              </w:rPr>
              <w:t>.</w:t>
            </w:r>
            <w:r w:rsidR="00135AB5" w:rsidRPr="0057417D">
              <w:rPr>
                <w:color w:val="000000"/>
                <w:sz w:val="22"/>
              </w:rPr>
              <w:t>979</w:t>
            </w:r>
          </w:p>
        </w:tc>
      </w:tr>
      <w:tr w:rsidR="00375F43"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375F43" w:rsidRPr="0057417D" w:rsidRDefault="00375F43" w:rsidP="00375F43">
            <w:pPr>
              <w:spacing w:line="240" w:lineRule="auto"/>
              <w:jc w:val="left"/>
              <w:rPr>
                <w:b w:val="0"/>
                <w:color w:val="000000"/>
                <w:sz w:val="22"/>
              </w:rPr>
            </w:pPr>
            <w:r w:rsidRPr="0057417D">
              <w:rPr>
                <w:b w:val="0"/>
                <w:color w:val="000000"/>
                <w:sz w:val="22"/>
              </w:rPr>
              <w:t>Líder de Supervisión</w:t>
            </w:r>
          </w:p>
        </w:tc>
        <w:tc>
          <w:tcPr>
            <w:tcW w:w="1603" w:type="dxa"/>
            <w:vAlign w:val="bottom"/>
          </w:tcPr>
          <w:p w:rsidR="00375F43" w:rsidRPr="0057417D" w:rsidRDefault="00375F43" w:rsidP="00375F43">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1</w:t>
            </w:r>
          </w:p>
        </w:tc>
        <w:tc>
          <w:tcPr>
            <w:tcW w:w="1418" w:type="dxa"/>
          </w:tcPr>
          <w:p w:rsidR="00375F43" w:rsidRPr="0057417D" w:rsidRDefault="00375F43" w:rsidP="00375F43">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375F43" w:rsidRPr="0057417D" w:rsidRDefault="00135AB5"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47</w:t>
            </w:r>
            <w:r w:rsidR="00375F43" w:rsidRPr="0057417D">
              <w:rPr>
                <w:color w:val="000000"/>
                <w:sz w:val="22"/>
              </w:rPr>
              <w:t>.</w:t>
            </w:r>
            <w:r w:rsidRPr="0057417D">
              <w:rPr>
                <w:color w:val="000000"/>
                <w:sz w:val="22"/>
              </w:rPr>
              <w:t>748</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Supervisor Principal</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3</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75F43"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5</w:t>
            </w:r>
            <w:r w:rsidRPr="0057417D">
              <w:rPr>
                <w:color w:val="000000"/>
                <w:sz w:val="22"/>
              </w:rPr>
              <w:t>.</w:t>
            </w:r>
            <w:r w:rsidR="00135AB5" w:rsidRPr="0057417D">
              <w:rPr>
                <w:color w:val="000000"/>
                <w:sz w:val="22"/>
              </w:rPr>
              <w:t>273</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Supervisor 2</w:t>
            </w:r>
          </w:p>
        </w:tc>
        <w:tc>
          <w:tcPr>
            <w:tcW w:w="1603" w:type="dxa"/>
            <w:vAlign w:val="bottom"/>
          </w:tcPr>
          <w:p w:rsidR="00FE4D31" w:rsidRPr="0057417D" w:rsidRDefault="00362EFD"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w:t>
            </w:r>
            <w:r w:rsidR="00F45977" w:rsidRPr="0057417D">
              <w:rPr>
                <w:color w:val="000000"/>
                <w:sz w:val="22"/>
              </w:rPr>
              <w:t>5</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Pr="0057417D">
              <w:rPr>
                <w:color w:val="000000"/>
                <w:sz w:val="22"/>
              </w:rPr>
              <w:t>.</w:t>
            </w:r>
            <w:r w:rsidR="00135AB5" w:rsidRPr="0057417D">
              <w:rPr>
                <w:color w:val="000000"/>
                <w:sz w:val="22"/>
              </w:rPr>
              <w:t>636</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Supervisor TI</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Pr="0057417D">
              <w:rPr>
                <w:color w:val="000000"/>
                <w:sz w:val="22"/>
              </w:rPr>
              <w:t>.</w:t>
            </w:r>
            <w:r w:rsidR="00135AB5" w:rsidRPr="0057417D">
              <w:rPr>
                <w:color w:val="000000"/>
                <w:sz w:val="22"/>
              </w:rPr>
              <w:t>636</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rStyle w:val="Hipervnculo"/>
                <w:color w:val="auto"/>
              </w:rPr>
              <w:t>División Jurídica</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FE4D31" w:rsidP="00DC373C">
            <w:pPr>
              <w:spacing w:line="240" w:lineRule="auto"/>
              <w:jc w:val="right"/>
              <w:cnfStyle w:val="000000100000" w:firstRow="0" w:lastRow="0" w:firstColumn="0" w:lastColumn="0" w:oddVBand="0" w:evenVBand="0" w:oddHBand="1" w:evenHBand="0" w:firstRowFirstColumn="0" w:firstRowLastColumn="0" w:lastRowFirstColumn="0" w:lastRowLastColumn="0"/>
              <w:rPr>
                <w:color w:val="000000"/>
                <w:sz w:val="22"/>
              </w:rPr>
            </w:pP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b w:val="0"/>
                <w:color w:val="000000"/>
                <w:sz w:val="22"/>
              </w:rPr>
              <w:t>Director de División</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6</w:t>
            </w:r>
            <w:r w:rsidR="00135AB5" w:rsidRPr="0057417D">
              <w:rPr>
                <w:color w:val="000000"/>
                <w:sz w:val="22"/>
              </w:rPr>
              <w:t>4</w:t>
            </w:r>
            <w:r w:rsidRPr="0057417D">
              <w:rPr>
                <w:color w:val="000000"/>
                <w:sz w:val="22"/>
              </w:rPr>
              <w:t>.</w:t>
            </w:r>
            <w:r w:rsidR="00135AB5" w:rsidRPr="0057417D">
              <w:rPr>
                <w:color w:val="000000"/>
                <w:sz w:val="22"/>
              </w:rPr>
              <w:t>979</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4</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2</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5</w:t>
            </w:r>
            <w:r w:rsidRPr="0057417D">
              <w:rPr>
                <w:color w:val="000000"/>
                <w:sz w:val="22"/>
              </w:rPr>
              <w:t>.</w:t>
            </w:r>
            <w:r w:rsidR="00135AB5" w:rsidRPr="0057417D">
              <w:rPr>
                <w:color w:val="000000"/>
                <w:sz w:val="22"/>
              </w:rPr>
              <w:t>273</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3</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5</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Pr="0057417D">
              <w:rPr>
                <w:color w:val="000000"/>
                <w:sz w:val="22"/>
              </w:rPr>
              <w:t>.</w:t>
            </w:r>
            <w:r w:rsidR="00135AB5" w:rsidRPr="0057417D">
              <w:rPr>
                <w:color w:val="000000"/>
                <w:sz w:val="22"/>
              </w:rPr>
              <w:t>636</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2</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p>
        </w:tc>
        <w:tc>
          <w:tcPr>
            <w:tcW w:w="1418" w:type="dxa"/>
          </w:tcPr>
          <w:p w:rsidR="00FE4D31" w:rsidRPr="0057417D" w:rsidRDefault="00135AB5"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1</w:t>
            </w:r>
          </w:p>
        </w:tc>
        <w:tc>
          <w:tcPr>
            <w:tcW w:w="1657" w:type="dxa"/>
            <w:vAlign w:val="bottom"/>
          </w:tcPr>
          <w:p w:rsidR="00FE4D31" w:rsidRPr="0057417D" w:rsidRDefault="00362EFD" w:rsidP="00647CB0">
            <w:pPr>
              <w:spacing w:line="240" w:lineRule="auto"/>
              <w:jc w:val="center"/>
              <w:cnfStyle w:val="000000100000" w:firstRow="0" w:lastRow="0" w:firstColumn="0" w:lastColumn="0" w:oddVBand="0" w:evenVBand="0" w:oddHBand="1" w:evenHBand="0" w:firstRowFirstColumn="0" w:firstRowLastColumn="0" w:lastRowFirstColumn="0" w:lastRowLastColumn="0"/>
              <w:rPr>
                <w:sz w:val="22"/>
              </w:rPr>
            </w:pPr>
            <w:r w:rsidRPr="0057417D">
              <w:rPr>
                <w:sz w:val="22"/>
              </w:rPr>
              <w:t>1</w:t>
            </w:r>
            <w:r w:rsidR="00135AB5" w:rsidRPr="0057417D">
              <w:rPr>
                <w:sz w:val="22"/>
              </w:rPr>
              <w:t>7</w:t>
            </w:r>
            <w:r w:rsidRPr="0057417D">
              <w:rPr>
                <w:sz w:val="22"/>
              </w:rPr>
              <w:t>.</w:t>
            </w:r>
            <w:r w:rsidR="00135AB5" w:rsidRPr="0057417D">
              <w:rPr>
                <w:sz w:val="22"/>
              </w:rPr>
              <w:t>025</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color w:val="000000"/>
                <w:sz w:val="22"/>
              </w:rPr>
            </w:pPr>
            <w:r w:rsidRPr="0057417D">
              <w:rPr>
                <w:rStyle w:val="Hipervnculo"/>
                <w:color w:val="auto"/>
              </w:rPr>
              <w:t>Área Comunicación y Servicios</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FE4D31"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4</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5</w:t>
            </w:r>
            <w:r w:rsidRPr="0057417D">
              <w:rPr>
                <w:color w:val="000000"/>
                <w:sz w:val="22"/>
              </w:rPr>
              <w:t>.</w:t>
            </w:r>
            <w:r w:rsidR="00135AB5" w:rsidRPr="0057417D">
              <w:rPr>
                <w:color w:val="000000"/>
                <w:sz w:val="22"/>
              </w:rPr>
              <w:t>273</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Profesional Gestión Bancaria 3</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p>
        </w:tc>
        <w:tc>
          <w:tcPr>
            <w:tcW w:w="1657" w:type="dxa"/>
            <w:vAlign w:val="bottom"/>
          </w:tcPr>
          <w:p w:rsidR="00FE4D31" w:rsidRPr="0057417D" w:rsidRDefault="00362EFD" w:rsidP="00647CB0">
            <w:pPr>
              <w:spacing w:line="240" w:lineRule="auto"/>
              <w:jc w:val="center"/>
              <w:cnfStyle w:val="000000000000" w:firstRow="0" w:lastRow="0" w:firstColumn="0" w:lastColumn="0" w:oddVBand="0" w:evenVBand="0" w:oddHBand="0" w:evenHBand="0" w:firstRowFirstColumn="0" w:firstRowLastColumn="0" w:lastRowFirstColumn="0" w:lastRowLastColumn="0"/>
              <w:rPr>
                <w:color w:val="FF0000"/>
                <w:sz w:val="22"/>
              </w:rPr>
            </w:pPr>
            <w:r w:rsidRPr="0057417D">
              <w:rPr>
                <w:color w:val="000000"/>
                <w:sz w:val="22"/>
              </w:rPr>
              <w:t>2</w:t>
            </w:r>
            <w:r w:rsidR="00135AB5" w:rsidRPr="0057417D">
              <w:rPr>
                <w:color w:val="000000"/>
                <w:sz w:val="22"/>
              </w:rPr>
              <w:t>0</w:t>
            </w:r>
            <w:r w:rsidRPr="0057417D">
              <w:rPr>
                <w:color w:val="000000"/>
                <w:sz w:val="22"/>
              </w:rPr>
              <w:t>.</w:t>
            </w:r>
            <w:r w:rsidR="00135AB5" w:rsidRPr="0057417D">
              <w:rPr>
                <w:color w:val="000000"/>
                <w:sz w:val="22"/>
              </w:rPr>
              <w:t>636</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Técnico Servicios Institucionales 2</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r w:rsidRPr="0057417D">
              <w:rPr>
                <w:color w:val="000000"/>
                <w:sz w:val="22"/>
              </w:rPr>
              <w:t>1</w:t>
            </w: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p>
        </w:tc>
        <w:tc>
          <w:tcPr>
            <w:tcW w:w="1657" w:type="dxa"/>
            <w:vAlign w:val="bottom"/>
          </w:tcPr>
          <w:p w:rsidR="00FE4D31" w:rsidRPr="0057417D" w:rsidRDefault="00135AB5" w:rsidP="00647CB0">
            <w:pPr>
              <w:spacing w:line="240" w:lineRule="auto"/>
              <w:jc w:val="center"/>
              <w:cnfStyle w:val="000000100000" w:firstRow="0" w:lastRow="0" w:firstColumn="0" w:lastColumn="0" w:oddVBand="0" w:evenVBand="0" w:oddHBand="1" w:evenHBand="0" w:firstRowFirstColumn="0" w:firstRowLastColumn="0" w:lastRowFirstColumn="0" w:lastRowLastColumn="0"/>
              <w:rPr>
                <w:sz w:val="22"/>
              </w:rPr>
            </w:pPr>
            <w:r w:rsidRPr="0057417D">
              <w:rPr>
                <w:sz w:val="22"/>
              </w:rPr>
              <w:t>9</w:t>
            </w:r>
            <w:r w:rsidR="00362EFD" w:rsidRPr="0057417D">
              <w:rPr>
                <w:sz w:val="22"/>
              </w:rPr>
              <w:t>.</w:t>
            </w:r>
            <w:r w:rsidRPr="0057417D">
              <w:rPr>
                <w:sz w:val="22"/>
              </w:rPr>
              <w:t>943</w:t>
            </w:r>
          </w:p>
        </w:tc>
      </w:tr>
      <w:tr w:rsidR="00FE4D31" w:rsidRPr="0057417D" w:rsidTr="00647CB0">
        <w:trPr>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rStyle w:val="Hipervnculo"/>
                <w:b w:val="0"/>
                <w:color w:val="0070C0"/>
                <w:sz w:val="22"/>
              </w:rPr>
            </w:pPr>
            <w:r w:rsidRPr="0057417D">
              <w:rPr>
                <w:b w:val="0"/>
                <w:color w:val="000000"/>
                <w:sz w:val="22"/>
              </w:rPr>
              <w:t>Asistente Servicios Institucionales 2</w:t>
            </w:r>
          </w:p>
        </w:tc>
        <w:tc>
          <w:tcPr>
            <w:tcW w:w="1603" w:type="dxa"/>
            <w:vAlign w:val="bottom"/>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57417D">
              <w:rPr>
                <w:color w:val="000000"/>
                <w:sz w:val="22"/>
              </w:rPr>
              <w:t>3</w:t>
            </w:r>
          </w:p>
        </w:tc>
        <w:tc>
          <w:tcPr>
            <w:tcW w:w="1418" w:type="dxa"/>
          </w:tcPr>
          <w:p w:rsidR="00FE4D31" w:rsidRPr="0057417D" w:rsidRDefault="00FE4D31" w:rsidP="00DC373C">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 w:val="22"/>
              </w:rPr>
            </w:pPr>
            <w:r w:rsidRPr="0057417D">
              <w:rPr>
                <w:color w:val="000000"/>
                <w:sz w:val="22"/>
              </w:rPr>
              <w:t>1</w:t>
            </w:r>
          </w:p>
        </w:tc>
        <w:tc>
          <w:tcPr>
            <w:tcW w:w="1657" w:type="dxa"/>
            <w:vAlign w:val="bottom"/>
          </w:tcPr>
          <w:p w:rsidR="00FE4D31" w:rsidRPr="0057417D" w:rsidRDefault="00362EFD" w:rsidP="00647CB0">
            <w:pPr>
              <w:spacing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57417D">
              <w:rPr>
                <w:sz w:val="22"/>
              </w:rPr>
              <w:t>7.</w:t>
            </w:r>
            <w:r w:rsidR="00135AB5" w:rsidRPr="0057417D">
              <w:rPr>
                <w:sz w:val="22"/>
              </w:rPr>
              <w:t>797</w:t>
            </w:r>
          </w:p>
        </w:tc>
      </w:tr>
      <w:tr w:rsidR="00FE4D31" w:rsidRPr="0057417D" w:rsidTr="00647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534" w:type="dxa"/>
            <w:vAlign w:val="bottom"/>
          </w:tcPr>
          <w:p w:rsidR="00FE4D31" w:rsidRPr="0057417D" w:rsidRDefault="00FE4D31" w:rsidP="00DC373C">
            <w:pPr>
              <w:spacing w:line="240" w:lineRule="auto"/>
              <w:jc w:val="left"/>
              <w:rPr>
                <w:b w:val="0"/>
                <w:color w:val="0070C0"/>
                <w:sz w:val="22"/>
              </w:rPr>
            </w:pPr>
            <w:r w:rsidRPr="0057417D">
              <w:rPr>
                <w:b w:val="0"/>
                <w:color w:val="000000"/>
                <w:sz w:val="22"/>
              </w:rPr>
              <w:t>Asistente Servicios Institucionales 1</w:t>
            </w:r>
          </w:p>
        </w:tc>
        <w:tc>
          <w:tcPr>
            <w:tcW w:w="1603" w:type="dxa"/>
            <w:vAlign w:val="bottom"/>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FF0000"/>
                <w:sz w:val="22"/>
              </w:rPr>
            </w:pPr>
          </w:p>
        </w:tc>
        <w:tc>
          <w:tcPr>
            <w:tcW w:w="1418" w:type="dxa"/>
          </w:tcPr>
          <w:p w:rsidR="00FE4D31" w:rsidRPr="0057417D" w:rsidRDefault="00FE4D31" w:rsidP="00DC373C">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 w:val="22"/>
              </w:rPr>
            </w:pPr>
            <w:r w:rsidRPr="0057417D">
              <w:rPr>
                <w:color w:val="000000"/>
                <w:sz w:val="22"/>
              </w:rPr>
              <w:t>1</w:t>
            </w:r>
          </w:p>
        </w:tc>
        <w:tc>
          <w:tcPr>
            <w:tcW w:w="1657" w:type="dxa"/>
            <w:vAlign w:val="bottom"/>
          </w:tcPr>
          <w:p w:rsidR="00FE4D31" w:rsidRPr="0057417D" w:rsidRDefault="00362EFD" w:rsidP="00647CB0">
            <w:pPr>
              <w:spacing w:line="240" w:lineRule="auto"/>
              <w:jc w:val="center"/>
              <w:cnfStyle w:val="000000100000" w:firstRow="0" w:lastRow="0" w:firstColumn="0" w:lastColumn="0" w:oddVBand="0" w:evenVBand="0" w:oddHBand="1" w:evenHBand="0" w:firstRowFirstColumn="0" w:firstRowLastColumn="0" w:lastRowFirstColumn="0" w:lastRowLastColumn="0"/>
              <w:rPr>
                <w:sz w:val="22"/>
              </w:rPr>
            </w:pPr>
            <w:r w:rsidRPr="0057417D">
              <w:rPr>
                <w:sz w:val="22"/>
              </w:rPr>
              <w:t>6.</w:t>
            </w:r>
            <w:r w:rsidR="00135AB5" w:rsidRPr="0057417D">
              <w:rPr>
                <w:sz w:val="22"/>
              </w:rPr>
              <w:t>561</w:t>
            </w:r>
          </w:p>
        </w:tc>
      </w:tr>
    </w:tbl>
    <w:p w:rsidR="00DC1D68" w:rsidRPr="0057417D" w:rsidRDefault="00DC1D68">
      <w:pPr>
        <w:spacing w:line="360" w:lineRule="auto"/>
        <w:jc w:val="left"/>
        <w:rPr>
          <w:color w:val="0070C0"/>
          <w:lang w:eastAsia="es-CR"/>
        </w:rPr>
      </w:pPr>
    </w:p>
    <w:p w:rsidR="005D613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5" w:name="_Toc473007002"/>
      <w:r w:rsidRPr="0057417D">
        <w:rPr>
          <w:rFonts w:ascii="Century Gothic" w:eastAsiaTheme="majorEastAsia" w:hAnsi="Century Gothic" w:cstheme="majorBidi"/>
          <w:color w:val="365F91" w:themeColor="accent1" w:themeShade="BF"/>
          <w:kern w:val="0"/>
          <w:sz w:val="28"/>
          <w:szCs w:val="28"/>
          <w:lang w:eastAsia="es-CR"/>
        </w:rPr>
        <w:t>CUMPLIMIENTO DE METAS</w:t>
      </w:r>
      <w:bookmarkEnd w:id="5"/>
    </w:p>
    <w:p w:rsidR="00016AB4" w:rsidRPr="0057417D" w:rsidRDefault="00016AB4" w:rsidP="00016AB4">
      <w:pPr>
        <w:spacing w:line="240" w:lineRule="auto"/>
        <w:rPr>
          <w:rFonts w:ascii="Century Gothic" w:eastAsiaTheme="majorEastAsia" w:hAnsi="Century Gothic" w:cstheme="majorBidi"/>
          <w:color w:val="365F91" w:themeColor="accent1" w:themeShade="BF"/>
          <w:szCs w:val="24"/>
          <w:lang w:eastAsia="es-CR"/>
        </w:rPr>
      </w:pPr>
    </w:p>
    <w:p w:rsidR="00AC0BAB" w:rsidRPr="0057417D" w:rsidRDefault="00AC0BAB" w:rsidP="00016AB4">
      <w:pPr>
        <w:pStyle w:val="Ttulo2"/>
        <w:numPr>
          <w:ilvl w:val="0"/>
          <w:numId w:val="5"/>
        </w:numPr>
        <w:spacing w:before="0" w:line="240" w:lineRule="auto"/>
        <w:rPr>
          <w:b/>
        </w:rPr>
      </w:pPr>
      <w:r w:rsidRPr="0057417D">
        <w:rPr>
          <w:b/>
        </w:rPr>
        <w:t>Plan Nacional de Desarrollo</w:t>
      </w:r>
    </w:p>
    <w:p w:rsidR="003B3012" w:rsidRPr="0057417D" w:rsidRDefault="003B3012" w:rsidP="00016AB4">
      <w:pPr>
        <w:spacing w:line="240" w:lineRule="auto"/>
      </w:pPr>
    </w:p>
    <w:p w:rsidR="003B3012" w:rsidRPr="005E591D" w:rsidRDefault="0067164B" w:rsidP="008F0D66">
      <w:pPr>
        <w:spacing w:line="240" w:lineRule="auto"/>
        <w:rPr>
          <w:rFonts w:cstheme="minorHAnsi"/>
        </w:rPr>
      </w:pPr>
      <w:r w:rsidRPr="005E591D">
        <w:rPr>
          <w:rFonts w:cstheme="minorHAnsi"/>
        </w:rPr>
        <w:t>De acuerdo con</w:t>
      </w:r>
      <w:r w:rsidR="003B3012" w:rsidRPr="005E591D">
        <w:rPr>
          <w:rFonts w:cstheme="minorHAnsi"/>
        </w:rPr>
        <w:t xml:space="preserve"> el Plan Nacional de Desarrollo </w:t>
      </w:r>
      <w:r w:rsidR="00734559" w:rsidRPr="005E591D">
        <w:rPr>
          <w:rFonts w:cstheme="minorHAnsi"/>
        </w:rPr>
        <w:t xml:space="preserve">e Inversión Pública </w:t>
      </w:r>
      <w:r w:rsidR="003B3012" w:rsidRPr="005E591D">
        <w:rPr>
          <w:rFonts w:cstheme="minorHAnsi"/>
        </w:rPr>
        <w:t>201</w:t>
      </w:r>
      <w:r w:rsidR="00734559" w:rsidRPr="005E591D">
        <w:rPr>
          <w:rFonts w:cstheme="minorHAnsi"/>
        </w:rPr>
        <w:t>9</w:t>
      </w:r>
      <w:r w:rsidR="003B3012" w:rsidRPr="005E591D">
        <w:rPr>
          <w:rFonts w:cstheme="minorHAnsi"/>
        </w:rPr>
        <w:t>-20</w:t>
      </w:r>
      <w:r w:rsidR="00734559" w:rsidRPr="005E591D">
        <w:rPr>
          <w:rFonts w:cstheme="minorHAnsi"/>
        </w:rPr>
        <w:t>22</w:t>
      </w:r>
      <w:r w:rsidR="003B3012" w:rsidRPr="005E591D">
        <w:rPr>
          <w:rFonts w:cstheme="minorHAnsi"/>
        </w:rPr>
        <w:t xml:space="preserve"> (PND</w:t>
      </w:r>
      <w:r w:rsidR="008503D4" w:rsidRPr="005E591D">
        <w:rPr>
          <w:rFonts w:cstheme="minorHAnsi"/>
        </w:rPr>
        <w:t>IP</w:t>
      </w:r>
      <w:r w:rsidR="003B3012" w:rsidRPr="005E591D">
        <w:rPr>
          <w:rFonts w:cstheme="minorHAnsi"/>
        </w:rPr>
        <w:t xml:space="preserve">), </w:t>
      </w:r>
      <w:r w:rsidRPr="005E591D">
        <w:rPr>
          <w:rFonts w:cstheme="minorHAnsi"/>
        </w:rPr>
        <w:t xml:space="preserve">la </w:t>
      </w:r>
      <w:r w:rsidR="000A0042" w:rsidRPr="005E591D">
        <w:rPr>
          <w:rFonts w:cstheme="minorHAnsi"/>
        </w:rPr>
        <w:t>SUGESE</w:t>
      </w:r>
      <w:r w:rsidRPr="005E591D">
        <w:rPr>
          <w:rFonts w:cstheme="minorHAnsi"/>
        </w:rPr>
        <w:t xml:space="preserve"> </w:t>
      </w:r>
      <w:r w:rsidR="003B3012" w:rsidRPr="005E591D">
        <w:rPr>
          <w:rFonts w:cstheme="minorHAnsi"/>
        </w:rPr>
        <w:t xml:space="preserve">forma parte del sector Hacienda Pública, Monetario y Supervisión Financiera </w:t>
      </w:r>
      <w:r w:rsidR="0093653C" w:rsidRPr="005E591D">
        <w:rPr>
          <w:rFonts w:cstheme="minorHAnsi"/>
        </w:rPr>
        <w:t xml:space="preserve">y del </w:t>
      </w:r>
      <w:r w:rsidRPr="005E591D">
        <w:rPr>
          <w:rFonts w:cstheme="minorHAnsi"/>
        </w:rPr>
        <w:t xml:space="preserve">programa </w:t>
      </w:r>
      <w:r w:rsidR="003B3012" w:rsidRPr="005E591D">
        <w:rPr>
          <w:rFonts w:cstheme="minorHAnsi"/>
        </w:rPr>
        <w:t xml:space="preserve">“Fortalecimiento de regulación y </w:t>
      </w:r>
      <w:r w:rsidR="0093653C" w:rsidRPr="005E591D">
        <w:rPr>
          <w:rFonts w:cstheme="minorHAnsi"/>
        </w:rPr>
        <w:t xml:space="preserve">supervisión microprudencial”, cuya meta </w:t>
      </w:r>
      <w:r w:rsidR="008503D4" w:rsidRPr="005E591D">
        <w:rPr>
          <w:rFonts w:cstheme="minorHAnsi"/>
        </w:rPr>
        <w:t>para el 2019 era</w:t>
      </w:r>
      <w:r w:rsidR="00DC2ADC" w:rsidRPr="005E591D">
        <w:rPr>
          <w:rFonts w:cstheme="minorHAnsi"/>
        </w:rPr>
        <w:t xml:space="preserve"> </w:t>
      </w:r>
      <w:r w:rsidR="0093653C" w:rsidRPr="005E591D">
        <w:rPr>
          <w:rFonts w:cstheme="minorHAnsi"/>
        </w:rPr>
        <w:t xml:space="preserve">lograr </w:t>
      </w:r>
      <w:r w:rsidR="008503D4" w:rsidRPr="005E591D">
        <w:rPr>
          <w:rFonts w:cstheme="minorHAnsi"/>
        </w:rPr>
        <w:t>que</w:t>
      </w:r>
      <w:r w:rsidR="0093653C" w:rsidRPr="005E591D">
        <w:rPr>
          <w:rFonts w:cstheme="minorHAnsi"/>
        </w:rPr>
        <w:t xml:space="preserve"> </w:t>
      </w:r>
      <w:r w:rsidR="00BE3F4E" w:rsidRPr="005E591D">
        <w:rPr>
          <w:rFonts w:cstheme="minorHAnsi"/>
        </w:rPr>
        <w:t>el</w:t>
      </w:r>
      <w:r w:rsidR="0093653C" w:rsidRPr="005E591D">
        <w:rPr>
          <w:rFonts w:cstheme="minorHAnsi"/>
        </w:rPr>
        <w:t xml:space="preserve"> 100%</w:t>
      </w:r>
      <w:r w:rsidR="00734559" w:rsidRPr="005E591D">
        <w:rPr>
          <w:rFonts w:cstheme="minorHAnsi"/>
        </w:rPr>
        <w:t xml:space="preserve"> del activo supervisado del sector </w:t>
      </w:r>
      <w:r w:rsidR="00DC2ADC" w:rsidRPr="005E591D">
        <w:rPr>
          <w:rFonts w:cstheme="minorHAnsi"/>
        </w:rPr>
        <w:t xml:space="preserve">de </w:t>
      </w:r>
      <w:r w:rsidR="00734559" w:rsidRPr="005E591D">
        <w:rPr>
          <w:rFonts w:cstheme="minorHAnsi"/>
        </w:rPr>
        <w:t xml:space="preserve">seguros </w:t>
      </w:r>
      <w:r w:rsidR="008503D4" w:rsidRPr="005E591D">
        <w:rPr>
          <w:rFonts w:cstheme="minorHAnsi"/>
        </w:rPr>
        <w:t>estuviera</w:t>
      </w:r>
      <w:r w:rsidR="00734559" w:rsidRPr="005E591D">
        <w:rPr>
          <w:rFonts w:cstheme="minorHAnsi"/>
        </w:rPr>
        <w:t xml:space="preserve"> bajo un enfoque de supervisión basada en riesgos (SBR)</w:t>
      </w:r>
      <w:r w:rsidR="0093653C" w:rsidRPr="005E591D">
        <w:rPr>
          <w:rFonts w:cstheme="minorHAnsi"/>
        </w:rPr>
        <w:t>.</w:t>
      </w:r>
    </w:p>
    <w:p w:rsidR="003B3012" w:rsidRPr="005E591D" w:rsidRDefault="003B3012" w:rsidP="008F0D66">
      <w:pPr>
        <w:spacing w:line="240" w:lineRule="auto"/>
        <w:rPr>
          <w:rFonts w:cstheme="minorHAnsi"/>
          <w:highlight w:val="magenta"/>
        </w:rPr>
      </w:pPr>
    </w:p>
    <w:p w:rsidR="00734559" w:rsidRPr="005E591D" w:rsidRDefault="00734559" w:rsidP="002F21C0">
      <w:pPr>
        <w:pStyle w:val="Default"/>
        <w:jc w:val="both"/>
        <w:rPr>
          <w:rFonts w:asciiTheme="minorHAnsi" w:hAnsiTheme="minorHAnsi" w:cstheme="minorHAnsi"/>
          <w:color w:val="auto"/>
        </w:rPr>
      </w:pPr>
      <w:r w:rsidRPr="005E591D">
        <w:rPr>
          <w:rFonts w:asciiTheme="minorHAnsi" w:hAnsiTheme="minorHAnsi" w:cstheme="minorHAnsi"/>
          <w:color w:val="auto"/>
        </w:rPr>
        <w:t>Al respecto</w:t>
      </w:r>
      <w:r w:rsidR="00DC2ADC" w:rsidRPr="005E591D">
        <w:rPr>
          <w:rFonts w:asciiTheme="minorHAnsi" w:hAnsiTheme="minorHAnsi" w:cstheme="minorHAnsi"/>
        </w:rPr>
        <w:t xml:space="preserve">, el </w:t>
      </w:r>
      <w:r w:rsidRPr="005E591D">
        <w:rPr>
          <w:rFonts w:asciiTheme="minorHAnsi" w:hAnsiTheme="minorHAnsi" w:cstheme="minorHAnsi"/>
          <w:color w:val="auto"/>
        </w:rPr>
        <w:t>indicador de la meta establecida para esta Superintendencia se ubic</w:t>
      </w:r>
      <w:r w:rsidR="00DC2ADC" w:rsidRPr="005E591D">
        <w:rPr>
          <w:rFonts w:asciiTheme="minorHAnsi" w:hAnsiTheme="minorHAnsi" w:cstheme="minorHAnsi"/>
        </w:rPr>
        <w:t xml:space="preserve">ó, </w:t>
      </w:r>
      <w:r w:rsidRPr="005E591D">
        <w:rPr>
          <w:rFonts w:asciiTheme="minorHAnsi" w:hAnsiTheme="minorHAnsi" w:cstheme="minorHAnsi"/>
          <w:color w:val="auto"/>
        </w:rPr>
        <w:t xml:space="preserve">al 31 de diciembre de 2019 en 100,0%, es decir, </w:t>
      </w:r>
      <w:r w:rsidR="00DC2ADC" w:rsidRPr="005E591D">
        <w:rPr>
          <w:rFonts w:asciiTheme="minorHAnsi" w:hAnsiTheme="minorHAnsi" w:cstheme="minorHAnsi"/>
        </w:rPr>
        <w:t xml:space="preserve">la totalidad </w:t>
      </w:r>
      <w:r w:rsidRPr="005E591D">
        <w:rPr>
          <w:rFonts w:asciiTheme="minorHAnsi" w:hAnsiTheme="minorHAnsi" w:cstheme="minorHAnsi"/>
          <w:color w:val="auto"/>
        </w:rPr>
        <w:t>del activo supervisado del sector de seguros se</w:t>
      </w:r>
      <w:r w:rsidR="00DC2ADC" w:rsidRPr="005E591D">
        <w:rPr>
          <w:rFonts w:asciiTheme="minorHAnsi" w:hAnsiTheme="minorHAnsi" w:cstheme="minorHAnsi"/>
        </w:rPr>
        <w:t xml:space="preserve"> evaluó y dio seguimiento bajo el</w:t>
      </w:r>
      <w:r w:rsidRPr="005E591D">
        <w:rPr>
          <w:rFonts w:asciiTheme="minorHAnsi" w:hAnsiTheme="minorHAnsi" w:cstheme="minorHAnsi"/>
          <w:color w:val="auto"/>
        </w:rPr>
        <w:t xml:space="preserve"> enfoque </w:t>
      </w:r>
      <w:r w:rsidR="008503D4" w:rsidRPr="005E591D">
        <w:rPr>
          <w:rFonts w:asciiTheme="minorHAnsi" w:hAnsiTheme="minorHAnsi" w:cstheme="minorHAnsi"/>
        </w:rPr>
        <w:t>SBR, de acuerdo con los ciclos de evaluación programados por la SUGESE</w:t>
      </w:r>
      <w:r w:rsidRPr="005E591D">
        <w:rPr>
          <w:rFonts w:asciiTheme="minorHAnsi" w:hAnsiTheme="minorHAnsi" w:cstheme="minorHAnsi"/>
          <w:color w:val="auto"/>
        </w:rPr>
        <w:t xml:space="preserve">.  </w:t>
      </w:r>
      <w:r w:rsidR="008503D4" w:rsidRPr="005E591D">
        <w:rPr>
          <w:rFonts w:asciiTheme="minorHAnsi" w:hAnsiTheme="minorHAnsi" w:cstheme="minorHAnsi"/>
        </w:rPr>
        <w:t xml:space="preserve">Por lo tanto, se logró el avance programado en la meta establecida para </w:t>
      </w:r>
      <w:r w:rsidR="000A0042" w:rsidRPr="005E591D">
        <w:rPr>
          <w:rFonts w:asciiTheme="minorHAnsi" w:hAnsiTheme="minorHAnsi" w:cstheme="minorHAnsi"/>
          <w:color w:val="auto"/>
        </w:rPr>
        <w:t>SUGESE</w:t>
      </w:r>
      <w:r w:rsidRPr="005E591D">
        <w:rPr>
          <w:rFonts w:asciiTheme="minorHAnsi" w:hAnsiTheme="minorHAnsi" w:cstheme="minorHAnsi"/>
          <w:color w:val="auto"/>
        </w:rPr>
        <w:t xml:space="preserve"> para diciembre del 2019, </w:t>
      </w:r>
      <w:r w:rsidR="008503D4" w:rsidRPr="005E591D">
        <w:rPr>
          <w:rFonts w:asciiTheme="minorHAnsi" w:hAnsiTheme="minorHAnsi" w:cstheme="minorHAnsi"/>
        </w:rPr>
        <w:t xml:space="preserve">el cual </w:t>
      </w:r>
      <w:r w:rsidRPr="005E591D">
        <w:rPr>
          <w:rFonts w:asciiTheme="minorHAnsi" w:hAnsiTheme="minorHAnsi" w:cstheme="minorHAnsi"/>
          <w:color w:val="auto"/>
        </w:rPr>
        <w:t>se clasifica como B.1, “De acuerdo con lo programado”</w:t>
      </w:r>
      <w:r w:rsidR="008503D4" w:rsidRPr="005E591D">
        <w:rPr>
          <w:rFonts w:asciiTheme="minorHAnsi" w:hAnsiTheme="minorHAnsi" w:cstheme="minorHAnsi"/>
        </w:rPr>
        <w:t xml:space="preserve">, de conformidad con los lineamientos emitidos </w:t>
      </w:r>
      <w:r w:rsidR="008503D4" w:rsidRPr="005E591D">
        <w:rPr>
          <w:rFonts w:asciiTheme="minorHAnsi" w:hAnsiTheme="minorHAnsi" w:cstheme="minorHAnsi"/>
          <w:color w:val="auto"/>
        </w:rPr>
        <w:t>por el Ministerio de Planificación (MIDEPLAN)</w:t>
      </w:r>
      <w:r w:rsidRPr="005E591D">
        <w:rPr>
          <w:rFonts w:asciiTheme="minorHAnsi" w:hAnsiTheme="minorHAnsi" w:cstheme="minorHAnsi"/>
          <w:color w:val="auto"/>
        </w:rPr>
        <w:t>.</w:t>
      </w:r>
      <w:r w:rsidR="002F21C0" w:rsidRPr="005E591D">
        <w:rPr>
          <w:rFonts w:asciiTheme="minorHAnsi" w:hAnsiTheme="minorHAnsi" w:cstheme="minorHAnsi"/>
          <w:color w:val="auto"/>
        </w:rPr>
        <w:t xml:space="preserve">  Además, para la meta la SUGESE contaba con un presupuesto en el 2019 de ₵1.369 millones, de los cuales se ejecutaron ₵1.129 millones en el periodo.</w:t>
      </w:r>
    </w:p>
    <w:p w:rsidR="00734559" w:rsidRPr="005E591D" w:rsidRDefault="00734559" w:rsidP="008F0D66">
      <w:pPr>
        <w:shd w:val="clear" w:color="auto" w:fill="FFFFFF" w:themeFill="background1"/>
        <w:spacing w:line="240" w:lineRule="auto"/>
        <w:ind w:right="-35"/>
        <w:rPr>
          <w:rFonts w:eastAsia="Times New Roman" w:cstheme="minorHAnsi"/>
          <w:szCs w:val="24"/>
          <w:lang w:eastAsia="ja-JP"/>
        </w:rPr>
      </w:pPr>
    </w:p>
    <w:p w:rsidR="008F0D66" w:rsidRPr="005E591D" w:rsidRDefault="008F0D66" w:rsidP="005E591D">
      <w:pPr>
        <w:pStyle w:val="Default"/>
        <w:jc w:val="both"/>
        <w:rPr>
          <w:rFonts w:asciiTheme="minorHAnsi" w:hAnsiTheme="minorHAnsi" w:cstheme="minorHAnsi"/>
          <w:color w:val="auto"/>
        </w:rPr>
      </w:pPr>
      <w:r w:rsidRPr="005E591D">
        <w:rPr>
          <w:rFonts w:asciiTheme="minorHAnsi" w:hAnsiTheme="minorHAnsi" w:cstheme="minorHAnsi"/>
          <w:color w:val="auto"/>
        </w:rPr>
        <w:t xml:space="preserve">Lo anterior </w:t>
      </w:r>
      <w:r w:rsidR="008503D4" w:rsidRPr="005E591D">
        <w:rPr>
          <w:rFonts w:asciiTheme="minorHAnsi" w:hAnsiTheme="minorHAnsi" w:cstheme="minorHAnsi"/>
          <w:color w:val="auto"/>
        </w:rPr>
        <w:t xml:space="preserve">ha permitido a </w:t>
      </w:r>
      <w:r w:rsidRPr="005E591D">
        <w:rPr>
          <w:rFonts w:asciiTheme="minorHAnsi" w:hAnsiTheme="minorHAnsi" w:cstheme="minorHAnsi"/>
          <w:color w:val="auto"/>
        </w:rPr>
        <w:t>la Superintendencia cumplir sus objetivos y funciones de velar por la estabilidad y el eficiente funcionamiento del mercado de seguros.  Además, se avanza en el cumplimiento de los mejores estándares de supervisión vigentes, apegados a los principios dictados por organismos internacionales</w:t>
      </w:r>
      <w:r w:rsidR="008503D4" w:rsidRPr="005E591D">
        <w:rPr>
          <w:rFonts w:asciiTheme="minorHAnsi" w:hAnsiTheme="minorHAnsi" w:cstheme="minorHAnsi"/>
          <w:color w:val="auto"/>
        </w:rPr>
        <w:t>.</w:t>
      </w:r>
    </w:p>
    <w:p w:rsidR="00154563" w:rsidRPr="005E591D" w:rsidRDefault="00154563" w:rsidP="008F0D66">
      <w:pPr>
        <w:spacing w:line="240" w:lineRule="auto"/>
        <w:rPr>
          <w:rFonts w:cstheme="minorHAnsi"/>
          <w:szCs w:val="24"/>
          <w:lang w:eastAsia="ja-JP"/>
        </w:rPr>
      </w:pPr>
    </w:p>
    <w:p w:rsidR="00DC373C" w:rsidRPr="0057417D" w:rsidRDefault="00DC373C" w:rsidP="00016AB4">
      <w:pPr>
        <w:spacing w:line="240" w:lineRule="auto"/>
      </w:pPr>
    </w:p>
    <w:p w:rsidR="00AC0BAB" w:rsidRPr="0057417D" w:rsidRDefault="00373405" w:rsidP="00016AB4">
      <w:pPr>
        <w:pStyle w:val="Ttulo2"/>
        <w:numPr>
          <w:ilvl w:val="0"/>
          <w:numId w:val="5"/>
        </w:numPr>
        <w:spacing w:before="0" w:line="240" w:lineRule="auto"/>
        <w:rPr>
          <w:b/>
        </w:rPr>
      </w:pPr>
      <w:r w:rsidRPr="0057417D">
        <w:rPr>
          <w:b/>
        </w:rPr>
        <w:t>P</w:t>
      </w:r>
      <w:r w:rsidR="00AC0BAB" w:rsidRPr="0057417D">
        <w:rPr>
          <w:b/>
        </w:rPr>
        <w:t xml:space="preserve">lan Estratégico </w:t>
      </w:r>
    </w:p>
    <w:p w:rsidR="00BD4424" w:rsidRPr="0057417D" w:rsidRDefault="00BD4424" w:rsidP="00BD4424">
      <w:pPr>
        <w:rPr>
          <w:rFonts w:cstheme="minorHAnsi"/>
          <w:szCs w:val="24"/>
        </w:rPr>
      </w:pPr>
    </w:p>
    <w:p w:rsidR="00BD4424" w:rsidRPr="0057417D" w:rsidRDefault="00BD4424" w:rsidP="00B10E19">
      <w:pPr>
        <w:spacing w:line="240" w:lineRule="auto"/>
        <w:rPr>
          <w:rFonts w:cstheme="minorHAnsi"/>
          <w:color w:val="000000"/>
          <w:szCs w:val="24"/>
        </w:rPr>
      </w:pPr>
      <w:r w:rsidRPr="0057417D">
        <w:rPr>
          <w:rFonts w:cstheme="minorHAnsi"/>
          <w:color w:val="000000"/>
          <w:szCs w:val="24"/>
        </w:rPr>
        <w:t xml:space="preserve">En 2019 inició la ejecución del Plan Estratégico 2019-2023, el cual permitirá consolidar lo actuado por la Superintendencia en los últimos diez años y,  además, enfrentar nuevos retos para cumplir con sus funciones, tales como la existencia de mercados cada vez más interconectados y abiertos; la adaptación a los cambios regulatorios encaminados hacia una mayor estandarización de las normas, tanto en el ámbito contable como de solvencia; la tendencias a la “digitalización” del seguro y la necesidad de que las entidades supervisadas gestionen los riesgos emergentes como lo constituyen  los riesgos de cibernéticos, el cambio climático, entre otros.  </w:t>
      </w:r>
    </w:p>
    <w:p w:rsidR="00BD4424" w:rsidRPr="0057417D" w:rsidRDefault="00BD4424" w:rsidP="00BD4424">
      <w:pPr>
        <w:pStyle w:val="Textoindependiente"/>
        <w:suppressAutoHyphens/>
        <w:ind w:left="360"/>
        <w:rPr>
          <w:rFonts w:asciiTheme="minorHAnsi" w:hAnsiTheme="minorHAnsi" w:cstheme="minorHAnsi"/>
          <w:szCs w:val="24"/>
        </w:rPr>
      </w:pPr>
    </w:p>
    <w:p w:rsidR="00BD4424" w:rsidRDefault="005E591D" w:rsidP="00B10E19">
      <w:pPr>
        <w:spacing w:line="240" w:lineRule="auto"/>
        <w:rPr>
          <w:rFonts w:cstheme="minorHAnsi"/>
          <w:color w:val="000000"/>
          <w:szCs w:val="24"/>
        </w:rPr>
      </w:pPr>
      <w:r>
        <w:rPr>
          <w:rFonts w:cstheme="minorHAnsi"/>
          <w:color w:val="000000"/>
          <w:szCs w:val="24"/>
        </w:rPr>
        <w:t xml:space="preserve">El Plan Estratégico vigente plantea la misión, visión y propuesta de valor de la Superintendencia de la siguiente forma: </w:t>
      </w:r>
    </w:p>
    <w:p w:rsidR="005E591D" w:rsidRPr="0057417D" w:rsidRDefault="005E591D" w:rsidP="00B10E19">
      <w:pPr>
        <w:spacing w:line="240" w:lineRule="auto"/>
        <w:rPr>
          <w:rFonts w:cstheme="minorHAnsi"/>
          <w:color w:val="000000"/>
          <w:szCs w:val="24"/>
        </w:rPr>
      </w:pPr>
    </w:p>
    <w:p w:rsidR="00BD4424" w:rsidRPr="0057417D" w:rsidRDefault="00BD4424" w:rsidP="00BD4424">
      <w:pPr>
        <w:pStyle w:val="NormalWeb"/>
        <w:spacing w:before="0" w:after="0" w:afterAutospacing="0"/>
        <w:ind w:left="360"/>
        <w:jc w:val="center"/>
        <w:rPr>
          <w:sz w:val="20"/>
          <w:szCs w:val="20"/>
        </w:rPr>
      </w:pPr>
      <w:r w:rsidRPr="0057417D">
        <w:rPr>
          <w:rFonts w:ascii="Calibri" w:hAnsi="Calibri" w:cstheme="minorBidi"/>
          <w:b/>
          <w:bCs/>
          <w:i/>
          <w:iCs/>
          <w:color w:val="FFFFFF" w:themeColor="background1"/>
          <w:kern w:val="24"/>
          <w:sz w:val="20"/>
          <w:szCs w:val="20"/>
          <w:u w:val="single"/>
        </w:rPr>
        <w:t>Misión</w:t>
      </w:r>
    </w:p>
    <w:p w:rsidR="00BD4424" w:rsidRPr="0057417D" w:rsidRDefault="00BD4424" w:rsidP="00BD4424">
      <w:pPr>
        <w:pStyle w:val="Textoindependiente"/>
        <w:suppressAutoHyphens/>
        <w:ind w:left="360"/>
      </w:pPr>
    </w:p>
    <w:p w:rsidR="00BD4424" w:rsidRPr="0057417D" w:rsidRDefault="00411C20" w:rsidP="00BD4424">
      <w:pPr>
        <w:pStyle w:val="Textoindependiente"/>
        <w:suppressAutoHyphens/>
        <w:ind w:left="360"/>
        <w:rPr>
          <w:rFonts w:ascii="Tahoma" w:hAnsi="Tahoma" w:cs="Tahoma"/>
          <w:color w:val="000000"/>
        </w:rPr>
      </w:pPr>
      <w:r w:rsidRPr="0057417D">
        <w:rPr>
          <w:noProof/>
          <w:lang w:eastAsia="es-CR"/>
        </w:rPr>
        <mc:AlternateContent>
          <mc:Choice Requires="wps">
            <w:drawing>
              <wp:anchor distT="0" distB="0" distL="114300" distR="114300" simplePos="0" relativeHeight="251665410" behindDoc="0" locked="0" layoutInCell="1" allowOverlap="1" wp14:anchorId="07F7FC52" wp14:editId="03B0DFFE">
                <wp:simplePos x="0" y="0"/>
                <wp:positionH relativeFrom="margin">
                  <wp:align>left</wp:align>
                </wp:positionH>
                <wp:positionV relativeFrom="paragraph">
                  <wp:posOffset>154940</wp:posOffset>
                </wp:positionV>
                <wp:extent cx="2839915" cy="738554"/>
                <wp:effectExtent l="0" t="0" r="132080" b="137795"/>
                <wp:wrapNone/>
                <wp:docPr id="10" name="CuadroTexto 3"/>
                <wp:cNvGraphicFramePr/>
                <a:graphic xmlns:a="http://schemas.openxmlformats.org/drawingml/2006/main">
                  <a:graphicData uri="http://schemas.microsoft.com/office/word/2010/wordprocessingShape">
                    <wps:wsp>
                      <wps:cNvSpPr txBox="1"/>
                      <wps:spPr>
                        <a:xfrm>
                          <a:off x="0" y="0"/>
                          <a:ext cx="2839915" cy="738554"/>
                        </a:xfrm>
                        <a:prstGeom prst="rect">
                          <a:avLst/>
                        </a:prstGeom>
                        <a:solidFill>
                          <a:srgbClr val="3D7FCF"/>
                        </a:solidFill>
                        <a:ln>
                          <a:solidFill>
                            <a:srgbClr val="0070C0"/>
                          </a:solidFill>
                        </a:ln>
                        <a:effectLst>
                          <a:outerShdw blurRad="50800" dist="88900" dir="2700000" algn="tl" rotWithShape="0">
                            <a:prstClr val="black">
                              <a:alpha val="40000"/>
                            </a:prstClr>
                          </a:outerShdw>
                        </a:effectLst>
                      </wps:spPr>
                      <wps:txbx>
                        <w:txbxContent>
                          <w:p w:rsidR="005F5714" w:rsidRPr="004157F9" w:rsidRDefault="005F5714" w:rsidP="00BD4424">
                            <w:pPr>
                              <w:pStyle w:val="NormalWeb"/>
                              <w:spacing w:before="0" w:after="0" w:afterAutospacing="0"/>
                              <w:jc w:val="center"/>
                              <w:rPr>
                                <w:sz w:val="20"/>
                                <w:szCs w:val="20"/>
                              </w:rPr>
                            </w:pPr>
                            <w:r>
                              <w:rPr>
                                <w:rFonts w:ascii="Calibri" w:hAnsi="Calibri" w:cstheme="minorBidi"/>
                                <w:b/>
                                <w:bCs/>
                                <w:i/>
                                <w:iCs/>
                                <w:color w:val="FFFFFF" w:themeColor="background1"/>
                                <w:kern w:val="24"/>
                                <w:sz w:val="20"/>
                                <w:szCs w:val="20"/>
                                <w:u w:val="single"/>
                                <w:lang w:val="es-MX"/>
                              </w:rPr>
                              <w:t>Visión</w:t>
                            </w:r>
                          </w:p>
                          <w:p w:rsidR="005F5714" w:rsidRPr="004157F9" w:rsidRDefault="005F5714" w:rsidP="00BD4424">
                            <w:pPr>
                              <w:pStyle w:val="NormalWeb"/>
                              <w:spacing w:before="0" w:after="0" w:afterAutospacing="0"/>
                              <w:jc w:val="center"/>
                              <w:rPr>
                                <w:sz w:val="20"/>
                                <w:szCs w:val="20"/>
                              </w:rPr>
                            </w:pPr>
                            <w:r>
                              <w:rPr>
                                <w:rFonts w:ascii="Calibri" w:hAnsi="Calibri" w:cstheme="minorBidi"/>
                                <w:color w:val="FFFFFF" w:themeColor="background1"/>
                                <w:kern w:val="24"/>
                                <w:sz w:val="20"/>
                                <w:szCs w:val="20"/>
                                <w:lang w:val="es-MX"/>
                              </w:rPr>
                              <w:t>Un mercado de seguros más desarrollado, inclusivo y apegado a las mejores prácticas.</w:t>
                            </w:r>
                          </w:p>
                        </w:txbxContent>
                      </wps:txbx>
                      <wps:bodyPr wrap="square" rtlCol="0">
                        <a:noAutofit/>
                      </wps:bodyPr>
                    </wps:wsp>
                  </a:graphicData>
                </a:graphic>
              </wp:anchor>
            </w:drawing>
          </mc:Choice>
          <mc:Fallback>
            <w:pict>
              <v:shape w14:anchorId="07F7FC52" id="CuadroTexto 3" o:spid="_x0000_s1053" type="#_x0000_t202" style="position:absolute;left:0;text-align:left;margin-left:0;margin-top:12.2pt;width:223.6pt;height:58.15pt;z-index:25166541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" fillcolor="#3d7fcf" strokecolor="#0070c0">
                <v:shadow on="t" color="black" opacity="26214f" origin="-.5,-.5" offset="1.74617mm,1.74617mm"/>
                <v:textbox>
                  <w:txbxContent>
                    <w:p w:rsidR="005F5714" w:rsidRPr="004157F9" w:rsidRDefault="005F5714" w:rsidP="00BD4424">
                      <w:pPr>
                        <w:pStyle w:val="NormalWeb"/>
                        <w:spacing w:before="0" w:after="0" w:afterAutospacing="0"/>
                        <w:jc w:val="center"/>
                        <w:rPr>
                          <w:sz w:val="20"/>
                          <w:szCs w:val="20"/>
                        </w:rPr>
                      </w:pPr>
                      <w:r>
                        <w:rPr>
                          <w:rFonts w:ascii="Calibri" w:hAnsi="Calibri" w:cstheme="minorBidi"/>
                          <w:b/>
                          <w:bCs/>
                          <w:i/>
                          <w:iCs/>
                          <w:color w:val="FFFFFF" w:themeColor="background1"/>
                          <w:kern w:val="24"/>
                          <w:sz w:val="20"/>
                          <w:szCs w:val="20"/>
                          <w:u w:val="single"/>
                          <w:lang w:val="es-MX"/>
                        </w:rPr>
                        <w:t>Visión</w:t>
                      </w:r>
                    </w:p>
                    <w:p w:rsidR="005F5714" w:rsidRPr="004157F9" w:rsidRDefault="005F5714" w:rsidP="00BD4424">
                      <w:pPr>
                        <w:pStyle w:val="NormalWeb"/>
                        <w:spacing w:before="0" w:after="0" w:afterAutospacing="0"/>
                        <w:jc w:val="center"/>
                        <w:rPr>
                          <w:sz w:val="20"/>
                          <w:szCs w:val="20"/>
                        </w:rPr>
                      </w:pPr>
                      <w:r>
                        <w:rPr>
                          <w:rFonts w:ascii="Calibri" w:hAnsi="Calibri" w:cstheme="minorBidi"/>
                          <w:color w:val="FFFFFF" w:themeColor="background1"/>
                          <w:kern w:val="24"/>
                          <w:sz w:val="20"/>
                          <w:szCs w:val="20"/>
                          <w:lang w:val="es-MX"/>
                        </w:rPr>
                        <w:t>Un mercado de seguros más desarrollado, inclusivo y apegado a las mejores prácticas.</w:t>
                      </w:r>
                    </w:p>
                  </w:txbxContent>
                </v:textbox>
                <w10:wrap anchorx="margin"/>
              </v:shape>
            </w:pict>
          </mc:Fallback>
        </mc:AlternateContent>
      </w:r>
    </w:p>
    <w:p w:rsidR="00BD4424" w:rsidRPr="0057417D" w:rsidRDefault="00BD4424" w:rsidP="00BD4424">
      <w:pPr>
        <w:pStyle w:val="Textoindependiente"/>
        <w:suppressAutoHyphens/>
        <w:ind w:left="360"/>
        <w:rPr>
          <w:rFonts w:ascii="Tahoma" w:hAnsi="Tahoma" w:cs="Tahoma"/>
          <w:color w:val="000000"/>
        </w:rPr>
      </w:pPr>
    </w:p>
    <w:p w:rsidR="00BD4424" w:rsidRPr="0057417D" w:rsidRDefault="00BD4424" w:rsidP="00BD4424">
      <w:pPr>
        <w:pStyle w:val="Textoindependiente"/>
        <w:suppressAutoHyphens/>
        <w:ind w:left="360"/>
        <w:rPr>
          <w:rFonts w:ascii="Tahoma" w:hAnsi="Tahoma" w:cs="Tahoma"/>
          <w:color w:val="000000"/>
        </w:rPr>
      </w:pPr>
    </w:p>
    <w:p w:rsidR="00BD4424" w:rsidRPr="0057417D" w:rsidRDefault="00BD4424" w:rsidP="00BD4424">
      <w:pPr>
        <w:pStyle w:val="Textoindependiente"/>
        <w:suppressAutoHyphens/>
        <w:ind w:left="360"/>
        <w:rPr>
          <w:rFonts w:ascii="Tahoma" w:hAnsi="Tahoma" w:cs="Tahoma"/>
          <w:color w:val="000000"/>
        </w:rPr>
      </w:pPr>
    </w:p>
    <w:p w:rsidR="00BD4424" w:rsidRPr="0057417D" w:rsidRDefault="00BD4424" w:rsidP="00BD4424">
      <w:pPr>
        <w:pStyle w:val="Textoindependiente"/>
        <w:suppressAutoHyphens/>
        <w:ind w:left="360"/>
        <w:rPr>
          <w:rFonts w:ascii="Tahoma" w:hAnsi="Tahoma" w:cs="Tahoma"/>
          <w:color w:val="000000"/>
        </w:rPr>
      </w:pPr>
    </w:p>
    <w:p w:rsidR="00BD4424" w:rsidRPr="0057417D" w:rsidRDefault="00BD4424" w:rsidP="00BD4424">
      <w:pPr>
        <w:pStyle w:val="Textoindependiente"/>
        <w:suppressAutoHyphens/>
        <w:ind w:left="360"/>
        <w:rPr>
          <w:rFonts w:ascii="Tahoma" w:hAnsi="Tahoma" w:cs="Tahoma"/>
          <w:color w:val="000000"/>
        </w:rPr>
      </w:pPr>
    </w:p>
    <w:p w:rsidR="00411C20" w:rsidRPr="0057417D" w:rsidRDefault="00411C20" w:rsidP="00B10E19">
      <w:pPr>
        <w:spacing w:line="240" w:lineRule="auto"/>
        <w:rPr>
          <w:rFonts w:cstheme="minorHAnsi"/>
          <w:color w:val="000000"/>
        </w:rPr>
      </w:pPr>
      <w:r w:rsidRPr="0057417D">
        <w:rPr>
          <w:noProof/>
          <w:lang w:eastAsia="es-CR"/>
        </w:rPr>
        <mc:AlternateContent>
          <mc:Choice Requires="wps">
            <w:drawing>
              <wp:anchor distT="0" distB="0" distL="114300" distR="114300" simplePos="0" relativeHeight="251666434" behindDoc="0" locked="0" layoutInCell="1" allowOverlap="1" wp14:anchorId="0260140E" wp14:editId="11E7BBCE">
                <wp:simplePos x="0" y="0"/>
                <wp:positionH relativeFrom="column">
                  <wp:posOffset>1193165</wp:posOffset>
                </wp:positionH>
                <wp:positionV relativeFrom="paragraph">
                  <wp:posOffset>10160</wp:posOffset>
                </wp:positionV>
                <wp:extent cx="2843530" cy="738505"/>
                <wp:effectExtent l="0" t="0" r="128270" b="137795"/>
                <wp:wrapNone/>
                <wp:docPr id="44" name="CuadroTexto 3"/>
                <wp:cNvGraphicFramePr/>
                <a:graphic xmlns:a="http://schemas.openxmlformats.org/drawingml/2006/main">
                  <a:graphicData uri="http://schemas.microsoft.com/office/word/2010/wordprocessingShape">
                    <wps:wsp>
                      <wps:cNvSpPr txBox="1"/>
                      <wps:spPr>
                        <a:xfrm>
                          <a:off x="0" y="0"/>
                          <a:ext cx="2843530" cy="738505"/>
                        </a:xfrm>
                        <a:prstGeom prst="rect">
                          <a:avLst/>
                        </a:prstGeom>
                        <a:solidFill>
                          <a:srgbClr val="00B0F0"/>
                        </a:solidFill>
                        <a:ln>
                          <a:solidFill>
                            <a:schemeClr val="accent5">
                              <a:lumMod val="60000"/>
                              <a:lumOff val="40000"/>
                            </a:schemeClr>
                          </a:solidFill>
                        </a:ln>
                        <a:effectLst>
                          <a:outerShdw blurRad="50800" dist="88900" dir="2700000" algn="tl" rotWithShape="0">
                            <a:prstClr val="black">
                              <a:alpha val="40000"/>
                            </a:prstClr>
                          </a:outerShdw>
                        </a:effectLst>
                      </wps:spPr>
                      <wps:txbx>
                        <w:txbxContent>
                          <w:p w:rsidR="005F5714" w:rsidRPr="004157F9" w:rsidRDefault="005F5714" w:rsidP="00BD4424">
                            <w:pPr>
                              <w:pStyle w:val="NormalWeb"/>
                              <w:spacing w:before="0" w:after="0" w:afterAutospacing="0"/>
                              <w:jc w:val="center"/>
                              <w:rPr>
                                <w:sz w:val="20"/>
                                <w:szCs w:val="20"/>
                              </w:rPr>
                            </w:pPr>
                            <w:r w:rsidRPr="004157F9">
                              <w:rPr>
                                <w:rFonts w:ascii="Calibri" w:hAnsi="Calibri" w:cstheme="minorBidi"/>
                                <w:b/>
                                <w:bCs/>
                                <w:i/>
                                <w:iCs/>
                                <w:color w:val="FFFFFF" w:themeColor="background1"/>
                                <w:kern w:val="24"/>
                                <w:sz w:val="20"/>
                                <w:szCs w:val="20"/>
                                <w:u w:val="single"/>
                                <w:lang w:val="es-MX"/>
                              </w:rPr>
                              <w:t>Misión</w:t>
                            </w:r>
                          </w:p>
                          <w:p w:rsidR="005F5714" w:rsidRPr="004157F9" w:rsidRDefault="005F5714" w:rsidP="00BD4424">
                            <w:pPr>
                              <w:pStyle w:val="NormalWeb"/>
                              <w:spacing w:before="0" w:after="0" w:afterAutospacing="0"/>
                              <w:jc w:val="center"/>
                              <w:rPr>
                                <w:sz w:val="20"/>
                                <w:szCs w:val="20"/>
                              </w:rPr>
                            </w:pPr>
                            <w:r w:rsidRPr="004157F9">
                              <w:rPr>
                                <w:rFonts w:ascii="Calibri" w:hAnsi="Calibri" w:cstheme="minorBidi"/>
                                <w:color w:val="FFFFFF" w:themeColor="background1"/>
                                <w:kern w:val="24"/>
                                <w:sz w:val="20"/>
                                <w:szCs w:val="20"/>
                                <w:lang w:val="es-MX"/>
                              </w:rPr>
                              <w:t>Promover un mercado de seguros eficiente, estable y transparente en beneficio del consumidor.</w:t>
                            </w:r>
                          </w:p>
                        </w:txbxContent>
                      </wps:txbx>
                      <wps:bodyPr wrap="square" rtlCol="0">
                        <a:noAutofit/>
                      </wps:bodyPr>
                    </wps:wsp>
                  </a:graphicData>
                </a:graphic>
              </wp:anchor>
            </w:drawing>
          </mc:Choice>
          <mc:Fallback>
            <w:pict>
              <v:shape w14:anchorId="0260140E" id="_x0000_s1054" type="#_x0000_t202" style="position:absolute;left:0;text-align:left;margin-left:93.95pt;margin-top:.8pt;width:223.9pt;height:58.15pt;z-index:2516664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" fillcolor="#00b0f0" strokecolor="#92cddc [1944]">
                <v:shadow on="t" color="black" opacity="26214f" origin="-.5,-.5" offset="1.74617mm,1.74617mm"/>
                <v:textbox>
                  <w:txbxContent>
                    <w:p w:rsidR="005F5714" w:rsidRPr="004157F9" w:rsidRDefault="005F5714" w:rsidP="00BD4424">
                      <w:pPr>
                        <w:pStyle w:val="NormalWeb"/>
                        <w:spacing w:before="0" w:after="0" w:afterAutospacing="0"/>
                        <w:jc w:val="center"/>
                        <w:rPr>
                          <w:sz w:val="20"/>
                          <w:szCs w:val="20"/>
                        </w:rPr>
                      </w:pPr>
                      <w:r w:rsidRPr="004157F9">
                        <w:rPr>
                          <w:rFonts w:ascii="Calibri" w:hAnsi="Calibri" w:cstheme="minorBidi"/>
                          <w:b/>
                          <w:bCs/>
                          <w:i/>
                          <w:iCs/>
                          <w:color w:val="FFFFFF" w:themeColor="background1"/>
                          <w:kern w:val="24"/>
                          <w:sz w:val="20"/>
                          <w:szCs w:val="20"/>
                          <w:u w:val="single"/>
                          <w:lang w:val="es-MX"/>
                        </w:rPr>
                        <w:t>Misión</w:t>
                      </w:r>
                    </w:p>
                    <w:p w:rsidR="005F5714" w:rsidRPr="004157F9" w:rsidRDefault="005F5714" w:rsidP="00BD4424">
                      <w:pPr>
                        <w:pStyle w:val="NormalWeb"/>
                        <w:spacing w:before="0" w:after="0" w:afterAutospacing="0"/>
                        <w:jc w:val="center"/>
                        <w:rPr>
                          <w:sz w:val="20"/>
                          <w:szCs w:val="20"/>
                        </w:rPr>
                      </w:pPr>
                      <w:r w:rsidRPr="004157F9">
                        <w:rPr>
                          <w:rFonts w:ascii="Calibri" w:hAnsi="Calibri" w:cstheme="minorBidi"/>
                          <w:color w:val="FFFFFF" w:themeColor="background1"/>
                          <w:kern w:val="24"/>
                          <w:sz w:val="20"/>
                          <w:szCs w:val="20"/>
                          <w:lang w:val="es-MX"/>
                        </w:rPr>
                        <w:t>Promover un mercado de seguros eficiente, estable y transparente en beneficio del consumidor.</w:t>
                      </w:r>
                    </w:p>
                  </w:txbxContent>
                </v:textbox>
              </v:shape>
            </w:pict>
          </mc:Fallback>
        </mc:AlternateContent>
      </w: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r w:rsidRPr="0057417D">
        <w:rPr>
          <w:noProof/>
          <w:lang w:eastAsia="es-CR"/>
        </w:rPr>
        <mc:AlternateContent>
          <mc:Choice Requires="wps">
            <w:drawing>
              <wp:anchor distT="0" distB="0" distL="114300" distR="114300" simplePos="0" relativeHeight="251660290" behindDoc="0" locked="0" layoutInCell="1" allowOverlap="1" wp14:anchorId="5735560F" wp14:editId="25591861">
                <wp:simplePos x="0" y="0"/>
                <wp:positionH relativeFrom="page">
                  <wp:posOffset>3049905</wp:posOffset>
                </wp:positionH>
                <wp:positionV relativeFrom="paragraph">
                  <wp:posOffset>8890</wp:posOffset>
                </wp:positionV>
                <wp:extent cx="4119880" cy="553720"/>
                <wp:effectExtent l="0" t="0" r="109220" b="113030"/>
                <wp:wrapNone/>
                <wp:docPr id="34" name="CuadroTexto 4"/>
                <wp:cNvGraphicFramePr/>
                <a:graphic xmlns:a="http://schemas.openxmlformats.org/drawingml/2006/main">
                  <a:graphicData uri="http://schemas.microsoft.com/office/word/2010/wordprocessingShape">
                    <wps:wsp>
                      <wps:cNvSpPr txBox="1"/>
                      <wps:spPr>
                        <a:xfrm>
                          <a:off x="0" y="0"/>
                          <a:ext cx="4119880" cy="553720"/>
                        </a:xfrm>
                        <a:prstGeom prst="rect">
                          <a:avLst/>
                        </a:prstGeom>
                        <a:solidFill>
                          <a:srgbClr val="92D050"/>
                        </a:solidFill>
                        <a:ln>
                          <a:noFill/>
                        </a:ln>
                        <a:effectLst>
                          <a:outerShdw blurRad="50800" dist="88900" dir="2700000" algn="tl" rotWithShape="0">
                            <a:prstClr val="black">
                              <a:alpha val="40000"/>
                            </a:prstClr>
                          </a:outerShdw>
                        </a:effectLst>
                      </wps:spPr>
                      <wps:txbx>
                        <w:txbxContent>
                          <w:p w:rsidR="005F5714" w:rsidRPr="004157F9" w:rsidRDefault="005F5714" w:rsidP="00BD4424">
                            <w:pPr>
                              <w:pStyle w:val="NormalWeb"/>
                              <w:spacing w:before="0" w:after="0" w:afterAutospacing="0"/>
                              <w:jc w:val="center"/>
                              <w:rPr>
                                <w:sz w:val="20"/>
                                <w:szCs w:val="20"/>
                              </w:rPr>
                            </w:pPr>
                            <w:r w:rsidRPr="004157F9">
                              <w:rPr>
                                <w:rFonts w:ascii="Calibri" w:hAnsi="Calibri" w:cstheme="minorBidi"/>
                                <w:b/>
                                <w:bCs/>
                                <w:i/>
                                <w:iCs/>
                                <w:color w:val="404040" w:themeColor="text1" w:themeTint="BF"/>
                                <w:kern w:val="24"/>
                                <w:sz w:val="20"/>
                                <w:szCs w:val="20"/>
                                <w:u w:val="single"/>
                                <w:lang w:val="es-MX"/>
                              </w:rPr>
                              <w:t>Propuesta de Valor</w:t>
                            </w:r>
                          </w:p>
                          <w:p w:rsidR="005F5714" w:rsidRPr="004157F9" w:rsidRDefault="005F5714" w:rsidP="00BD4424">
                            <w:pPr>
                              <w:pStyle w:val="NormalWeb"/>
                              <w:spacing w:before="0" w:after="0" w:afterAutospacing="0"/>
                              <w:jc w:val="center"/>
                              <w:rPr>
                                <w:sz w:val="20"/>
                                <w:szCs w:val="20"/>
                              </w:rPr>
                            </w:pPr>
                            <w:r w:rsidRPr="004157F9">
                              <w:rPr>
                                <w:rFonts w:ascii="Calibri" w:hAnsi="Calibri" w:cstheme="minorBidi"/>
                                <w:color w:val="404040" w:themeColor="text1" w:themeTint="BF"/>
                                <w:kern w:val="24"/>
                                <w:sz w:val="20"/>
                                <w:szCs w:val="20"/>
                                <w:lang w:val="es-MX"/>
                              </w:rPr>
                              <w:t>Estamos comprometidos con una supervisión eficiente para mantener un mercado de seguros confiable</w:t>
                            </w:r>
                          </w:p>
                        </w:txbxContent>
                      </wps:txbx>
                      <wps:bodyPr wrap="square" rtlCol="0">
                        <a:noAutofit/>
                      </wps:bodyPr>
                    </wps:wsp>
                  </a:graphicData>
                </a:graphic>
              </wp:anchor>
            </w:drawing>
          </mc:Choice>
          <mc:Fallback>
            <w:pict>
              <v:shape w14:anchorId="5735560F" id="CuadroTexto 4" o:spid="_x0000_s1055" type="#_x0000_t202" style="position:absolute;left:0;text-align:left;margin-left:240.15pt;margin-top:.7pt;width:324.4pt;height:43.6pt;z-index:2516602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" fillcolor="#92d050" stroked="f">
                <v:shadow on="t" color="black" opacity="26214f" origin="-.5,-.5" offset="1.74617mm,1.74617mm"/>
                <v:textbox>
                  <w:txbxContent>
                    <w:p w:rsidR="005F5714" w:rsidRPr="004157F9" w:rsidRDefault="005F5714" w:rsidP="00BD4424">
                      <w:pPr>
                        <w:pStyle w:val="NormalWeb"/>
                        <w:spacing w:before="0" w:after="0" w:afterAutospacing="0"/>
                        <w:jc w:val="center"/>
                        <w:rPr>
                          <w:sz w:val="20"/>
                          <w:szCs w:val="20"/>
                        </w:rPr>
                      </w:pPr>
                      <w:r w:rsidRPr="004157F9">
                        <w:rPr>
                          <w:rFonts w:ascii="Calibri" w:hAnsi="Calibri" w:cstheme="minorBidi"/>
                          <w:b/>
                          <w:bCs/>
                          <w:i/>
                          <w:iCs/>
                          <w:color w:val="404040" w:themeColor="text1" w:themeTint="BF"/>
                          <w:kern w:val="24"/>
                          <w:sz w:val="20"/>
                          <w:szCs w:val="20"/>
                          <w:u w:val="single"/>
                          <w:lang w:val="es-MX"/>
                        </w:rPr>
                        <w:t>Propuesta de Valor</w:t>
                      </w:r>
                    </w:p>
                    <w:p w:rsidR="005F5714" w:rsidRPr="004157F9" w:rsidRDefault="005F5714" w:rsidP="00BD4424">
                      <w:pPr>
                        <w:pStyle w:val="NormalWeb"/>
                        <w:spacing w:before="0" w:after="0" w:afterAutospacing="0"/>
                        <w:jc w:val="center"/>
                        <w:rPr>
                          <w:sz w:val="20"/>
                          <w:szCs w:val="20"/>
                        </w:rPr>
                      </w:pPr>
                      <w:r w:rsidRPr="004157F9">
                        <w:rPr>
                          <w:rFonts w:ascii="Calibri" w:hAnsi="Calibri" w:cstheme="minorBidi"/>
                          <w:color w:val="404040" w:themeColor="text1" w:themeTint="BF"/>
                          <w:kern w:val="24"/>
                          <w:sz w:val="20"/>
                          <w:szCs w:val="20"/>
                          <w:lang w:val="es-MX"/>
                        </w:rPr>
                        <w:t>Estamos comprometidos con una supervisión eficiente para mantener un mercado de seguros confiable</w:t>
                      </w:r>
                    </w:p>
                  </w:txbxContent>
                </v:textbox>
                <w10:wrap anchorx="page"/>
              </v:shape>
            </w:pict>
          </mc:Fallback>
        </mc:AlternateContent>
      </w: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411C20" w:rsidRPr="0057417D" w:rsidRDefault="00411C20" w:rsidP="00B10E19">
      <w:pPr>
        <w:spacing w:line="240" w:lineRule="auto"/>
        <w:rPr>
          <w:rFonts w:cstheme="minorHAnsi"/>
          <w:color w:val="000000"/>
        </w:rPr>
      </w:pPr>
    </w:p>
    <w:p w:rsidR="00BD4424" w:rsidRPr="0057417D" w:rsidRDefault="00BD4424" w:rsidP="00B10E19">
      <w:pPr>
        <w:spacing w:line="240" w:lineRule="auto"/>
        <w:rPr>
          <w:rFonts w:cstheme="minorHAnsi"/>
          <w:color w:val="000000"/>
        </w:rPr>
      </w:pPr>
      <w:r w:rsidRPr="0057417D">
        <w:rPr>
          <w:rFonts w:cstheme="minorHAnsi"/>
          <w:color w:val="000000"/>
        </w:rPr>
        <w:t>Adicionalmente,</w:t>
      </w:r>
      <w:r w:rsidRPr="0057417D">
        <w:rPr>
          <w:rFonts w:cstheme="minorHAnsi"/>
        </w:rPr>
        <w:t xml:space="preserve"> </w:t>
      </w:r>
      <w:r w:rsidR="005E591D">
        <w:rPr>
          <w:rFonts w:cstheme="minorHAnsi"/>
          <w:color w:val="000000"/>
        </w:rPr>
        <w:t xml:space="preserve">se definen </w:t>
      </w:r>
      <w:r w:rsidRPr="0057417D">
        <w:rPr>
          <w:rFonts w:cstheme="minorHAnsi"/>
          <w:color w:val="000000"/>
        </w:rPr>
        <w:t xml:space="preserve"> tres estrategias y los objetivos estratégicos asociados con cada una</w:t>
      </w:r>
      <w:r w:rsidR="005E591D">
        <w:rPr>
          <w:rFonts w:cstheme="minorHAnsi"/>
          <w:color w:val="000000"/>
        </w:rPr>
        <w:t xml:space="preserve">, a partir de lo cual se conforma el portafolio de proyectos que permite alcanzar dichos </w:t>
      </w:r>
      <w:r w:rsidRPr="0057417D">
        <w:rPr>
          <w:rFonts w:cstheme="minorHAnsi"/>
          <w:color w:val="000000"/>
        </w:rPr>
        <w:t>objetivos.</w:t>
      </w:r>
    </w:p>
    <w:p w:rsidR="00BD4424" w:rsidRPr="0057417D" w:rsidRDefault="00BD4424" w:rsidP="00BD4424">
      <w:pPr>
        <w:pStyle w:val="Textoindependiente"/>
        <w:suppressAutoHyphens/>
        <w:ind w:left="360"/>
      </w:pPr>
    </w:p>
    <w:p w:rsidR="00BD4424" w:rsidRPr="0057417D" w:rsidRDefault="00B10E19" w:rsidP="00BD4424">
      <w:pPr>
        <w:pStyle w:val="Textoindependiente"/>
        <w:suppressAutoHyphens/>
        <w:ind w:left="360"/>
      </w:pPr>
      <w:r w:rsidRPr="0057417D">
        <w:rPr>
          <w:noProof/>
          <w:lang w:eastAsia="es-CR"/>
        </w:rPr>
        <mc:AlternateContent>
          <mc:Choice Requires="wps">
            <w:drawing>
              <wp:anchor distT="0" distB="0" distL="114300" distR="114300" simplePos="0" relativeHeight="251663362" behindDoc="0" locked="0" layoutInCell="1" allowOverlap="1" wp14:anchorId="31F8D46D" wp14:editId="67C5496E">
                <wp:simplePos x="0" y="0"/>
                <wp:positionH relativeFrom="margin">
                  <wp:posOffset>142875</wp:posOffset>
                </wp:positionH>
                <wp:positionV relativeFrom="paragraph">
                  <wp:posOffset>5080</wp:posOffset>
                </wp:positionV>
                <wp:extent cx="2444262" cy="1846580"/>
                <wp:effectExtent l="0" t="0" r="0" b="0"/>
                <wp:wrapNone/>
                <wp:docPr id="49" name="CuadroTexto 13"/>
                <wp:cNvGraphicFramePr/>
                <a:graphic xmlns:a="http://schemas.openxmlformats.org/drawingml/2006/main">
                  <a:graphicData uri="http://schemas.microsoft.com/office/word/2010/wordprocessingShape">
                    <wps:wsp>
                      <wps:cNvSpPr txBox="1"/>
                      <wps:spPr>
                        <a:xfrm>
                          <a:off x="0" y="0"/>
                          <a:ext cx="2444262" cy="1846580"/>
                        </a:xfrm>
                        <a:prstGeom prst="rect">
                          <a:avLst/>
                        </a:prstGeom>
                        <a:noFill/>
                      </wps:spPr>
                      <wps:txbx>
                        <w:txbxContent>
                          <w:p w:rsidR="005F5714" w:rsidRPr="009B4ECC" w:rsidRDefault="005F5714" w:rsidP="00BD4424">
                            <w:pPr>
                              <w:pStyle w:val="NormalWeb"/>
                              <w:spacing w:before="0" w:after="0" w:afterAutospacing="0"/>
                              <w:rPr>
                                <w:sz w:val="20"/>
                                <w:szCs w:val="20"/>
                              </w:rPr>
                            </w:pPr>
                            <w:r w:rsidRPr="009B4ECC">
                              <w:rPr>
                                <w:rFonts w:asciiTheme="minorHAnsi" w:hAnsi="Calibri" w:cstheme="minorBidi"/>
                                <w:b/>
                                <w:bCs/>
                                <w:color w:val="00637E"/>
                                <w:kern w:val="24"/>
                                <w:sz w:val="20"/>
                                <w:szCs w:val="20"/>
                                <w:u w:val="single"/>
                              </w:rPr>
                              <w:t>Regulación y supervisión:</w:t>
                            </w:r>
                          </w:p>
                          <w:p w:rsidR="005F5714" w:rsidRPr="009B4ECC" w:rsidRDefault="005F5714" w:rsidP="00BD4424">
                            <w:pPr>
                              <w:pStyle w:val="NormalWeb"/>
                              <w:spacing w:before="0" w:after="0" w:afterAutospacing="0"/>
                              <w:rPr>
                                <w:sz w:val="20"/>
                                <w:szCs w:val="20"/>
                              </w:rPr>
                            </w:pPr>
                            <w:r w:rsidRPr="009B4ECC">
                              <w:rPr>
                                <w:rFonts w:asciiTheme="minorHAnsi" w:hAnsi="Calibri" w:cstheme="minorBidi"/>
                                <w:color w:val="404040" w:themeColor="text1" w:themeTint="BF"/>
                                <w:kern w:val="24"/>
                                <w:sz w:val="20"/>
                                <w:szCs w:val="20"/>
                                <w:lang w:val="es-MX"/>
                              </w:rPr>
                              <w:t>Profundizar la aplicación de buenas prácticas internacionales.</w:t>
                            </w:r>
                          </w:p>
                        </w:txbxContent>
                      </wps:txbx>
                      <wps:bodyPr wrap="square" rtlCol="0">
                        <a:spAutoFit/>
                      </wps:bodyPr>
                    </wps:wsp>
                  </a:graphicData>
                </a:graphic>
                <wp14:sizeRelH relativeFrom="margin">
                  <wp14:pctWidth>0</wp14:pctWidth>
                </wp14:sizeRelH>
              </wp:anchor>
            </w:drawing>
          </mc:Choice>
          <mc:Fallback>
            <w:pict>
              <v:shape w14:anchorId="31F8D46D" id="CuadroTexto 13" o:spid="_x0000_s1056" type="#_x0000_t202" style="position:absolute;left:0;text-align:left;margin-left:11.25pt;margin-top:.4pt;width:192.45pt;height:145.4pt;z-index:25166336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" filled="f" stroked="f">
                <v:textbox style="mso-fit-shape-to-text:t">
                  <w:txbxContent>
                    <w:p w:rsidR="005F5714" w:rsidRPr="009B4ECC" w:rsidRDefault="005F5714" w:rsidP="00BD4424">
                      <w:pPr>
                        <w:pStyle w:val="NormalWeb"/>
                        <w:spacing w:before="0" w:after="0" w:afterAutospacing="0"/>
                        <w:rPr>
                          <w:sz w:val="20"/>
                          <w:szCs w:val="20"/>
                        </w:rPr>
                      </w:pPr>
                      <w:r w:rsidRPr="009B4ECC">
                        <w:rPr>
                          <w:rFonts w:asciiTheme="minorHAnsi" w:hAnsi="Calibri" w:cstheme="minorBidi"/>
                          <w:b/>
                          <w:bCs/>
                          <w:color w:val="00637E"/>
                          <w:kern w:val="24"/>
                          <w:sz w:val="20"/>
                          <w:szCs w:val="20"/>
                          <w:u w:val="single"/>
                        </w:rPr>
                        <w:t>Regulación y supervisión:</w:t>
                      </w:r>
                    </w:p>
                    <w:p w:rsidR="005F5714" w:rsidRPr="009B4ECC" w:rsidRDefault="005F5714" w:rsidP="00BD4424">
                      <w:pPr>
                        <w:pStyle w:val="NormalWeb"/>
                        <w:spacing w:before="0" w:after="0" w:afterAutospacing="0"/>
                        <w:rPr>
                          <w:sz w:val="20"/>
                          <w:szCs w:val="20"/>
                        </w:rPr>
                      </w:pPr>
                      <w:r w:rsidRPr="009B4ECC">
                        <w:rPr>
                          <w:rFonts w:asciiTheme="minorHAnsi" w:hAnsi="Calibri" w:cstheme="minorBidi"/>
                          <w:color w:val="404040" w:themeColor="text1" w:themeTint="BF"/>
                          <w:kern w:val="24"/>
                          <w:sz w:val="20"/>
                          <w:szCs w:val="20"/>
                          <w:lang w:val="es-MX"/>
                        </w:rPr>
                        <w:t>Profundizar la aplicación de buenas prácticas internacionales.</w:t>
                      </w:r>
                    </w:p>
                  </w:txbxContent>
                </v:textbox>
                <w10:wrap anchorx="margin"/>
              </v:shape>
            </w:pict>
          </mc:Fallback>
        </mc:AlternateContent>
      </w:r>
    </w:p>
    <w:p w:rsidR="00BD4424" w:rsidRPr="0057417D" w:rsidRDefault="00BD4424" w:rsidP="00BD4424">
      <w:pPr>
        <w:pStyle w:val="Textoindependiente"/>
        <w:suppressAutoHyphens/>
        <w:ind w:left="360"/>
      </w:pPr>
    </w:p>
    <w:p w:rsidR="00BD4424" w:rsidRPr="0057417D" w:rsidRDefault="00BD4424" w:rsidP="00B10E19">
      <w:pPr>
        <w:pStyle w:val="Textoindependiente"/>
        <w:suppressAutoHyphens/>
        <w:ind w:left="360"/>
        <w:jc w:val="center"/>
      </w:pPr>
    </w:p>
    <w:p w:rsidR="00BD4424" w:rsidRPr="0057417D" w:rsidRDefault="00BD4424" w:rsidP="00B10E19">
      <w:pPr>
        <w:pStyle w:val="Textoindependiente"/>
        <w:suppressAutoHyphens/>
        <w:ind w:left="360"/>
        <w:jc w:val="center"/>
      </w:pPr>
    </w:p>
    <w:p w:rsidR="00BD4424" w:rsidRPr="0057417D" w:rsidRDefault="00BD4424" w:rsidP="00B10E19">
      <w:pPr>
        <w:pStyle w:val="Textoindependiente"/>
        <w:suppressAutoHyphens/>
        <w:ind w:left="360"/>
        <w:jc w:val="center"/>
        <w:rPr>
          <w:u w:val="none"/>
        </w:rPr>
      </w:pPr>
      <w:r w:rsidRPr="0057417D">
        <w:rPr>
          <w:rFonts w:ascii="Tahoma" w:hAnsi="Tahoma" w:cs="Tahoma"/>
          <w:noProof/>
          <w:color w:val="000000"/>
          <w:u w:val="none"/>
          <w:lang w:eastAsia="es-CR"/>
        </w:rPr>
        <mc:AlternateContent>
          <mc:Choice Requires="wps">
            <w:drawing>
              <wp:anchor distT="0" distB="0" distL="114300" distR="114300" simplePos="0" relativeHeight="251661314" behindDoc="0" locked="0" layoutInCell="1" allowOverlap="1" wp14:anchorId="633E67C4" wp14:editId="6C1FC648">
                <wp:simplePos x="0" y="0"/>
                <wp:positionH relativeFrom="margin">
                  <wp:posOffset>4219917</wp:posOffset>
                </wp:positionH>
                <wp:positionV relativeFrom="paragraph">
                  <wp:posOffset>338259</wp:posOffset>
                </wp:positionV>
                <wp:extent cx="2118458" cy="571403"/>
                <wp:effectExtent l="0" t="0" r="0" b="0"/>
                <wp:wrapNone/>
                <wp:docPr id="39" name="CuadroTexto 14"/>
                <wp:cNvGraphicFramePr/>
                <a:graphic xmlns:a="http://schemas.openxmlformats.org/drawingml/2006/main">
                  <a:graphicData uri="http://schemas.microsoft.com/office/word/2010/wordprocessingShape">
                    <wps:wsp>
                      <wps:cNvSpPr txBox="1"/>
                      <wps:spPr>
                        <a:xfrm>
                          <a:off x="0" y="0"/>
                          <a:ext cx="2118458" cy="571403"/>
                        </a:xfrm>
                        <a:prstGeom prst="rect">
                          <a:avLst/>
                        </a:prstGeom>
                        <a:noFill/>
                      </wps:spPr>
                      <wps:txbx>
                        <w:txbxContent>
                          <w:p w:rsidR="005F5714" w:rsidRPr="00BE752F" w:rsidRDefault="005F5714" w:rsidP="00BD4424">
                            <w:pPr>
                              <w:pStyle w:val="NormalWeb"/>
                              <w:spacing w:before="0" w:after="0" w:afterAutospacing="0"/>
                              <w:rPr>
                                <w:sz w:val="20"/>
                                <w:szCs w:val="20"/>
                              </w:rPr>
                            </w:pPr>
                            <w:r w:rsidRPr="00BE752F">
                              <w:rPr>
                                <w:rFonts w:asciiTheme="minorHAnsi" w:hAnsi="Calibri" w:cstheme="minorBidi"/>
                                <w:b/>
                                <w:bCs/>
                                <w:color w:val="00637E"/>
                                <w:kern w:val="24"/>
                                <w:sz w:val="20"/>
                                <w:szCs w:val="20"/>
                                <w:u w:val="single"/>
                              </w:rPr>
                              <w:t>Organización:</w:t>
                            </w:r>
                          </w:p>
                          <w:p w:rsidR="005F5714" w:rsidRPr="00BE752F" w:rsidRDefault="005F5714" w:rsidP="00BD4424">
                            <w:pPr>
                              <w:pStyle w:val="NormalWeb"/>
                              <w:spacing w:before="0" w:after="0" w:afterAutospacing="0"/>
                              <w:rPr>
                                <w:sz w:val="20"/>
                                <w:szCs w:val="20"/>
                              </w:rPr>
                            </w:pPr>
                            <w:r w:rsidRPr="00BE752F">
                              <w:rPr>
                                <w:rFonts w:asciiTheme="minorHAnsi" w:hAnsi="Calibri" w:cstheme="minorBidi"/>
                                <w:color w:val="404040" w:themeColor="text1" w:themeTint="BF"/>
                                <w:kern w:val="24"/>
                                <w:sz w:val="20"/>
                                <w:szCs w:val="20"/>
                                <w:lang w:val="es-MX"/>
                              </w:rPr>
                              <w:t>Impulsar la mejora continua de la organización.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33E67C4" id="CuadroTexto 14" o:spid="_x0000_s1057" type="#_x0000_t202" style="position:absolute;left:0;text-align:left;margin-left:332.3pt;margin-top:26.65pt;width:166.8pt;height:45pt;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" filled="f" stroked="f">
                <v:textbox>
                  <w:txbxContent>
                    <w:p w:rsidR="005F5714" w:rsidRPr="00BE752F" w:rsidRDefault="005F5714" w:rsidP="00BD4424">
                      <w:pPr>
                        <w:pStyle w:val="NormalWeb"/>
                        <w:spacing w:before="0" w:after="0" w:afterAutospacing="0"/>
                        <w:rPr>
                          <w:sz w:val="20"/>
                          <w:szCs w:val="20"/>
                        </w:rPr>
                      </w:pPr>
                      <w:r w:rsidRPr="00BE752F">
                        <w:rPr>
                          <w:rFonts w:asciiTheme="minorHAnsi" w:hAnsi="Calibri" w:cstheme="minorBidi"/>
                          <w:b/>
                          <w:bCs/>
                          <w:color w:val="00637E"/>
                          <w:kern w:val="24"/>
                          <w:sz w:val="20"/>
                          <w:szCs w:val="20"/>
                          <w:u w:val="single"/>
                        </w:rPr>
                        <w:t>Organización:</w:t>
                      </w:r>
                    </w:p>
                    <w:p w:rsidR="005F5714" w:rsidRPr="00BE752F" w:rsidRDefault="005F5714" w:rsidP="00BD4424">
                      <w:pPr>
                        <w:pStyle w:val="NormalWeb"/>
                        <w:spacing w:before="0" w:after="0" w:afterAutospacing="0"/>
                        <w:rPr>
                          <w:sz w:val="20"/>
                          <w:szCs w:val="20"/>
                        </w:rPr>
                      </w:pPr>
                      <w:r w:rsidRPr="00BE752F">
                        <w:rPr>
                          <w:rFonts w:asciiTheme="minorHAnsi" w:hAnsi="Calibri" w:cstheme="minorBidi"/>
                          <w:color w:val="404040" w:themeColor="text1" w:themeTint="BF"/>
                          <w:kern w:val="24"/>
                          <w:sz w:val="20"/>
                          <w:szCs w:val="20"/>
                          <w:lang w:val="es-MX"/>
                        </w:rPr>
                        <w:t>Impulsar la mejora continua de la organización.</w:t>
                      </w:r>
                    </w:p>
                  </w:txbxContent>
                </v:textbox>
                <w10:wrap anchorx="margin"/>
              </v:shape>
            </w:pict>
          </mc:Fallback>
        </mc:AlternateContent>
      </w:r>
      <w:r w:rsidRPr="0057417D">
        <w:rPr>
          <w:rFonts w:ascii="Tahoma" w:hAnsi="Tahoma" w:cs="Tahoma"/>
          <w:noProof/>
          <w:color w:val="000000"/>
          <w:u w:val="none"/>
          <w:lang w:eastAsia="es-CR"/>
        </w:rPr>
        <mc:AlternateContent>
          <mc:Choice Requires="wps">
            <w:drawing>
              <wp:inline distT="0" distB="0" distL="0" distR="0" wp14:anchorId="4743145A" wp14:editId="03A2AF87">
                <wp:extent cx="1080000" cy="1080000"/>
                <wp:effectExtent l="0" t="0" r="120650" b="120650"/>
                <wp:docPr id="36" name="Rectángulo 11"/>
                <wp:cNvGraphicFramePr/>
                <a:graphic xmlns:a="http://schemas.openxmlformats.org/drawingml/2006/main">
                  <a:graphicData uri="http://schemas.microsoft.com/office/word/2010/wordprocessingShape">
                    <wps:wsp>
                      <wps:cNvSpPr/>
                      <wps:spPr>
                        <a:xfrm>
                          <a:off x="0" y="0"/>
                          <a:ext cx="1080000" cy="1080000"/>
                        </a:xfrm>
                        <a:prstGeom prst="rect">
                          <a:avLst/>
                        </a:prstGeom>
                        <a:solidFill>
                          <a:srgbClr val="3399FF"/>
                        </a:solidFill>
                        <a:ln>
                          <a:noFill/>
                        </a:ln>
                        <a:effectLst>
                          <a:outerShdw blurRad="50800" dist="889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inline>
            </w:drawing>
          </mc:Choice>
          <mc:Fallback>
            <w:pict>
              <v:rect w14:anchorId="7063E54E" id="Rectángulo 11" o:spid="_x0000_s1026" style="width:85.05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" fillcolor="#39f" stroked="f" strokeweight=".5pt">
                <v:shadow on="t" color="black" opacity="26214f" origin="-.5,-.5" offset="1.74617mm,1.74617mm"/>
                <w10:anchorlock/>
              </v:rect>
            </w:pict>
          </mc:Fallback>
        </mc:AlternateContent>
      </w:r>
      <w:r w:rsidRPr="0057417D">
        <w:rPr>
          <w:rFonts w:ascii="Tahoma" w:hAnsi="Tahoma" w:cs="Tahoma"/>
          <w:noProof/>
          <w:color w:val="000000"/>
          <w:u w:val="none"/>
          <w:lang w:eastAsia="es-CR"/>
        </w:rPr>
        <mc:AlternateContent>
          <mc:Choice Requires="wps">
            <w:drawing>
              <wp:inline distT="0" distB="0" distL="0" distR="0" wp14:anchorId="3F72A7A3" wp14:editId="2C95DB47">
                <wp:extent cx="1080000" cy="1080000"/>
                <wp:effectExtent l="0" t="0" r="139700" b="139700"/>
                <wp:docPr id="47" name="Rectángulo 12"/>
                <wp:cNvGraphicFramePr/>
                <a:graphic xmlns:a="http://schemas.openxmlformats.org/drawingml/2006/main">
                  <a:graphicData uri="http://schemas.microsoft.com/office/word/2010/wordprocessingShape">
                    <wps:wsp>
                      <wps:cNvSpPr/>
                      <wps:spPr>
                        <a:xfrm>
                          <a:off x="0" y="0"/>
                          <a:ext cx="1080000" cy="1080000"/>
                        </a:xfrm>
                        <a:prstGeom prst="rect">
                          <a:avLst/>
                        </a:prstGeom>
                        <a:solidFill>
                          <a:srgbClr val="92D050"/>
                        </a:solidFill>
                        <a:ln>
                          <a:solidFill>
                            <a:srgbClr val="92D050"/>
                          </a:solidFill>
                        </a:ln>
                        <a:effectLst>
                          <a:outerShdw blurRad="50800" dist="889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inline>
            </w:drawing>
          </mc:Choice>
          <mc:Fallback>
            <w:pict>
              <v:rect w14:anchorId="6B1ACC56" id="Rectángulo 12" o:spid="_x0000_s1026" style="width:85.05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" fillcolor="#92d050" strokecolor="#92d050" strokeweight=".5pt">
                <v:shadow on="t" color="black" opacity="26214f" origin="-.5,-.5" offset="1.74617mm,1.74617mm"/>
                <w10:anchorlock/>
              </v:rect>
            </w:pict>
          </mc:Fallback>
        </mc:AlternateContent>
      </w:r>
    </w:p>
    <w:p w:rsidR="00BD4424" w:rsidRPr="0057417D" w:rsidRDefault="00B10E19" w:rsidP="00B10E19">
      <w:pPr>
        <w:ind w:left="360"/>
        <w:jc w:val="center"/>
        <w:rPr>
          <w:rFonts w:ascii="Tahoma" w:hAnsi="Tahoma" w:cs="Tahoma"/>
          <w:color w:val="000000"/>
        </w:rPr>
      </w:pPr>
      <w:r w:rsidRPr="0057417D">
        <w:rPr>
          <w:rFonts w:ascii="Tahoma" w:hAnsi="Tahoma" w:cs="Tahoma"/>
          <w:noProof/>
          <w:color w:val="000000"/>
          <w:lang w:eastAsia="es-CR"/>
        </w:rPr>
        <mc:AlternateContent>
          <mc:Choice Requires="wps">
            <w:drawing>
              <wp:anchor distT="0" distB="0" distL="114300" distR="114300" simplePos="0" relativeHeight="251664386" behindDoc="0" locked="0" layoutInCell="1" allowOverlap="1" wp14:anchorId="1A06B092" wp14:editId="15092087">
                <wp:simplePos x="0" y="0"/>
                <wp:positionH relativeFrom="column">
                  <wp:posOffset>1830705</wp:posOffset>
                </wp:positionH>
                <wp:positionV relativeFrom="paragraph">
                  <wp:posOffset>28575</wp:posOffset>
                </wp:positionV>
                <wp:extent cx="1079500" cy="1079500"/>
                <wp:effectExtent l="0" t="0" r="120650" b="120650"/>
                <wp:wrapNone/>
                <wp:docPr id="35" name="Rectángulo 7"/>
                <wp:cNvGraphicFramePr/>
                <a:graphic xmlns:a="http://schemas.openxmlformats.org/drawingml/2006/main">
                  <a:graphicData uri="http://schemas.microsoft.com/office/word/2010/wordprocessingShape">
                    <wps:wsp>
                      <wps:cNvSpPr/>
                      <wps:spPr>
                        <a:xfrm>
                          <a:off x="0" y="0"/>
                          <a:ext cx="1079500" cy="1079500"/>
                        </a:xfrm>
                        <a:prstGeom prst="rect">
                          <a:avLst/>
                        </a:prstGeom>
                        <a:solidFill>
                          <a:srgbClr val="3D7FCF"/>
                        </a:solidFill>
                        <a:ln>
                          <a:noFill/>
                        </a:ln>
                        <a:effectLst>
                          <a:outerShdw blurRad="50800" dist="889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6425945" id="Rectángulo 7" o:spid="_x0000_s1026" style="position:absolute;margin-left:144.15pt;margin-top:2.25pt;width:85pt;height:85pt;z-index:251664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" fillcolor="#3d7fcf" stroked="f" strokeweight=".5pt">
                <v:shadow on="t" color="black" opacity="26214f" origin="-.5,-.5" offset="1.74617mm,1.74617mm"/>
              </v:rect>
            </w:pict>
          </mc:Fallback>
        </mc:AlternateContent>
      </w:r>
    </w:p>
    <w:p w:rsidR="00BD4424" w:rsidRPr="0057417D" w:rsidRDefault="00BD4424" w:rsidP="00B10E19">
      <w:pPr>
        <w:ind w:left="360"/>
        <w:rPr>
          <w:rFonts w:ascii="Tahoma" w:hAnsi="Tahoma" w:cs="Tahoma"/>
          <w:color w:val="000000"/>
        </w:rPr>
      </w:pPr>
      <w:r w:rsidRPr="0057417D">
        <w:rPr>
          <w:noProof/>
          <w:lang w:eastAsia="es-CR"/>
        </w:rPr>
        <mc:AlternateContent>
          <mc:Choice Requires="wps">
            <w:drawing>
              <wp:anchor distT="0" distB="0" distL="114300" distR="114300" simplePos="0" relativeHeight="251662338" behindDoc="0" locked="0" layoutInCell="1" allowOverlap="1" wp14:anchorId="0C09FC14" wp14:editId="7618311A">
                <wp:simplePos x="0" y="0"/>
                <wp:positionH relativeFrom="column">
                  <wp:posOffset>3103196</wp:posOffset>
                </wp:positionH>
                <wp:positionV relativeFrom="paragraph">
                  <wp:posOffset>72439</wp:posOffset>
                </wp:positionV>
                <wp:extent cx="2980592" cy="562707"/>
                <wp:effectExtent l="0" t="0" r="0" b="0"/>
                <wp:wrapNone/>
                <wp:docPr id="40" name="CuadroTexto 15"/>
                <wp:cNvGraphicFramePr/>
                <a:graphic xmlns:a="http://schemas.openxmlformats.org/drawingml/2006/main">
                  <a:graphicData uri="http://schemas.microsoft.com/office/word/2010/wordprocessingShape">
                    <wps:wsp>
                      <wps:cNvSpPr txBox="1"/>
                      <wps:spPr>
                        <a:xfrm>
                          <a:off x="0" y="0"/>
                          <a:ext cx="2980592" cy="562707"/>
                        </a:xfrm>
                        <a:prstGeom prst="rect">
                          <a:avLst/>
                        </a:prstGeom>
                        <a:noFill/>
                      </wps:spPr>
                      <wps:txbx>
                        <w:txbxContent>
                          <w:p w:rsidR="005F5714" w:rsidRPr="00BE752F" w:rsidRDefault="005F5714" w:rsidP="00BD4424">
                            <w:pPr>
                              <w:pStyle w:val="NormalWeb"/>
                              <w:spacing w:before="0" w:after="0" w:afterAutospacing="0"/>
                              <w:rPr>
                                <w:sz w:val="20"/>
                                <w:szCs w:val="20"/>
                              </w:rPr>
                            </w:pPr>
                            <w:r w:rsidRPr="00BE752F">
                              <w:rPr>
                                <w:rFonts w:asciiTheme="minorHAnsi" w:hAnsi="Calibri" w:cstheme="minorBidi"/>
                                <w:b/>
                                <w:bCs/>
                                <w:color w:val="00637E"/>
                                <w:kern w:val="24"/>
                                <w:sz w:val="20"/>
                                <w:szCs w:val="20"/>
                                <w:u w:val="single"/>
                              </w:rPr>
                              <w:t xml:space="preserve">Divulgación: </w:t>
                            </w:r>
                          </w:p>
                          <w:p w:rsidR="005F5714" w:rsidRPr="00BE752F" w:rsidRDefault="005F5714" w:rsidP="00BD4424">
                            <w:pPr>
                              <w:pStyle w:val="NormalWeb"/>
                              <w:spacing w:before="0" w:after="0" w:afterAutospacing="0"/>
                              <w:rPr>
                                <w:sz w:val="20"/>
                                <w:szCs w:val="20"/>
                              </w:rPr>
                            </w:pPr>
                            <w:r w:rsidRPr="00BE752F">
                              <w:rPr>
                                <w:rFonts w:asciiTheme="minorHAnsi" w:hAnsi="Calibri" w:cstheme="minorBidi"/>
                                <w:color w:val="404040" w:themeColor="text1" w:themeTint="BF"/>
                                <w:kern w:val="24"/>
                                <w:sz w:val="20"/>
                                <w:szCs w:val="20"/>
                                <w:lang w:val="es-MX"/>
                              </w:rPr>
                              <w:t>Facilitar el conocimiento del mercado de seguros al consumidor y partes interesadas.</w:t>
                            </w:r>
                          </w:p>
                          <w:p w:rsidR="005F5714" w:rsidRPr="00BE752F" w:rsidRDefault="005F5714" w:rsidP="00BD4424">
                            <w:pPr>
                              <w:pStyle w:val="NormalWeb"/>
                              <w:spacing w:before="0" w:after="0" w:afterAutospacing="0"/>
                              <w:jc w:val="right"/>
                              <w:rPr>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C09FC14" id="CuadroTexto 15" o:spid="_x0000_s1058" type="#_x0000_t202" style="position:absolute;left:0;text-align:left;margin-left:244.35pt;margin-top:5.7pt;width:234.7pt;height:44.3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" filled="f" stroked="f">
                <v:textbox>
                  <w:txbxContent>
                    <w:p w:rsidR="005F5714" w:rsidRPr="00BE752F" w:rsidRDefault="005F5714" w:rsidP="00BD4424">
                      <w:pPr>
                        <w:pStyle w:val="NormalWeb"/>
                        <w:spacing w:before="0" w:after="0" w:afterAutospacing="0"/>
                        <w:rPr>
                          <w:sz w:val="20"/>
                          <w:szCs w:val="20"/>
                        </w:rPr>
                      </w:pPr>
                      <w:r w:rsidRPr="00BE752F">
                        <w:rPr>
                          <w:rFonts w:asciiTheme="minorHAnsi" w:hAnsi="Calibri" w:cstheme="minorBidi"/>
                          <w:b/>
                          <w:bCs/>
                          <w:color w:val="00637E"/>
                          <w:kern w:val="24"/>
                          <w:sz w:val="20"/>
                          <w:szCs w:val="20"/>
                          <w:u w:val="single"/>
                        </w:rPr>
                        <w:t xml:space="preserve">Divulgación: </w:t>
                      </w:r>
                    </w:p>
                    <w:p w:rsidR="005F5714" w:rsidRPr="00BE752F" w:rsidRDefault="005F5714" w:rsidP="00BD4424">
                      <w:pPr>
                        <w:pStyle w:val="NormalWeb"/>
                        <w:spacing w:before="0" w:after="0" w:afterAutospacing="0"/>
                        <w:rPr>
                          <w:sz w:val="20"/>
                          <w:szCs w:val="20"/>
                        </w:rPr>
                      </w:pPr>
                      <w:r w:rsidRPr="00BE752F">
                        <w:rPr>
                          <w:rFonts w:asciiTheme="minorHAnsi" w:hAnsi="Calibri" w:cstheme="minorBidi"/>
                          <w:color w:val="404040" w:themeColor="text1" w:themeTint="BF"/>
                          <w:kern w:val="24"/>
                          <w:sz w:val="20"/>
                          <w:szCs w:val="20"/>
                          <w:lang w:val="es-MX"/>
                        </w:rPr>
                        <w:t>Facilitar el conocimiento del mercado de seguros al consumidor y partes interesadas.</w:t>
                      </w:r>
                    </w:p>
                    <w:p w:rsidR="005F5714" w:rsidRPr="00BE752F" w:rsidRDefault="005F5714" w:rsidP="00BD4424">
                      <w:pPr>
                        <w:pStyle w:val="NormalWeb"/>
                        <w:spacing w:before="0" w:after="0" w:afterAutospacing="0"/>
                        <w:jc w:val="right"/>
                        <w:rPr>
                          <w:sz w:val="20"/>
                          <w:szCs w:val="20"/>
                        </w:rPr>
                      </w:pPr>
                    </w:p>
                  </w:txbxContent>
                </v:textbox>
              </v:shape>
            </w:pict>
          </mc:Fallback>
        </mc:AlternateContent>
      </w:r>
    </w:p>
    <w:p w:rsidR="00BD4424" w:rsidRPr="0057417D" w:rsidRDefault="00BD4424" w:rsidP="00B10E19">
      <w:pPr>
        <w:ind w:left="360"/>
        <w:rPr>
          <w:rFonts w:ascii="Tahoma" w:hAnsi="Tahoma" w:cs="Tahoma"/>
          <w:color w:val="000000"/>
        </w:rPr>
      </w:pPr>
    </w:p>
    <w:p w:rsidR="00BD4424" w:rsidRPr="0057417D" w:rsidRDefault="00BD4424" w:rsidP="00B10E19">
      <w:pPr>
        <w:ind w:left="360"/>
        <w:rPr>
          <w:rFonts w:ascii="Tahoma" w:hAnsi="Tahoma" w:cs="Tahoma"/>
          <w:color w:val="000000"/>
        </w:rPr>
      </w:pPr>
    </w:p>
    <w:p w:rsidR="00BD4424" w:rsidRPr="0057417D" w:rsidRDefault="00BD4424" w:rsidP="00B10E19">
      <w:pPr>
        <w:ind w:left="360"/>
        <w:rPr>
          <w:rFonts w:ascii="Tahoma" w:hAnsi="Tahoma" w:cs="Tahoma"/>
          <w:color w:val="000000"/>
        </w:rPr>
      </w:pPr>
    </w:p>
    <w:p w:rsidR="00BD4424" w:rsidRPr="0057417D" w:rsidRDefault="00BD4424" w:rsidP="00B10E19">
      <w:pPr>
        <w:ind w:left="360"/>
        <w:rPr>
          <w:rFonts w:ascii="Century Gothic" w:eastAsia="SourceSansPro-Light" w:hAnsi="Century Gothic" w:cs="Tahoma"/>
          <w:color w:val="404040" w:themeColor="text1" w:themeTint="BF"/>
        </w:rPr>
      </w:pPr>
    </w:p>
    <w:p w:rsidR="00BD4424" w:rsidRPr="0057417D" w:rsidRDefault="00BD4424" w:rsidP="00B10E19">
      <w:pPr>
        <w:ind w:left="360"/>
        <w:rPr>
          <w:rFonts w:ascii="Century Gothic" w:eastAsia="SourceSansPro-Light" w:hAnsi="Century Gothic" w:cs="Tahoma"/>
          <w:color w:val="404040" w:themeColor="text1" w:themeTint="BF"/>
        </w:rPr>
      </w:pPr>
    </w:p>
    <w:p w:rsidR="00BD4424" w:rsidRPr="0057417D" w:rsidRDefault="00BD4424" w:rsidP="00B10E19">
      <w:pPr>
        <w:spacing w:line="240" w:lineRule="auto"/>
        <w:rPr>
          <w:rFonts w:eastAsia="SourceSansPro-Light" w:cstheme="minorHAnsi"/>
        </w:rPr>
      </w:pPr>
      <w:r w:rsidRPr="0057417D">
        <w:rPr>
          <w:rFonts w:eastAsia="SourceSansPro-Light" w:cstheme="minorHAnsi"/>
        </w:rPr>
        <w:t>El Portafolio Institucional de Proyectos del Plan Estratégico 2019-2023 se presenta en el Anexo 1</w:t>
      </w:r>
      <w:r w:rsidR="00F74B49">
        <w:rPr>
          <w:rFonts w:eastAsia="SourceSansPro-Light" w:cstheme="minorHAnsi"/>
        </w:rPr>
        <w:t>, así como el avance logrado en cada proyecto al 31 de diciembre de 2019.</w:t>
      </w:r>
    </w:p>
    <w:p w:rsidR="00114B6E" w:rsidRPr="0057417D" w:rsidRDefault="00114B6E" w:rsidP="00016AB4">
      <w:pPr>
        <w:spacing w:line="240" w:lineRule="auto"/>
      </w:pPr>
    </w:p>
    <w:p w:rsidR="007B1ACA" w:rsidRPr="0057417D" w:rsidRDefault="007B1ACA" w:rsidP="004E015E">
      <w:pPr>
        <w:spacing w:line="240" w:lineRule="auto"/>
        <w:rPr>
          <w:rFonts w:eastAsia="SourceSansPro-Light" w:cstheme="minorHAnsi"/>
        </w:rPr>
      </w:pPr>
    </w:p>
    <w:p w:rsidR="00786F5C" w:rsidRPr="0057417D" w:rsidRDefault="00786F5C" w:rsidP="00016AB4">
      <w:pPr>
        <w:pStyle w:val="Ttulo2"/>
        <w:numPr>
          <w:ilvl w:val="0"/>
          <w:numId w:val="5"/>
        </w:numPr>
        <w:spacing w:before="0" w:line="240" w:lineRule="auto"/>
        <w:rPr>
          <w:b/>
          <w:i/>
          <w:sz w:val="20"/>
        </w:rPr>
      </w:pPr>
      <w:r w:rsidRPr="0057417D">
        <w:rPr>
          <w:b/>
        </w:rPr>
        <w:t>Plan Operativo</w:t>
      </w:r>
    </w:p>
    <w:p w:rsidR="00786F5C" w:rsidRPr="0057417D" w:rsidRDefault="00786F5C" w:rsidP="00016AB4">
      <w:pPr>
        <w:pStyle w:val="Ttulo2"/>
        <w:spacing w:before="0" w:line="240" w:lineRule="auto"/>
        <w:rPr>
          <w:i/>
          <w:sz w:val="20"/>
        </w:rPr>
      </w:pPr>
    </w:p>
    <w:p w:rsidR="005027C2" w:rsidRPr="0057417D" w:rsidRDefault="005027C2" w:rsidP="00016AB4">
      <w:pPr>
        <w:spacing w:line="240" w:lineRule="auto"/>
        <w:rPr>
          <w:rFonts w:cs="Arial"/>
          <w:szCs w:val="24"/>
        </w:rPr>
      </w:pPr>
      <w:r w:rsidRPr="0057417D">
        <w:rPr>
          <w:rFonts w:cs="Arial"/>
          <w:szCs w:val="24"/>
        </w:rPr>
        <w:t xml:space="preserve">El desempeño de la gestión institucional se mide </w:t>
      </w:r>
      <w:r w:rsidR="00856106" w:rsidRPr="0057417D">
        <w:rPr>
          <w:rFonts w:cs="Arial"/>
          <w:szCs w:val="24"/>
        </w:rPr>
        <w:t>mediante</w:t>
      </w:r>
      <w:r w:rsidRPr="0057417D">
        <w:rPr>
          <w:rFonts w:cs="Arial"/>
          <w:szCs w:val="24"/>
        </w:rPr>
        <w:t xml:space="preserve"> la utilización de los siguientes indicadores:</w:t>
      </w:r>
    </w:p>
    <w:p w:rsidR="009F0C1F" w:rsidRPr="0057417D" w:rsidRDefault="009F0C1F" w:rsidP="00016AB4">
      <w:pPr>
        <w:spacing w:line="240" w:lineRule="auto"/>
        <w:rPr>
          <w:rFonts w:cs="Arial"/>
          <w:szCs w:val="24"/>
        </w:rPr>
      </w:pPr>
    </w:p>
    <w:p w:rsidR="000A4F7D" w:rsidRPr="0057417D" w:rsidRDefault="000A4F7D" w:rsidP="00016AB4">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p>
    <w:p w:rsidR="009E6015" w:rsidRPr="0057417D" w:rsidRDefault="000A4F7D"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cs="Century Gothic"/>
          <w:kern w:val="24"/>
          <w:sz w:val="20"/>
          <w:szCs w:val="20"/>
        </w:rPr>
        <w:t>Superintendencia General de Seguros</w:t>
      </w:r>
      <w:r w:rsidR="009E6015" w:rsidRPr="0057417D">
        <w:rPr>
          <w:rFonts w:ascii="Century Gothic" w:hAnsi="Century Gothic"/>
          <w:b/>
          <w:color w:val="404040" w:themeColor="text1" w:themeTint="BF"/>
          <w:sz w:val="20"/>
          <w:szCs w:val="20"/>
        </w:rPr>
        <w:t xml:space="preserve"> </w:t>
      </w:r>
    </w:p>
    <w:p w:rsidR="009E6015" w:rsidRPr="0057417D" w:rsidRDefault="009E6015"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Indicadores Operativos</w:t>
      </w:r>
    </w:p>
    <w:tbl>
      <w:tblPr>
        <w:tblW w:w="9040"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70" w:type="dxa"/>
          <w:right w:w="70" w:type="dxa"/>
        </w:tblCellMar>
        <w:tblLook w:val="04A0" w:firstRow="1" w:lastRow="0" w:firstColumn="1" w:lastColumn="0" w:noHBand="0" w:noVBand="1"/>
      </w:tblPr>
      <w:tblGrid>
        <w:gridCol w:w="1009"/>
        <w:gridCol w:w="1488"/>
        <w:gridCol w:w="1440"/>
        <w:gridCol w:w="940"/>
        <w:gridCol w:w="1045"/>
        <w:gridCol w:w="1134"/>
        <w:gridCol w:w="992"/>
        <w:gridCol w:w="992"/>
      </w:tblGrid>
      <w:tr w:rsidR="00E7521E" w:rsidRPr="0057417D" w:rsidTr="00B239B4">
        <w:trPr>
          <w:trHeight w:val="735"/>
          <w:jc w:val="center"/>
        </w:trPr>
        <w:tc>
          <w:tcPr>
            <w:tcW w:w="1009" w:type="dxa"/>
            <w:vMerge w:val="restart"/>
            <w:shd w:val="clear" w:color="auto" w:fill="365F91"/>
            <w:vAlign w:val="center"/>
            <w:hideMark/>
          </w:tcPr>
          <w:p w:rsidR="00E7521E" w:rsidRPr="0057417D" w:rsidRDefault="00844266">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INDICADOR (Código)</w:t>
            </w:r>
          </w:p>
        </w:tc>
        <w:tc>
          <w:tcPr>
            <w:tcW w:w="1488" w:type="dxa"/>
            <w:vMerge w:val="restart"/>
            <w:shd w:val="clear" w:color="auto" w:fill="365F91"/>
            <w:vAlign w:val="center"/>
            <w:hideMark/>
          </w:tcPr>
          <w:p w:rsidR="00E7521E" w:rsidRPr="0057417D" w:rsidRDefault="00844266" w:rsidP="00E7521E">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DEFINICIÓN</w:t>
            </w:r>
          </w:p>
        </w:tc>
        <w:tc>
          <w:tcPr>
            <w:tcW w:w="1440" w:type="dxa"/>
            <w:shd w:val="clear" w:color="auto" w:fill="365F91"/>
            <w:vAlign w:val="center"/>
            <w:hideMark/>
          </w:tcPr>
          <w:p w:rsidR="00E7521E" w:rsidRPr="0057417D" w:rsidRDefault="00E7521E" w:rsidP="00E7521E">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INDICADORES OPERATIVOS</w:t>
            </w:r>
          </w:p>
        </w:tc>
        <w:tc>
          <w:tcPr>
            <w:tcW w:w="4111" w:type="dxa"/>
            <w:gridSpan w:val="4"/>
            <w:shd w:val="clear" w:color="auto" w:fill="365F91"/>
            <w:noWrap/>
            <w:vAlign w:val="center"/>
            <w:hideMark/>
          </w:tcPr>
          <w:p w:rsidR="00E7521E" w:rsidRPr="0057417D" w:rsidRDefault="00E7521E" w:rsidP="00E7521E">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BANDAS  (PARÁMETROS)</w:t>
            </w:r>
          </w:p>
        </w:tc>
        <w:tc>
          <w:tcPr>
            <w:tcW w:w="992" w:type="dxa"/>
            <w:vMerge w:val="restart"/>
            <w:shd w:val="clear" w:color="auto" w:fill="365F91"/>
            <w:vAlign w:val="center"/>
            <w:hideMark/>
          </w:tcPr>
          <w:p w:rsidR="00E7521E" w:rsidRPr="0057417D" w:rsidRDefault="00E7521E" w:rsidP="00E7521E">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Resultados</w:t>
            </w:r>
          </w:p>
        </w:tc>
      </w:tr>
      <w:tr w:rsidR="00E7521E" w:rsidRPr="0057417D" w:rsidTr="00B239B4">
        <w:trPr>
          <w:trHeight w:val="495"/>
          <w:jc w:val="center"/>
        </w:trPr>
        <w:tc>
          <w:tcPr>
            <w:tcW w:w="1009" w:type="dxa"/>
            <w:vMerge/>
            <w:shd w:val="clear" w:color="auto" w:fill="365F91"/>
            <w:vAlign w:val="center"/>
            <w:hideMark/>
          </w:tcPr>
          <w:p w:rsidR="00E7521E" w:rsidRPr="0057417D" w:rsidRDefault="00E7521E" w:rsidP="00E7521E">
            <w:pPr>
              <w:spacing w:line="240" w:lineRule="auto"/>
              <w:jc w:val="left"/>
              <w:rPr>
                <w:rFonts w:ascii="Calibri" w:eastAsia="Times New Roman" w:hAnsi="Calibri" w:cs="Calibri"/>
                <w:b/>
                <w:bCs/>
                <w:color w:val="FFFFFF"/>
                <w:sz w:val="18"/>
                <w:szCs w:val="18"/>
                <w:lang w:eastAsia="es-CR"/>
              </w:rPr>
            </w:pPr>
          </w:p>
        </w:tc>
        <w:tc>
          <w:tcPr>
            <w:tcW w:w="1488" w:type="dxa"/>
            <w:vMerge/>
            <w:shd w:val="clear" w:color="auto" w:fill="365F91"/>
            <w:vAlign w:val="center"/>
            <w:hideMark/>
          </w:tcPr>
          <w:p w:rsidR="00E7521E" w:rsidRPr="0057417D" w:rsidRDefault="00E7521E" w:rsidP="00E7521E">
            <w:pPr>
              <w:spacing w:line="240" w:lineRule="auto"/>
              <w:jc w:val="left"/>
              <w:rPr>
                <w:rFonts w:ascii="Calibri" w:eastAsia="Times New Roman" w:hAnsi="Calibri" w:cs="Calibri"/>
                <w:b/>
                <w:bCs/>
                <w:color w:val="FFFFFF"/>
                <w:sz w:val="18"/>
                <w:szCs w:val="18"/>
                <w:lang w:eastAsia="es-CR"/>
              </w:rPr>
            </w:pPr>
          </w:p>
        </w:tc>
        <w:tc>
          <w:tcPr>
            <w:tcW w:w="1440" w:type="dxa"/>
            <w:shd w:val="clear" w:color="auto" w:fill="365F91"/>
            <w:vAlign w:val="center"/>
            <w:hideMark/>
          </w:tcPr>
          <w:p w:rsidR="00E7521E" w:rsidRPr="0057417D" w:rsidRDefault="00E7521E" w:rsidP="00E7521E">
            <w:pPr>
              <w:spacing w:line="240" w:lineRule="auto"/>
              <w:jc w:val="center"/>
              <w:rPr>
                <w:rFonts w:ascii="Calibri" w:eastAsia="Times New Roman" w:hAnsi="Calibri" w:cs="Calibri"/>
                <w:b/>
                <w:bCs/>
                <w:color w:val="FFFFFF"/>
                <w:sz w:val="18"/>
                <w:szCs w:val="18"/>
                <w:lang w:eastAsia="es-CR"/>
              </w:rPr>
            </w:pPr>
            <w:r w:rsidRPr="0057417D">
              <w:rPr>
                <w:rFonts w:ascii="Calibri" w:eastAsia="Times New Roman" w:hAnsi="Calibri" w:cs="Calibri"/>
                <w:b/>
                <w:bCs/>
                <w:color w:val="FFFFFF"/>
                <w:sz w:val="18"/>
                <w:szCs w:val="18"/>
                <w:lang w:eastAsia="es-CR"/>
              </w:rPr>
              <w:t>(institucionales y por meta)</w:t>
            </w:r>
          </w:p>
        </w:tc>
        <w:tc>
          <w:tcPr>
            <w:tcW w:w="940" w:type="dxa"/>
            <w:shd w:val="clear" w:color="000000" w:fill="00FFFF"/>
            <w:vAlign w:val="center"/>
            <w:hideMark/>
          </w:tcPr>
          <w:p w:rsidR="00E7521E" w:rsidRPr="0057417D" w:rsidRDefault="00E7521E" w:rsidP="00E7521E">
            <w:pPr>
              <w:spacing w:line="240" w:lineRule="auto"/>
              <w:jc w:val="center"/>
              <w:rPr>
                <w:rFonts w:ascii="Calibri" w:eastAsia="Times New Roman" w:hAnsi="Calibri" w:cs="Calibri"/>
                <w:b/>
                <w:bCs/>
                <w:sz w:val="18"/>
                <w:szCs w:val="18"/>
                <w:lang w:eastAsia="es-CR"/>
              </w:rPr>
            </w:pPr>
            <w:r w:rsidRPr="0057417D">
              <w:rPr>
                <w:rFonts w:ascii="Calibri" w:eastAsia="Times New Roman" w:hAnsi="Calibri" w:cs="Calibri"/>
                <w:b/>
                <w:bCs/>
                <w:sz w:val="18"/>
                <w:szCs w:val="18"/>
                <w:lang w:eastAsia="es-CR"/>
              </w:rPr>
              <w:t>E</w:t>
            </w:r>
          </w:p>
        </w:tc>
        <w:tc>
          <w:tcPr>
            <w:tcW w:w="1045" w:type="dxa"/>
            <w:shd w:val="clear" w:color="000000" w:fill="00FF00"/>
            <w:vAlign w:val="center"/>
            <w:hideMark/>
          </w:tcPr>
          <w:p w:rsidR="00E7521E" w:rsidRPr="0057417D" w:rsidRDefault="00E7521E" w:rsidP="00E7521E">
            <w:pPr>
              <w:spacing w:line="240" w:lineRule="auto"/>
              <w:jc w:val="center"/>
              <w:rPr>
                <w:rFonts w:ascii="Calibri" w:eastAsia="Times New Roman" w:hAnsi="Calibri" w:cs="Calibri"/>
                <w:b/>
                <w:bCs/>
                <w:sz w:val="18"/>
                <w:szCs w:val="18"/>
                <w:lang w:eastAsia="es-CR"/>
              </w:rPr>
            </w:pPr>
            <w:r w:rsidRPr="0057417D">
              <w:rPr>
                <w:rFonts w:ascii="Calibri" w:eastAsia="Times New Roman" w:hAnsi="Calibri" w:cs="Calibri"/>
                <w:b/>
                <w:bCs/>
                <w:sz w:val="18"/>
                <w:szCs w:val="18"/>
                <w:lang w:eastAsia="es-CR"/>
              </w:rPr>
              <w:t>MB</w:t>
            </w:r>
          </w:p>
        </w:tc>
        <w:tc>
          <w:tcPr>
            <w:tcW w:w="1134" w:type="dxa"/>
            <w:shd w:val="clear" w:color="000000" w:fill="FFFF00"/>
            <w:vAlign w:val="center"/>
            <w:hideMark/>
          </w:tcPr>
          <w:p w:rsidR="00E7521E" w:rsidRPr="0057417D" w:rsidRDefault="00E7521E" w:rsidP="00E7521E">
            <w:pPr>
              <w:spacing w:line="240" w:lineRule="auto"/>
              <w:jc w:val="center"/>
              <w:rPr>
                <w:rFonts w:ascii="Calibri" w:eastAsia="Times New Roman" w:hAnsi="Calibri" w:cs="Calibri"/>
                <w:b/>
                <w:bCs/>
                <w:sz w:val="18"/>
                <w:szCs w:val="18"/>
                <w:lang w:eastAsia="es-CR"/>
              </w:rPr>
            </w:pPr>
            <w:r w:rsidRPr="0057417D">
              <w:rPr>
                <w:rFonts w:ascii="Calibri" w:eastAsia="Times New Roman" w:hAnsi="Calibri" w:cs="Calibri"/>
                <w:b/>
                <w:bCs/>
                <w:sz w:val="18"/>
                <w:szCs w:val="18"/>
                <w:lang w:eastAsia="es-CR"/>
              </w:rPr>
              <w:t>B</w:t>
            </w:r>
          </w:p>
        </w:tc>
        <w:tc>
          <w:tcPr>
            <w:tcW w:w="992" w:type="dxa"/>
            <w:shd w:val="clear" w:color="000000" w:fill="FF0000"/>
            <w:vAlign w:val="center"/>
            <w:hideMark/>
          </w:tcPr>
          <w:p w:rsidR="00E7521E" w:rsidRPr="0057417D" w:rsidRDefault="00E7521E" w:rsidP="00E7521E">
            <w:pPr>
              <w:spacing w:line="240" w:lineRule="auto"/>
              <w:jc w:val="center"/>
              <w:rPr>
                <w:rFonts w:ascii="Calibri" w:eastAsia="Times New Roman" w:hAnsi="Calibri" w:cs="Calibri"/>
                <w:b/>
                <w:bCs/>
                <w:sz w:val="18"/>
                <w:szCs w:val="18"/>
                <w:lang w:eastAsia="es-CR"/>
              </w:rPr>
            </w:pPr>
            <w:r w:rsidRPr="0057417D">
              <w:rPr>
                <w:rFonts w:ascii="Calibri" w:eastAsia="Times New Roman" w:hAnsi="Calibri" w:cs="Calibri"/>
                <w:b/>
                <w:bCs/>
                <w:sz w:val="18"/>
                <w:szCs w:val="18"/>
                <w:lang w:eastAsia="es-CR"/>
              </w:rPr>
              <w:t>M</w:t>
            </w:r>
          </w:p>
        </w:tc>
        <w:tc>
          <w:tcPr>
            <w:tcW w:w="992" w:type="dxa"/>
            <w:vMerge/>
            <w:vAlign w:val="center"/>
            <w:hideMark/>
          </w:tcPr>
          <w:p w:rsidR="00E7521E" w:rsidRPr="0057417D" w:rsidRDefault="00E7521E" w:rsidP="00E7521E">
            <w:pPr>
              <w:spacing w:line="240" w:lineRule="auto"/>
              <w:jc w:val="left"/>
              <w:rPr>
                <w:rFonts w:ascii="Calibri" w:eastAsia="Times New Roman" w:hAnsi="Calibri" w:cs="Calibri"/>
                <w:b/>
                <w:bCs/>
                <w:color w:val="FFFFFF"/>
                <w:sz w:val="18"/>
                <w:szCs w:val="18"/>
                <w:lang w:eastAsia="es-CR"/>
              </w:rPr>
            </w:pPr>
          </w:p>
        </w:tc>
      </w:tr>
      <w:tr w:rsidR="00E7521E" w:rsidRPr="0057417D" w:rsidTr="00B239B4">
        <w:trPr>
          <w:trHeight w:val="1389"/>
          <w:jc w:val="center"/>
        </w:trPr>
        <w:tc>
          <w:tcPr>
            <w:tcW w:w="1009"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b/>
                <w:bCs/>
                <w:color w:val="000000"/>
                <w:sz w:val="18"/>
                <w:szCs w:val="18"/>
                <w:lang w:eastAsia="es-CR"/>
              </w:rPr>
            </w:pPr>
            <w:r w:rsidRPr="0057417D">
              <w:rPr>
                <w:rFonts w:ascii="Calibri" w:eastAsia="Times New Roman" w:hAnsi="Calibri" w:cs="Calibri"/>
                <w:b/>
                <w:bCs/>
                <w:color w:val="000000"/>
                <w:sz w:val="18"/>
                <w:szCs w:val="18"/>
                <w:lang w:eastAsia="es-CR"/>
              </w:rPr>
              <w:t>IEO</w:t>
            </w:r>
          </w:p>
        </w:tc>
        <w:tc>
          <w:tcPr>
            <w:tcW w:w="1488" w:type="dxa"/>
            <w:shd w:val="clear" w:color="auto" w:fill="auto"/>
            <w:vAlign w:val="center"/>
            <w:hideMark/>
          </w:tcPr>
          <w:p w:rsidR="00E7521E" w:rsidRPr="0057417D" w:rsidRDefault="00B16157" w:rsidP="00B16157">
            <w:pPr>
              <w:spacing w:line="240" w:lineRule="auto"/>
              <w:jc w:val="left"/>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 xml:space="preserve">Índice de </w:t>
            </w:r>
            <w:r w:rsidR="00E7521E" w:rsidRPr="0057417D">
              <w:rPr>
                <w:rFonts w:ascii="Calibri" w:eastAsia="Times New Roman" w:hAnsi="Calibri" w:cs="Calibri"/>
                <w:sz w:val="18"/>
                <w:szCs w:val="18"/>
                <w:lang w:eastAsia="es-CR"/>
              </w:rPr>
              <w:t xml:space="preserve"> trabajos programados que se realizaron, por meta e institucional </w:t>
            </w:r>
          </w:p>
        </w:tc>
        <w:tc>
          <w:tcPr>
            <w:tcW w:w="14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u w:val="single"/>
                <w:lang w:eastAsia="es-CR"/>
              </w:rPr>
              <w:t>Trabajos planificados realizados  x 100%</w:t>
            </w:r>
            <w:r w:rsidRPr="0057417D">
              <w:rPr>
                <w:rFonts w:ascii="Calibri" w:eastAsia="Times New Roman" w:hAnsi="Calibri" w:cs="Calibri"/>
                <w:color w:val="000000"/>
                <w:sz w:val="18"/>
                <w:szCs w:val="18"/>
                <w:lang w:eastAsia="es-CR"/>
              </w:rPr>
              <w:t xml:space="preserve"> Trabajos planificados</w:t>
            </w:r>
          </w:p>
        </w:tc>
        <w:tc>
          <w:tcPr>
            <w:tcW w:w="9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IEO ≥ 85%</w:t>
            </w:r>
          </w:p>
        </w:tc>
        <w:tc>
          <w:tcPr>
            <w:tcW w:w="1045"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80% ≤ IEO &lt; 85/%</w:t>
            </w:r>
          </w:p>
        </w:tc>
        <w:tc>
          <w:tcPr>
            <w:tcW w:w="1134"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75% ≤ IEO &lt; 80%</w:t>
            </w:r>
          </w:p>
        </w:tc>
        <w:tc>
          <w:tcPr>
            <w:tcW w:w="992"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IEO &lt; 75%</w:t>
            </w:r>
          </w:p>
        </w:tc>
        <w:tc>
          <w:tcPr>
            <w:tcW w:w="992" w:type="dxa"/>
            <w:shd w:val="clear" w:color="auto" w:fill="auto"/>
            <w:noWrap/>
            <w:vAlign w:val="center"/>
            <w:hideMark/>
          </w:tcPr>
          <w:p w:rsidR="00E7521E" w:rsidRPr="0057417D" w:rsidRDefault="007A74D4" w:rsidP="007A74D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86</w:t>
            </w:r>
            <w:r w:rsidR="00E7521E" w:rsidRPr="0057417D">
              <w:rPr>
                <w:rFonts w:ascii="Calibri" w:eastAsia="Times New Roman" w:hAnsi="Calibri" w:cs="Calibri"/>
                <w:color w:val="000000"/>
                <w:sz w:val="18"/>
                <w:szCs w:val="18"/>
                <w:lang w:eastAsia="es-CR"/>
              </w:rPr>
              <w:t>,8</w:t>
            </w:r>
            <w:r w:rsidRPr="0057417D">
              <w:rPr>
                <w:rFonts w:ascii="Calibri" w:eastAsia="Times New Roman" w:hAnsi="Calibri" w:cs="Calibri"/>
                <w:color w:val="000000"/>
                <w:sz w:val="18"/>
                <w:szCs w:val="18"/>
                <w:lang w:eastAsia="es-CR"/>
              </w:rPr>
              <w:t>3</w:t>
            </w:r>
            <w:r w:rsidR="00E7521E" w:rsidRPr="0057417D">
              <w:rPr>
                <w:rFonts w:ascii="Calibri" w:eastAsia="Times New Roman" w:hAnsi="Calibri" w:cs="Calibri"/>
                <w:color w:val="000000"/>
                <w:sz w:val="18"/>
                <w:szCs w:val="18"/>
                <w:lang w:eastAsia="es-CR"/>
              </w:rPr>
              <w:t>%</w:t>
            </w:r>
          </w:p>
        </w:tc>
      </w:tr>
      <w:tr w:rsidR="00E7521E" w:rsidRPr="0057417D" w:rsidTr="00B239B4">
        <w:trPr>
          <w:trHeight w:val="1831"/>
          <w:jc w:val="center"/>
        </w:trPr>
        <w:tc>
          <w:tcPr>
            <w:tcW w:w="1009"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b/>
                <w:bCs/>
                <w:color w:val="000000"/>
                <w:sz w:val="18"/>
                <w:szCs w:val="18"/>
                <w:lang w:eastAsia="es-CR"/>
              </w:rPr>
            </w:pPr>
            <w:r w:rsidRPr="0057417D">
              <w:rPr>
                <w:rFonts w:ascii="Calibri" w:eastAsia="Times New Roman" w:hAnsi="Calibri" w:cs="Calibri"/>
                <w:b/>
                <w:bCs/>
                <w:color w:val="000000"/>
                <w:sz w:val="18"/>
                <w:szCs w:val="18"/>
                <w:lang w:eastAsia="es-CR"/>
              </w:rPr>
              <w:t>IETA</w:t>
            </w:r>
          </w:p>
        </w:tc>
        <w:tc>
          <w:tcPr>
            <w:tcW w:w="1488" w:type="dxa"/>
            <w:shd w:val="clear" w:color="auto" w:fill="auto"/>
            <w:vAlign w:val="center"/>
            <w:hideMark/>
          </w:tcPr>
          <w:p w:rsidR="00E7521E" w:rsidRPr="0057417D" w:rsidRDefault="00B16157" w:rsidP="00B16157">
            <w:pPr>
              <w:spacing w:line="240" w:lineRule="auto"/>
              <w:jc w:val="left"/>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 xml:space="preserve">Índice </w:t>
            </w:r>
            <w:r w:rsidR="00E7521E" w:rsidRPr="0057417D">
              <w:rPr>
                <w:rFonts w:ascii="Calibri" w:eastAsia="Times New Roman" w:hAnsi="Calibri" w:cs="Calibri"/>
                <w:sz w:val="18"/>
                <w:szCs w:val="18"/>
                <w:lang w:eastAsia="es-CR"/>
              </w:rPr>
              <w:t>de trabajos realizados (programados y no programados) con respecto a los programados planificados</w:t>
            </w:r>
          </w:p>
        </w:tc>
        <w:tc>
          <w:tcPr>
            <w:tcW w:w="14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Q Trabajos realizados *100%                      Q Trabajos planificados</w:t>
            </w:r>
          </w:p>
        </w:tc>
        <w:tc>
          <w:tcPr>
            <w:tcW w:w="9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IETA  ≥100%</w:t>
            </w:r>
          </w:p>
        </w:tc>
        <w:tc>
          <w:tcPr>
            <w:tcW w:w="1045" w:type="dxa"/>
            <w:shd w:val="clear" w:color="auto" w:fill="auto"/>
            <w:vAlign w:val="center"/>
            <w:hideMark/>
          </w:tcPr>
          <w:p w:rsidR="00E7521E" w:rsidRPr="0057417D" w:rsidRDefault="00E7521E" w:rsidP="00E7521E">
            <w:pPr>
              <w:spacing w:line="240" w:lineRule="auto"/>
              <w:jc w:val="left"/>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90%   ≤ IETA &lt;100%</w:t>
            </w:r>
          </w:p>
        </w:tc>
        <w:tc>
          <w:tcPr>
            <w:tcW w:w="1134"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80% ≤ IETA  &lt;90%</w:t>
            </w:r>
          </w:p>
        </w:tc>
        <w:tc>
          <w:tcPr>
            <w:tcW w:w="992"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IETA  &lt;80%</w:t>
            </w:r>
          </w:p>
        </w:tc>
        <w:tc>
          <w:tcPr>
            <w:tcW w:w="992" w:type="dxa"/>
            <w:shd w:val="clear" w:color="auto" w:fill="auto"/>
            <w:noWrap/>
            <w:vAlign w:val="center"/>
            <w:hideMark/>
          </w:tcPr>
          <w:p w:rsidR="00E7521E" w:rsidRPr="0057417D" w:rsidRDefault="007A74D4" w:rsidP="007A74D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89</w:t>
            </w:r>
            <w:r w:rsidR="00E7521E" w:rsidRPr="0057417D">
              <w:rPr>
                <w:rFonts w:ascii="Calibri" w:eastAsia="Times New Roman" w:hAnsi="Calibri" w:cs="Calibri"/>
                <w:color w:val="000000"/>
                <w:sz w:val="18"/>
                <w:szCs w:val="18"/>
                <w:lang w:eastAsia="es-CR"/>
              </w:rPr>
              <w:t>,</w:t>
            </w:r>
            <w:r w:rsidRPr="0057417D">
              <w:rPr>
                <w:rFonts w:ascii="Calibri" w:eastAsia="Times New Roman" w:hAnsi="Calibri" w:cs="Calibri"/>
                <w:color w:val="000000"/>
                <w:sz w:val="18"/>
                <w:szCs w:val="18"/>
                <w:lang w:eastAsia="es-CR"/>
              </w:rPr>
              <w:t>33</w:t>
            </w:r>
            <w:r w:rsidR="00E7521E" w:rsidRPr="0057417D">
              <w:rPr>
                <w:rFonts w:ascii="Calibri" w:eastAsia="Times New Roman" w:hAnsi="Calibri" w:cs="Calibri"/>
                <w:color w:val="000000"/>
                <w:sz w:val="18"/>
                <w:szCs w:val="18"/>
                <w:lang w:eastAsia="es-CR"/>
              </w:rPr>
              <w:t>%</w:t>
            </w:r>
          </w:p>
        </w:tc>
      </w:tr>
      <w:tr w:rsidR="00E7521E" w:rsidRPr="0057417D" w:rsidTr="00B239B4">
        <w:trPr>
          <w:trHeight w:val="70"/>
          <w:jc w:val="center"/>
        </w:trPr>
        <w:tc>
          <w:tcPr>
            <w:tcW w:w="1009"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b/>
                <w:bCs/>
                <w:color w:val="000000"/>
                <w:sz w:val="18"/>
                <w:szCs w:val="18"/>
                <w:lang w:eastAsia="es-CR"/>
              </w:rPr>
            </w:pPr>
            <w:r w:rsidRPr="0057417D">
              <w:rPr>
                <w:rFonts w:ascii="Calibri" w:eastAsia="Times New Roman" w:hAnsi="Calibri" w:cs="Calibri"/>
                <w:b/>
                <w:bCs/>
                <w:color w:val="000000"/>
                <w:sz w:val="18"/>
                <w:szCs w:val="18"/>
                <w:lang w:eastAsia="es-CR"/>
              </w:rPr>
              <w:t>TNP</w:t>
            </w:r>
          </w:p>
        </w:tc>
        <w:tc>
          <w:tcPr>
            <w:tcW w:w="1488" w:type="dxa"/>
            <w:shd w:val="clear" w:color="auto" w:fill="auto"/>
            <w:vAlign w:val="center"/>
            <w:hideMark/>
          </w:tcPr>
          <w:p w:rsidR="00E7521E" w:rsidRPr="0057417D" w:rsidRDefault="00E7521E" w:rsidP="00E7521E">
            <w:pPr>
              <w:spacing w:line="240" w:lineRule="auto"/>
              <w:jc w:val="left"/>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 xml:space="preserve">Trabajos no </w:t>
            </w:r>
            <w:r w:rsidR="009F0C1F" w:rsidRPr="0057417D">
              <w:rPr>
                <w:rFonts w:ascii="Calibri" w:eastAsia="Times New Roman" w:hAnsi="Calibri" w:cs="Calibri"/>
                <w:sz w:val="18"/>
                <w:szCs w:val="18"/>
                <w:lang w:eastAsia="es-CR"/>
              </w:rPr>
              <w:t>programables</w:t>
            </w:r>
            <w:r w:rsidRPr="0057417D">
              <w:rPr>
                <w:rFonts w:ascii="Calibri" w:eastAsia="Times New Roman" w:hAnsi="Calibri" w:cs="Calibri"/>
                <w:sz w:val="18"/>
                <w:szCs w:val="18"/>
                <w:lang w:eastAsia="es-CR"/>
              </w:rPr>
              <w:t xml:space="preserve"> realizados</w:t>
            </w:r>
          </w:p>
        </w:tc>
        <w:tc>
          <w:tcPr>
            <w:tcW w:w="14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 de trab. No programables realizados</w:t>
            </w:r>
          </w:p>
        </w:tc>
        <w:tc>
          <w:tcPr>
            <w:tcW w:w="940"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N/A</w:t>
            </w:r>
          </w:p>
        </w:tc>
        <w:tc>
          <w:tcPr>
            <w:tcW w:w="1045"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N/A</w:t>
            </w:r>
          </w:p>
        </w:tc>
        <w:tc>
          <w:tcPr>
            <w:tcW w:w="1134"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N/A</w:t>
            </w:r>
          </w:p>
        </w:tc>
        <w:tc>
          <w:tcPr>
            <w:tcW w:w="992" w:type="dxa"/>
            <w:shd w:val="clear" w:color="auto" w:fill="auto"/>
            <w:vAlign w:val="center"/>
            <w:hideMark/>
          </w:tcPr>
          <w:p w:rsidR="00E7521E" w:rsidRPr="0057417D" w:rsidRDefault="00E7521E" w:rsidP="00E7521E">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N/A</w:t>
            </w:r>
          </w:p>
        </w:tc>
        <w:tc>
          <w:tcPr>
            <w:tcW w:w="992" w:type="dxa"/>
            <w:shd w:val="clear" w:color="auto" w:fill="auto"/>
            <w:vAlign w:val="center"/>
            <w:hideMark/>
          </w:tcPr>
          <w:p w:rsidR="00E7521E" w:rsidRPr="0057417D" w:rsidRDefault="007A74D4" w:rsidP="007A74D4">
            <w:pPr>
              <w:spacing w:line="240" w:lineRule="auto"/>
              <w:jc w:val="center"/>
              <w:rPr>
                <w:rFonts w:ascii="Calibri" w:eastAsia="Times New Roman" w:hAnsi="Calibri" w:cs="Calibri"/>
                <w:sz w:val="18"/>
                <w:szCs w:val="18"/>
                <w:lang w:eastAsia="es-CR"/>
              </w:rPr>
            </w:pPr>
            <w:r w:rsidRPr="0057417D">
              <w:rPr>
                <w:rFonts w:ascii="Calibri" w:eastAsia="Times New Roman" w:hAnsi="Calibri" w:cs="Calibri"/>
                <w:sz w:val="18"/>
                <w:szCs w:val="18"/>
                <w:lang w:eastAsia="es-CR"/>
              </w:rPr>
              <w:t>2,50</w:t>
            </w:r>
          </w:p>
        </w:tc>
      </w:tr>
    </w:tbl>
    <w:p w:rsidR="00E840F1" w:rsidRPr="0057417D" w:rsidRDefault="002F7EB9" w:rsidP="002F7EB9">
      <w:pPr>
        <w:tabs>
          <w:tab w:val="left" w:pos="3225"/>
        </w:tabs>
        <w:spacing w:line="240" w:lineRule="auto"/>
        <w:rPr>
          <w:rFonts w:ascii="Cambria" w:hAnsi="Cambria" w:cs="Arial"/>
          <w:szCs w:val="24"/>
        </w:rPr>
      </w:pPr>
      <w:r w:rsidRPr="0057417D">
        <w:rPr>
          <w:rFonts w:ascii="Cambria" w:hAnsi="Cambria" w:cs="Arial"/>
          <w:szCs w:val="24"/>
        </w:rPr>
        <w:tab/>
      </w:r>
    </w:p>
    <w:p w:rsidR="005027C2" w:rsidRPr="0057417D" w:rsidRDefault="005027C2" w:rsidP="00016AB4">
      <w:pPr>
        <w:spacing w:line="240" w:lineRule="auto"/>
        <w:rPr>
          <w:rFonts w:cs="Arial"/>
          <w:szCs w:val="24"/>
        </w:rPr>
      </w:pPr>
      <w:r w:rsidRPr="0057417D">
        <w:rPr>
          <w:rFonts w:cs="Arial"/>
          <w:szCs w:val="24"/>
        </w:rPr>
        <w:t xml:space="preserve">El resultado de la gestión desarrollada por la </w:t>
      </w:r>
      <w:r w:rsidR="000A0042" w:rsidRPr="0057417D">
        <w:rPr>
          <w:rFonts w:cs="Arial"/>
          <w:szCs w:val="24"/>
        </w:rPr>
        <w:t>SUGESE</w:t>
      </w:r>
      <w:r w:rsidRPr="0057417D">
        <w:rPr>
          <w:rFonts w:cs="Arial"/>
          <w:szCs w:val="24"/>
        </w:rPr>
        <w:t xml:space="preserve"> se presenta, en términos genéricos, por medio de la ejecución de los trabajos programables (planificación agregada) y labores no programables.</w:t>
      </w:r>
    </w:p>
    <w:p w:rsidR="005027C2" w:rsidRPr="0057417D" w:rsidRDefault="005027C2" w:rsidP="00016AB4">
      <w:pPr>
        <w:spacing w:line="240" w:lineRule="auto"/>
        <w:rPr>
          <w:rFonts w:cs="Arial"/>
          <w:szCs w:val="24"/>
        </w:rPr>
      </w:pPr>
    </w:p>
    <w:p w:rsidR="005027C2" w:rsidRPr="0057417D" w:rsidRDefault="005027C2" w:rsidP="00016AB4">
      <w:pPr>
        <w:spacing w:line="240" w:lineRule="auto"/>
        <w:rPr>
          <w:rFonts w:cs="Arial"/>
          <w:szCs w:val="24"/>
        </w:rPr>
      </w:pPr>
      <w:r w:rsidRPr="0057417D">
        <w:rPr>
          <w:rFonts w:cs="Arial"/>
          <w:szCs w:val="24"/>
        </w:rPr>
        <w:t xml:space="preserve">La planificación agregada considera los trabajos programados inicialmente en el </w:t>
      </w:r>
      <w:r w:rsidR="00B86C63" w:rsidRPr="0057417D">
        <w:rPr>
          <w:rFonts w:cs="Arial"/>
          <w:szCs w:val="24"/>
        </w:rPr>
        <w:t>Plan Operativo Institucional (</w:t>
      </w:r>
      <w:r w:rsidRPr="0057417D">
        <w:rPr>
          <w:rFonts w:cs="Arial"/>
          <w:szCs w:val="24"/>
        </w:rPr>
        <w:t>POI</w:t>
      </w:r>
      <w:r w:rsidR="00B86C63" w:rsidRPr="0057417D">
        <w:rPr>
          <w:rFonts w:cs="Arial"/>
          <w:szCs w:val="24"/>
        </w:rPr>
        <w:t xml:space="preserve">), </w:t>
      </w:r>
      <w:r w:rsidR="0018012A" w:rsidRPr="0057417D">
        <w:rPr>
          <w:rFonts w:cs="Arial"/>
          <w:szCs w:val="24"/>
        </w:rPr>
        <w:t>para</w:t>
      </w:r>
      <w:r w:rsidR="002C62AB" w:rsidRPr="0057417D">
        <w:rPr>
          <w:rFonts w:cs="Arial"/>
          <w:szCs w:val="24"/>
        </w:rPr>
        <w:t xml:space="preserve"> cada una </w:t>
      </w:r>
      <w:r w:rsidR="00B86C63" w:rsidRPr="0057417D">
        <w:rPr>
          <w:rFonts w:cs="Arial"/>
          <w:szCs w:val="24"/>
        </w:rPr>
        <w:t xml:space="preserve">de las </w:t>
      </w:r>
      <w:r w:rsidR="00A92DB1" w:rsidRPr="0057417D">
        <w:rPr>
          <w:rFonts w:cs="Arial"/>
          <w:szCs w:val="24"/>
        </w:rPr>
        <w:t>d</w:t>
      </w:r>
      <w:r w:rsidR="00B86C63" w:rsidRPr="0057417D">
        <w:rPr>
          <w:rFonts w:cs="Arial"/>
          <w:szCs w:val="24"/>
        </w:rPr>
        <w:t>ependencia</w:t>
      </w:r>
      <w:r w:rsidR="00A92DB1" w:rsidRPr="0057417D">
        <w:rPr>
          <w:rFonts w:cs="Arial"/>
          <w:szCs w:val="24"/>
        </w:rPr>
        <w:t>s</w:t>
      </w:r>
      <w:r w:rsidR="00B86C63" w:rsidRPr="0057417D">
        <w:rPr>
          <w:rFonts w:cs="Arial"/>
          <w:szCs w:val="24"/>
        </w:rPr>
        <w:t xml:space="preserve"> de la </w:t>
      </w:r>
      <w:r w:rsidR="000A0042" w:rsidRPr="0057417D">
        <w:rPr>
          <w:rFonts w:cs="Arial"/>
          <w:szCs w:val="24"/>
        </w:rPr>
        <w:t>SUGESE</w:t>
      </w:r>
      <w:r w:rsidR="00B86C63" w:rsidRPr="0057417D">
        <w:rPr>
          <w:rFonts w:cs="Arial"/>
          <w:szCs w:val="24"/>
        </w:rPr>
        <w:t xml:space="preserve">, según se estima en el periodo de formulación presupuestaria. Posteriormente, para la evaluación del cumplimiento del POI, se consideran, además de la “Planificación Agregada”, </w:t>
      </w:r>
      <w:r w:rsidRPr="0057417D">
        <w:rPr>
          <w:rFonts w:cs="Arial"/>
          <w:szCs w:val="24"/>
        </w:rPr>
        <w:t xml:space="preserve">aquellos </w:t>
      </w:r>
      <w:r w:rsidR="00B86C63" w:rsidRPr="0057417D">
        <w:rPr>
          <w:rFonts w:cs="Arial"/>
          <w:szCs w:val="24"/>
        </w:rPr>
        <w:t xml:space="preserve">trabajos </w:t>
      </w:r>
      <w:r w:rsidRPr="0057417D">
        <w:rPr>
          <w:rFonts w:cs="Arial"/>
          <w:szCs w:val="24"/>
        </w:rPr>
        <w:t>tipo</w:t>
      </w:r>
      <w:r w:rsidR="00B86C63" w:rsidRPr="0057417D">
        <w:rPr>
          <w:rFonts w:cs="Arial"/>
          <w:szCs w:val="24"/>
        </w:rPr>
        <w:t xml:space="preserve"> “</w:t>
      </w:r>
      <w:r w:rsidRPr="0057417D">
        <w:rPr>
          <w:rFonts w:cs="Arial"/>
          <w:szCs w:val="24"/>
        </w:rPr>
        <w:t>no programado</w:t>
      </w:r>
      <w:r w:rsidR="00B86C63" w:rsidRPr="0057417D">
        <w:rPr>
          <w:rFonts w:cs="Arial"/>
          <w:szCs w:val="24"/>
        </w:rPr>
        <w:t>”</w:t>
      </w:r>
      <w:r w:rsidRPr="0057417D">
        <w:rPr>
          <w:rFonts w:cs="Arial"/>
          <w:szCs w:val="24"/>
        </w:rPr>
        <w:t xml:space="preserve"> que tuvieron que desarrollar</w:t>
      </w:r>
      <w:r w:rsidR="00B86C63" w:rsidRPr="0057417D">
        <w:rPr>
          <w:rFonts w:cs="Arial"/>
          <w:szCs w:val="24"/>
        </w:rPr>
        <w:t>se</w:t>
      </w:r>
      <w:r w:rsidRPr="0057417D">
        <w:rPr>
          <w:rFonts w:cs="Arial"/>
          <w:szCs w:val="24"/>
        </w:rPr>
        <w:t xml:space="preserve"> durante el año</w:t>
      </w:r>
      <w:r w:rsidR="00B86C63" w:rsidRPr="0057417D">
        <w:rPr>
          <w:rFonts w:cs="Arial"/>
          <w:szCs w:val="24"/>
        </w:rPr>
        <w:t xml:space="preserve"> y responden a la </w:t>
      </w:r>
      <w:r w:rsidRPr="0057417D">
        <w:rPr>
          <w:rFonts w:cs="Arial"/>
          <w:szCs w:val="24"/>
        </w:rPr>
        <w:t xml:space="preserve">atención de solicitudes o requerimientos que no son previsibles, de clientes internos o externos de la </w:t>
      </w:r>
      <w:r w:rsidR="000A0042" w:rsidRPr="0057417D">
        <w:rPr>
          <w:rFonts w:cs="Arial"/>
          <w:szCs w:val="24"/>
        </w:rPr>
        <w:t>SUGESE</w:t>
      </w:r>
      <w:r w:rsidRPr="0057417D">
        <w:rPr>
          <w:rFonts w:cs="Arial"/>
          <w:szCs w:val="24"/>
        </w:rPr>
        <w:t>.</w:t>
      </w:r>
    </w:p>
    <w:p w:rsidR="007A74D4" w:rsidRPr="0057417D" w:rsidRDefault="007A74D4" w:rsidP="00016AB4">
      <w:pPr>
        <w:spacing w:line="240" w:lineRule="auto"/>
        <w:rPr>
          <w:rFonts w:ascii="Cambria" w:hAnsi="Cambria" w:cs="Arial"/>
          <w:szCs w:val="24"/>
        </w:rPr>
      </w:pPr>
    </w:p>
    <w:p w:rsidR="005027C2" w:rsidRPr="0057417D" w:rsidRDefault="005027C2" w:rsidP="00016AB4">
      <w:pPr>
        <w:spacing w:line="240" w:lineRule="auto"/>
        <w:rPr>
          <w:rFonts w:cs="Arial"/>
          <w:color w:val="FF0000"/>
          <w:szCs w:val="24"/>
        </w:rPr>
      </w:pPr>
      <w:r w:rsidRPr="0057417D">
        <w:rPr>
          <w:rFonts w:cs="Arial"/>
          <w:szCs w:val="24"/>
        </w:rPr>
        <w:t xml:space="preserve">En relación con el cumplimiento </w:t>
      </w:r>
      <w:r w:rsidR="00C0676E" w:rsidRPr="0057417D">
        <w:rPr>
          <w:rFonts w:cs="Arial"/>
          <w:szCs w:val="24"/>
        </w:rPr>
        <w:t>del POI</w:t>
      </w:r>
      <w:r w:rsidRPr="0057417D">
        <w:rPr>
          <w:rFonts w:cs="Arial"/>
          <w:szCs w:val="24"/>
        </w:rPr>
        <w:t xml:space="preserve"> durante </w:t>
      </w:r>
      <w:r w:rsidR="00807CBB" w:rsidRPr="0057417D">
        <w:rPr>
          <w:rFonts w:cs="Arial"/>
          <w:szCs w:val="24"/>
        </w:rPr>
        <w:t>201</w:t>
      </w:r>
      <w:r w:rsidR="007A74D4" w:rsidRPr="0057417D">
        <w:rPr>
          <w:rFonts w:cs="Arial"/>
          <w:szCs w:val="24"/>
        </w:rPr>
        <w:t>9</w:t>
      </w:r>
      <w:r w:rsidR="00807CBB" w:rsidRPr="0057417D">
        <w:rPr>
          <w:rFonts w:cs="Arial"/>
          <w:szCs w:val="24"/>
        </w:rPr>
        <w:t xml:space="preserve">, </w:t>
      </w:r>
      <w:r w:rsidRPr="0057417D">
        <w:rPr>
          <w:rFonts w:cs="Arial"/>
          <w:szCs w:val="24"/>
        </w:rPr>
        <w:t xml:space="preserve">se realizaron </w:t>
      </w:r>
      <w:r w:rsidR="00E840F1" w:rsidRPr="0057417D">
        <w:rPr>
          <w:rFonts w:cs="Arial"/>
          <w:szCs w:val="24"/>
        </w:rPr>
        <w:t>3</w:t>
      </w:r>
      <w:r w:rsidR="007A74D4" w:rsidRPr="0057417D">
        <w:rPr>
          <w:rFonts w:cs="Arial"/>
          <w:szCs w:val="24"/>
        </w:rPr>
        <w:t>4</w:t>
      </w:r>
      <w:r w:rsidR="00807CBB" w:rsidRPr="0057417D">
        <w:rPr>
          <w:rFonts w:cs="Arial"/>
          <w:szCs w:val="24"/>
        </w:rPr>
        <w:t>,</w:t>
      </w:r>
      <w:r w:rsidR="008F4299" w:rsidRPr="0057417D">
        <w:rPr>
          <w:rFonts w:cs="Arial"/>
          <w:szCs w:val="24"/>
        </w:rPr>
        <w:t>7</w:t>
      </w:r>
      <w:r w:rsidRPr="0057417D">
        <w:rPr>
          <w:rFonts w:cs="Arial"/>
          <w:szCs w:val="24"/>
        </w:rPr>
        <w:t xml:space="preserve"> trabajos de los </w:t>
      </w:r>
      <w:r w:rsidR="00E840F1" w:rsidRPr="0057417D">
        <w:rPr>
          <w:rFonts w:cs="Arial"/>
          <w:szCs w:val="24"/>
        </w:rPr>
        <w:t>4</w:t>
      </w:r>
      <w:r w:rsidR="008F4299" w:rsidRPr="0057417D">
        <w:rPr>
          <w:rFonts w:cs="Arial"/>
          <w:szCs w:val="24"/>
        </w:rPr>
        <w:t>0</w:t>
      </w:r>
      <w:r w:rsidRPr="0057417D">
        <w:rPr>
          <w:rFonts w:cs="Arial"/>
          <w:szCs w:val="24"/>
        </w:rPr>
        <w:t xml:space="preserve"> inicialmente programados, lo cual arroja un nivel de eficacia de </w:t>
      </w:r>
      <w:r w:rsidR="008F4299" w:rsidRPr="0057417D">
        <w:rPr>
          <w:rFonts w:cs="Arial"/>
          <w:szCs w:val="24"/>
        </w:rPr>
        <w:t>8</w:t>
      </w:r>
      <w:r w:rsidR="00E840F1" w:rsidRPr="0057417D">
        <w:rPr>
          <w:rFonts w:cs="Arial"/>
          <w:szCs w:val="24"/>
        </w:rPr>
        <w:t>6</w:t>
      </w:r>
      <w:r w:rsidRPr="0057417D">
        <w:rPr>
          <w:rFonts w:cs="Arial"/>
          <w:szCs w:val="24"/>
        </w:rPr>
        <w:t>,</w:t>
      </w:r>
      <w:r w:rsidR="00E840F1" w:rsidRPr="0057417D">
        <w:rPr>
          <w:rFonts w:cs="Arial"/>
          <w:szCs w:val="24"/>
        </w:rPr>
        <w:t>8</w:t>
      </w:r>
      <w:r w:rsidR="008F4299" w:rsidRPr="0057417D">
        <w:rPr>
          <w:rFonts w:cs="Arial"/>
          <w:szCs w:val="24"/>
        </w:rPr>
        <w:t>3</w:t>
      </w:r>
      <w:r w:rsidRPr="0057417D">
        <w:rPr>
          <w:rFonts w:cs="Arial"/>
          <w:szCs w:val="24"/>
        </w:rPr>
        <w:t xml:space="preserve">% que se cataloga como </w:t>
      </w:r>
      <w:r w:rsidR="005F30F9" w:rsidRPr="0057417D">
        <w:rPr>
          <w:rFonts w:cs="Arial"/>
          <w:szCs w:val="24"/>
        </w:rPr>
        <w:t>“</w:t>
      </w:r>
      <w:r w:rsidR="008F4299" w:rsidRPr="0057417D">
        <w:rPr>
          <w:rFonts w:cs="Arial"/>
          <w:szCs w:val="24"/>
        </w:rPr>
        <w:t>Excelente</w:t>
      </w:r>
      <w:r w:rsidR="005F30F9" w:rsidRPr="0057417D">
        <w:rPr>
          <w:rFonts w:cs="Arial"/>
          <w:szCs w:val="24"/>
        </w:rPr>
        <w:t>”</w:t>
      </w:r>
      <w:r w:rsidR="00B16157" w:rsidRPr="0057417D">
        <w:rPr>
          <w:rFonts w:cs="Arial"/>
          <w:szCs w:val="24"/>
        </w:rPr>
        <w:t xml:space="preserve"> de acuerdo a los parámetros definidos previamente</w:t>
      </w:r>
      <w:r w:rsidR="00844266" w:rsidRPr="0057417D">
        <w:rPr>
          <w:rFonts w:cs="Arial"/>
          <w:szCs w:val="24"/>
        </w:rPr>
        <w:t xml:space="preserve"> (</w:t>
      </w:r>
      <w:r w:rsidR="00B239B4" w:rsidRPr="0057417D">
        <w:rPr>
          <w:rFonts w:cs="Arial"/>
          <w:szCs w:val="24"/>
        </w:rPr>
        <w:t>ver c</w:t>
      </w:r>
      <w:r w:rsidR="00844266" w:rsidRPr="0057417D">
        <w:rPr>
          <w:rFonts w:cs="Arial"/>
          <w:szCs w:val="24"/>
        </w:rPr>
        <w:t>uadro 5)</w:t>
      </w:r>
      <w:r w:rsidRPr="0057417D">
        <w:rPr>
          <w:rFonts w:cs="Arial"/>
          <w:szCs w:val="24"/>
        </w:rPr>
        <w:t xml:space="preserve">. Por otro lado, en lo que respecta al indicador del nivel de trabajos realizados, que contempla tanto los programados y los no programados, en relación a los trabajos planificados inicialmente, se obtiene indicador con un resultado de </w:t>
      </w:r>
      <w:r w:rsidR="008F4299" w:rsidRPr="0057417D">
        <w:rPr>
          <w:rFonts w:cs="Arial"/>
          <w:szCs w:val="24"/>
        </w:rPr>
        <w:t>89</w:t>
      </w:r>
      <w:r w:rsidRPr="0057417D">
        <w:rPr>
          <w:rFonts w:cs="Arial"/>
          <w:szCs w:val="24"/>
        </w:rPr>
        <w:t>,</w:t>
      </w:r>
      <w:r w:rsidR="008F4299" w:rsidRPr="0057417D">
        <w:rPr>
          <w:rFonts w:cs="Arial"/>
          <w:szCs w:val="24"/>
        </w:rPr>
        <w:t>33</w:t>
      </w:r>
      <w:r w:rsidRPr="0057417D">
        <w:rPr>
          <w:rFonts w:cs="Arial"/>
          <w:szCs w:val="24"/>
        </w:rPr>
        <w:t xml:space="preserve">%, lo cual se cataloga como  </w:t>
      </w:r>
      <w:r w:rsidR="005F30F9" w:rsidRPr="0057417D">
        <w:rPr>
          <w:rFonts w:cs="Arial"/>
          <w:szCs w:val="24"/>
        </w:rPr>
        <w:t>“</w:t>
      </w:r>
      <w:r w:rsidR="008F4299" w:rsidRPr="0057417D">
        <w:rPr>
          <w:rFonts w:cs="Arial"/>
          <w:szCs w:val="24"/>
        </w:rPr>
        <w:t>Bueno</w:t>
      </w:r>
      <w:r w:rsidR="005F30F9" w:rsidRPr="0057417D">
        <w:rPr>
          <w:rFonts w:cs="Arial"/>
          <w:szCs w:val="24"/>
        </w:rPr>
        <w:t>”</w:t>
      </w:r>
      <w:r w:rsidRPr="0057417D">
        <w:rPr>
          <w:rFonts w:cs="Arial"/>
          <w:b/>
          <w:szCs w:val="24"/>
        </w:rPr>
        <w:t xml:space="preserve">. </w:t>
      </w:r>
    </w:p>
    <w:p w:rsidR="00FE6C6E" w:rsidRPr="0057417D" w:rsidRDefault="00FE6C6E" w:rsidP="00016AB4">
      <w:pPr>
        <w:pStyle w:val="Ttulo1"/>
        <w:spacing w:before="0" w:beforeAutospacing="0" w:after="0" w:afterAutospacing="0"/>
        <w:rPr>
          <w:rFonts w:asciiTheme="minorHAnsi" w:eastAsiaTheme="majorEastAsia" w:hAnsiTheme="minorHAnsi" w:cstheme="majorBidi"/>
          <w:b w:val="0"/>
          <w:color w:val="365F91" w:themeColor="accent1" w:themeShade="BF"/>
          <w:kern w:val="0"/>
          <w:sz w:val="24"/>
          <w:szCs w:val="24"/>
          <w:lang w:eastAsia="es-CR"/>
        </w:rPr>
      </w:pPr>
    </w:p>
    <w:p w:rsidR="0092090A" w:rsidRPr="0057417D" w:rsidRDefault="0092090A" w:rsidP="00016AB4">
      <w:pPr>
        <w:pStyle w:val="Ttulo1"/>
        <w:spacing w:before="0" w:beforeAutospacing="0" w:after="0" w:afterAutospacing="0"/>
        <w:rPr>
          <w:rFonts w:asciiTheme="minorHAnsi" w:eastAsiaTheme="majorEastAsia" w:hAnsiTheme="minorHAnsi" w:cstheme="majorBidi"/>
          <w:b w:val="0"/>
          <w:color w:val="365F91" w:themeColor="accent1" w:themeShade="BF"/>
          <w:kern w:val="0"/>
          <w:sz w:val="24"/>
          <w:szCs w:val="24"/>
          <w:lang w:eastAsia="es-CR"/>
        </w:rPr>
      </w:pPr>
    </w:p>
    <w:p w:rsidR="005D613A" w:rsidRPr="0057417D" w:rsidRDefault="005D613A"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6" w:name="_Toc473007003"/>
      <w:r w:rsidRPr="0057417D">
        <w:rPr>
          <w:rFonts w:ascii="Century Gothic" w:eastAsiaTheme="majorEastAsia" w:hAnsi="Century Gothic" w:cstheme="majorBidi"/>
          <w:color w:val="365F91" w:themeColor="accent1" w:themeShade="BF"/>
          <w:kern w:val="0"/>
          <w:sz w:val="28"/>
          <w:szCs w:val="28"/>
          <w:lang w:eastAsia="es-CR"/>
        </w:rPr>
        <w:t>COMPROMISOS</w:t>
      </w:r>
      <w:bookmarkEnd w:id="6"/>
    </w:p>
    <w:p w:rsidR="0092090A" w:rsidRPr="0057417D" w:rsidRDefault="0092090A" w:rsidP="0092090A">
      <w:pPr>
        <w:pStyle w:val="Ttulo1"/>
        <w:spacing w:before="0" w:beforeAutospacing="0" w:after="0" w:afterAutospacing="0"/>
        <w:ind w:left="426"/>
        <w:rPr>
          <w:rFonts w:asciiTheme="minorHAnsi" w:eastAsiaTheme="majorEastAsia" w:hAnsiTheme="minorHAnsi" w:cstheme="majorBidi"/>
          <w:color w:val="365F91" w:themeColor="accent1" w:themeShade="BF"/>
          <w:kern w:val="0"/>
          <w:sz w:val="24"/>
          <w:szCs w:val="24"/>
          <w:lang w:eastAsia="es-CR"/>
        </w:rPr>
      </w:pPr>
    </w:p>
    <w:p w:rsidR="009C7982" w:rsidRPr="0057417D" w:rsidRDefault="009C7982" w:rsidP="00016AB4">
      <w:pPr>
        <w:pStyle w:val="Ttulo2"/>
        <w:numPr>
          <w:ilvl w:val="0"/>
          <w:numId w:val="6"/>
        </w:numPr>
        <w:spacing w:before="0" w:line="240" w:lineRule="auto"/>
        <w:rPr>
          <w:b/>
        </w:rPr>
      </w:pPr>
      <w:r w:rsidRPr="0057417D">
        <w:rPr>
          <w:b/>
        </w:rPr>
        <w:t xml:space="preserve">Créditos asumidos  </w:t>
      </w:r>
    </w:p>
    <w:p w:rsidR="009C7982" w:rsidRPr="0057417D" w:rsidRDefault="009C7982" w:rsidP="00016AB4">
      <w:pPr>
        <w:pStyle w:val="Prrafodelista"/>
        <w:spacing w:after="0" w:line="240" w:lineRule="auto"/>
        <w:rPr>
          <w:rFonts w:ascii="Cambria" w:hAnsi="Cambria"/>
          <w:b/>
          <w:szCs w:val="24"/>
        </w:rPr>
      </w:pPr>
    </w:p>
    <w:p w:rsidR="009C7982" w:rsidRPr="0057417D" w:rsidRDefault="009C7982" w:rsidP="00016AB4">
      <w:pPr>
        <w:pStyle w:val="Prrafodelista"/>
        <w:spacing w:after="0" w:line="240" w:lineRule="auto"/>
        <w:ind w:left="1440"/>
        <w:rPr>
          <w:rFonts w:eastAsiaTheme="minorHAnsi"/>
          <w:szCs w:val="24"/>
          <w:lang w:eastAsia="en-US"/>
        </w:rPr>
      </w:pPr>
      <w:r w:rsidRPr="0057417D">
        <w:rPr>
          <w:rFonts w:eastAsiaTheme="minorHAnsi"/>
          <w:szCs w:val="24"/>
          <w:lang w:eastAsia="en-US"/>
        </w:rPr>
        <w:t xml:space="preserve">No aplica para la </w:t>
      </w:r>
      <w:r w:rsidR="000A0042" w:rsidRPr="0057417D">
        <w:rPr>
          <w:rFonts w:eastAsiaTheme="minorHAnsi"/>
          <w:szCs w:val="24"/>
          <w:lang w:eastAsia="en-US"/>
        </w:rPr>
        <w:t>SUGESE</w:t>
      </w:r>
      <w:r w:rsidRPr="0057417D">
        <w:rPr>
          <w:rFonts w:eastAsiaTheme="minorHAnsi"/>
          <w:szCs w:val="24"/>
          <w:lang w:eastAsia="en-US"/>
        </w:rPr>
        <w:t>.</w:t>
      </w:r>
    </w:p>
    <w:p w:rsidR="009C7982" w:rsidRPr="0057417D" w:rsidRDefault="009C7982" w:rsidP="00016AB4">
      <w:pPr>
        <w:pStyle w:val="Prrafodelista"/>
        <w:spacing w:after="0" w:line="240" w:lineRule="auto"/>
        <w:rPr>
          <w:rFonts w:ascii="Cambria" w:hAnsi="Cambria"/>
          <w:szCs w:val="24"/>
        </w:rPr>
      </w:pPr>
    </w:p>
    <w:p w:rsidR="009C7982" w:rsidRPr="0057417D" w:rsidRDefault="009C7982" w:rsidP="00016AB4">
      <w:pPr>
        <w:pStyle w:val="Ttulo2"/>
        <w:numPr>
          <w:ilvl w:val="0"/>
          <w:numId w:val="6"/>
        </w:numPr>
        <w:spacing w:before="0" w:line="240" w:lineRule="auto"/>
        <w:rPr>
          <w:b/>
        </w:rPr>
      </w:pPr>
      <w:r w:rsidRPr="0057417D">
        <w:rPr>
          <w:b/>
        </w:rPr>
        <w:t xml:space="preserve">Modificaciones </w:t>
      </w:r>
      <w:r w:rsidR="007D38D2" w:rsidRPr="0057417D">
        <w:rPr>
          <w:b/>
        </w:rPr>
        <w:t>presupuestarias</w:t>
      </w:r>
    </w:p>
    <w:p w:rsidR="00A6704A" w:rsidRPr="0057417D" w:rsidRDefault="00A6704A" w:rsidP="00D42285">
      <w:pPr>
        <w:spacing w:line="240" w:lineRule="auto"/>
        <w:rPr>
          <w:highlight w:val="yellow"/>
        </w:rPr>
      </w:pPr>
    </w:p>
    <w:p w:rsidR="008F4299" w:rsidRPr="0057417D" w:rsidRDefault="008F4299" w:rsidP="006225F9">
      <w:pPr>
        <w:spacing w:line="240" w:lineRule="auto"/>
        <w:rPr>
          <w:rFonts w:cstheme="minorHAnsi"/>
          <w:szCs w:val="24"/>
        </w:rPr>
      </w:pPr>
      <w:r w:rsidRPr="0057417D">
        <w:rPr>
          <w:rFonts w:cstheme="minorHAnsi"/>
          <w:szCs w:val="24"/>
        </w:rPr>
        <w:t xml:space="preserve">Durante el 2019 se realizó tres modificaciones presupuestarias al presupuesto inicialmente aprobado. La primera por un monto de </w:t>
      </w:r>
      <w:r w:rsidRPr="006225F9">
        <w:rPr>
          <w:rFonts w:cstheme="minorHAnsi"/>
        </w:rPr>
        <w:t>¢162.271.610,00</w:t>
      </w:r>
      <w:r w:rsidRPr="0057417D">
        <w:rPr>
          <w:rFonts w:cstheme="minorHAnsi"/>
          <w:b/>
        </w:rPr>
        <w:t xml:space="preserve"> </w:t>
      </w:r>
      <w:r w:rsidRPr="0057417D">
        <w:rPr>
          <w:rFonts w:cstheme="minorHAnsi"/>
          <w:szCs w:val="24"/>
        </w:rPr>
        <w:t>(Ciento sesenta y dos millones doscientos setenta y un mil seisc</w:t>
      </w:r>
      <w:r w:rsidR="006225F9">
        <w:rPr>
          <w:rFonts w:cstheme="minorHAnsi"/>
          <w:szCs w:val="24"/>
        </w:rPr>
        <w:t xml:space="preserve">ientos diez colones con 00/100), la cual tuvo los siguientes objetivos: </w:t>
      </w:r>
    </w:p>
    <w:p w:rsidR="008F4299" w:rsidRPr="0057417D" w:rsidRDefault="008F4299" w:rsidP="006225F9">
      <w:pPr>
        <w:pStyle w:val="Prrafodelista"/>
        <w:spacing w:after="0" w:line="240" w:lineRule="auto"/>
        <w:ind w:left="0"/>
        <w:rPr>
          <w:rFonts w:cstheme="minorHAnsi"/>
          <w:szCs w:val="24"/>
        </w:rPr>
      </w:pPr>
      <w:r w:rsidRPr="0057417D">
        <w:rPr>
          <w:rFonts w:cstheme="minorHAnsi"/>
          <w:szCs w:val="24"/>
        </w:rPr>
        <w:t xml:space="preserve"> </w:t>
      </w:r>
    </w:p>
    <w:p w:rsidR="008F4299" w:rsidRPr="0057417D" w:rsidRDefault="008F4299" w:rsidP="008F4299">
      <w:pPr>
        <w:pStyle w:val="Textoindependiente"/>
        <w:numPr>
          <w:ilvl w:val="0"/>
          <w:numId w:val="37"/>
        </w:numPr>
        <w:rPr>
          <w:rFonts w:asciiTheme="minorHAnsi" w:hAnsiTheme="minorHAnsi" w:cstheme="minorHAnsi"/>
          <w:color w:val="1F497D"/>
          <w:szCs w:val="24"/>
          <w:u w:val="none"/>
        </w:rPr>
      </w:pPr>
      <w:r w:rsidRPr="0057417D">
        <w:rPr>
          <w:rFonts w:asciiTheme="minorHAnsi" w:hAnsiTheme="minorHAnsi" w:cstheme="minorHAnsi"/>
          <w:szCs w:val="24"/>
          <w:u w:val="none"/>
        </w:rPr>
        <w:t>Trasladar los recursos presupuestados en la cuenta presupuestaria 2.9.03 Productos de Papel y Cartón a la nueva cuenta presupuestaria 2.99.05 Útiles y materiales de limpieza, esto por cuanto el año pasado se hizo una modificación al clasificador del gasto del Ministerio de Hacienda.</w:t>
      </w:r>
    </w:p>
    <w:p w:rsidR="008F4299" w:rsidRPr="0057417D" w:rsidRDefault="008F4299" w:rsidP="008F4299">
      <w:pPr>
        <w:pStyle w:val="Textoindependiente"/>
        <w:ind w:left="720"/>
        <w:rPr>
          <w:rFonts w:asciiTheme="minorHAnsi" w:hAnsiTheme="minorHAnsi" w:cstheme="minorHAnsi"/>
          <w:color w:val="1F497D"/>
          <w:szCs w:val="24"/>
          <w:u w:val="none"/>
        </w:rPr>
      </w:pPr>
    </w:p>
    <w:p w:rsidR="008F4299" w:rsidRPr="0057417D" w:rsidRDefault="008F4299" w:rsidP="008F4299">
      <w:pPr>
        <w:pStyle w:val="Textoindependiente"/>
        <w:numPr>
          <w:ilvl w:val="0"/>
          <w:numId w:val="37"/>
        </w:numPr>
        <w:rPr>
          <w:rFonts w:asciiTheme="minorHAnsi" w:hAnsiTheme="minorHAnsi" w:cstheme="minorHAnsi"/>
          <w:color w:val="1F497D"/>
          <w:szCs w:val="24"/>
          <w:u w:val="none"/>
        </w:rPr>
      </w:pPr>
      <w:r w:rsidRPr="0057417D">
        <w:rPr>
          <w:rFonts w:asciiTheme="minorHAnsi" w:hAnsiTheme="minorHAnsi" w:cstheme="minorHAnsi"/>
          <w:szCs w:val="24"/>
          <w:u w:val="none"/>
        </w:rPr>
        <w:t>Dotar de contenido presupuestario la cuenta 5.01.06 Equipo sanitario, de laboratorio e investigación, para adquirir un electrocardiograma para el consultorio médico que atiende a los funcionarios de las Superintendencias (excepto S</w:t>
      </w:r>
      <w:r w:rsidR="006225F9">
        <w:rPr>
          <w:rFonts w:asciiTheme="minorHAnsi" w:hAnsiTheme="minorHAnsi" w:cstheme="minorHAnsi"/>
          <w:szCs w:val="24"/>
          <w:u w:val="none"/>
        </w:rPr>
        <w:t>UGEF</w:t>
      </w:r>
      <w:r w:rsidRPr="0057417D">
        <w:rPr>
          <w:rFonts w:asciiTheme="minorHAnsi" w:hAnsiTheme="minorHAnsi" w:cstheme="minorHAnsi"/>
          <w:szCs w:val="24"/>
          <w:u w:val="none"/>
        </w:rPr>
        <w:t xml:space="preserve">) y la auditoria interna del </w:t>
      </w:r>
      <w:r w:rsidR="000A0042" w:rsidRPr="0057417D">
        <w:rPr>
          <w:rFonts w:asciiTheme="minorHAnsi" w:hAnsiTheme="minorHAnsi" w:cstheme="minorHAnsi"/>
          <w:szCs w:val="24"/>
          <w:u w:val="none"/>
        </w:rPr>
        <w:t>CONASSIF</w:t>
      </w:r>
      <w:r w:rsidRPr="0057417D">
        <w:rPr>
          <w:rFonts w:asciiTheme="minorHAnsi" w:hAnsiTheme="minorHAnsi" w:cstheme="minorHAnsi"/>
          <w:szCs w:val="24"/>
          <w:u w:val="none"/>
        </w:rPr>
        <w:t xml:space="preserve">, según el plan de inversiones conjunto de las </w:t>
      </w:r>
      <w:r w:rsidR="006225F9">
        <w:rPr>
          <w:rFonts w:asciiTheme="minorHAnsi" w:hAnsiTheme="minorHAnsi" w:cstheme="minorHAnsi"/>
          <w:szCs w:val="24"/>
          <w:u w:val="none"/>
        </w:rPr>
        <w:t>entidades de desconcentración máxima (</w:t>
      </w:r>
      <w:r w:rsidRPr="0057417D">
        <w:rPr>
          <w:rFonts w:asciiTheme="minorHAnsi" w:hAnsiTheme="minorHAnsi" w:cstheme="minorHAnsi"/>
          <w:szCs w:val="24"/>
          <w:u w:val="none"/>
        </w:rPr>
        <w:t>ODM</w:t>
      </w:r>
      <w:r w:rsidR="00347515">
        <w:rPr>
          <w:rFonts w:asciiTheme="minorHAnsi" w:hAnsiTheme="minorHAnsi" w:cstheme="minorHAnsi"/>
          <w:szCs w:val="24"/>
          <w:u w:val="none"/>
        </w:rPr>
        <w:t>)</w:t>
      </w:r>
      <w:r w:rsidRPr="0057417D">
        <w:rPr>
          <w:rFonts w:asciiTheme="minorHAnsi" w:hAnsiTheme="minorHAnsi" w:cstheme="minorHAnsi"/>
          <w:szCs w:val="24"/>
          <w:u w:val="none"/>
        </w:rPr>
        <w:t xml:space="preserve">. </w:t>
      </w:r>
    </w:p>
    <w:p w:rsidR="008F4299" w:rsidRPr="0057417D" w:rsidRDefault="008F4299" w:rsidP="008F4299">
      <w:pPr>
        <w:pStyle w:val="Prrafodelista"/>
        <w:rPr>
          <w:rFonts w:cstheme="minorHAnsi"/>
          <w:color w:val="1F497D"/>
          <w:szCs w:val="24"/>
        </w:rPr>
      </w:pPr>
    </w:p>
    <w:p w:rsidR="008F4299" w:rsidRPr="0057417D" w:rsidRDefault="008F4299" w:rsidP="008F4299">
      <w:pPr>
        <w:pStyle w:val="Prrafodelista"/>
        <w:numPr>
          <w:ilvl w:val="0"/>
          <w:numId w:val="37"/>
        </w:numPr>
        <w:spacing w:after="0" w:line="240" w:lineRule="auto"/>
        <w:rPr>
          <w:rFonts w:cstheme="minorHAnsi"/>
          <w:szCs w:val="24"/>
        </w:rPr>
      </w:pPr>
      <w:r w:rsidRPr="0057417D">
        <w:rPr>
          <w:rFonts w:cstheme="minorHAnsi"/>
          <w:szCs w:val="24"/>
        </w:rPr>
        <w:t xml:space="preserve">Atender los oficios de la AI-CNS-0014-2019 de la Auditoria Interna del </w:t>
      </w:r>
      <w:r w:rsidR="000A0042" w:rsidRPr="0057417D">
        <w:rPr>
          <w:rFonts w:cstheme="minorHAnsi"/>
          <w:szCs w:val="24"/>
        </w:rPr>
        <w:t>CONASSIF</w:t>
      </w:r>
      <w:r w:rsidRPr="0057417D">
        <w:rPr>
          <w:rFonts w:cstheme="minorHAnsi"/>
          <w:szCs w:val="24"/>
        </w:rPr>
        <w:t>, del 18 de enero del presente año, y de la División de Finanzas y Contabilidad DFC-0024-2019</w:t>
      </w:r>
      <w:r w:rsidR="00347515">
        <w:rPr>
          <w:rFonts w:cstheme="minorHAnsi"/>
          <w:szCs w:val="24"/>
        </w:rPr>
        <w:t>,</w:t>
      </w:r>
      <w:r w:rsidRPr="0057417D">
        <w:rPr>
          <w:rFonts w:cstheme="minorHAnsi"/>
          <w:szCs w:val="24"/>
        </w:rPr>
        <w:t xml:space="preserve"> mediante los cuales se requi</w:t>
      </w:r>
      <w:r w:rsidR="00347515">
        <w:rPr>
          <w:rFonts w:cstheme="minorHAnsi"/>
          <w:szCs w:val="24"/>
        </w:rPr>
        <w:t xml:space="preserve">rió </w:t>
      </w:r>
      <w:r w:rsidRPr="0057417D">
        <w:rPr>
          <w:rFonts w:cstheme="minorHAnsi"/>
          <w:szCs w:val="24"/>
        </w:rPr>
        <w:t xml:space="preserve">el traslado de los recursos presupuestados para el ejercicio 2019 </w:t>
      </w:r>
      <w:r w:rsidR="00347515">
        <w:rPr>
          <w:rFonts w:cstheme="minorHAnsi"/>
          <w:szCs w:val="24"/>
        </w:rPr>
        <w:t>por</w:t>
      </w:r>
      <w:r w:rsidRPr="0057417D">
        <w:rPr>
          <w:rFonts w:cstheme="minorHAnsi"/>
          <w:szCs w:val="24"/>
        </w:rPr>
        <w:t xml:space="preserve"> la </w:t>
      </w:r>
      <w:r w:rsidR="000A0042" w:rsidRPr="0057417D">
        <w:rPr>
          <w:rFonts w:cstheme="minorHAnsi"/>
          <w:szCs w:val="24"/>
        </w:rPr>
        <w:t>SUGESE</w:t>
      </w:r>
      <w:r w:rsidRPr="0057417D">
        <w:rPr>
          <w:rFonts w:cstheme="minorHAnsi"/>
          <w:szCs w:val="24"/>
        </w:rPr>
        <w:t xml:space="preserve"> para el financiamiento del desarrollo del proyecto “conozca a su cliente”. </w:t>
      </w:r>
    </w:p>
    <w:p w:rsidR="008F4299" w:rsidRPr="0057417D" w:rsidRDefault="008F4299" w:rsidP="008F4299">
      <w:pPr>
        <w:pStyle w:val="Prrafodelista"/>
        <w:rPr>
          <w:rFonts w:cstheme="minorHAnsi"/>
          <w:szCs w:val="24"/>
        </w:rPr>
      </w:pPr>
    </w:p>
    <w:p w:rsidR="008F4299" w:rsidRPr="0057417D" w:rsidRDefault="008F4299" w:rsidP="00347515">
      <w:pPr>
        <w:pStyle w:val="Prrafodelista"/>
        <w:spacing w:after="0" w:line="240" w:lineRule="auto"/>
        <w:ind w:left="0"/>
        <w:rPr>
          <w:rFonts w:cstheme="minorHAnsi"/>
          <w:szCs w:val="24"/>
        </w:rPr>
      </w:pPr>
      <w:r w:rsidRPr="0057417D">
        <w:rPr>
          <w:rFonts w:cstheme="minorHAnsi"/>
          <w:szCs w:val="24"/>
        </w:rPr>
        <w:t xml:space="preserve">La segunda modificación fue por </w:t>
      </w:r>
      <w:r w:rsidRPr="00347515">
        <w:rPr>
          <w:rFonts w:cstheme="minorHAnsi"/>
          <w:szCs w:val="24"/>
        </w:rPr>
        <w:t>¢48.715.834,46 (</w:t>
      </w:r>
      <w:r w:rsidRPr="0057417D">
        <w:rPr>
          <w:rFonts w:cstheme="minorHAnsi"/>
          <w:szCs w:val="24"/>
        </w:rPr>
        <w:t>Cuarenta y ocho millones setecientos quince mil ochocientos treinta y cuatro colones con 46/100).</w:t>
      </w:r>
      <w:r w:rsidR="00347515">
        <w:rPr>
          <w:rFonts w:cstheme="minorHAnsi"/>
          <w:szCs w:val="24"/>
        </w:rPr>
        <w:t xml:space="preserve">  Esa modificación tuvo los siguientes objetivos: </w:t>
      </w:r>
    </w:p>
    <w:p w:rsidR="008F4299" w:rsidRPr="0057417D" w:rsidRDefault="008F4299" w:rsidP="00347515">
      <w:pPr>
        <w:pStyle w:val="Prrafodelista"/>
        <w:spacing w:after="0" w:line="240" w:lineRule="auto"/>
        <w:ind w:left="0"/>
        <w:rPr>
          <w:rFonts w:cstheme="minorHAnsi"/>
          <w:szCs w:val="24"/>
        </w:rPr>
      </w:pPr>
      <w:r w:rsidRPr="0057417D">
        <w:rPr>
          <w:rFonts w:cstheme="minorHAnsi"/>
          <w:szCs w:val="24"/>
        </w:rPr>
        <w:t xml:space="preserve"> </w:t>
      </w:r>
    </w:p>
    <w:p w:rsidR="008F4299" w:rsidRPr="0057417D" w:rsidRDefault="008F4299" w:rsidP="00347515">
      <w:pPr>
        <w:pStyle w:val="Prrafodelista"/>
        <w:numPr>
          <w:ilvl w:val="0"/>
          <w:numId w:val="37"/>
        </w:numPr>
        <w:spacing w:after="0" w:line="240" w:lineRule="auto"/>
        <w:rPr>
          <w:rFonts w:cstheme="minorHAnsi"/>
          <w:szCs w:val="24"/>
        </w:rPr>
      </w:pPr>
      <w:r w:rsidRPr="0057417D">
        <w:rPr>
          <w:rFonts w:cstheme="minorHAnsi"/>
          <w:szCs w:val="24"/>
        </w:rPr>
        <w:t>Dar contenido presupuestario a la cuenta de ajuste salarial de mercado para atender el nombramiento interino de la di</w:t>
      </w:r>
      <w:r w:rsidR="00347515">
        <w:rPr>
          <w:rFonts w:cstheme="minorHAnsi"/>
          <w:szCs w:val="24"/>
        </w:rPr>
        <w:t>rectora del Departamento de la D</w:t>
      </w:r>
      <w:r w:rsidRPr="0057417D">
        <w:rPr>
          <w:rFonts w:cstheme="minorHAnsi"/>
          <w:szCs w:val="24"/>
        </w:rPr>
        <w:t>ivisión de Supervisión.</w:t>
      </w:r>
    </w:p>
    <w:p w:rsidR="008F4299" w:rsidRPr="0057417D" w:rsidRDefault="008F4299" w:rsidP="00347515">
      <w:pPr>
        <w:pStyle w:val="Prrafodelista"/>
        <w:spacing w:after="0" w:line="240" w:lineRule="auto"/>
        <w:ind w:left="0"/>
        <w:rPr>
          <w:rFonts w:cstheme="minorHAnsi"/>
          <w:szCs w:val="24"/>
        </w:rPr>
      </w:pPr>
    </w:p>
    <w:p w:rsidR="008F4299" w:rsidRPr="0057417D" w:rsidRDefault="008F4299" w:rsidP="00347515">
      <w:pPr>
        <w:pStyle w:val="Textoindependiente"/>
        <w:numPr>
          <w:ilvl w:val="0"/>
          <w:numId w:val="37"/>
        </w:numPr>
        <w:rPr>
          <w:rFonts w:asciiTheme="minorHAnsi" w:hAnsiTheme="minorHAnsi" w:cstheme="minorHAnsi"/>
          <w:color w:val="1F497D"/>
          <w:szCs w:val="24"/>
          <w:u w:val="none"/>
        </w:rPr>
      </w:pPr>
      <w:r w:rsidRPr="0057417D">
        <w:rPr>
          <w:rFonts w:asciiTheme="minorHAnsi" w:hAnsiTheme="minorHAnsi" w:cstheme="minorHAnsi"/>
          <w:szCs w:val="24"/>
          <w:u w:val="none"/>
        </w:rPr>
        <w:t xml:space="preserve">Reforzar las diferentes partidas del presupuesto vigente que </w:t>
      </w:r>
      <w:r w:rsidR="00347515">
        <w:rPr>
          <w:rFonts w:asciiTheme="minorHAnsi" w:hAnsiTheme="minorHAnsi" w:cstheme="minorHAnsi"/>
          <w:szCs w:val="24"/>
          <w:u w:val="none"/>
        </w:rPr>
        <w:t xml:space="preserve">fueron </w:t>
      </w:r>
      <w:r w:rsidRPr="0057417D">
        <w:rPr>
          <w:rFonts w:asciiTheme="minorHAnsi" w:hAnsiTheme="minorHAnsi" w:cstheme="minorHAnsi"/>
          <w:szCs w:val="24"/>
          <w:u w:val="none"/>
        </w:rPr>
        <w:t xml:space="preserve">afectadas por la entrada en vigencia del Impuesto del Valor Agregado. </w:t>
      </w:r>
    </w:p>
    <w:p w:rsidR="008F4299" w:rsidRPr="0057417D" w:rsidRDefault="008F4299" w:rsidP="00347515">
      <w:pPr>
        <w:pStyle w:val="Textoindependiente"/>
        <w:ind w:left="720"/>
        <w:rPr>
          <w:rFonts w:asciiTheme="minorHAnsi" w:hAnsiTheme="minorHAnsi" w:cstheme="minorHAnsi"/>
          <w:color w:val="1F497D"/>
          <w:szCs w:val="24"/>
          <w:u w:val="none"/>
        </w:rPr>
      </w:pPr>
    </w:p>
    <w:p w:rsidR="008F4299" w:rsidRPr="0057417D" w:rsidRDefault="008F4299" w:rsidP="00347515">
      <w:pPr>
        <w:pStyle w:val="Textoindependiente"/>
        <w:numPr>
          <w:ilvl w:val="0"/>
          <w:numId w:val="37"/>
        </w:numPr>
        <w:rPr>
          <w:rFonts w:asciiTheme="minorHAnsi" w:hAnsiTheme="minorHAnsi" w:cstheme="minorHAnsi"/>
          <w:color w:val="1F497D"/>
          <w:szCs w:val="24"/>
          <w:u w:val="none"/>
        </w:rPr>
      </w:pPr>
      <w:r w:rsidRPr="0057417D">
        <w:rPr>
          <w:rFonts w:asciiTheme="minorHAnsi" w:hAnsiTheme="minorHAnsi" w:cstheme="minorHAnsi"/>
          <w:szCs w:val="24"/>
          <w:u w:val="none"/>
        </w:rPr>
        <w:t xml:space="preserve">Dotar de contenido presupuestario la cuenta de recargos y sustituciones de funciones, dada la renuncia de la directora </w:t>
      </w:r>
      <w:r w:rsidR="00347515">
        <w:rPr>
          <w:rFonts w:asciiTheme="minorHAnsi" w:hAnsiTheme="minorHAnsi" w:cstheme="minorHAnsi"/>
          <w:szCs w:val="24"/>
          <w:u w:val="none"/>
        </w:rPr>
        <w:t>de la División de Sup</w:t>
      </w:r>
      <w:r w:rsidRPr="0057417D">
        <w:rPr>
          <w:rFonts w:asciiTheme="minorHAnsi" w:hAnsiTheme="minorHAnsi" w:cstheme="minorHAnsi"/>
          <w:szCs w:val="24"/>
          <w:u w:val="none"/>
        </w:rPr>
        <w:t>ervisión.</w:t>
      </w:r>
    </w:p>
    <w:p w:rsidR="008F4299" w:rsidRPr="0057417D" w:rsidRDefault="008F4299" w:rsidP="00347515">
      <w:pPr>
        <w:pStyle w:val="Prrafodelista"/>
        <w:spacing w:after="0" w:line="240" w:lineRule="auto"/>
        <w:rPr>
          <w:rFonts w:cstheme="minorHAnsi"/>
          <w:color w:val="1F497D"/>
          <w:szCs w:val="24"/>
        </w:rPr>
      </w:pPr>
    </w:p>
    <w:p w:rsidR="008F4299" w:rsidRPr="0057417D" w:rsidRDefault="008F4299" w:rsidP="00347515">
      <w:pPr>
        <w:pStyle w:val="Prrafodelista"/>
        <w:numPr>
          <w:ilvl w:val="0"/>
          <w:numId w:val="37"/>
        </w:numPr>
        <w:spacing w:after="0" w:line="240" w:lineRule="auto"/>
        <w:rPr>
          <w:rFonts w:cstheme="minorHAnsi"/>
          <w:szCs w:val="24"/>
        </w:rPr>
      </w:pPr>
      <w:r w:rsidRPr="0057417D">
        <w:rPr>
          <w:rFonts w:cstheme="minorHAnsi"/>
          <w:szCs w:val="24"/>
        </w:rPr>
        <w:t>Fortalecer las diferentes pa</w:t>
      </w:r>
      <w:r w:rsidR="00347515">
        <w:rPr>
          <w:rFonts w:cstheme="minorHAnsi"/>
          <w:szCs w:val="24"/>
        </w:rPr>
        <w:t xml:space="preserve">rtidas del presupuesto vigente afectadas </w:t>
      </w:r>
      <w:r w:rsidRPr="0057417D">
        <w:rPr>
          <w:rFonts w:cstheme="minorHAnsi"/>
          <w:szCs w:val="24"/>
        </w:rPr>
        <w:t>durante el primer semestre del presente año por el diferencial cambiario.</w:t>
      </w:r>
    </w:p>
    <w:p w:rsidR="008F4299" w:rsidRPr="0057417D" w:rsidRDefault="008F4299" w:rsidP="00347515">
      <w:pPr>
        <w:pStyle w:val="Prrafodelista"/>
        <w:spacing w:after="0" w:line="240" w:lineRule="auto"/>
        <w:rPr>
          <w:rFonts w:cstheme="minorHAnsi"/>
          <w:szCs w:val="24"/>
        </w:rPr>
      </w:pPr>
    </w:p>
    <w:p w:rsidR="008F4299" w:rsidRPr="0057417D" w:rsidRDefault="008F4299" w:rsidP="00347515">
      <w:pPr>
        <w:pStyle w:val="Prrafodelista"/>
        <w:numPr>
          <w:ilvl w:val="0"/>
          <w:numId w:val="37"/>
        </w:numPr>
        <w:spacing w:after="0" w:line="240" w:lineRule="auto"/>
        <w:rPr>
          <w:rFonts w:cstheme="minorHAnsi"/>
          <w:szCs w:val="24"/>
        </w:rPr>
      </w:pPr>
      <w:r w:rsidRPr="0057417D">
        <w:rPr>
          <w:rFonts w:cstheme="minorHAnsi"/>
          <w:szCs w:val="24"/>
        </w:rPr>
        <w:t xml:space="preserve">Incluir más recursos </w:t>
      </w:r>
      <w:r w:rsidR="00347515">
        <w:rPr>
          <w:rFonts w:cstheme="minorHAnsi"/>
          <w:szCs w:val="24"/>
        </w:rPr>
        <w:t xml:space="preserve">en </w:t>
      </w:r>
      <w:r w:rsidRPr="0057417D">
        <w:rPr>
          <w:rFonts w:cstheme="minorHAnsi"/>
          <w:szCs w:val="24"/>
        </w:rPr>
        <w:t xml:space="preserve"> la cuenta presupuestaria de Alquiler de edificios, locales y terrenos, para poder atender el compromiso del pago del alquiler de las oficinas que ocupa la </w:t>
      </w:r>
      <w:r w:rsidR="000A0042" w:rsidRPr="0057417D">
        <w:rPr>
          <w:rFonts w:cstheme="minorHAnsi"/>
          <w:szCs w:val="24"/>
        </w:rPr>
        <w:t>SUGESE</w:t>
      </w:r>
      <w:r w:rsidRPr="0057417D">
        <w:rPr>
          <w:rFonts w:cstheme="minorHAnsi"/>
          <w:szCs w:val="24"/>
        </w:rPr>
        <w:t xml:space="preserve">, por un mes más, dada la fecha de traslado al nuevo edificio y los trabajos de demolición de las oficinas. </w:t>
      </w:r>
    </w:p>
    <w:p w:rsidR="008F4299" w:rsidRPr="0057417D" w:rsidRDefault="008F4299" w:rsidP="00347515">
      <w:pPr>
        <w:pStyle w:val="Prrafodelista"/>
        <w:spacing w:after="0" w:line="240" w:lineRule="auto"/>
        <w:rPr>
          <w:rFonts w:cstheme="minorHAnsi"/>
          <w:szCs w:val="24"/>
        </w:rPr>
      </w:pPr>
    </w:p>
    <w:p w:rsidR="008F4299" w:rsidRPr="00347515" w:rsidRDefault="008F4299" w:rsidP="00347515">
      <w:pPr>
        <w:pStyle w:val="Prrafodelista"/>
        <w:spacing w:after="0" w:line="240" w:lineRule="auto"/>
        <w:ind w:left="0"/>
        <w:rPr>
          <w:rFonts w:cstheme="minorHAnsi"/>
          <w:szCs w:val="24"/>
        </w:rPr>
      </w:pPr>
      <w:r w:rsidRPr="0057417D">
        <w:rPr>
          <w:rFonts w:cstheme="minorHAnsi"/>
          <w:szCs w:val="24"/>
        </w:rPr>
        <w:t xml:space="preserve">Y por último la modificación presupuestaria </w:t>
      </w:r>
      <w:r w:rsidRPr="00347515">
        <w:rPr>
          <w:rFonts w:cstheme="minorHAnsi"/>
          <w:szCs w:val="24"/>
        </w:rPr>
        <w:t>número 3 fue por ¢5.318.787,36 (Cinco millones trescientos dieciocho mil setecientos ochenta y siete colones con 36/100)</w:t>
      </w:r>
      <w:r w:rsidR="00347515">
        <w:rPr>
          <w:rFonts w:cstheme="minorHAnsi"/>
          <w:szCs w:val="24"/>
        </w:rPr>
        <w:t xml:space="preserve">, hecha para cumplir con los siguientes objetivos: </w:t>
      </w:r>
    </w:p>
    <w:p w:rsidR="008F4299" w:rsidRPr="0057417D" w:rsidRDefault="008F4299" w:rsidP="00347515">
      <w:pPr>
        <w:pStyle w:val="Prrafodelista"/>
        <w:spacing w:after="0" w:line="240" w:lineRule="auto"/>
        <w:ind w:left="0"/>
        <w:rPr>
          <w:rFonts w:cstheme="minorHAnsi"/>
          <w:szCs w:val="24"/>
        </w:rPr>
      </w:pPr>
      <w:r w:rsidRPr="0057417D">
        <w:rPr>
          <w:rFonts w:cstheme="minorHAnsi"/>
          <w:szCs w:val="24"/>
        </w:rPr>
        <w:t xml:space="preserve"> </w:t>
      </w:r>
    </w:p>
    <w:p w:rsidR="008F4299" w:rsidRPr="0057417D" w:rsidRDefault="008F4299" w:rsidP="00347515">
      <w:pPr>
        <w:pStyle w:val="Prrafodelista"/>
        <w:numPr>
          <w:ilvl w:val="0"/>
          <w:numId w:val="37"/>
        </w:numPr>
        <w:spacing w:after="0" w:line="240" w:lineRule="auto"/>
        <w:rPr>
          <w:rFonts w:cstheme="minorHAnsi"/>
          <w:szCs w:val="24"/>
        </w:rPr>
      </w:pPr>
      <w:r w:rsidRPr="0057417D">
        <w:rPr>
          <w:rFonts w:cstheme="minorHAnsi"/>
          <w:szCs w:val="24"/>
        </w:rPr>
        <w:t>Dar contenido presupuestario a las cuentas correspondientes a las cargas sociales para la aplicación de los recursos aprobados en la modificación presupuestaria interna número 2</w:t>
      </w:r>
      <w:r w:rsidR="00347515">
        <w:rPr>
          <w:rFonts w:cstheme="minorHAnsi"/>
          <w:szCs w:val="24"/>
        </w:rPr>
        <w:t>,</w:t>
      </w:r>
      <w:r w:rsidRPr="0057417D">
        <w:rPr>
          <w:rFonts w:cstheme="minorHAnsi"/>
          <w:szCs w:val="24"/>
        </w:rPr>
        <w:t xml:space="preserve"> en relación a la cuenta de recargos y sustituciones.</w:t>
      </w:r>
    </w:p>
    <w:p w:rsidR="008F4299" w:rsidRPr="0057417D" w:rsidRDefault="008F4299" w:rsidP="00347515">
      <w:pPr>
        <w:pStyle w:val="Prrafodelista"/>
        <w:spacing w:after="0" w:line="240" w:lineRule="auto"/>
        <w:rPr>
          <w:rFonts w:cstheme="minorHAnsi"/>
          <w:szCs w:val="24"/>
        </w:rPr>
      </w:pPr>
    </w:p>
    <w:p w:rsidR="008F4299" w:rsidRPr="0057417D" w:rsidRDefault="008F4299" w:rsidP="00347515">
      <w:pPr>
        <w:pStyle w:val="Textoindependiente"/>
        <w:numPr>
          <w:ilvl w:val="0"/>
          <w:numId w:val="37"/>
        </w:numPr>
        <w:rPr>
          <w:rFonts w:asciiTheme="minorHAnsi" w:hAnsiTheme="minorHAnsi" w:cstheme="minorHAnsi"/>
          <w:color w:val="1F497D"/>
          <w:szCs w:val="24"/>
          <w:u w:val="none"/>
        </w:rPr>
      </w:pPr>
      <w:r w:rsidRPr="0057417D">
        <w:rPr>
          <w:rFonts w:asciiTheme="minorHAnsi" w:hAnsiTheme="minorHAnsi" w:cstheme="minorHAnsi"/>
          <w:szCs w:val="24"/>
          <w:u w:val="none"/>
        </w:rPr>
        <w:t xml:space="preserve">Reforzar la cuenta de útiles y materiales de oficina para atender necesidades presentes en el nuevo edificio. </w:t>
      </w:r>
    </w:p>
    <w:p w:rsidR="008F4299" w:rsidRPr="0057417D" w:rsidRDefault="008F4299" w:rsidP="00347515">
      <w:pPr>
        <w:pStyle w:val="Textoindependiente"/>
        <w:ind w:left="720"/>
        <w:rPr>
          <w:rFonts w:asciiTheme="minorHAnsi" w:hAnsiTheme="minorHAnsi" w:cstheme="minorHAnsi"/>
          <w:color w:val="1F497D"/>
        </w:rPr>
      </w:pPr>
    </w:p>
    <w:p w:rsidR="007D38D2" w:rsidRPr="0057417D" w:rsidRDefault="00595D69" w:rsidP="00347515">
      <w:pPr>
        <w:spacing w:line="240" w:lineRule="auto"/>
        <w:rPr>
          <w:rFonts w:cstheme="minorHAnsi"/>
          <w:szCs w:val="24"/>
        </w:rPr>
      </w:pPr>
      <w:r w:rsidRPr="0057417D">
        <w:rPr>
          <w:rFonts w:cstheme="minorHAnsi"/>
          <w:szCs w:val="24"/>
        </w:rPr>
        <w:t>Esas</w:t>
      </w:r>
      <w:r w:rsidR="007D38D2" w:rsidRPr="0057417D">
        <w:rPr>
          <w:rFonts w:cstheme="minorHAnsi"/>
          <w:szCs w:val="24"/>
        </w:rPr>
        <w:t xml:space="preserve"> modificaciones constituyen un traslado interno de recursos entre partidas del presupuesto de la </w:t>
      </w:r>
      <w:r w:rsidR="000A0042" w:rsidRPr="0057417D">
        <w:rPr>
          <w:rFonts w:cstheme="minorHAnsi"/>
          <w:szCs w:val="24"/>
        </w:rPr>
        <w:t>SUGESE</w:t>
      </w:r>
      <w:r w:rsidRPr="0057417D">
        <w:rPr>
          <w:rFonts w:cstheme="minorHAnsi"/>
          <w:szCs w:val="24"/>
        </w:rPr>
        <w:t>, en consecuencia no implicaron c</w:t>
      </w:r>
      <w:r w:rsidR="007D38D2" w:rsidRPr="0057417D">
        <w:rPr>
          <w:rFonts w:cstheme="minorHAnsi"/>
          <w:szCs w:val="24"/>
        </w:rPr>
        <w:t>ambio</w:t>
      </w:r>
      <w:r w:rsidRPr="0057417D">
        <w:rPr>
          <w:rFonts w:cstheme="minorHAnsi"/>
          <w:szCs w:val="24"/>
        </w:rPr>
        <w:t>s</w:t>
      </w:r>
      <w:r w:rsidR="007D38D2" w:rsidRPr="0057417D">
        <w:rPr>
          <w:rFonts w:cstheme="minorHAnsi"/>
          <w:szCs w:val="24"/>
        </w:rPr>
        <w:t xml:space="preserve"> en el presupuesto ordinario de la Institución, aprobado por la Contraloría General de la República mediante el oficio 1</w:t>
      </w:r>
      <w:r w:rsidR="008F4299" w:rsidRPr="0057417D">
        <w:rPr>
          <w:rFonts w:cstheme="minorHAnsi"/>
          <w:szCs w:val="24"/>
        </w:rPr>
        <w:t>7505</w:t>
      </w:r>
      <w:r w:rsidR="007D38D2" w:rsidRPr="0057417D">
        <w:rPr>
          <w:rFonts w:cstheme="minorHAnsi"/>
          <w:szCs w:val="24"/>
        </w:rPr>
        <w:t xml:space="preserve"> Ref. DFOE-EC-08</w:t>
      </w:r>
      <w:r w:rsidR="008F4299" w:rsidRPr="0057417D">
        <w:rPr>
          <w:rFonts w:cstheme="minorHAnsi"/>
          <w:szCs w:val="24"/>
        </w:rPr>
        <w:t>67 del 6</w:t>
      </w:r>
      <w:r w:rsidR="007D38D2" w:rsidRPr="0057417D">
        <w:rPr>
          <w:rFonts w:cstheme="minorHAnsi"/>
          <w:szCs w:val="24"/>
        </w:rPr>
        <w:t xml:space="preserve"> de diciembre de</w:t>
      </w:r>
      <w:r w:rsidR="004E015E" w:rsidRPr="0057417D">
        <w:rPr>
          <w:rFonts w:cstheme="minorHAnsi"/>
          <w:szCs w:val="24"/>
        </w:rPr>
        <w:t xml:space="preserve"> </w:t>
      </w:r>
      <w:r w:rsidR="007D38D2" w:rsidRPr="0057417D">
        <w:rPr>
          <w:rFonts w:cstheme="minorHAnsi"/>
          <w:szCs w:val="24"/>
        </w:rPr>
        <w:t>201</w:t>
      </w:r>
      <w:r w:rsidR="008F4299" w:rsidRPr="0057417D">
        <w:rPr>
          <w:rFonts w:cstheme="minorHAnsi"/>
          <w:szCs w:val="24"/>
        </w:rPr>
        <w:t>8</w:t>
      </w:r>
      <w:r w:rsidR="007D38D2" w:rsidRPr="0057417D">
        <w:rPr>
          <w:rFonts w:cstheme="minorHAnsi"/>
          <w:szCs w:val="24"/>
        </w:rPr>
        <w:t>.</w:t>
      </w:r>
    </w:p>
    <w:p w:rsidR="008F4299" w:rsidRPr="0057417D" w:rsidRDefault="008F4299" w:rsidP="00347515">
      <w:pPr>
        <w:spacing w:line="240" w:lineRule="auto"/>
        <w:rPr>
          <w:rFonts w:cstheme="minorHAnsi"/>
          <w:szCs w:val="24"/>
        </w:rPr>
      </w:pPr>
    </w:p>
    <w:p w:rsidR="00E241AB" w:rsidRPr="0057417D" w:rsidRDefault="00E241AB" w:rsidP="004E015E">
      <w:pPr>
        <w:spacing w:line="240" w:lineRule="auto"/>
        <w:jc w:val="left"/>
        <w:rPr>
          <w:rFonts w:eastAsiaTheme="minorEastAsia" w:cstheme="minorHAnsi"/>
          <w:szCs w:val="24"/>
          <w:highlight w:val="yellow"/>
          <w:lang w:eastAsia="es-ES"/>
        </w:rPr>
      </w:pPr>
    </w:p>
    <w:p w:rsidR="009C7982" w:rsidRPr="0057417D" w:rsidRDefault="009C7982" w:rsidP="00016AB4">
      <w:pPr>
        <w:pStyle w:val="Ttulo2"/>
        <w:numPr>
          <w:ilvl w:val="0"/>
          <w:numId w:val="6"/>
        </w:numPr>
        <w:spacing w:before="0" w:line="240" w:lineRule="auto"/>
        <w:rPr>
          <w:b/>
        </w:rPr>
      </w:pPr>
      <w:r w:rsidRPr="0057417D">
        <w:rPr>
          <w:b/>
        </w:rPr>
        <w:t>Procesos de contratación iniciados y adjudicados</w:t>
      </w:r>
    </w:p>
    <w:p w:rsidR="00E97BDC" w:rsidRPr="0057417D" w:rsidRDefault="00E97BDC" w:rsidP="00016AB4">
      <w:pPr>
        <w:spacing w:line="240" w:lineRule="auto"/>
      </w:pPr>
    </w:p>
    <w:p w:rsidR="002E11E9" w:rsidRPr="0057417D" w:rsidRDefault="002E11E9" w:rsidP="00016AB4">
      <w:pPr>
        <w:spacing w:line="240" w:lineRule="auto"/>
        <w:rPr>
          <w:rFonts w:cs="Arial"/>
          <w:szCs w:val="24"/>
        </w:rPr>
      </w:pPr>
      <w:r w:rsidRPr="0057417D">
        <w:rPr>
          <w:rFonts w:cs="Arial"/>
          <w:szCs w:val="24"/>
        </w:rPr>
        <w:t xml:space="preserve">En el cuadro </w:t>
      </w:r>
      <w:r w:rsidR="00595D69" w:rsidRPr="0057417D">
        <w:rPr>
          <w:rFonts w:cs="Arial"/>
          <w:szCs w:val="24"/>
        </w:rPr>
        <w:t xml:space="preserve">6 </w:t>
      </w:r>
      <w:r w:rsidRPr="0057417D">
        <w:rPr>
          <w:rFonts w:cs="Arial"/>
          <w:szCs w:val="24"/>
        </w:rPr>
        <w:t xml:space="preserve">se presentan las </w:t>
      </w:r>
      <w:r w:rsidR="00316A7A" w:rsidRPr="0057417D">
        <w:rPr>
          <w:rFonts w:cs="Arial"/>
          <w:szCs w:val="24"/>
        </w:rPr>
        <w:t xml:space="preserve">principales </w:t>
      </w:r>
      <w:r w:rsidRPr="0057417D">
        <w:rPr>
          <w:rFonts w:cs="Arial"/>
          <w:szCs w:val="24"/>
        </w:rPr>
        <w:t>contrataciones iniciadas y adjudicadas</w:t>
      </w:r>
      <w:r w:rsidR="005F42B7" w:rsidRPr="0057417D">
        <w:rPr>
          <w:rFonts w:cs="Arial"/>
          <w:szCs w:val="24"/>
        </w:rPr>
        <w:t xml:space="preserve"> en el 201</w:t>
      </w:r>
      <w:r w:rsidR="008F4299" w:rsidRPr="0057417D">
        <w:rPr>
          <w:rFonts w:cs="Arial"/>
          <w:szCs w:val="24"/>
        </w:rPr>
        <w:t>9</w:t>
      </w:r>
      <w:r w:rsidRPr="0057417D">
        <w:rPr>
          <w:rFonts w:cs="Arial"/>
          <w:szCs w:val="24"/>
        </w:rPr>
        <w:t xml:space="preserve">: </w:t>
      </w:r>
    </w:p>
    <w:p w:rsidR="005A3838" w:rsidRPr="0057417D" w:rsidRDefault="005A3838">
      <w:pPr>
        <w:spacing w:line="360" w:lineRule="auto"/>
        <w:jc w:val="left"/>
        <w:rPr>
          <w:rFonts w:ascii="Century Gothic" w:hAnsi="Century Gothic"/>
          <w:b/>
          <w:color w:val="002060"/>
          <w:sz w:val="20"/>
          <w:szCs w:val="20"/>
        </w:rPr>
      </w:pPr>
    </w:p>
    <w:p w:rsidR="00263CCA" w:rsidRDefault="00263CCA">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rsidR="00EA2FC9" w:rsidRPr="0057417D" w:rsidRDefault="00EA2FC9" w:rsidP="00016AB4">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 xml:space="preserve">CUADRO </w:t>
      </w:r>
      <w:r w:rsidR="00CB4B3F" w:rsidRPr="0057417D">
        <w:rPr>
          <w:rFonts w:ascii="Century Gothic" w:hAnsi="Century Gothic"/>
          <w:b/>
          <w:color w:val="002060"/>
          <w:sz w:val="20"/>
          <w:szCs w:val="20"/>
        </w:rPr>
        <w:fldChar w:fldCharType="begin"/>
      </w:r>
      <w:r w:rsidR="00CB4B3F" w:rsidRPr="0057417D">
        <w:rPr>
          <w:rFonts w:ascii="Century Gothic" w:hAnsi="Century Gothic"/>
          <w:b/>
          <w:color w:val="002060"/>
          <w:sz w:val="20"/>
          <w:szCs w:val="20"/>
        </w:rPr>
        <w:instrText xml:space="preserve"> AUTONUM  \s " " </w:instrText>
      </w:r>
      <w:r w:rsidR="00CB4B3F" w:rsidRPr="0057417D">
        <w:rPr>
          <w:rFonts w:ascii="Century Gothic" w:hAnsi="Century Gothic"/>
          <w:b/>
          <w:color w:val="002060"/>
          <w:sz w:val="20"/>
          <w:szCs w:val="20"/>
        </w:rPr>
        <w:fldChar w:fldCharType="end"/>
      </w:r>
      <w:r w:rsidRPr="0057417D">
        <w:rPr>
          <w:rFonts w:ascii="Century Gothic" w:hAnsi="Century Gothic"/>
          <w:b/>
          <w:color w:val="002060"/>
          <w:sz w:val="20"/>
          <w:szCs w:val="20"/>
        </w:rPr>
        <w:t xml:space="preserve"> </w:t>
      </w:r>
    </w:p>
    <w:p w:rsidR="0016640B" w:rsidRPr="0057417D" w:rsidRDefault="0016640B"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cs="Century Gothic"/>
          <w:kern w:val="24"/>
          <w:sz w:val="20"/>
          <w:szCs w:val="20"/>
        </w:rPr>
        <w:t>Superintendencia General de Seguros</w:t>
      </w:r>
      <w:r w:rsidRPr="0057417D">
        <w:rPr>
          <w:rFonts w:ascii="Century Gothic" w:hAnsi="Century Gothic"/>
          <w:b/>
          <w:color w:val="404040" w:themeColor="text1" w:themeTint="BF"/>
          <w:sz w:val="20"/>
          <w:szCs w:val="20"/>
        </w:rPr>
        <w:t xml:space="preserve"> </w:t>
      </w:r>
    </w:p>
    <w:p w:rsidR="00EA2FC9" w:rsidRPr="0057417D" w:rsidRDefault="00D42285"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 xml:space="preserve">Contrataciones Iniciadas y </w:t>
      </w:r>
      <w:r w:rsidR="00393E26" w:rsidRPr="0057417D">
        <w:rPr>
          <w:rFonts w:ascii="Century Gothic" w:hAnsi="Century Gothic"/>
          <w:b/>
          <w:color w:val="404040" w:themeColor="text1" w:themeTint="BF"/>
          <w:sz w:val="20"/>
          <w:szCs w:val="20"/>
        </w:rPr>
        <w:t>a</w:t>
      </w:r>
      <w:r w:rsidRPr="0057417D">
        <w:rPr>
          <w:rFonts w:ascii="Century Gothic" w:hAnsi="Century Gothic"/>
          <w:b/>
          <w:color w:val="404040" w:themeColor="text1" w:themeTint="BF"/>
          <w:sz w:val="20"/>
          <w:szCs w:val="20"/>
        </w:rPr>
        <w:t>djudicadas</w:t>
      </w:r>
    </w:p>
    <w:p w:rsidR="00EA2FC9" w:rsidRPr="0057417D" w:rsidRDefault="0016640B" w:rsidP="00016AB4">
      <w:pPr>
        <w:spacing w:line="240" w:lineRule="auto"/>
        <w:jc w:val="center"/>
        <w:rPr>
          <w:rFonts w:ascii="Century Gothic" w:hAnsi="Century Gothic" w:cs="Century Gothic"/>
          <w:kern w:val="24"/>
          <w:sz w:val="20"/>
          <w:szCs w:val="20"/>
        </w:rPr>
      </w:pPr>
      <w:r w:rsidRPr="0057417D">
        <w:rPr>
          <w:rFonts w:ascii="Century Gothic" w:hAnsi="Century Gothic" w:cs="Century Gothic"/>
          <w:kern w:val="24"/>
          <w:sz w:val="20"/>
          <w:szCs w:val="20"/>
        </w:rPr>
        <w:t>201</w:t>
      </w:r>
      <w:r w:rsidR="008F4299" w:rsidRPr="0057417D">
        <w:rPr>
          <w:rFonts w:ascii="Century Gothic" w:hAnsi="Century Gothic" w:cs="Century Gothic"/>
          <w:kern w:val="24"/>
          <w:sz w:val="20"/>
          <w:szCs w:val="20"/>
        </w:rPr>
        <w:t>9</w:t>
      </w:r>
    </w:p>
    <w:tbl>
      <w:tblPr>
        <w:tblW w:w="8731" w:type="dxa"/>
        <w:jc w:val="center"/>
        <w:tblCellMar>
          <w:left w:w="70" w:type="dxa"/>
          <w:right w:w="70" w:type="dxa"/>
        </w:tblCellMar>
        <w:tblLook w:val="04A0" w:firstRow="1" w:lastRow="0" w:firstColumn="1" w:lastColumn="0" w:noHBand="0" w:noVBand="1"/>
      </w:tblPr>
      <w:tblGrid>
        <w:gridCol w:w="1199"/>
        <w:gridCol w:w="2052"/>
        <w:gridCol w:w="3968"/>
        <w:gridCol w:w="1512"/>
      </w:tblGrid>
      <w:tr w:rsidR="008C7D6B" w:rsidRPr="0057417D" w:rsidTr="00263CCA">
        <w:trPr>
          <w:trHeight w:val="310"/>
          <w:jc w:val="center"/>
        </w:trPr>
        <w:tc>
          <w:tcPr>
            <w:tcW w:w="1199" w:type="dxa"/>
            <w:tcBorders>
              <w:top w:val="single" w:sz="8" w:space="0" w:color="4F81BD"/>
              <w:left w:val="single" w:sz="8" w:space="0" w:color="4F81BD"/>
              <w:bottom w:val="nil"/>
              <w:right w:val="nil"/>
            </w:tcBorders>
            <w:shd w:val="clear" w:color="auto" w:fill="365F91"/>
            <w:vAlign w:val="center"/>
            <w:hideMark/>
          </w:tcPr>
          <w:p w:rsidR="008C7D6B" w:rsidRPr="0057417D" w:rsidRDefault="008C7D6B" w:rsidP="00016AB4">
            <w:pPr>
              <w:spacing w:line="240" w:lineRule="auto"/>
              <w:jc w:val="center"/>
              <w:rPr>
                <w:rFonts w:eastAsia="Times New Roman" w:cs="Times New Roman"/>
                <w:b/>
                <w:color w:val="FFFFFF"/>
                <w:sz w:val="18"/>
                <w:szCs w:val="18"/>
                <w:lang w:eastAsia="es-CR"/>
              </w:rPr>
            </w:pPr>
            <w:r w:rsidRPr="0057417D">
              <w:rPr>
                <w:rFonts w:eastAsia="Times New Roman" w:cs="Times New Roman"/>
                <w:b/>
                <w:color w:val="FFFFFF"/>
                <w:sz w:val="18"/>
                <w:szCs w:val="18"/>
                <w:lang w:eastAsia="es-CR"/>
              </w:rPr>
              <w:t>Cuenta</w:t>
            </w:r>
          </w:p>
        </w:tc>
        <w:tc>
          <w:tcPr>
            <w:tcW w:w="2052" w:type="dxa"/>
            <w:tcBorders>
              <w:top w:val="single" w:sz="8" w:space="0" w:color="4F81BD"/>
              <w:left w:val="nil"/>
              <w:bottom w:val="nil"/>
              <w:right w:val="nil"/>
            </w:tcBorders>
            <w:shd w:val="clear" w:color="auto" w:fill="365F91"/>
            <w:vAlign w:val="center"/>
            <w:hideMark/>
          </w:tcPr>
          <w:p w:rsidR="008C7D6B" w:rsidRPr="0057417D" w:rsidRDefault="008C7D6B" w:rsidP="00016AB4">
            <w:pPr>
              <w:spacing w:line="240" w:lineRule="auto"/>
              <w:jc w:val="center"/>
              <w:rPr>
                <w:rFonts w:eastAsia="Times New Roman" w:cs="Times New Roman"/>
                <w:b/>
                <w:color w:val="FFFFFF"/>
                <w:sz w:val="18"/>
                <w:szCs w:val="18"/>
                <w:lang w:eastAsia="es-CR"/>
              </w:rPr>
            </w:pPr>
            <w:r w:rsidRPr="0057417D">
              <w:rPr>
                <w:rFonts w:eastAsia="Times New Roman" w:cs="Times New Roman"/>
                <w:b/>
                <w:color w:val="FFFFFF"/>
                <w:sz w:val="18"/>
                <w:szCs w:val="18"/>
                <w:lang w:eastAsia="es-CR"/>
              </w:rPr>
              <w:t>Nombre</w:t>
            </w:r>
          </w:p>
        </w:tc>
        <w:tc>
          <w:tcPr>
            <w:tcW w:w="3969" w:type="dxa"/>
            <w:tcBorders>
              <w:top w:val="single" w:sz="8" w:space="0" w:color="4F81BD"/>
              <w:left w:val="nil"/>
              <w:bottom w:val="nil"/>
              <w:right w:val="nil"/>
            </w:tcBorders>
            <w:shd w:val="clear" w:color="auto" w:fill="365F91"/>
            <w:vAlign w:val="center"/>
            <w:hideMark/>
          </w:tcPr>
          <w:p w:rsidR="008C7D6B" w:rsidRPr="0057417D" w:rsidRDefault="008C7D6B" w:rsidP="00016AB4">
            <w:pPr>
              <w:spacing w:line="240" w:lineRule="auto"/>
              <w:jc w:val="center"/>
              <w:rPr>
                <w:rFonts w:eastAsia="Times New Roman" w:cs="Times New Roman"/>
                <w:b/>
                <w:color w:val="FFFFFF"/>
                <w:sz w:val="18"/>
                <w:szCs w:val="18"/>
                <w:lang w:eastAsia="es-CR"/>
              </w:rPr>
            </w:pPr>
            <w:r w:rsidRPr="0057417D">
              <w:rPr>
                <w:rFonts w:eastAsia="Times New Roman" w:cs="Times New Roman"/>
                <w:b/>
                <w:color w:val="FFFFFF"/>
                <w:sz w:val="18"/>
                <w:szCs w:val="18"/>
                <w:lang w:eastAsia="es-CR"/>
              </w:rPr>
              <w:t>Artículo</w:t>
            </w:r>
          </w:p>
        </w:tc>
        <w:tc>
          <w:tcPr>
            <w:tcW w:w="1511" w:type="dxa"/>
            <w:tcBorders>
              <w:top w:val="single" w:sz="8" w:space="0" w:color="4F81BD"/>
              <w:left w:val="nil"/>
              <w:bottom w:val="nil"/>
              <w:right w:val="single" w:sz="8" w:space="0" w:color="4F81BD"/>
            </w:tcBorders>
            <w:shd w:val="clear" w:color="auto" w:fill="365F91"/>
            <w:vAlign w:val="center"/>
            <w:hideMark/>
          </w:tcPr>
          <w:p w:rsidR="008C7D6B" w:rsidRPr="0057417D" w:rsidRDefault="008C7D6B" w:rsidP="00016AB4">
            <w:pPr>
              <w:spacing w:line="240" w:lineRule="auto"/>
              <w:jc w:val="center"/>
              <w:rPr>
                <w:rFonts w:eastAsia="Times New Roman" w:cs="Times New Roman"/>
                <w:b/>
                <w:color w:val="FFFFFF"/>
                <w:sz w:val="18"/>
                <w:szCs w:val="18"/>
                <w:lang w:eastAsia="es-CR"/>
              </w:rPr>
            </w:pPr>
            <w:r w:rsidRPr="0057417D">
              <w:rPr>
                <w:rFonts w:eastAsia="Times New Roman" w:cs="Times New Roman"/>
                <w:b/>
                <w:color w:val="FFFFFF"/>
                <w:sz w:val="18"/>
                <w:szCs w:val="18"/>
                <w:lang w:eastAsia="es-CR"/>
              </w:rPr>
              <w:t>Costo en colones</w:t>
            </w:r>
          </w:p>
        </w:tc>
      </w:tr>
      <w:tr w:rsidR="003358A4" w:rsidRPr="0057417D" w:rsidTr="00263CCA">
        <w:trPr>
          <w:trHeight w:val="310"/>
          <w:jc w:val="center"/>
        </w:trPr>
        <w:tc>
          <w:tcPr>
            <w:tcW w:w="1199" w:type="dxa"/>
            <w:vMerge w:val="restart"/>
            <w:tcBorders>
              <w:top w:val="single" w:sz="8" w:space="0" w:color="4F81BD"/>
              <w:left w:val="single" w:sz="8" w:space="0" w:color="4F81BD"/>
              <w:right w:val="nil"/>
            </w:tcBorders>
            <w:shd w:val="clear" w:color="auto" w:fill="auto"/>
            <w:vAlign w:val="center"/>
          </w:tcPr>
          <w:p w:rsidR="003358A4" w:rsidRPr="0057417D" w:rsidRDefault="003358A4"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1 03 01</w:t>
            </w:r>
          </w:p>
          <w:p w:rsidR="003358A4" w:rsidRPr="0057417D" w:rsidRDefault="003358A4" w:rsidP="00016AB4">
            <w:pPr>
              <w:spacing w:line="240" w:lineRule="auto"/>
              <w:jc w:val="center"/>
              <w:rPr>
                <w:rFonts w:eastAsia="Times New Roman" w:cs="Times New Roman"/>
                <w:color w:val="000000"/>
                <w:sz w:val="18"/>
                <w:szCs w:val="18"/>
                <w:lang w:eastAsia="es-CR"/>
              </w:rPr>
            </w:pPr>
          </w:p>
        </w:tc>
        <w:tc>
          <w:tcPr>
            <w:tcW w:w="2052" w:type="dxa"/>
            <w:vMerge w:val="restart"/>
            <w:tcBorders>
              <w:top w:val="single" w:sz="8" w:space="0" w:color="4F81BD"/>
              <w:left w:val="single" w:sz="4" w:space="0" w:color="2F75B5"/>
              <w:right w:val="single" w:sz="8" w:space="0" w:color="4F81BD"/>
            </w:tcBorders>
            <w:shd w:val="clear" w:color="auto" w:fill="auto"/>
            <w:vAlign w:val="center"/>
          </w:tcPr>
          <w:p w:rsidR="003358A4" w:rsidRPr="0057417D" w:rsidRDefault="003358A4"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Servicios comerciales y financieros</w:t>
            </w:r>
          </w:p>
        </w:tc>
        <w:tc>
          <w:tcPr>
            <w:tcW w:w="3969" w:type="dxa"/>
            <w:tcBorders>
              <w:top w:val="single" w:sz="8" w:space="0" w:color="4F81BD"/>
              <w:left w:val="nil"/>
              <w:bottom w:val="single" w:sz="8" w:space="0" w:color="4F81BD"/>
              <w:right w:val="single" w:sz="4" w:space="0" w:color="2F75B5"/>
            </w:tcBorders>
            <w:shd w:val="clear" w:color="auto" w:fill="auto"/>
            <w:vAlign w:val="center"/>
          </w:tcPr>
          <w:p w:rsidR="003358A4" w:rsidRPr="0057417D" w:rsidRDefault="003358A4"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Campañas publicitarias</w:t>
            </w:r>
          </w:p>
        </w:tc>
        <w:tc>
          <w:tcPr>
            <w:tcW w:w="1511" w:type="dxa"/>
            <w:tcBorders>
              <w:top w:val="single" w:sz="8" w:space="0" w:color="4F81BD"/>
              <w:left w:val="nil"/>
              <w:bottom w:val="single" w:sz="8" w:space="0" w:color="4F81BD"/>
              <w:right w:val="single" w:sz="8" w:space="0" w:color="4F81BD"/>
            </w:tcBorders>
            <w:shd w:val="clear" w:color="auto" w:fill="auto"/>
            <w:vAlign w:val="center"/>
          </w:tcPr>
          <w:p w:rsidR="003358A4" w:rsidRPr="0057417D" w:rsidRDefault="00CA3E9D" w:rsidP="00CA3E9D">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¢35</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622</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498</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16</w:t>
            </w:r>
          </w:p>
        </w:tc>
      </w:tr>
      <w:tr w:rsidR="00CA3E9D" w:rsidRPr="0057417D" w:rsidTr="00263CCA">
        <w:trPr>
          <w:trHeight w:val="310"/>
          <w:jc w:val="center"/>
        </w:trPr>
        <w:tc>
          <w:tcPr>
            <w:tcW w:w="1199" w:type="dxa"/>
            <w:vMerge/>
            <w:tcBorders>
              <w:top w:val="single" w:sz="8" w:space="0" w:color="4F81BD"/>
              <w:left w:val="single" w:sz="8" w:space="0" w:color="4F81BD"/>
              <w:right w:val="nil"/>
            </w:tcBorders>
            <w:shd w:val="clear" w:color="auto" w:fill="auto"/>
            <w:vAlign w:val="center"/>
          </w:tcPr>
          <w:p w:rsidR="00CA3E9D" w:rsidRPr="0057417D" w:rsidRDefault="00CA3E9D" w:rsidP="00016AB4">
            <w:pPr>
              <w:spacing w:line="240" w:lineRule="auto"/>
              <w:jc w:val="center"/>
              <w:rPr>
                <w:rFonts w:eastAsia="Times New Roman" w:cs="Times New Roman"/>
                <w:color w:val="000000"/>
                <w:sz w:val="18"/>
                <w:szCs w:val="18"/>
                <w:lang w:eastAsia="es-CR"/>
              </w:rPr>
            </w:pPr>
          </w:p>
        </w:tc>
        <w:tc>
          <w:tcPr>
            <w:tcW w:w="2052" w:type="dxa"/>
            <w:vMerge/>
            <w:tcBorders>
              <w:top w:val="single" w:sz="8" w:space="0" w:color="4F81BD"/>
              <w:left w:val="single" w:sz="4" w:space="0" w:color="2F75B5"/>
              <w:right w:val="single" w:sz="8" w:space="0" w:color="4F81BD"/>
            </w:tcBorders>
            <w:shd w:val="clear" w:color="auto" w:fill="auto"/>
            <w:vAlign w:val="center"/>
          </w:tcPr>
          <w:p w:rsidR="00CA3E9D" w:rsidRPr="0057417D" w:rsidRDefault="00CA3E9D" w:rsidP="00016AB4">
            <w:pPr>
              <w:spacing w:line="240" w:lineRule="auto"/>
              <w:jc w:val="center"/>
              <w:rPr>
                <w:rFonts w:eastAsia="Times New Roman" w:cs="Times New Roman"/>
                <w:color w:val="000000"/>
                <w:sz w:val="18"/>
                <w:szCs w:val="18"/>
                <w:lang w:eastAsia="es-CR"/>
              </w:rPr>
            </w:pPr>
          </w:p>
        </w:tc>
        <w:tc>
          <w:tcPr>
            <w:tcW w:w="3969" w:type="dxa"/>
            <w:tcBorders>
              <w:top w:val="single" w:sz="8" w:space="0" w:color="4F81BD"/>
              <w:left w:val="nil"/>
              <w:bottom w:val="single" w:sz="8" w:space="0" w:color="4F81BD"/>
              <w:right w:val="single" w:sz="4" w:space="0" w:color="2F75B5"/>
            </w:tcBorders>
            <w:shd w:val="clear" w:color="auto" w:fill="auto"/>
            <w:vAlign w:val="center"/>
          </w:tcPr>
          <w:p w:rsidR="00CA3E9D" w:rsidRPr="0057417D" w:rsidRDefault="00CA3E9D"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Revistas seguros  y Booklets</w:t>
            </w:r>
          </w:p>
        </w:tc>
        <w:tc>
          <w:tcPr>
            <w:tcW w:w="1511" w:type="dxa"/>
            <w:tcBorders>
              <w:top w:val="single" w:sz="8" w:space="0" w:color="4F81BD"/>
              <w:left w:val="nil"/>
              <w:bottom w:val="single" w:sz="8" w:space="0" w:color="4F81BD"/>
              <w:right w:val="single" w:sz="8" w:space="0" w:color="4F81BD"/>
            </w:tcBorders>
            <w:shd w:val="clear" w:color="auto" w:fill="auto"/>
            <w:vAlign w:val="center"/>
          </w:tcPr>
          <w:p w:rsidR="00CA3E9D" w:rsidRPr="0057417D" w:rsidRDefault="00CA3E9D" w:rsidP="00CA3E9D">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¢40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000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000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00</w:t>
            </w:r>
          </w:p>
        </w:tc>
      </w:tr>
      <w:tr w:rsidR="00CA3E9D" w:rsidRPr="0057417D" w:rsidTr="00263CCA">
        <w:trPr>
          <w:trHeight w:val="310"/>
          <w:jc w:val="center"/>
        </w:trPr>
        <w:tc>
          <w:tcPr>
            <w:tcW w:w="1199" w:type="dxa"/>
            <w:vMerge/>
            <w:tcBorders>
              <w:top w:val="single" w:sz="8" w:space="0" w:color="4F81BD"/>
              <w:left w:val="single" w:sz="8" w:space="0" w:color="4F81BD"/>
              <w:right w:val="nil"/>
            </w:tcBorders>
            <w:shd w:val="clear" w:color="auto" w:fill="auto"/>
            <w:vAlign w:val="center"/>
          </w:tcPr>
          <w:p w:rsidR="00CA3E9D" w:rsidRPr="0057417D" w:rsidRDefault="00CA3E9D" w:rsidP="00016AB4">
            <w:pPr>
              <w:spacing w:line="240" w:lineRule="auto"/>
              <w:jc w:val="center"/>
              <w:rPr>
                <w:rFonts w:eastAsia="Times New Roman" w:cs="Times New Roman"/>
                <w:color w:val="000000"/>
                <w:sz w:val="18"/>
                <w:szCs w:val="18"/>
                <w:lang w:eastAsia="es-CR"/>
              </w:rPr>
            </w:pPr>
          </w:p>
        </w:tc>
        <w:tc>
          <w:tcPr>
            <w:tcW w:w="2052" w:type="dxa"/>
            <w:vMerge/>
            <w:tcBorders>
              <w:top w:val="single" w:sz="8" w:space="0" w:color="4F81BD"/>
              <w:left w:val="single" w:sz="4" w:space="0" w:color="2F75B5"/>
              <w:right w:val="single" w:sz="8" w:space="0" w:color="4F81BD"/>
            </w:tcBorders>
            <w:shd w:val="clear" w:color="auto" w:fill="auto"/>
            <w:vAlign w:val="center"/>
          </w:tcPr>
          <w:p w:rsidR="00CA3E9D" w:rsidRPr="0057417D" w:rsidRDefault="00CA3E9D" w:rsidP="00016AB4">
            <w:pPr>
              <w:spacing w:line="240" w:lineRule="auto"/>
              <w:jc w:val="center"/>
              <w:rPr>
                <w:rFonts w:eastAsia="Times New Roman" w:cs="Times New Roman"/>
                <w:color w:val="000000"/>
                <w:sz w:val="18"/>
                <w:szCs w:val="18"/>
                <w:lang w:eastAsia="es-CR"/>
              </w:rPr>
            </w:pPr>
          </w:p>
        </w:tc>
        <w:tc>
          <w:tcPr>
            <w:tcW w:w="3969" w:type="dxa"/>
            <w:tcBorders>
              <w:top w:val="single" w:sz="8" w:space="0" w:color="4F81BD"/>
              <w:left w:val="nil"/>
              <w:bottom w:val="single" w:sz="8" w:space="0" w:color="4F81BD"/>
              <w:right w:val="single" w:sz="4" w:space="0" w:color="2F75B5"/>
            </w:tcBorders>
            <w:shd w:val="clear" w:color="auto" w:fill="auto"/>
            <w:vAlign w:val="center"/>
          </w:tcPr>
          <w:p w:rsidR="00CA3E9D" w:rsidRPr="0057417D" w:rsidRDefault="00CA3E9D"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Campaña informativa</w:t>
            </w:r>
          </w:p>
        </w:tc>
        <w:tc>
          <w:tcPr>
            <w:tcW w:w="1511" w:type="dxa"/>
            <w:tcBorders>
              <w:top w:val="single" w:sz="8" w:space="0" w:color="4F81BD"/>
              <w:left w:val="nil"/>
              <w:bottom w:val="single" w:sz="8" w:space="0" w:color="4F81BD"/>
              <w:right w:val="single" w:sz="8" w:space="0" w:color="4F81BD"/>
            </w:tcBorders>
            <w:shd w:val="clear" w:color="auto" w:fill="auto"/>
            <w:vAlign w:val="center"/>
          </w:tcPr>
          <w:p w:rsidR="00CA3E9D" w:rsidRPr="0057417D" w:rsidRDefault="00CA3E9D" w:rsidP="00CA3E9D">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¢25</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233</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800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00</w:t>
            </w:r>
          </w:p>
        </w:tc>
      </w:tr>
      <w:tr w:rsidR="003358A4" w:rsidRPr="0057417D" w:rsidTr="00263CCA">
        <w:trPr>
          <w:trHeight w:val="310"/>
          <w:jc w:val="center"/>
        </w:trPr>
        <w:tc>
          <w:tcPr>
            <w:tcW w:w="1199" w:type="dxa"/>
            <w:vMerge/>
            <w:tcBorders>
              <w:left w:val="single" w:sz="8" w:space="0" w:color="4F81BD"/>
              <w:bottom w:val="single" w:sz="8" w:space="0" w:color="4F81BD"/>
              <w:right w:val="nil"/>
            </w:tcBorders>
            <w:shd w:val="clear" w:color="auto" w:fill="auto"/>
            <w:vAlign w:val="center"/>
          </w:tcPr>
          <w:p w:rsidR="003358A4" w:rsidRPr="0057417D" w:rsidRDefault="003358A4" w:rsidP="00016AB4">
            <w:pPr>
              <w:spacing w:line="240" w:lineRule="auto"/>
              <w:jc w:val="center"/>
              <w:rPr>
                <w:rFonts w:eastAsia="Times New Roman" w:cs="Times New Roman"/>
                <w:color w:val="000000"/>
                <w:sz w:val="18"/>
                <w:szCs w:val="18"/>
                <w:lang w:eastAsia="es-CR"/>
              </w:rPr>
            </w:pPr>
          </w:p>
        </w:tc>
        <w:tc>
          <w:tcPr>
            <w:tcW w:w="2052" w:type="dxa"/>
            <w:vMerge/>
            <w:tcBorders>
              <w:left w:val="single" w:sz="4" w:space="0" w:color="2F75B5"/>
              <w:bottom w:val="single" w:sz="8" w:space="0" w:color="4F81BD"/>
              <w:right w:val="single" w:sz="8" w:space="0" w:color="4F81BD"/>
            </w:tcBorders>
            <w:shd w:val="clear" w:color="auto" w:fill="auto"/>
            <w:vAlign w:val="center"/>
          </w:tcPr>
          <w:p w:rsidR="003358A4" w:rsidRPr="0057417D" w:rsidRDefault="003358A4" w:rsidP="00016AB4">
            <w:pPr>
              <w:spacing w:line="240" w:lineRule="auto"/>
              <w:jc w:val="center"/>
              <w:rPr>
                <w:rFonts w:eastAsia="Times New Roman" w:cs="Times New Roman"/>
                <w:color w:val="000000"/>
                <w:sz w:val="18"/>
                <w:szCs w:val="18"/>
                <w:lang w:eastAsia="es-CR"/>
              </w:rPr>
            </w:pPr>
          </w:p>
        </w:tc>
        <w:tc>
          <w:tcPr>
            <w:tcW w:w="3969" w:type="dxa"/>
            <w:tcBorders>
              <w:top w:val="single" w:sz="8" w:space="0" w:color="4F81BD"/>
              <w:left w:val="nil"/>
              <w:bottom w:val="single" w:sz="8" w:space="0" w:color="4F81BD"/>
              <w:right w:val="single" w:sz="4" w:space="0" w:color="2F75B5"/>
            </w:tcBorders>
            <w:shd w:val="clear" w:color="auto" w:fill="auto"/>
            <w:vAlign w:val="center"/>
          </w:tcPr>
          <w:p w:rsidR="003358A4" w:rsidRPr="0057417D" w:rsidRDefault="003358A4"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Mensajes de texto masivos</w:t>
            </w:r>
          </w:p>
        </w:tc>
        <w:tc>
          <w:tcPr>
            <w:tcW w:w="1511" w:type="dxa"/>
            <w:tcBorders>
              <w:top w:val="single" w:sz="8" w:space="0" w:color="4F81BD"/>
              <w:left w:val="nil"/>
              <w:bottom w:val="single" w:sz="8" w:space="0" w:color="4F81BD"/>
              <w:right w:val="single" w:sz="8" w:space="0" w:color="4F81BD"/>
            </w:tcBorders>
            <w:shd w:val="clear" w:color="auto" w:fill="auto"/>
            <w:vAlign w:val="center"/>
          </w:tcPr>
          <w:p w:rsidR="003358A4" w:rsidRPr="0057417D" w:rsidRDefault="003358A4" w:rsidP="00CA3E9D">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CA3E9D" w:rsidRPr="0057417D">
              <w:rPr>
                <w:rFonts w:eastAsia="Times New Roman" w:cs="Times New Roman"/>
                <w:color w:val="000000"/>
                <w:sz w:val="18"/>
                <w:szCs w:val="18"/>
                <w:lang w:eastAsia="es-CR"/>
              </w:rPr>
              <w:t>5</w:t>
            </w:r>
            <w:r w:rsidR="00263CCA">
              <w:rPr>
                <w:rFonts w:eastAsia="Times New Roman" w:cs="Times New Roman"/>
                <w:color w:val="000000"/>
                <w:sz w:val="18"/>
                <w:szCs w:val="18"/>
                <w:lang w:eastAsia="es-CR"/>
              </w:rPr>
              <w:t>.</w:t>
            </w:r>
            <w:r w:rsidR="00CA3E9D" w:rsidRPr="0057417D">
              <w:rPr>
                <w:rFonts w:eastAsia="Times New Roman" w:cs="Times New Roman"/>
                <w:color w:val="000000"/>
                <w:sz w:val="18"/>
                <w:szCs w:val="18"/>
                <w:lang w:eastAsia="es-CR"/>
              </w:rPr>
              <w:t>000</w:t>
            </w:r>
            <w:r w:rsidR="00263CCA">
              <w:rPr>
                <w:rFonts w:eastAsia="Times New Roman" w:cs="Times New Roman"/>
                <w:color w:val="000000"/>
                <w:sz w:val="18"/>
                <w:szCs w:val="18"/>
                <w:lang w:eastAsia="es-CR"/>
              </w:rPr>
              <w:t>.</w:t>
            </w:r>
            <w:r w:rsidR="00CA3E9D" w:rsidRPr="0057417D">
              <w:rPr>
                <w:rFonts w:eastAsia="Times New Roman" w:cs="Times New Roman"/>
                <w:color w:val="000000"/>
                <w:sz w:val="18"/>
                <w:szCs w:val="18"/>
                <w:lang w:eastAsia="es-CR"/>
              </w:rPr>
              <w:t>0</w:t>
            </w:r>
            <w:r w:rsidRPr="0057417D">
              <w:rPr>
                <w:rFonts w:eastAsia="Times New Roman" w:cs="Times New Roman"/>
                <w:color w:val="000000"/>
                <w:sz w:val="18"/>
                <w:szCs w:val="18"/>
                <w:lang w:eastAsia="es-CR"/>
              </w:rPr>
              <w:t>00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00</w:t>
            </w:r>
          </w:p>
        </w:tc>
      </w:tr>
      <w:tr w:rsidR="008C7D6B" w:rsidRPr="0057417D" w:rsidTr="00263CCA">
        <w:trPr>
          <w:trHeight w:val="310"/>
          <w:jc w:val="center"/>
        </w:trPr>
        <w:tc>
          <w:tcPr>
            <w:tcW w:w="1199" w:type="dxa"/>
            <w:vMerge w:val="restart"/>
            <w:tcBorders>
              <w:top w:val="single" w:sz="8" w:space="0" w:color="4F81BD"/>
              <w:left w:val="single" w:sz="8" w:space="0" w:color="4F81BD"/>
              <w:bottom w:val="single" w:sz="8" w:space="0" w:color="4F81BD"/>
              <w:right w:val="nil"/>
            </w:tcBorders>
            <w:shd w:val="clear" w:color="auto" w:fill="auto"/>
            <w:vAlign w:val="center"/>
            <w:hideMark/>
          </w:tcPr>
          <w:p w:rsidR="008C7D6B" w:rsidRPr="0057417D" w:rsidRDefault="008C7D6B"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1 04 04</w:t>
            </w:r>
          </w:p>
        </w:tc>
        <w:tc>
          <w:tcPr>
            <w:tcW w:w="2052" w:type="dxa"/>
            <w:vMerge w:val="restart"/>
            <w:tcBorders>
              <w:top w:val="single" w:sz="8" w:space="0" w:color="4F81BD"/>
              <w:left w:val="single" w:sz="4" w:space="0" w:color="2F75B5"/>
              <w:bottom w:val="single" w:sz="8" w:space="0" w:color="4F81BD"/>
              <w:right w:val="single" w:sz="8" w:space="0" w:color="4F81BD"/>
            </w:tcBorders>
            <w:shd w:val="clear" w:color="auto" w:fill="auto"/>
            <w:vAlign w:val="center"/>
            <w:hideMark/>
          </w:tcPr>
          <w:p w:rsidR="008C7D6B" w:rsidRPr="0057417D" w:rsidRDefault="008C7D6B"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Servicios en ciencias Económicas y Sociales</w:t>
            </w:r>
          </w:p>
        </w:tc>
        <w:tc>
          <w:tcPr>
            <w:tcW w:w="3969" w:type="dxa"/>
            <w:tcBorders>
              <w:top w:val="single" w:sz="8" w:space="0" w:color="4F81BD"/>
              <w:left w:val="nil"/>
              <w:bottom w:val="single" w:sz="8" w:space="0" w:color="4F81BD"/>
              <w:right w:val="single" w:sz="4" w:space="0" w:color="2F75B5"/>
            </w:tcBorders>
            <w:shd w:val="clear" w:color="auto" w:fill="auto"/>
            <w:vAlign w:val="center"/>
            <w:hideMark/>
          </w:tcPr>
          <w:p w:rsidR="008C7D6B" w:rsidRPr="0057417D" w:rsidRDefault="00316A7A"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Auditoría Externa de Certificación de la Norma ISO-9001-2008</w:t>
            </w:r>
          </w:p>
        </w:tc>
        <w:tc>
          <w:tcPr>
            <w:tcW w:w="1511" w:type="dxa"/>
            <w:tcBorders>
              <w:top w:val="single" w:sz="8" w:space="0" w:color="4F81BD"/>
              <w:left w:val="nil"/>
              <w:bottom w:val="single" w:sz="8" w:space="0" w:color="4F81BD"/>
              <w:right w:val="single" w:sz="8" w:space="0" w:color="4F81BD"/>
            </w:tcBorders>
            <w:shd w:val="clear" w:color="auto" w:fill="auto"/>
            <w:vAlign w:val="center"/>
            <w:hideMark/>
          </w:tcPr>
          <w:p w:rsidR="008C7D6B" w:rsidRPr="0057417D" w:rsidRDefault="00316A7A"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₡1</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279</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880</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94</w:t>
            </w:r>
          </w:p>
        </w:tc>
      </w:tr>
      <w:tr w:rsidR="008C7D6B" w:rsidRPr="0057417D" w:rsidTr="00263CCA">
        <w:trPr>
          <w:trHeight w:val="662"/>
          <w:jc w:val="center"/>
        </w:trPr>
        <w:tc>
          <w:tcPr>
            <w:tcW w:w="1199" w:type="dxa"/>
            <w:vMerge/>
            <w:tcBorders>
              <w:top w:val="single" w:sz="8" w:space="0" w:color="4F81BD"/>
              <w:left w:val="single" w:sz="8" w:space="0" w:color="4F81BD"/>
              <w:bottom w:val="single" w:sz="8" w:space="0" w:color="4F81BD"/>
              <w:right w:val="nil"/>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2052" w:type="dxa"/>
            <w:vMerge/>
            <w:tcBorders>
              <w:top w:val="single" w:sz="8" w:space="0" w:color="4F81BD"/>
              <w:left w:val="single" w:sz="4" w:space="0" w:color="2F75B5"/>
              <w:bottom w:val="single" w:sz="8" w:space="0" w:color="4F81BD"/>
              <w:right w:val="single" w:sz="8" w:space="0" w:color="4F81BD"/>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3969" w:type="dxa"/>
            <w:tcBorders>
              <w:top w:val="nil"/>
              <w:left w:val="nil"/>
              <w:bottom w:val="single" w:sz="8" w:space="0" w:color="4F81BD"/>
              <w:right w:val="single" w:sz="4" w:space="0" w:color="2F75B5"/>
            </w:tcBorders>
            <w:shd w:val="clear" w:color="auto" w:fill="auto"/>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Consultoría en comunicación, mercadeo social, educación, monitoreo especializado y análisis de informaciones relacionadas con el tema de seguros</w:t>
            </w:r>
          </w:p>
        </w:tc>
        <w:tc>
          <w:tcPr>
            <w:tcW w:w="1511" w:type="dxa"/>
            <w:tcBorders>
              <w:top w:val="nil"/>
              <w:left w:val="nil"/>
              <w:bottom w:val="single" w:sz="8" w:space="0" w:color="4F81BD"/>
              <w:right w:val="single" w:sz="8" w:space="0" w:color="4F81BD"/>
            </w:tcBorders>
            <w:shd w:val="clear" w:color="auto" w:fill="auto"/>
            <w:vAlign w:val="center"/>
            <w:hideMark/>
          </w:tcPr>
          <w:p w:rsidR="008C7D6B" w:rsidRPr="0057417D" w:rsidRDefault="008C7D6B"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₡1</w:t>
            </w:r>
            <w:r w:rsidR="00316A7A" w:rsidRPr="0057417D">
              <w:rPr>
                <w:rFonts w:eastAsia="Times New Roman" w:cs="Times New Roman"/>
                <w:color w:val="000000"/>
                <w:sz w:val="18"/>
                <w:szCs w:val="18"/>
                <w:lang w:eastAsia="es-CR"/>
              </w:rPr>
              <w:t>5</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87</w:t>
            </w:r>
            <w:r w:rsidR="003358A4" w:rsidRPr="0057417D">
              <w:rPr>
                <w:rFonts w:eastAsia="Times New Roman" w:cs="Times New Roman"/>
                <w:color w:val="000000"/>
                <w:sz w:val="18"/>
                <w:szCs w:val="18"/>
                <w:lang w:eastAsia="es-CR"/>
              </w:rPr>
              <w:t>0</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525</w:t>
            </w:r>
            <w:r w:rsidR="00263CCA">
              <w:rPr>
                <w:rFonts w:eastAsia="Times New Roman" w:cs="Times New Roman"/>
                <w:color w:val="000000"/>
                <w:sz w:val="18"/>
                <w:szCs w:val="18"/>
                <w:lang w:eastAsia="es-CR"/>
              </w:rPr>
              <w:t>,</w:t>
            </w:r>
            <w:r w:rsidR="003358A4" w:rsidRPr="0057417D">
              <w:rPr>
                <w:rFonts w:eastAsia="Times New Roman" w:cs="Times New Roman"/>
                <w:color w:val="000000"/>
                <w:sz w:val="18"/>
                <w:szCs w:val="18"/>
                <w:lang w:eastAsia="es-CR"/>
              </w:rPr>
              <w:t>0</w:t>
            </w:r>
            <w:r w:rsidRPr="0057417D">
              <w:rPr>
                <w:rFonts w:eastAsia="Times New Roman" w:cs="Times New Roman"/>
                <w:color w:val="000000"/>
                <w:sz w:val="18"/>
                <w:szCs w:val="18"/>
                <w:lang w:eastAsia="es-CR"/>
              </w:rPr>
              <w:t>0</w:t>
            </w:r>
          </w:p>
        </w:tc>
      </w:tr>
      <w:tr w:rsidR="008C7D6B" w:rsidRPr="0057417D" w:rsidTr="00263CCA">
        <w:trPr>
          <w:trHeight w:val="275"/>
          <w:jc w:val="center"/>
        </w:trPr>
        <w:tc>
          <w:tcPr>
            <w:tcW w:w="1199" w:type="dxa"/>
            <w:vMerge/>
            <w:tcBorders>
              <w:top w:val="single" w:sz="8" w:space="0" w:color="4F81BD"/>
              <w:left w:val="single" w:sz="8" w:space="0" w:color="4F81BD"/>
              <w:bottom w:val="single" w:sz="8" w:space="0" w:color="4F81BD"/>
              <w:right w:val="nil"/>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2052" w:type="dxa"/>
            <w:vMerge/>
            <w:tcBorders>
              <w:top w:val="single" w:sz="8" w:space="0" w:color="4F81BD"/>
              <w:left w:val="single" w:sz="4" w:space="0" w:color="2F75B5"/>
              <w:bottom w:val="single" w:sz="8" w:space="0" w:color="4F81BD"/>
              <w:right w:val="single" w:sz="8" w:space="0" w:color="4F81BD"/>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3969" w:type="dxa"/>
            <w:tcBorders>
              <w:top w:val="nil"/>
              <w:left w:val="nil"/>
              <w:bottom w:val="single" w:sz="8" w:space="0" w:color="4F81BD"/>
              <w:right w:val="single" w:sz="4" w:space="0" w:color="2F75B5"/>
            </w:tcBorders>
            <w:shd w:val="clear" w:color="auto" w:fill="auto"/>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Servicios Administrativos prestados por BCCR</w:t>
            </w:r>
          </w:p>
        </w:tc>
        <w:tc>
          <w:tcPr>
            <w:tcW w:w="1511" w:type="dxa"/>
            <w:tcBorders>
              <w:top w:val="nil"/>
              <w:left w:val="nil"/>
              <w:bottom w:val="single" w:sz="8" w:space="0" w:color="4F81BD"/>
              <w:right w:val="single" w:sz="8" w:space="0" w:color="4F81BD"/>
            </w:tcBorders>
            <w:shd w:val="clear" w:color="auto" w:fill="auto"/>
            <w:vAlign w:val="center"/>
            <w:hideMark/>
          </w:tcPr>
          <w:p w:rsidR="008C7D6B" w:rsidRPr="0057417D" w:rsidRDefault="008C7D6B"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358A4" w:rsidRPr="0057417D">
              <w:rPr>
                <w:rFonts w:eastAsia="Times New Roman" w:cs="Times New Roman"/>
                <w:color w:val="000000"/>
                <w:sz w:val="18"/>
                <w:szCs w:val="18"/>
                <w:lang w:eastAsia="es-CR"/>
              </w:rPr>
              <w:t>1</w:t>
            </w:r>
            <w:r w:rsidR="00263CCA">
              <w:rPr>
                <w:rFonts w:eastAsia="Times New Roman" w:cs="Times New Roman"/>
                <w:color w:val="000000"/>
                <w:sz w:val="18"/>
                <w:szCs w:val="18"/>
                <w:lang w:eastAsia="es-CR"/>
              </w:rPr>
              <w:t>.</w:t>
            </w:r>
            <w:r w:rsidR="003358A4" w:rsidRPr="0057417D">
              <w:rPr>
                <w:rFonts w:eastAsia="Times New Roman" w:cs="Times New Roman"/>
                <w:color w:val="000000"/>
                <w:sz w:val="18"/>
                <w:szCs w:val="18"/>
                <w:lang w:eastAsia="es-CR"/>
              </w:rPr>
              <w:t>3</w:t>
            </w:r>
            <w:r w:rsidR="00316A7A" w:rsidRPr="0057417D">
              <w:rPr>
                <w:rFonts w:eastAsia="Times New Roman" w:cs="Times New Roman"/>
                <w:color w:val="000000"/>
                <w:sz w:val="18"/>
                <w:szCs w:val="18"/>
                <w:lang w:eastAsia="es-CR"/>
              </w:rPr>
              <w:t>31</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156</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581</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16</w:t>
            </w:r>
          </w:p>
        </w:tc>
      </w:tr>
      <w:tr w:rsidR="00730F04" w:rsidRPr="0057417D" w:rsidTr="00263CCA">
        <w:trPr>
          <w:trHeight w:val="407"/>
          <w:jc w:val="center"/>
        </w:trPr>
        <w:tc>
          <w:tcPr>
            <w:tcW w:w="1199" w:type="dxa"/>
            <w:tcBorders>
              <w:top w:val="nil"/>
              <w:left w:val="single" w:sz="8" w:space="0" w:color="4F81BD"/>
              <w:bottom w:val="single" w:sz="4" w:space="0" w:color="365F91" w:themeColor="accent1" w:themeShade="BF"/>
              <w:right w:val="nil"/>
            </w:tcBorders>
            <w:shd w:val="clear" w:color="auto" w:fill="auto"/>
            <w:vAlign w:val="center"/>
          </w:tcPr>
          <w:p w:rsidR="00730F04" w:rsidRPr="0057417D" w:rsidRDefault="00730F04"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1 04 99</w:t>
            </w:r>
          </w:p>
        </w:tc>
        <w:tc>
          <w:tcPr>
            <w:tcW w:w="2052" w:type="dxa"/>
            <w:tcBorders>
              <w:top w:val="single" w:sz="8" w:space="0" w:color="4F81BD"/>
              <w:left w:val="single" w:sz="4" w:space="0" w:color="2F75B5"/>
              <w:bottom w:val="single" w:sz="4" w:space="0" w:color="365F91" w:themeColor="accent1" w:themeShade="BF"/>
              <w:right w:val="single" w:sz="8" w:space="0" w:color="4F81BD"/>
            </w:tcBorders>
            <w:shd w:val="clear" w:color="auto" w:fill="auto"/>
            <w:vAlign w:val="center"/>
          </w:tcPr>
          <w:p w:rsidR="00730F04" w:rsidRPr="0057417D" w:rsidRDefault="00730F04"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Otros servicios de gestión y apoyo</w:t>
            </w:r>
          </w:p>
        </w:tc>
        <w:tc>
          <w:tcPr>
            <w:tcW w:w="3969" w:type="dxa"/>
            <w:tcBorders>
              <w:top w:val="single" w:sz="8" w:space="0" w:color="4F81BD"/>
              <w:left w:val="nil"/>
              <w:bottom w:val="single" w:sz="4" w:space="0" w:color="365F91" w:themeColor="accent1" w:themeShade="BF"/>
              <w:right w:val="single" w:sz="4" w:space="0" w:color="2F75B5"/>
            </w:tcBorders>
            <w:shd w:val="clear" w:color="auto" w:fill="auto"/>
            <w:vAlign w:val="center"/>
          </w:tcPr>
          <w:p w:rsidR="00730F04" w:rsidRPr="0057417D" w:rsidRDefault="00730F04" w:rsidP="000931DF">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Servicios de traducción simult</w:t>
            </w:r>
            <w:r w:rsidR="000931DF" w:rsidRPr="0057417D">
              <w:rPr>
                <w:rFonts w:eastAsia="Times New Roman" w:cs="Times New Roman"/>
                <w:color w:val="000000"/>
                <w:sz w:val="18"/>
                <w:szCs w:val="18"/>
                <w:lang w:eastAsia="es-CR"/>
              </w:rPr>
              <w:t>á</w:t>
            </w:r>
            <w:r w:rsidRPr="0057417D">
              <w:rPr>
                <w:rFonts w:eastAsia="Times New Roman" w:cs="Times New Roman"/>
                <w:color w:val="000000"/>
                <w:sz w:val="18"/>
                <w:szCs w:val="18"/>
                <w:lang w:eastAsia="es-CR"/>
              </w:rPr>
              <w:t>nea</w:t>
            </w:r>
          </w:p>
        </w:tc>
        <w:tc>
          <w:tcPr>
            <w:tcW w:w="1511" w:type="dxa"/>
            <w:tcBorders>
              <w:top w:val="single" w:sz="8" w:space="0" w:color="4F81BD"/>
              <w:left w:val="nil"/>
              <w:bottom w:val="single" w:sz="4" w:space="0" w:color="365F91" w:themeColor="accent1" w:themeShade="BF"/>
              <w:right w:val="single" w:sz="8" w:space="0" w:color="4F81BD"/>
            </w:tcBorders>
            <w:shd w:val="clear" w:color="auto" w:fill="auto"/>
            <w:vAlign w:val="center"/>
          </w:tcPr>
          <w:p w:rsidR="00730F04" w:rsidRPr="0057417D" w:rsidRDefault="00316A7A"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¢1</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903</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682</w:t>
            </w:r>
            <w:r w:rsidR="00263CCA">
              <w:rPr>
                <w:rFonts w:eastAsia="Times New Roman" w:cs="Times New Roman"/>
                <w:color w:val="000000"/>
                <w:sz w:val="18"/>
                <w:szCs w:val="18"/>
                <w:lang w:eastAsia="es-CR"/>
              </w:rPr>
              <w:t>,</w:t>
            </w:r>
            <w:r w:rsidRPr="0057417D">
              <w:rPr>
                <w:rFonts w:eastAsia="Times New Roman" w:cs="Times New Roman"/>
                <w:color w:val="000000"/>
                <w:sz w:val="18"/>
                <w:szCs w:val="18"/>
                <w:lang w:eastAsia="es-CR"/>
              </w:rPr>
              <w:t>5</w:t>
            </w:r>
            <w:r w:rsidR="00730F04" w:rsidRPr="0057417D">
              <w:rPr>
                <w:rFonts w:eastAsia="Times New Roman" w:cs="Times New Roman"/>
                <w:color w:val="000000"/>
                <w:sz w:val="18"/>
                <w:szCs w:val="18"/>
                <w:lang w:eastAsia="es-CR"/>
              </w:rPr>
              <w:t>0</w:t>
            </w:r>
          </w:p>
        </w:tc>
      </w:tr>
      <w:tr w:rsidR="008C7D6B" w:rsidRPr="0057417D" w:rsidTr="00263CCA">
        <w:trPr>
          <w:trHeight w:val="381"/>
          <w:jc w:val="center"/>
        </w:trPr>
        <w:tc>
          <w:tcPr>
            <w:tcW w:w="1199" w:type="dxa"/>
            <w:vMerge w:val="restart"/>
            <w:tcBorders>
              <w:top w:val="single" w:sz="4" w:space="0" w:color="365F91" w:themeColor="accent1" w:themeShade="BF"/>
              <w:left w:val="single" w:sz="8" w:space="0" w:color="4F81BD"/>
              <w:bottom w:val="single" w:sz="8" w:space="0" w:color="4F81BD"/>
              <w:right w:val="nil"/>
            </w:tcBorders>
            <w:shd w:val="clear" w:color="auto" w:fill="auto"/>
            <w:vAlign w:val="center"/>
            <w:hideMark/>
          </w:tcPr>
          <w:p w:rsidR="008C7D6B" w:rsidRPr="0057417D" w:rsidRDefault="00960766"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1 07</w:t>
            </w:r>
            <w:r w:rsidR="008C7D6B" w:rsidRPr="0057417D">
              <w:rPr>
                <w:rFonts w:eastAsia="Times New Roman" w:cs="Times New Roman"/>
                <w:color w:val="000000"/>
                <w:sz w:val="18"/>
                <w:szCs w:val="18"/>
                <w:lang w:eastAsia="es-CR"/>
              </w:rPr>
              <w:t xml:space="preserve"> 01</w:t>
            </w:r>
          </w:p>
        </w:tc>
        <w:tc>
          <w:tcPr>
            <w:tcW w:w="2052" w:type="dxa"/>
            <w:vMerge w:val="restart"/>
            <w:tcBorders>
              <w:top w:val="single" w:sz="4" w:space="0" w:color="365F91" w:themeColor="accent1" w:themeShade="BF"/>
              <w:left w:val="single" w:sz="4" w:space="0" w:color="2F75B5"/>
              <w:bottom w:val="single" w:sz="8" w:space="0" w:color="4F81BD"/>
              <w:right w:val="single" w:sz="8" w:space="0" w:color="4F81BD"/>
            </w:tcBorders>
            <w:shd w:val="clear" w:color="auto" w:fill="auto"/>
            <w:vAlign w:val="center"/>
            <w:hideMark/>
          </w:tcPr>
          <w:p w:rsidR="008C7D6B" w:rsidRPr="0057417D" w:rsidRDefault="00960766"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Actividades de capacitación</w:t>
            </w:r>
          </w:p>
        </w:tc>
        <w:tc>
          <w:tcPr>
            <w:tcW w:w="3969" w:type="dxa"/>
            <w:tcBorders>
              <w:top w:val="single" w:sz="4" w:space="0" w:color="365F91" w:themeColor="accent1" w:themeShade="BF"/>
              <w:left w:val="nil"/>
              <w:bottom w:val="nil"/>
              <w:right w:val="single" w:sz="4" w:space="0" w:color="2F75B5"/>
            </w:tcBorders>
            <w:shd w:val="clear" w:color="auto" w:fill="auto"/>
            <w:vAlign w:val="center"/>
            <w:hideMark/>
          </w:tcPr>
          <w:p w:rsidR="008C7D6B" w:rsidRPr="0057417D" w:rsidRDefault="00960766"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Alimentación para participantes en eventos de capacitación</w:t>
            </w:r>
          </w:p>
        </w:tc>
        <w:tc>
          <w:tcPr>
            <w:tcW w:w="1511" w:type="dxa"/>
            <w:tcBorders>
              <w:top w:val="single" w:sz="4" w:space="0" w:color="365F91" w:themeColor="accent1" w:themeShade="BF"/>
              <w:left w:val="nil"/>
              <w:bottom w:val="single" w:sz="8" w:space="0" w:color="4F81BD"/>
              <w:right w:val="single" w:sz="8" w:space="0" w:color="4F81BD"/>
            </w:tcBorders>
            <w:shd w:val="clear" w:color="auto" w:fill="auto"/>
            <w:vAlign w:val="center"/>
            <w:hideMark/>
          </w:tcPr>
          <w:p w:rsidR="008C7D6B" w:rsidRPr="0057417D" w:rsidRDefault="008C7D6B"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7</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766</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635</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94</w:t>
            </w:r>
          </w:p>
        </w:tc>
      </w:tr>
      <w:tr w:rsidR="008C7D6B" w:rsidRPr="0057417D" w:rsidTr="00263CCA">
        <w:trPr>
          <w:trHeight w:val="349"/>
          <w:jc w:val="center"/>
        </w:trPr>
        <w:tc>
          <w:tcPr>
            <w:tcW w:w="1199" w:type="dxa"/>
            <w:vMerge/>
            <w:tcBorders>
              <w:top w:val="single" w:sz="8" w:space="0" w:color="4F81BD"/>
              <w:left w:val="single" w:sz="8" w:space="0" w:color="4F81BD"/>
              <w:bottom w:val="single" w:sz="8" w:space="0" w:color="4F81BD"/>
              <w:right w:val="nil"/>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2052" w:type="dxa"/>
            <w:vMerge/>
            <w:tcBorders>
              <w:top w:val="nil"/>
              <w:left w:val="single" w:sz="4" w:space="0" w:color="2F75B5"/>
              <w:bottom w:val="single" w:sz="8" w:space="0" w:color="4F81BD"/>
              <w:right w:val="single" w:sz="8" w:space="0" w:color="4F81BD"/>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3969" w:type="dxa"/>
            <w:tcBorders>
              <w:top w:val="single" w:sz="8" w:space="0" w:color="4F81BD"/>
              <w:left w:val="nil"/>
              <w:bottom w:val="single" w:sz="8" w:space="0" w:color="4F81BD"/>
              <w:right w:val="single" w:sz="4" w:space="0" w:color="2F75B5"/>
            </w:tcBorders>
            <w:shd w:val="clear" w:color="auto" w:fill="auto"/>
            <w:vAlign w:val="center"/>
            <w:hideMark/>
          </w:tcPr>
          <w:p w:rsidR="008C7D6B" w:rsidRPr="0057417D" w:rsidRDefault="00960766"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Contratación de instructores y de personal de apoyo</w:t>
            </w:r>
            <w:r w:rsidR="008C7D6B" w:rsidRPr="0057417D">
              <w:rPr>
                <w:rFonts w:eastAsia="Times New Roman" w:cs="Times New Roman"/>
                <w:color w:val="000000"/>
                <w:sz w:val="18"/>
                <w:szCs w:val="18"/>
                <w:lang w:eastAsia="es-CR"/>
              </w:rPr>
              <w:t xml:space="preserve"> </w:t>
            </w:r>
          </w:p>
        </w:tc>
        <w:tc>
          <w:tcPr>
            <w:tcW w:w="1511" w:type="dxa"/>
            <w:tcBorders>
              <w:top w:val="nil"/>
              <w:left w:val="nil"/>
              <w:bottom w:val="single" w:sz="8" w:space="0" w:color="4F81BD"/>
              <w:right w:val="single" w:sz="8" w:space="0" w:color="4F81BD"/>
            </w:tcBorders>
            <w:shd w:val="clear" w:color="auto" w:fill="auto"/>
            <w:vAlign w:val="center"/>
            <w:hideMark/>
          </w:tcPr>
          <w:p w:rsidR="008C7D6B" w:rsidRPr="0057417D" w:rsidRDefault="008C7D6B"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10</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507</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419</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09</w:t>
            </w:r>
          </w:p>
        </w:tc>
      </w:tr>
      <w:tr w:rsidR="008C7D6B" w:rsidRPr="0057417D" w:rsidTr="00263CCA">
        <w:trPr>
          <w:trHeight w:val="171"/>
          <w:jc w:val="center"/>
        </w:trPr>
        <w:tc>
          <w:tcPr>
            <w:tcW w:w="1199" w:type="dxa"/>
            <w:vMerge/>
            <w:tcBorders>
              <w:top w:val="single" w:sz="8" w:space="0" w:color="4F81BD"/>
              <w:left w:val="single" w:sz="8" w:space="0" w:color="4F81BD"/>
              <w:bottom w:val="single" w:sz="8" w:space="0" w:color="4F81BD"/>
              <w:right w:val="nil"/>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2052" w:type="dxa"/>
            <w:vMerge/>
            <w:tcBorders>
              <w:top w:val="nil"/>
              <w:left w:val="single" w:sz="4" w:space="0" w:color="2F75B5"/>
              <w:bottom w:val="single" w:sz="8" w:space="0" w:color="4F81BD"/>
              <w:right w:val="single" w:sz="8" w:space="0" w:color="4F81BD"/>
            </w:tcBorders>
            <w:vAlign w:val="center"/>
            <w:hideMark/>
          </w:tcPr>
          <w:p w:rsidR="008C7D6B" w:rsidRPr="0057417D" w:rsidRDefault="008C7D6B" w:rsidP="00016AB4">
            <w:pPr>
              <w:spacing w:line="240" w:lineRule="auto"/>
              <w:jc w:val="left"/>
              <w:rPr>
                <w:rFonts w:eastAsia="Times New Roman" w:cs="Times New Roman"/>
                <w:color w:val="000000"/>
                <w:sz w:val="18"/>
                <w:szCs w:val="18"/>
                <w:lang w:eastAsia="es-CR"/>
              </w:rPr>
            </w:pPr>
          </w:p>
        </w:tc>
        <w:tc>
          <w:tcPr>
            <w:tcW w:w="3969" w:type="dxa"/>
            <w:tcBorders>
              <w:top w:val="single" w:sz="8" w:space="0" w:color="4F81BD"/>
              <w:left w:val="nil"/>
              <w:bottom w:val="single" w:sz="4" w:space="0" w:color="4F81BD"/>
              <w:right w:val="single" w:sz="4" w:space="0" w:color="2F75B5"/>
            </w:tcBorders>
            <w:shd w:val="clear" w:color="auto" w:fill="auto"/>
            <w:vAlign w:val="center"/>
            <w:hideMark/>
          </w:tcPr>
          <w:p w:rsidR="008C7D6B" w:rsidRPr="0057417D" w:rsidRDefault="00960766"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Suscripciones a congresos</w:t>
            </w:r>
            <w:r w:rsidR="008C7D6B" w:rsidRPr="0057417D">
              <w:rPr>
                <w:rFonts w:eastAsia="Times New Roman" w:cs="Times New Roman"/>
                <w:color w:val="000000"/>
                <w:sz w:val="18"/>
                <w:szCs w:val="18"/>
                <w:lang w:eastAsia="es-CR"/>
              </w:rPr>
              <w:t xml:space="preserve"> </w:t>
            </w:r>
          </w:p>
        </w:tc>
        <w:tc>
          <w:tcPr>
            <w:tcW w:w="1511" w:type="dxa"/>
            <w:tcBorders>
              <w:top w:val="nil"/>
              <w:left w:val="nil"/>
              <w:bottom w:val="single" w:sz="8" w:space="0" w:color="4F81BD"/>
              <w:right w:val="single" w:sz="8" w:space="0" w:color="4F81BD"/>
            </w:tcBorders>
            <w:shd w:val="clear" w:color="auto" w:fill="auto"/>
            <w:vAlign w:val="center"/>
            <w:hideMark/>
          </w:tcPr>
          <w:p w:rsidR="008C7D6B" w:rsidRPr="0057417D" w:rsidRDefault="008C7D6B"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42</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492</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634</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2</w:t>
            </w:r>
            <w:r w:rsidR="00960766" w:rsidRPr="0057417D">
              <w:rPr>
                <w:rFonts w:eastAsia="Times New Roman" w:cs="Times New Roman"/>
                <w:color w:val="000000"/>
                <w:sz w:val="18"/>
                <w:szCs w:val="18"/>
                <w:lang w:eastAsia="es-CR"/>
              </w:rPr>
              <w:t>4</w:t>
            </w:r>
          </w:p>
        </w:tc>
      </w:tr>
      <w:tr w:rsidR="00287A6E" w:rsidRPr="0057417D" w:rsidTr="00263CCA">
        <w:trPr>
          <w:trHeight w:val="501"/>
          <w:jc w:val="center"/>
        </w:trPr>
        <w:tc>
          <w:tcPr>
            <w:tcW w:w="1199" w:type="dxa"/>
            <w:tcBorders>
              <w:top w:val="nil"/>
              <w:left w:val="single" w:sz="8" w:space="0" w:color="4F81BD"/>
              <w:bottom w:val="single" w:sz="8" w:space="0" w:color="4F81BD"/>
              <w:right w:val="nil"/>
            </w:tcBorders>
            <w:shd w:val="clear" w:color="auto" w:fill="auto"/>
            <w:vAlign w:val="center"/>
          </w:tcPr>
          <w:p w:rsidR="00287A6E" w:rsidRPr="0057417D" w:rsidRDefault="00287A6E" w:rsidP="00016AB4">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2 99 02</w:t>
            </w:r>
          </w:p>
        </w:tc>
        <w:tc>
          <w:tcPr>
            <w:tcW w:w="2052" w:type="dxa"/>
            <w:tcBorders>
              <w:top w:val="nil"/>
              <w:left w:val="single" w:sz="4" w:space="0" w:color="2F75B5"/>
              <w:bottom w:val="single" w:sz="8" w:space="0" w:color="4F81BD"/>
              <w:right w:val="single" w:sz="8" w:space="0" w:color="4F81BD"/>
            </w:tcBorders>
            <w:shd w:val="clear" w:color="auto" w:fill="auto"/>
            <w:vAlign w:val="center"/>
          </w:tcPr>
          <w:p w:rsidR="00287A6E" w:rsidRPr="0057417D" w:rsidRDefault="00287A6E" w:rsidP="00316A7A">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 xml:space="preserve">Útiles y materiales </w:t>
            </w:r>
            <w:r w:rsidR="00316A7A" w:rsidRPr="0057417D">
              <w:rPr>
                <w:rFonts w:eastAsia="Times New Roman" w:cs="Times New Roman"/>
                <w:color w:val="000000"/>
                <w:sz w:val="18"/>
                <w:szCs w:val="18"/>
                <w:lang w:eastAsia="es-CR"/>
              </w:rPr>
              <w:t>de limpieza</w:t>
            </w:r>
          </w:p>
        </w:tc>
        <w:tc>
          <w:tcPr>
            <w:tcW w:w="3969" w:type="dxa"/>
            <w:tcBorders>
              <w:top w:val="single" w:sz="4" w:space="0" w:color="4F81BD"/>
              <w:left w:val="nil"/>
              <w:bottom w:val="single" w:sz="4" w:space="0" w:color="4F81BD"/>
              <w:right w:val="single" w:sz="4" w:space="0" w:color="2F75B5"/>
            </w:tcBorders>
            <w:shd w:val="clear" w:color="auto" w:fill="auto"/>
            <w:vAlign w:val="center"/>
          </w:tcPr>
          <w:p w:rsidR="00287A6E" w:rsidRPr="0057417D" w:rsidRDefault="00316A7A" w:rsidP="00016AB4">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Suministros de oficina</w:t>
            </w:r>
          </w:p>
        </w:tc>
        <w:tc>
          <w:tcPr>
            <w:tcW w:w="1511" w:type="dxa"/>
            <w:tcBorders>
              <w:top w:val="nil"/>
              <w:left w:val="nil"/>
              <w:bottom w:val="single" w:sz="8" w:space="0" w:color="4F81BD"/>
              <w:right w:val="single" w:sz="8" w:space="0" w:color="4F81BD"/>
            </w:tcBorders>
            <w:shd w:val="clear" w:color="auto" w:fill="auto"/>
            <w:vAlign w:val="center"/>
          </w:tcPr>
          <w:p w:rsidR="00287A6E" w:rsidRPr="0057417D" w:rsidRDefault="00287A6E"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2</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108</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846</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67</w:t>
            </w:r>
          </w:p>
        </w:tc>
      </w:tr>
      <w:tr w:rsidR="00D42771" w:rsidRPr="0057417D" w:rsidTr="00263CCA">
        <w:trPr>
          <w:trHeight w:val="607"/>
          <w:jc w:val="center"/>
        </w:trPr>
        <w:tc>
          <w:tcPr>
            <w:tcW w:w="1199" w:type="dxa"/>
            <w:tcBorders>
              <w:top w:val="nil"/>
              <w:left w:val="single" w:sz="8" w:space="0" w:color="4F81BD"/>
              <w:bottom w:val="single" w:sz="8" w:space="0" w:color="4F81BD"/>
              <w:right w:val="nil"/>
            </w:tcBorders>
            <w:shd w:val="clear" w:color="auto" w:fill="auto"/>
            <w:vAlign w:val="center"/>
          </w:tcPr>
          <w:p w:rsidR="00D42771" w:rsidRPr="0057417D" w:rsidRDefault="00D42771" w:rsidP="00287A6E">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5 01 06</w:t>
            </w:r>
          </w:p>
        </w:tc>
        <w:tc>
          <w:tcPr>
            <w:tcW w:w="2052" w:type="dxa"/>
            <w:tcBorders>
              <w:top w:val="nil"/>
              <w:left w:val="single" w:sz="4" w:space="0" w:color="2F75B5"/>
              <w:bottom w:val="single" w:sz="8" w:space="0" w:color="4F81BD"/>
              <w:right w:val="single" w:sz="8" w:space="0" w:color="4F81BD"/>
            </w:tcBorders>
            <w:shd w:val="clear" w:color="auto" w:fill="auto"/>
            <w:vAlign w:val="center"/>
          </w:tcPr>
          <w:p w:rsidR="00D42771" w:rsidRPr="0057417D" w:rsidRDefault="00D42771"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Equipo sanitario, laboratorio e investigación</w:t>
            </w:r>
          </w:p>
        </w:tc>
        <w:tc>
          <w:tcPr>
            <w:tcW w:w="3969" w:type="dxa"/>
            <w:tcBorders>
              <w:top w:val="single" w:sz="4" w:space="0" w:color="4F81BD"/>
              <w:left w:val="nil"/>
              <w:bottom w:val="single" w:sz="4" w:space="0" w:color="4F81BD"/>
              <w:right w:val="single" w:sz="4" w:space="0" w:color="2F75B5"/>
            </w:tcBorders>
            <w:shd w:val="clear" w:color="auto" w:fill="auto"/>
            <w:vAlign w:val="center"/>
          </w:tcPr>
          <w:p w:rsidR="00D42771" w:rsidRPr="0057417D" w:rsidRDefault="00316A7A"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Camilla exploratoria ginecológica (consultorio médico)</w:t>
            </w:r>
          </w:p>
        </w:tc>
        <w:tc>
          <w:tcPr>
            <w:tcW w:w="1511" w:type="dxa"/>
            <w:tcBorders>
              <w:top w:val="nil"/>
              <w:left w:val="nil"/>
              <w:bottom w:val="single" w:sz="8" w:space="0" w:color="4F81BD"/>
              <w:right w:val="single" w:sz="8" w:space="0" w:color="4F81BD"/>
            </w:tcBorders>
            <w:shd w:val="clear" w:color="auto" w:fill="auto"/>
            <w:vAlign w:val="center"/>
          </w:tcPr>
          <w:p w:rsidR="00D42771" w:rsidRPr="0057417D" w:rsidRDefault="00D42771" w:rsidP="00316A7A">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900</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000</w:t>
            </w:r>
            <w:r w:rsidR="00263CCA">
              <w:rPr>
                <w:rFonts w:eastAsia="Times New Roman" w:cs="Times New Roman"/>
                <w:color w:val="000000"/>
                <w:sz w:val="18"/>
                <w:szCs w:val="18"/>
                <w:lang w:eastAsia="es-CR"/>
              </w:rPr>
              <w:t>,</w:t>
            </w:r>
            <w:r w:rsidR="00316A7A" w:rsidRPr="0057417D">
              <w:rPr>
                <w:rFonts w:eastAsia="Times New Roman" w:cs="Times New Roman"/>
                <w:color w:val="000000"/>
                <w:sz w:val="18"/>
                <w:szCs w:val="18"/>
                <w:lang w:eastAsia="es-CR"/>
              </w:rPr>
              <w:t>00</w:t>
            </w:r>
          </w:p>
        </w:tc>
      </w:tr>
      <w:tr w:rsidR="00D42771" w:rsidRPr="0057417D" w:rsidTr="00263CCA">
        <w:trPr>
          <w:trHeight w:val="433"/>
          <w:jc w:val="center"/>
        </w:trPr>
        <w:tc>
          <w:tcPr>
            <w:tcW w:w="1199" w:type="dxa"/>
            <w:tcBorders>
              <w:top w:val="nil"/>
              <w:left w:val="single" w:sz="8" w:space="0" w:color="4F81BD"/>
              <w:bottom w:val="single" w:sz="8" w:space="0" w:color="4F81BD"/>
              <w:right w:val="nil"/>
            </w:tcBorders>
            <w:shd w:val="clear" w:color="auto" w:fill="auto"/>
            <w:vAlign w:val="center"/>
          </w:tcPr>
          <w:p w:rsidR="00D42771" w:rsidRPr="0057417D" w:rsidRDefault="00D42771" w:rsidP="001551DC">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 xml:space="preserve">5 01 </w:t>
            </w:r>
            <w:r w:rsidR="001551DC" w:rsidRPr="0057417D">
              <w:rPr>
                <w:rFonts w:eastAsia="Times New Roman" w:cs="Times New Roman"/>
                <w:color w:val="000000"/>
                <w:sz w:val="18"/>
                <w:szCs w:val="18"/>
                <w:lang w:eastAsia="es-CR"/>
              </w:rPr>
              <w:t>06</w:t>
            </w:r>
          </w:p>
        </w:tc>
        <w:tc>
          <w:tcPr>
            <w:tcW w:w="2052" w:type="dxa"/>
            <w:tcBorders>
              <w:top w:val="nil"/>
              <w:left w:val="single" w:sz="4" w:space="0" w:color="2F75B5"/>
              <w:bottom w:val="single" w:sz="8" w:space="0" w:color="4F81BD"/>
              <w:right w:val="single" w:sz="8" w:space="0" w:color="4F81BD"/>
            </w:tcBorders>
            <w:shd w:val="clear" w:color="auto" w:fill="auto"/>
            <w:vAlign w:val="center"/>
          </w:tcPr>
          <w:p w:rsidR="00D42771" w:rsidRPr="0057417D" w:rsidRDefault="001551DC"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Equipo sanitario, laboratorio e investigación</w:t>
            </w:r>
          </w:p>
        </w:tc>
        <w:tc>
          <w:tcPr>
            <w:tcW w:w="3969" w:type="dxa"/>
            <w:tcBorders>
              <w:top w:val="single" w:sz="4" w:space="0" w:color="4F81BD"/>
              <w:left w:val="nil"/>
              <w:bottom w:val="single" w:sz="4" w:space="0" w:color="4F81BD"/>
              <w:right w:val="single" w:sz="4" w:space="0" w:color="2F75B5"/>
            </w:tcBorders>
            <w:shd w:val="clear" w:color="auto" w:fill="auto"/>
            <w:vAlign w:val="center"/>
          </w:tcPr>
          <w:p w:rsidR="00D42771" w:rsidRPr="0057417D" w:rsidRDefault="001551DC"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Electrocardiografo</w:t>
            </w:r>
          </w:p>
        </w:tc>
        <w:tc>
          <w:tcPr>
            <w:tcW w:w="1511" w:type="dxa"/>
            <w:tcBorders>
              <w:top w:val="nil"/>
              <w:left w:val="nil"/>
              <w:bottom w:val="single" w:sz="8" w:space="0" w:color="4F81BD"/>
              <w:right w:val="single" w:sz="8" w:space="0" w:color="4F81BD"/>
            </w:tcBorders>
            <w:shd w:val="clear" w:color="auto" w:fill="auto"/>
            <w:vAlign w:val="center"/>
          </w:tcPr>
          <w:p w:rsidR="00D42771" w:rsidRPr="0057417D" w:rsidRDefault="00D42771" w:rsidP="001551DC">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1</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080</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000</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0</w:t>
            </w:r>
            <w:r w:rsidRPr="0057417D">
              <w:rPr>
                <w:rFonts w:eastAsia="Times New Roman" w:cs="Times New Roman"/>
                <w:color w:val="000000"/>
                <w:sz w:val="18"/>
                <w:szCs w:val="18"/>
                <w:lang w:eastAsia="es-CR"/>
              </w:rPr>
              <w:t>0</w:t>
            </w:r>
          </w:p>
        </w:tc>
      </w:tr>
      <w:tr w:rsidR="00D42771" w:rsidRPr="0057417D" w:rsidTr="00263CCA">
        <w:trPr>
          <w:trHeight w:val="315"/>
          <w:jc w:val="center"/>
        </w:trPr>
        <w:tc>
          <w:tcPr>
            <w:tcW w:w="1199" w:type="dxa"/>
            <w:tcBorders>
              <w:top w:val="nil"/>
              <w:left w:val="single" w:sz="8" w:space="0" w:color="4F81BD"/>
              <w:bottom w:val="single" w:sz="4" w:space="0" w:color="365F91" w:themeColor="accent1" w:themeShade="BF"/>
              <w:right w:val="nil"/>
            </w:tcBorders>
            <w:shd w:val="clear" w:color="auto" w:fill="auto"/>
            <w:vAlign w:val="center"/>
          </w:tcPr>
          <w:p w:rsidR="00D42771" w:rsidRPr="0057417D" w:rsidRDefault="00D42771" w:rsidP="00287A6E">
            <w:pPr>
              <w:spacing w:line="240" w:lineRule="auto"/>
              <w:jc w:val="center"/>
              <w:rPr>
                <w:rFonts w:eastAsia="Times New Roman" w:cs="Times New Roman"/>
                <w:color w:val="000000"/>
                <w:sz w:val="18"/>
                <w:szCs w:val="18"/>
                <w:lang w:eastAsia="es-CR"/>
              </w:rPr>
            </w:pPr>
            <w:r w:rsidRPr="0057417D">
              <w:rPr>
                <w:rFonts w:eastAsia="Times New Roman" w:cs="Times New Roman"/>
                <w:color w:val="000000"/>
                <w:sz w:val="18"/>
                <w:szCs w:val="18"/>
                <w:lang w:eastAsia="es-CR"/>
              </w:rPr>
              <w:t>5 99 03</w:t>
            </w:r>
          </w:p>
        </w:tc>
        <w:tc>
          <w:tcPr>
            <w:tcW w:w="2052" w:type="dxa"/>
            <w:tcBorders>
              <w:top w:val="nil"/>
              <w:left w:val="single" w:sz="4" w:space="0" w:color="2F75B5"/>
              <w:bottom w:val="single" w:sz="4" w:space="0" w:color="365F91" w:themeColor="accent1" w:themeShade="BF"/>
              <w:right w:val="single" w:sz="8" w:space="0" w:color="4F81BD"/>
            </w:tcBorders>
            <w:shd w:val="clear" w:color="auto" w:fill="auto"/>
            <w:vAlign w:val="center"/>
          </w:tcPr>
          <w:p w:rsidR="00D42771" w:rsidRPr="0057417D" w:rsidRDefault="00D42771"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Bienes intangibles</w:t>
            </w:r>
          </w:p>
        </w:tc>
        <w:tc>
          <w:tcPr>
            <w:tcW w:w="3969" w:type="dxa"/>
            <w:tcBorders>
              <w:top w:val="single" w:sz="4" w:space="0" w:color="4F81BD"/>
              <w:left w:val="nil"/>
              <w:bottom w:val="single" w:sz="4" w:space="0" w:color="365F91" w:themeColor="accent1" w:themeShade="BF"/>
              <w:right w:val="single" w:sz="4" w:space="0" w:color="2F75B5"/>
            </w:tcBorders>
            <w:shd w:val="clear" w:color="auto" w:fill="auto"/>
            <w:vAlign w:val="center"/>
          </w:tcPr>
          <w:p w:rsidR="00D42771" w:rsidRPr="0057417D" w:rsidRDefault="00125D57" w:rsidP="00D42771">
            <w:pPr>
              <w:spacing w:line="240" w:lineRule="auto"/>
              <w:jc w:val="left"/>
              <w:rPr>
                <w:rFonts w:eastAsia="Times New Roman" w:cs="Times New Roman"/>
                <w:color w:val="000000"/>
                <w:sz w:val="18"/>
                <w:szCs w:val="18"/>
                <w:lang w:eastAsia="es-CR"/>
              </w:rPr>
            </w:pPr>
            <w:r w:rsidRPr="0057417D">
              <w:rPr>
                <w:rFonts w:eastAsia="Times New Roman" w:cs="Times New Roman"/>
                <w:color w:val="000000"/>
                <w:sz w:val="18"/>
                <w:szCs w:val="18"/>
                <w:lang w:eastAsia="es-CR"/>
              </w:rPr>
              <w:t>Renovación de licencias IBNRS/WORKFLOW</w:t>
            </w:r>
          </w:p>
        </w:tc>
        <w:tc>
          <w:tcPr>
            <w:tcW w:w="1511" w:type="dxa"/>
            <w:tcBorders>
              <w:top w:val="nil"/>
              <w:left w:val="nil"/>
              <w:bottom w:val="single" w:sz="4" w:space="0" w:color="365F91" w:themeColor="accent1" w:themeShade="BF"/>
              <w:right w:val="single" w:sz="8" w:space="0" w:color="4F81BD"/>
            </w:tcBorders>
            <w:shd w:val="clear" w:color="auto" w:fill="auto"/>
            <w:vAlign w:val="center"/>
          </w:tcPr>
          <w:p w:rsidR="00D42771" w:rsidRPr="0057417D" w:rsidRDefault="00125D57" w:rsidP="001551DC">
            <w:pPr>
              <w:spacing w:line="240" w:lineRule="auto"/>
              <w:jc w:val="right"/>
              <w:rPr>
                <w:rFonts w:eastAsia="Times New Roman" w:cs="Times New Roman"/>
                <w:color w:val="000000"/>
                <w:sz w:val="18"/>
                <w:szCs w:val="18"/>
                <w:lang w:eastAsia="es-CR"/>
              </w:rPr>
            </w:pPr>
            <w:r w:rsidRPr="0057417D">
              <w:rPr>
                <w:rFonts w:eastAsia="Times New Roman" w:cs="Times New Roman"/>
                <w:color w:val="000000"/>
                <w:sz w:val="18"/>
                <w:szCs w:val="18"/>
                <w:lang w:eastAsia="es-CR"/>
              </w:rPr>
              <w:t>¢1</w:t>
            </w:r>
            <w:r w:rsidR="001551DC" w:rsidRPr="0057417D">
              <w:rPr>
                <w:rFonts w:eastAsia="Times New Roman" w:cs="Times New Roman"/>
                <w:color w:val="000000"/>
                <w:sz w:val="18"/>
                <w:szCs w:val="18"/>
                <w:lang w:eastAsia="es-CR"/>
              </w:rPr>
              <w:t>8</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182</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844</w:t>
            </w:r>
            <w:r w:rsidR="00263CCA">
              <w:rPr>
                <w:rFonts w:eastAsia="Times New Roman" w:cs="Times New Roman"/>
                <w:color w:val="000000"/>
                <w:sz w:val="18"/>
                <w:szCs w:val="18"/>
                <w:lang w:eastAsia="es-CR"/>
              </w:rPr>
              <w:t>,</w:t>
            </w:r>
            <w:r w:rsidR="001551DC" w:rsidRPr="0057417D">
              <w:rPr>
                <w:rFonts w:eastAsia="Times New Roman" w:cs="Times New Roman"/>
                <w:color w:val="000000"/>
                <w:sz w:val="18"/>
                <w:szCs w:val="18"/>
                <w:lang w:eastAsia="es-CR"/>
              </w:rPr>
              <w:t>14</w:t>
            </w:r>
          </w:p>
        </w:tc>
      </w:tr>
    </w:tbl>
    <w:p w:rsidR="005A3838" w:rsidRPr="0057417D" w:rsidRDefault="005A3838">
      <w:pPr>
        <w:spacing w:line="360" w:lineRule="auto"/>
        <w:jc w:val="left"/>
        <w:rPr>
          <w:rFonts w:ascii="Century Gothic" w:hAnsi="Century Gothic"/>
          <w:b/>
          <w:color w:val="002060"/>
          <w:sz w:val="20"/>
          <w:szCs w:val="20"/>
        </w:rPr>
      </w:pPr>
    </w:p>
    <w:p w:rsidR="00BD4424" w:rsidRPr="0057417D" w:rsidRDefault="00BD4424">
      <w:pPr>
        <w:spacing w:line="360" w:lineRule="auto"/>
        <w:jc w:val="left"/>
        <w:rPr>
          <w:rFonts w:ascii="Century Gothic" w:hAnsi="Century Gothic"/>
          <w:b/>
          <w:color w:val="002060"/>
          <w:sz w:val="20"/>
          <w:szCs w:val="20"/>
        </w:rPr>
      </w:pPr>
    </w:p>
    <w:p w:rsidR="00133D43" w:rsidRPr="0057417D" w:rsidRDefault="00133D43" w:rsidP="00016AB4">
      <w:pPr>
        <w:pStyle w:val="Ttulo2"/>
        <w:numPr>
          <w:ilvl w:val="0"/>
          <w:numId w:val="6"/>
        </w:numPr>
        <w:spacing w:before="0" w:line="240" w:lineRule="auto"/>
        <w:rPr>
          <w:b/>
        </w:rPr>
      </w:pPr>
      <w:r w:rsidRPr="0057417D">
        <w:rPr>
          <w:b/>
        </w:rPr>
        <w:t xml:space="preserve">Procesos o demandas judiciales enfrentadas o promovidas  </w:t>
      </w:r>
    </w:p>
    <w:p w:rsidR="00133D43" w:rsidRPr="0057417D" w:rsidRDefault="00133D43" w:rsidP="00016AB4">
      <w:pPr>
        <w:spacing w:line="240" w:lineRule="auto"/>
        <w:rPr>
          <w:color w:val="1F497D"/>
        </w:rPr>
      </w:pPr>
    </w:p>
    <w:p w:rsidR="009F7D4B" w:rsidRPr="0057417D" w:rsidRDefault="008C0342" w:rsidP="00016AB4">
      <w:pPr>
        <w:spacing w:line="240" w:lineRule="auto"/>
        <w:rPr>
          <w:color w:val="002060"/>
          <w:szCs w:val="24"/>
        </w:rPr>
      </w:pPr>
      <w:r w:rsidRPr="0057417D">
        <w:rPr>
          <w:szCs w:val="24"/>
        </w:rPr>
        <w:t>Al finalizar</w:t>
      </w:r>
      <w:r w:rsidR="00530F29" w:rsidRPr="0057417D">
        <w:rPr>
          <w:szCs w:val="24"/>
        </w:rPr>
        <w:t xml:space="preserve"> 201</w:t>
      </w:r>
      <w:r w:rsidR="00397EC7" w:rsidRPr="0057417D">
        <w:rPr>
          <w:szCs w:val="24"/>
        </w:rPr>
        <w:t>9</w:t>
      </w:r>
      <w:r w:rsidR="00530F29" w:rsidRPr="0057417D">
        <w:rPr>
          <w:szCs w:val="24"/>
        </w:rPr>
        <w:t xml:space="preserve">, </w:t>
      </w:r>
      <w:r w:rsidRPr="0057417D">
        <w:rPr>
          <w:szCs w:val="24"/>
        </w:rPr>
        <w:t xml:space="preserve">la </w:t>
      </w:r>
      <w:r w:rsidR="000A0042" w:rsidRPr="0057417D">
        <w:rPr>
          <w:szCs w:val="24"/>
        </w:rPr>
        <w:t>SUGESE</w:t>
      </w:r>
      <w:r w:rsidRPr="0057417D">
        <w:rPr>
          <w:szCs w:val="24"/>
        </w:rPr>
        <w:t xml:space="preserve"> mantenía abiertos los procesos o demandas judiciales que se presentan en el</w:t>
      </w:r>
      <w:r w:rsidR="00E2727E" w:rsidRPr="0057417D">
        <w:rPr>
          <w:szCs w:val="24"/>
        </w:rPr>
        <w:t xml:space="preserve"> cuadro</w:t>
      </w:r>
      <w:r w:rsidR="00595D69" w:rsidRPr="0057417D">
        <w:rPr>
          <w:szCs w:val="24"/>
        </w:rPr>
        <w:t xml:space="preserve"> 7</w:t>
      </w:r>
      <w:r w:rsidRPr="0057417D">
        <w:rPr>
          <w:szCs w:val="24"/>
        </w:rPr>
        <w:t>.</w:t>
      </w:r>
    </w:p>
    <w:p w:rsidR="005F42B7" w:rsidRPr="0057417D" w:rsidRDefault="005F42B7" w:rsidP="00016AB4">
      <w:pPr>
        <w:spacing w:line="240" w:lineRule="auto"/>
        <w:jc w:val="center"/>
        <w:rPr>
          <w:rFonts w:ascii="Century Gothic" w:hAnsi="Century Gothic"/>
          <w:b/>
          <w:color w:val="002060"/>
          <w:sz w:val="20"/>
          <w:szCs w:val="20"/>
        </w:rPr>
      </w:pPr>
    </w:p>
    <w:p w:rsidR="00263CCA" w:rsidRDefault="00263CCA">
      <w:pPr>
        <w:spacing w:line="360" w:lineRule="auto"/>
        <w:jc w:val="left"/>
        <w:rPr>
          <w:rFonts w:ascii="Century Gothic" w:hAnsi="Century Gothic"/>
          <w:b/>
          <w:color w:val="002060"/>
          <w:sz w:val="20"/>
          <w:szCs w:val="20"/>
        </w:rPr>
      </w:pPr>
      <w:r>
        <w:rPr>
          <w:rFonts w:ascii="Century Gothic" w:hAnsi="Century Gothic"/>
          <w:b/>
          <w:color w:val="002060"/>
          <w:sz w:val="20"/>
          <w:szCs w:val="20"/>
        </w:rPr>
        <w:br w:type="page"/>
      </w:r>
    </w:p>
    <w:p w:rsidR="00FD24B3" w:rsidRPr="0057417D" w:rsidRDefault="00FD24B3" w:rsidP="00016AB4">
      <w:pPr>
        <w:spacing w:line="240" w:lineRule="auto"/>
        <w:jc w:val="center"/>
        <w:rPr>
          <w:rFonts w:ascii="Century Gothic" w:hAnsi="Century Gothic"/>
          <w:b/>
          <w:color w:val="002060"/>
          <w:sz w:val="20"/>
          <w:szCs w:val="20"/>
        </w:rPr>
      </w:pPr>
      <w:r w:rsidRPr="0057417D">
        <w:rPr>
          <w:rFonts w:ascii="Century Gothic" w:hAnsi="Century Gothic"/>
          <w:b/>
          <w:color w:val="002060"/>
          <w:sz w:val="20"/>
          <w:szCs w:val="20"/>
        </w:rPr>
        <w:t xml:space="preserve">CUADRO </w:t>
      </w:r>
      <w:r w:rsidRPr="0057417D">
        <w:rPr>
          <w:rFonts w:ascii="Century Gothic" w:hAnsi="Century Gothic"/>
          <w:b/>
          <w:color w:val="002060"/>
          <w:sz w:val="20"/>
          <w:szCs w:val="20"/>
        </w:rPr>
        <w:fldChar w:fldCharType="begin"/>
      </w:r>
      <w:r w:rsidRPr="0057417D">
        <w:rPr>
          <w:rFonts w:ascii="Century Gothic" w:hAnsi="Century Gothic"/>
          <w:b/>
          <w:color w:val="002060"/>
          <w:sz w:val="20"/>
          <w:szCs w:val="20"/>
        </w:rPr>
        <w:instrText xml:space="preserve"> AUTONUM  \s " " </w:instrText>
      </w:r>
      <w:r w:rsidRPr="0057417D">
        <w:rPr>
          <w:rFonts w:ascii="Century Gothic" w:hAnsi="Century Gothic"/>
          <w:b/>
          <w:color w:val="002060"/>
          <w:sz w:val="20"/>
          <w:szCs w:val="20"/>
        </w:rPr>
        <w:fldChar w:fldCharType="end"/>
      </w:r>
    </w:p>
    <w:p w:rsidR="003C0A1D" w:rsidRPr="0057417D" w:rsidRDefault="003C0A1D" w:rsidP="00016AB4">
      <w:pPr>
        <w:spacing w:line="240" w:lineRule="auto"/>
        <w:jc w:val="center"/>
        <w:rPr>
          <w:rFonts w:ascii="Century Gothic" w:hAnsi="Century Gothic" w:cs="Century Gothic"/>
          <w:bCs/>
          <w:kern w:val="24"/>
          <w:sz w:val="20"/>
          <w:szCs w:val="20"/>
        </w:rPr>
      </w:pPr>
      <w:r w:rsidRPr="0057417D">
        <w:rPr>
          <w:rFonts w:ascii="Century Gothic" w:hAnsi="Century Gothic" w:cs="Century Gothic"/>
          <w:bCs/>
          <w:kern w:val="24"/>
          <w:sz w:val="20"/>
          <w:szCs w:val="20"/>
        </w:rPr>
        <w:t>Superintendencia General de Seguros</w:t>
      </w:r>
    </w:p>
    <w:p w:rsidR="009F7D4B" w:rsidRPr="0057417D" w:rsidRDefault="009F7D4B"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 xml:space="preserve">Procesos o demandas Judiciales </w:t>
      </w:r>
    </w:p>
    <w:p w:rsidR="00CD0DAA" w:rsidRPr="0057417D" w:rsidRDefault="00CD0DAA" w:rsidP="00016AB4">
      <w:pPr>
        <w:spacing w:line="240" w:lineRule="auto"/>
        <w:jc w:val="center"/>
        <w:rPr>
          <w:rFonts w:ascii="Century Gothic" w:hAnsi="Century Gothic"/>
          <w:color w:val="404040" w:themeColor="text1" w:themeTint="BF"/>
          <w:sz w:val="18"/>
          <w:szCs w:val="18"/>
        </w:rPr>
      </w:pPr>
      <w:r w:rsidRPr="0057417D">
        <w:rPr>
          <w:rFonts w:ascii="Century Gothic" w:hAnsi="Century Gothic"/>
          <w:color w:val="404040" w:themeColor="text1" w:themeTint="BF"/>
          <w:sz w:val="18"/>
          <w:szCs w:val="18"/>
        </w:rPr>
        <w:t>Al 31 de diciembre de 201</w:t>
      </w:r>
      <w:r w:rsidR="00397EC7" w:rsidRPr="0057417D">
        <w:rPr>
          <w:rFonts w:ascii="Century Gothic" w:hAnsi="Century Gothic"/>
          <w:color w:val="404040" w:themeColor="text1" w:themeTint="BF"/>
          <w:sz w:val="18"/>
          <w:szCs w:val="18"/>
        </w:rPr>
        <w:t>9</w:t>
      </w:r>
    </w:p>
    <w:tbl>
      <w:tblPr>
        <w:tblW w:w="878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0" w:type="dxa"/>
          <w:right w:w="0" w:type="dxa"/>
        </w:tblCellMar>
        <w:tblLook w:val="04A0" w:firstRow="1" w:lastRow="0" w:firstColumn="1" w:lastColumn="0" w:noHBand="0" w:noVBand="1"/>
      </w:tblPr>
      <w:tblGrid>
        <w:gridCol w:w="1833"/>
        <w:gridCol w:w="2977"/>
        <w:gridCol w:w="2268"/>
        <w:gridCol w:w="1705"/>
      </w:tblGrid>
      <w:tr w:rsidR="00397EC7" w:rsidRPr="0057417D" w:rsidTr="00263CCA">
        <w:trPr>
          <w:cantSplit/>
          <w:tblHeader/>
          <w:jc w:val="center"/>
        </w:trPr>
        <w:tc>
          <w:tcPr>
            <w:tcW w:w="1833" w:type="dxa"/>
            <w:shd w:val="clear" w:color="auto" w:fill="365F91"/>
            <w:tcMar>
              <w:top w:w="0" w:type="dxa"/>
              <w:left w:w="108" w:type="dxa"/>
              <w:bottom w:w="0" w:type="dxa"/>
              <w:right w:w="108" w:type="dxa"/>
            </w:tcMar>
            <w:vAlign w:val="center"/>
            <w:hideMark/>
          </w:tcPr>
          <w:p w:rsidR="00397EC7" w:rsidRPr="0057417D" w:rsidRDefault="00397EC7" w:rsidP="000A0042">
            <w:pPr>
              <w:spacing w:line="240" w:lineRule="auto"/>
              <w:jc w:val="center"/>
              <w:rPr>
                <w:rFonts w:eastAsia="Calibri" w:cstheme="minorHAnsi"/>
                <w:b/>
                <w:color w:val="FFFFFF"/>
                <w:sz w:val="18"/>
                <w:szCs w:val="18"/>
              </w:rPr>
            </w:pPr>
            <w:r w:rsidRPr="0057417D">
              <w:rPr>
                <w:rFonts w:eastAsia="Calibri" w:cstheme="minorHAnsi"/>
                <w:color w:val="1F497D"/>
                <w:sz w:val="18"/>
                <w:szCs w:val="18"/>
              </w:rPr>
              <w:t xml:space="preserve">  </w:t>
            </w:r>
            <w:r w:rsidRPr="0057417D">
              <w:rPr>
                <w:rFonts w:eastAsia="Calibri" w:cstheme="minorHAnsi"/>
                <w:b/>
                <w:color w:val="FFFFFF"/>
                <w:sz w:val="18"/>
                <w:szCs w:val="18"/>
              </w:rPr>
              <w:t>N° de expediente</w:t>
            </w:r>
          </w:p>
        </w:tc>
        <w:tc>
          <w:tcPr>
            <w:tcW w:w="2977" w:type="dxa"/>
            <w:shd w:val="clear" w:color="auto" w:fill="365F91"/>
            <w:tcMar>
              <w:top w:w="0" w:type="dxa"/>
              <w:left w:w="108" w:type="dxa"/>
              <w:bottom w:w="0" w:type="dxa"/>
              <w:right w:w="108" w:type="dxa"/>
            </w:tcMar>
            <w:vAlign w:val="center"/>
            <w:hideMark/>
          </w:tcPr>
          <w:p w:rsidR="00397EC7" w:rsidRPr="0057417D" w:rsidRDefault="00397EC7" w:rsidP="000A0042">
            <w:pPr>
              <w:spacing w:line="240" w:lineRule="auto"/>
              <w:jc w:val="center"/>
              <w:rPr>
                <w:rFonts w:eastAsia="Calibri" w:cstheme="minorHAnsi"/>
                <w:b/>
                <w:color w:val="FFFFFF"/>
                <w:sz w:val="18"/>
                <w:szCs w:val="18"/>
              </w:rPr>
            </w:pPr>
            <w:r w:rsidRPr="0057417D">
              <w:rPr>
                <w:rFonts w:eastAsia="Calibri" w:cstheme="minorHAnsi"/>
                <w:b/>
                <w:color w:val="FFFFFF"/>
                <w:sz w:val="18"/>
                <w:szCs w:val="18"/>
              </w:rPr>
              <w:t>Descripción de la demanda</w:t>
            </w:r>
          </w:p>
        </w:tc>
        <w:tc>
          <w:tcPr>
            <w:tcW w:w="2268" w:type="dxa"/>
            <w:shd w:val="clear" w:color="auto" w:fill="365F91"/>
            <w:tcMar>
              <w:top w:w="0" w:type="dxa"/>
              <w:left w:w="108" w:type="dxa"/>
              <w:bottom w:w="0" w:type="dxa"/>
              <w:right w:w="108" w:type="dxa"/>
            </w:tcMar>
            <w:vAlign w:val="center"/>
            <w:hideMark/>
          </w:tcPr>
          <w:p w:rsidR="00397EC7" w:rsidRPr="0057417D" w:rsidRDefault="00397EC7" w:rsidP="000A0042">
            <w:pPr>
              <w:spacing w:line="240" w:lineRule="auto"/>
              <w:jc w:val="center"/>
              <w:rPr>
                <w:rFonts w:eastAsia="Calibri" w:cstheme="minorHAnsi"/>
                <w:b/>
                <w:color w:val="FFFFFF"/>
                <w:sz w:val="18"/>
                <w:szCs w:val="18"/>
              </w:rPr>
            </w:pPr>
            <w:r w:rsidRPr="0057417D">
              <w:rPr>
                <w:rFonts w:eastAsia="Calibri" w:cstheme="minorHAnsi"/>
                <w:b/>
                <w:color w:val="FFFFFF"/>
                <w:sz w:val="18"/>
                <w:szCs w:val="18"/>
              </w:rPr>
              <w:t xml:space="preserve">Estado de la demanda </w:t>
            </w:r>
          </w:p>
        </w:tc>
        <w:tc>
          <w:tcPr>
            <w:tcW w:w="1705" w:type="dxa"/>
            <w:shd w:val="clear" w:color="auto" w:fill="365F91"/>
            <w:tcMar>
              <w:top w:w="0" w:type="dxa"/>
              <w:left w:w="108" w:type="dxa"/>
              <w:bottom w:w="0" w:type="dxa"/>
              <w:right w:w="108" w:type="dxa"/>
            </w:tcMar>
            <w:vAlign w:val="center"/>
            <w:hideMark/>
          </w:tcPr>
          <w:p w:rsidR="00397EC7" w:rsidRPr="0057417D" w:rsidRDefault="00397EC7" w:rsidP="002924F3">
            <w:pPr>
              <w:spacing w:line="240" w:lineRule="auto"/>
              <w:jc w:val="center"/>
              <w:rPr>
                <w:rFonts w:eastAsia="Calibri" w:cstheme="minorHAnsi"/>
                <w:b/>
                <w:color w:val="FFFFFF"/>
                <w:sz w:val="18"/>
                <w:szCs w:val="18"/>
              </w:rPr>
            </w:pPr>
            <w:r w:rsidRPr="0057417D">
              <w:rPr>
                <w:rFonts w:eastAsia="Calibri" w:cstheme="minorHAnsi"/>
                <w:b/>
                <w:color w:val="FFFFFF"/>
                <w:sz w:val="18"/>
                <w:szCs w:val="18"/>
              </w:rPr>
              <w:t>Estimación del costo de  demanda</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12-004742-1027-CA-4</w:t>
            </w:r>
          </w:p>
          <w:p w:rsidR="00397EC7" w:rsidRPr="0057417D" w:rsidRDefault="00397EC7" w:rsidP="000A0042">
            <w:pPr>
              <w:spacing w:line="240" w:lineRule="auto"/>
              <w:rPr>
                <w:rFonts w:eastAsia="Calibri" w:cstheme="minorHAnsi"/>
                <w:b/>
                <w:sz w:val="18"/>
                <w:szCs w:val="18"/>
              </w:rPr>
            </w:pPr>
          </w:p>
        </w:tc>
        <w:tc>
          <w:tcPr>
            <w:tcW w:w="2977" w:type="dxa"/>
            <w:tcMar>
              <w:top w:w="0" w:type="dxa"/>
              <w:left w:w="108" w:type="dxa"/>
              <w:bottom w:w="0" w:type="dxa"/>
              <w:right w:w="108" w:type="dxa"/>
            </w:tcMar>
          </w:tcPr>
          <w:p w:rsidR="00397EC7" w:rsidRPr="0057417D" w:rsidRDefault="00397EC7" w:rsidP="000A0042">
            <w:pPr>
              <w:tabs>
                <w:tab w:val="left" w:pos="708"/>
              </w:tabs>
              <w:spacing w:line="240" w:lineRule="auto"/>
              <w:ind w:left="26" w:hanging="26"/>
              <w:contextualSpacing/>
              <w:rPr>
                <w:rFonts w:eastAsia="Calibri" w:cstheme="minorHAnsi"/>
                <w:sz w:val="18"/>
                <w:szCs w:val="18"/>
              </w:rPr>
            </w:pPr>
            <w:r w:rsidRPr="0057417D">
              <w:rPr>
                <w:rFonts w:eastAsia="Calibri" w:cstheme="minorHAnsi"/>
                <w:b/>
                <w:sz w:val="18"/>
                <w:szCs w:val="18"/>
              </w:rPr>
              <w:t>Partes:</w:t>
            </w:r>
            <w:r w:rsidRPr="0057417D">
              <w:rPr>
                <w:rFonts w:eastAsia="Calibri" w:cstheme="minorHAnsi"/>
                <w:sz w:val="18"/>
                <w:szCs w:val="18"/>
              </w:rPr>
              <w:t xml:space="preserve"> Agentes de Seguros versus Instituto Nacional de Seguros INS y </w:t>
            </w:r>
            <w:r w:rsidR="000A0042" w:rsidRPr="0057417D">
              <w:rPr>
                <w:rFonts w:eastAsia="Calibri" w:cstheme="minorHAnsi"/>
                <w:sz w:val="18"/>
                <w:szCs w:val="18"/>
              </w:rPr>
              <w:t>SUGESE</w:t>
            </w:r>
            <w:r w:rsidRPr="0057417D">
              <w:rPr>
                <w:rFonts w:eastAsia="Calibri" w:cstheme="minorHAnsi"/>
                <w:sz w:val="18"/>
                <w:szCs w:val="18"/>
              </w:rPr>
              <w:t>.</w:t>
            </w:r>
          </w:p>
          <w:p w:rsidR="00397EC7" w:rsidRPr="0057417D" w:rsidRDefault="00397EC7" w:rsidP="000A0042">
            <w:pPr>
              <w:tabs>
                <w:tab w:val="left" w:pos="708"/>
              </w:tabs>
              <w:spacing w:line="240" w:lineRule="auto"/>
              <w:ind w:left="26" w:hanging="26"/>
              <w:contextualSpacing/>
              <w:rPr>
                <w:rFonts w:eastAsia="Calibri" w:cstheme="minorHAnsi"/>
                <w:sz w:val="18"/>
                <w:szCs w:val="18"/>
              </w:rPr>
            </w:pPr>
          </w:p>
          <w:p w:rsidR="00397EC7" w:rsidRPr="0057417D" w:rsidRDefault="00397EC7" w:rsidP="005F5714">
            <w:pPr>
              <w:spacing w:line="240" w:lineRule="auto"/>
              <w:rPr>
                <w:rFonts w:eastAsia="Calibri" w:cstheme="minorHAnsi"/>
                <w:b/>
                <w:sz w:val="18"/>
                <w:szCs w:val="18"/>
              </w:rPr>
            </w:pPr>
            <w:r w:rsidRPr="0057417D">
              <w:rPr>
                <w:rFonts w:eastAsia="Calibri" w:cstheme="minorHAnsi"/>
                <w:sz w:val="18"/>
                <w:szCs w:val="18"/>
              </w:rPr>
              <w:t xml:space="preserve">Proceso de conocimiento establecido por un grupo de agentes de seguros del INS, contra el INS y la </w:t>
            </w:r>
            <w:r w:rsidR="000A0042" w:rsidRPr="0057417D">
              <w:rPr>
                <w:rFonts w:eastAsia="Calibri" w:cstheme="minorHAnsi"/>
                <w:sz w:val="18"/>
                <w:szCs w:val="18"/>
              </w:rPr>
              <w:t>SUGESE</w:t>
            </w:r>
            <w:r w:rsidRPr="0057417D">
              <w:rPr>
                <w:rFonts w:eastAsia="Calibri" w:cstheme="minorHAnsi"/>
                <w:sz w:val="18"/>
                <w:szCs w:val="18"/>
              </w:rPr>
              <w:t xml:space="preserv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w:t>
            </w:r>
            <w:r w:rsidR="000A0042" w:rsidRPr="0057417D">
              <w:rPr>
                <w:rFonts w:eastAsia="Calibri" w:cstheme="minorHAnsi"/>
                <w:sz w:val="18"/>
                <w:szCs w:val="18"/>
              </w:rPr>
              <w:t>SUGESE</w:t>
            </w:r>
            <w:r w:rsidRPr="0057417D">
              <w:rPr>
                <w:rFonts w:eastAsia="Calibri" w:cstheme="minorHAnsi"/>
                <w:sz w:val="18"/>
                <w:szCs w:val="18"/>
              </w:rPr>
              <w:t xml:space="preserve"> por no cumplir con sus funciones.</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 xml:space="preserve">En espera de audiencia de juicio. </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b/>
                <w:sz w:val="18"/>
                <w:szCs w:val="18"/>
              </w:rPr>
            </w:pPr>
            <w:r w:rsidRPr="0057417D">
              <w:rPr>
                <w:rFonts w:eastAsia="Calibri" w:cstheme="minorHAnsi"/>
                <w:sz w:val="18"/>
                <w:szCs w:val="18"/>
              </w:rPr>
              <w:t xml:space="preserve">Se está a la espera de la resolución de una solicitud de acumulación, presentada por la Superintendencia. </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Inestimable</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15-000399-0220-CI-3</w:t>
            </w: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Partes:</w:t>
            </w:r>
            <w:r w:rsidRPr="0057417D">
              <w:rPr>
                <w:rFonts w:eastAsia="Calibri" w:cstheme="minorHAnsi"/>
                <w:sz w:val="18"/>
                <w:szCs w:val="18"/>
              </w:rPr>
              <w:t xml:space="preserve"> Vista Sociedad de Fondos de Inversión S.A. contra </w:t>
            </w:r>
            <w:r w:rsidR="000A0042" w:rsidRPr="0057417D">
              <w:rPr>
                <w:rFonts w:eastAsia="Calibri" w:cstheme="minorHAnsi"/>
                <w:sz w:val="18"/>
                <w:szCs w:val="18"/>
              </w:rPr>
              <w:t>SUGESE</w:t>
            </w:r>
            <w:r w:rsidRPr="0057417D">
              <w:rPr>
                <w:rFonts w:eastAsia="Calibri" w:cstheme="minorHAnsi"/>
                <w:sz w:val="18"/>
                <w:szCs w:val="18"/>
              </w:rPr>
              <w:t>.</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Proceso de Reajuste en el Precio de Arrendamiento.</w:t>
            </w:r>
          </w:p>
          <w:p w:rsidR="00397EC7" w:rsidRPr="0057417D" w:rsidRDefault="00397EC7" w:rsidP="000A0042">
            <w:pPr>
              <w:spacing w:line="240" w:lineRule="auto"/>
              <w:rPr>
                <w:rFonts w:eastAsia="Calibri" w:cstheme="minorHAnsi"/>
                <w:sz w:val="18"/>
                <w:szCs w:val="18"/>
              </w:rPr>
            </w:pP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 xml:space="preserve">Se declaró sin lugar la demanda. </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 xml:space="preserve">Se está a la espera de resolución de recurso, para la definición de costas a pagar en favor de la Superintendencia. </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$98,416.00</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16-002550-1027-CA</w:t>
            </w:r>
          </w:p>
          <w:p w:rsidR="00397EC7" w:rsidRPr="0057417D" w:rsidRDefault="00397EC7" w:rsidP="000A0042">
            <w:pPr>
              <w:spacing w:line="240" w:lineRule="auto"/>
              <w:rPr>
                <w:rFonts w:eastAsia="Calibri" w:cstheme="minorHAnsi"/>
                <w:b/>
                <w:sz w:val="18"/>
                <w:szCs w:val="18"/>
              </w:rPr>
            </w:pPr>
          </w:p>
        </w:tc>
        <w:tc>
          <w:tcPr>
            <w:tcW w:w="2977" w:type="dxa"/>
            <w:tcMar>
              <w:top w:w="0" w:type="dxa"/>
              <w:left w:w="108" w:type="dxa"/>
              <w:bottom w:w="0" w:type="dxa"/>
              <w:right w:w="108" w:type="dxa"/>
            </w:tcMar>
          </w:tcPr>
          <w:p w:rsidR="00397EC7" w:rsidRDefault="00397EC7" w:rsidP="000A0042">
            <w:pPr>
              <w:spacing w:line="240" w:lineRule="auto"/>
              <w:rPr>
                <w:rFonts w:eastAsia="Calibri" w:cstheme="minorHAnsi"/>
                <w:sz w:val="18"/>
                <w:szCs w:val="18"/>
              </w:rPr>
            </w:pPr>
            <w:r w:rsidRPr="0057417D">
              <w:rPr>
                <w:rFonts w:eastAsia="Calibri" w:cstheme="minorHAnsi"/>
                <w:b/>
                <w:sz w:val="18"/>
                <w:szCs w:val="18"/>
              </w:rPr>
              <w:t>Partes</w:t>
            </w:r>
            <w:r w:rsidRPr="0057417D">
              <w:rPr>
                <w:rFonts w:eastAsia="Calibri" w:cstheme="minorHAnsi"/>
                <w:sz w:val="18"/>
                <w:szCs w:val="18"/>
              </w:rPr>
              <w:t xml:space="preserve">: Andrea Milgram Zonzinski contra </w:t>
            </w:r>
            <w:r w:rsidR="000A0042" w:rsidRPr="0057417D">
              <w:rPr>
                <w:rFonts w:eastAsia="Calibri" w:cstheme="minorHAnsi"/>
                <w:sz w:val="18"/>
                <w:szCs w:val="18"/>
              </w:rPr>
              <w:t>SUGESE</w:t>
            </w:r>
            <w:r w:rsidRPr="0057417D">
              <w:rPr>
                <w:rFonts w:eastAsia="Calibri" w:cstheme="minorHAnsi"/>
                <w:sz w:val="18"/>
                <w:szCs w:val="18"/>
              </w:rPr>
              <w:t xml:space="preserve"> y Pan American Life Insurance de Costa Rica, S.A. </w:t>
            </w:r>
          </w:p>
          <w:p w:rsidR="0065035F" w:rsidRPr="0057417D" w:rsidRDefault="0065035F"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Proceso de Conocimiento.</w:t>
            </w:r>
          </w:p>
          <w:p w:rsidR="002924F3" w:rsidRDefault="002924F3"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Los demandantes pretenden el pago de daños morales</w:t>
            </w:r>
            <w:r w:rsidR="002924F3">
              <w:rPr>
                <w:rFonts w:eastAsia="Calibri" w:cstheme="minorHAnsi"/>
                <w:sz w:val="18"/>
                <w:szCs w:val="18"/>
              </w:rPr>
              <w:t xml:space="preserve"> por la muerte de su hijo a partir</w:t>
            </w:r>
            <w:r w:rsidRPr="0057417D">
              <w:rPr>
                <w:rFonts w:eastAsia="Calibri" w:cstheme="minorHAnsi"/>
                <w:sz w:val="18"/>
                <w:szCs w:val="18"/>
              </w:rPr>
              <w:t xml:space="preserve"> de un aparente incumplimiento contractual por parte de Panamerican Life Insurance de Costa Rica, S.A., más el daño causado por una presunta falta de fiscalización por parte de </w:t>
            </w:r>
            <w:r w:rsidR="000A0042" w:rsidRPr="0057417D">
              <w:rPr>
                <w:rFonts w:eastAsia="Calibri" w:cstheme="minorHAnsi"/>
                <w:sz w:val="18"/>
                <w:szCs w:val="18"/>
              </w:rPr>
              <w:t>SUGESE</w:t>
            </w:r>
            <w:r w:rsidRPr="0057417D">
              <w:rPr>
                <w:rFonts w:eastAsia="Calibri" w:cstheme="minorHAnsi"/>
                <w:sz w:val="18"/>
                <w:szCs w:val="18"/>
              </w:rPr>
              <w:t xml:space="preserve"> del contrato ofrecido por Pan American Life Insurance de Costa Rica, S.A. </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Se acogió incompetencia:</w:t>
            </w: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La parte actora presentó inconformidad ante la Sala Primera.</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$300,000.00</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16-002354-0173-LA-3</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sz w:val="18"/>
                <w:szCs w:val="18"/>
              </w:rPr>
            </w:pP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Partes:</w:t>
            </w:r>
            <w:r w:rsidRPr="0057417D">
              <w:rPr>
                <w:rFonts w:eastAsia="Calibri" w:cstheme="minorHAnsi"/>
                <w:sz w:val="18"/>
                <w:szCs w:val="18"/>
              </w:rPr>
              <w:t xml:space="preserve"> </w:t>
            </w:r>
            <w:r w:rsidR="000A0042" w:rsidRPr="0057417D">
              <w:rPr>
                <w:rFonts w:eastAsia="Calibri" w:cstheme="minorHAnsi"/>
                <w:sz w:val="18"/>
                <w:szCs w:val="18"/>
              </w:rPr>
              <w:t>SUGESE</w:t>
            </w:r>
            <w:r w:rsidRPr="0057417D">
              <w:rPr>
                <w:rFonts w:eastAsia="Calibri" w:cstheme="minorHAnsi"/>
                <w:sz w:val="18"/>
                <w:szCs w:val="18"/>
              </w:rPr>
              <w:t xml:space="preserve"> contra Gustavo Enrique Solís Vega</w:t>
            </w:r>
          </w:p>
          <w:p w:rsidR="0065035F" w:rsidRDefault="0065035F"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Proceso Ordinario de Cobro de Preaviso.</w:t>
            </w:r>
          </w:p>
          <w:p w:rsidR="0065035F" w:rsidRDefault="0065035F"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Se condenó al señor Solís pagar el monto del preaviso que quedó pendiente al momento de su salida de la Superintendencia.</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 xml:space="preserve">Etapa de ejecución. </w:t>
            </w:r>
          </w:p>
          <w:p w:rsidR="00397EC7" w:rsidRPr="0057417D" w:rsidRDefault="00397EC7" w:rsidP="000A0042">
            <w:pPr>
              <w:spacing w:line="240" w:lineRule="auto"/>
              <w:rPr>
                <w:rFonts w:eastAsia="Calibri" w:cstheme="minorHAnsi"/>
                <w:sz w:val="18"/>
                <w:szCs w:val="18"/>
              </w:rPr>
            </w:pP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¢1.608.760,1</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17-011730-1027-CA</w:t>
            </w: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Partes:</w:t>
            </w:r>
            <w:r w:rsidRPr="0057417D">
              <w:rPr>
                <w:rFonts w:eastAsia="Calibri" w:cstheme="minorHAnsi"/>
                <w:sz w:val="18"/>
                <w:szCs w:val="18"/>
              </w:rPr>
              <w:t xml:space="preserve"> An</w:t>
            </w:r>
            <w:r w:rsidR="002924F3">
              <w:rPr>
                <w:rFonts w:eastAsia="Calibri" w:cstheme="minorHAnsi"/>
                <w:sz w:val="18"/>
                <w:szCs w:val="18"/>
              </w:rPr>
              <w:t>na Giannina Mazzella Di Bosco versus</w:t>
            </w:r>
            <w:r w:rsidRPr="0057417D">
              <w:rPr>
                <w:rFonts w:eastAsia="Calibri" w:cstheme="minorHAnsi"/>
                <w:sz w:val="18"/>
                <w:szCs w:val="18"/>
              </w:rPr>
              <w:t xml:space="preserve"> Banco Central de Costa Rica y SUGEGE.</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Proceso Ordinario en que se solicita la declaratoria de nulidad del acto administrativo contenido en la resolución SGS-R-2081-2017, la declaración de la prescripción de las llegadas tardías que se le imputan a la señora Mazzella Di Bosco.</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A espera de sentencia.</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 xml:space="preserve">En la audiencia preliminar, el proceso fue declarado de puro derecho y se está a la espera de sentencia. </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Inestimable</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18-10272-1027-CA</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b/>
                <w:sz w:val="18"/>
                <w:szCs w:val="18"/>
              </w:rPr>
            </w:pP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 xml:space="preserve">Partes: </w:t>
            </w:r>
            <w:r w:rsidRPr="0057417D">
              <w:rPr>
                <w:rFonts w:eastAsia="Calibri" w:cstheme="minorHAnsi"/>
                <w:sz w:val="18"/>
                <w:szCs w:val="18"/>
              </w:rPr>
              <w:t>Marco Morice v</w:t>
            </w:r>
            <w:r w:rsidR="002924F3">
              <w:rPr>
                <w:rFonts w:eastAsia="Calibri" w:cstheme="minorHAnsi"/>
                <w:sz w:val="18"/>
                <w:szCs w:val="18"/>
              </w:rPr>
              <w:t>er</w:t>
            </w:r>
            <w:r w:rsidR="00082A70">
              <w:rPr>
                <w:rFonts w:eastAsia="Calibri" w:cstheme="minorHAnsi"/>
                <w:sz w:val="18"/>
                <w:szCs w:val="18"/>
              </w:rPr>
              <w:t>s</w:t>
            </w:r>
            <w:r w:rsidR="002924F3">
              <w:rPr>
                <w:rFonts w:eastAsia="Calibri" w:cstheme="minorHAnsi"/>
                <w:sz w:val="18"/>
                <w:szCs w:val="18"/>
              </w:rPr>
              <w:t>us</w:t>
            </w:r>
            <w:r w:rsidRPr="0057417D">
              <w:rPr>
                <w:rFonts w:eastAsia="Calibri" w:cstheme="minorHAnsi"/>
                <w:sz w:val="18"/>
                <w:szCs w:val="18"/>
              </w:rPr>
              <w:t xml:space="preserve"> </w:t>
            </w:r>
            <w:r w:rsidR="000A0042" w:rsidRPr="0057417D">
              <w:rPr>
                <w:rFonts w:eastAsia="Calibri" w:cstheme="minorHAnsi"/>
                <w:sz w:val="18"/>
                <w:szCs w:val="18"/>
              </w:rPr>
              <w:t>SUGESE</w:t>
            </w:r>
            <w:r w:rsidRPr="0057417D">
              <w:rPr>
                <w:rFonts w:eastAsia="Calibri" w:cstheme="minorHAnsi"/>
                <w:sz w:val="18"/>
                <w:szCs w:val="18"/>
              </w:rPr>
              <w:t xml:space="preserve">. </w:t>
            </w:r>
          </w:p>
          <w:p w:rsidR="00397EC7" w:rsidRPr="0057417D" w:rsidRDefault="00397EC7" w:rsidP="005F5714">
            <w:pPr>
              <w:spacing w:line="240" w:lineRule="auto"/>
              <w:rPr>
                <w:rFonts w:eastAsia="Calibri" w:cstheme="minorHAnsi"/>
                <w:sz w:val="18"/>
                <w:szCs w:val="18"/>
              </w:rPr>
            </w:pPr>
            <w:r w:rsidRPr="0057417D">
              <w:rPr>
                <w:rFonts w:eastAsia="Calibri" w:cstheme="minorHAnsi"/>
                <w:sz w:val="18"/>
                <w:szCs w:val="18"/>
              </w:rPr>
              <w:t xml:space="preserve">Proceso de conocimiento establecido por un grupo de agentes de seguros del INS, contra el INS y la </w:t>
            </w:r>
            <w:r w:rsidR="000A0042" w:rsidRPr="0057417D">
              <w:rPr>
                <w:rFonts w:eastAsia="Calibri" w:cstheme="minorHAnsi"/>
                <w:sz w:val="18"/>
                <w:szCs w:val="18"/>
              </w:rPr>
              <w:t>SUGESE</w:t>
            </w:r>
            <w:r w:rsidRPr="0057417D">
              <w:rPr>
                <w:rFonts w:eastAsia="Calibri" w:cstheme="minorHAnsi"/>
                <w:sz w:val="18"/>
                <w:szCs w:val="18"/>
              </w:rPr>
              <w:t xml:space="preserve">; para que se decrete la nulidad de la directriz del INS G-3152-2088 del 10 de diciembre de 2008, que ordenó a la División Técnico Comercial, pagar la comisión de intermediario, sobre la prima, exceptuando de ese rubro el 4% correspondiente al financiamiento del cuerpo de bomberos y se condene a la </w:t>
            </w:r>
            <w:r w:rsidR="000A0042" w:rsidRPr="0057417D">
              <w:rPr>
                <w:rFonts w:eastAsia="Calibri" w:cstheme="minorHAnsi"/>
                <w:sz w:val="18"/>
                <w:szCs w:val="18"/>
              </w:rPr>
              <w:t>SUGESE</w:t>
            </w:r>
            <w:r w:rsidRPr="0057417D">
              <w:rPr>
                <w:rFonts w:eastAsia="Calibri" w:cstheme="minorHAnsi"/>
                <w:sz w:val="18"/>
                <w:szCs w:val="18"/>
              </w:rPr>
              <w:t xml:space="preserve"> por no cumplir con sus funciones.</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sz w:val="18"/>
                <w:szCs w:val="18"/>
              </w:rPr>
              <w:t xml:space="preserve">Se solicitó la acumulación con el expediente </w:t>
            </w:r>
            <w:r w:rsidRPr="0057417D">
              <w:rPr>
                <w:rFonts w:eastAsia="Calibri" w:cstheme="minorHAnsi"/>
                <w:b/>
                <w:sz w:val="18"/>
                <w:szCs w:val="18"/>
              </w:rPr>
              <w:t>N° 12-004742-1027-CA-4</w:t>
            </w:r>
          </w:p>
          <w:p w:rsidR="00397EC7" w:rsidRPr="0057417D" w:rsidRDefault="00397EC7" w:rsidP="000A0042">
            <w:pPr>
              <w:spacing w:line="240" w:lineRule="auto"/>
              <w:rPr>
                <w:rFonts w:eastAsia="Calibri" w:cstheme="minorHAnsi"/>
                <w:sz w:val="18"/>
                <w:szCs w:val="18"/>
              </w:rPr>
            </w:pP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Inestimable.</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19-000359-0173- LA</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b/>
                <w:sz w:val="18"/>
                <w:szCs w:val="18"/>
              </w:rPr>
            </w:pP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 xml:space="preserve">Partes: </w:t>
            </w:r>
            <w:r w:rsidR="0065035F">
              <w:rPr>
                <w:rFonts w:eastAsia="Calibri" w:cstheme="minorHAnsi"/>
                <w:sz w:val="18"/>
                <w:szCs w:val="18"/>
              </w:rPr>
              <w:t>Alexander Morales Hidalgo contra</w:t>
            </w:r>
            <w:r w:rsidRPr="0057417D">
              <w:rPr>
                <w:rFonts w:eastAsia="Calibri" w:cstheme="minorHAnsi"/>
                <w:sz w:val="18"/>
                <w:szCs w:val="18"/>
              </w:rPr>
              <w:t xml:space="preserve"> </w:t>
            </w:r>
            <w:r w:rsidR="000A0042" w:rsidRPr="0057417D">
              <w:rPr>
                <w:rFonts w:eastAsia="Calibri" w:cstheme="minorHAnsi"/>
                <w:sz w:val="18"/>
                <w:szCs w:val="18"/>
              </w:rPr>
              <w:t>SUGESE</w:t>
            </w:r>
            <w:r w:rsidRPr="0057417D">
              <w:rPr>
                <w:rFonts w:eastAsia="Calibri" w:cstheme="minorHAnsi"/>
                <w:sz w:val="18"/>
                <w:szCs w:val="18"/>
              </w:rPr>
              <w:t>.</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Proceso ordinario de empleo público, en que se solicita la anulación del acto de Despido.</w:t>
            </w:r>
          </w:p>
          <w:p w:rsidR="00397EC7" w:rsidRPr="0057417D" w:rsidRDefault="00397EC7" w:rsidP="000A0042">
            <w:pPr>
              <w:spacing w:line="240" w:lineRule="auto"/>
              <w:rPr>
                <w:rFonts w:eastAsia="Calibri" w:cstheme="minorHAnsi"/>
                <w:sz w:val="18"/>
                <w:szCs w:val="18"/>
              </w:rPr>
            </w:pPr>
          </w:p>
          <w:p w:rsidR="00397EC7" w:rsidRPr="0057417D" w:rsidRDefault="00397EC7" w:rsidP="000A0042">
            <w:pPr>
              <w:spacing w:line="240" w:lineRule="auto"/>
              <w:rPr>
                <w:rFonts w:eastAsia="Calibri" w:cstheme="minorHAnsi"/>
                <w:b/>
                <w:sz w:val="18"/>
                <w:szCs w:val="18"/>
              </w:rPr>
            </w:pP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 xml:space="preserve">Se declaró la incompetencia laboral y se trasladó al Contencioso Administrativo. </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sz w:val="18"/>
                <w:szCs w:val="18"/>
              </w:rPr>
            </w:pPr>
            <w:r w:rsidRPr="0057417D">
              <w:rPr>
                <w:rFonts w:eastAsia="Calibri" w:cstheme="minorHAnsi"/>
                <w:sz w:val="18"/>
                <w:szCs w:val="18"/>
              </w:rPr>
              <w:t>Mediante escrito del 26 de febrero de 2020, se contestó nuevamente la demanda, según lo ordenó el Tribunal Contencioso Administrativo</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Sin estimación particular. Pero eventualmente se tendrían que pagar salarios caídos.</w:t>
            </w:r>
          </w:p>
        </w:tc>
      </w:tr>
      <w:tr w:rsidR="00397EC7" w:rsidRPr="0057417D" w:rsidTr="00263CCA">
        <w:trPr>
          <w:cantSplit/>
          <w:jc w:val="center"/>
        </w:trPr>
        <w:tc>
          <w:tcPr>
            <w:tcW w:w="1833"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19-005574-1027-CA</w:t>
            </w:r>
          </w:p>
          <w:p w:rsidR="00397EC7" w:rsidRPr="0057417D" w:rsidRDefault="00397EC7" w:rsidP="000A0042">
            <w:pPr>
              <w:spacing w:line="240" w:lineRule="auto"/>
              <w:rPr>
                <w:rFonts w:eastAsia="Calibri" w:cstheme="minorHAnsi"/>
                <w:b/>
                <w:sz w:val="18"/>
                <w:szCs w:val="18"/>
              </w:rPr>
            </w:pPr>
          </w:p>
          <w:p w:rsidR="00397EC7" w:rsidRPr="0057417D" w:rsidRDefault="00397EC7" w:rsidP="000A0042">
            <w:pPr>
              <w:spacing w:line="240" w:lineRule="auto"/>
              <w:rPr>
                <w:rFonts w:eastAsia="Calibri" w:cstheme="minorHAnsi"/>
                <w:b/>
                <w:sz w:val="18"/>
                <w:szCs w:val="18"/>
              </w:rPr>
            </w:pPr>
          </w:p>
        </w:tc>
        <w:tc>
          <w:tcPr>
            <w:tcW w:w="2977" w:type="dxa"/>
            <w:tcMar>
              <w:top w:w="0" w:type="dxa"/>
              <w:left w:w="108" w:type="dxa"/>
              <w:bottom w:w="0" w:type="dxa"/>
              <w:right w:w="108" w:type="dxa"/>
            </w:tcMar>
          </w:tcPr>
          <w:p w:rsidR="00397EC7" w:rsidRPr="0057417D" w:rsidRDefault="00397EC7" w:rsidP="000A0042">
            <w:pPr>
              <w:spacing w:line="240" w:lineRule="auto"/>
              <w:rPr>
                <w:rFonts w:eastAsia="Calibri" w:cstheme="minorHAnsi"/>
                <w:sz w:val="18"/>
                <w:szCs w:val="18"/>
              </w:rPr>
            </w:pPr>
            <w:r w:rsidRPr="0057417D">
              <w:rPr>
                <w:rFonts w:eastAsia="Calibri" w:cstheme="minorHAnsi"/>
                <w:b/>
                <w:sz w:val="18"/>
                <w:szCs w:val="18"/>
              </w:rPr>
              <w:t xml:space="preserve">Partes: </w:t>
            </w:r>
            <w:r w:rsidRPr="0057417D">
              <w:rPr>
                <w:rFonts w:eastAsia="Calibri" w:cstheme="minorHAnsi"/>
                <w:sz w:val="18"/>
                <w:szCs w:val="18"/>
              </w:rPr>
              <w:t xml:space="preserve">INS </w:t>
            </w:r>
            <w:r w:rsidR="00082A70">
              <w:rPr>
                <w:rFonts w:eastAsia="Calibri" w:cstheme="minorHAnsi"/>
                <w:sz w:val="18"/>
                <w:szCs w:val="18"/>
              </w:rPr>
              <w:t>versus</w:t>
            </w:r>
            <w:r w:rsidRPr="0057417D">
              <w:rPr>
                <w:rFonts w:eastAsia="Calibri" w:cstheme="minorHAnsi"/>
                <w:sz w:val="18"/>
                <w:szCs w:val="18"/>
              </w:rPr>
              <w:t xml:space="preserve"> BCCR y </w:t>
            </w:r>
            <w:r w:rsidR="000A0042" w:rsidRPr="0057417D">
              <w:rPr>
                <w:rFonts w:eastAsia="Calibri" w:cstheme="minorHAnsi"/>
                <w:sz w:val="18"/>
                <w:szCs w:val="18"/>
              </w:rPr>
              <w:t>SUGESE</w:t>
            </w:r>
            <w:r w:rsidRPr="0057417D">
              <w:rPr>
                <w:rFonts w:eastAsia="Calibri" w:cstheme="minorHAnsi"/>
                <w:sz w:val="18"/>
                <w:szCs w:val="18"/>
              </w:rPr>
              <w:t>.</w:t>
            </w:r>
          </w:p>
          <w:p w:rsidR="00397EC7" w:rsidRPr="0057417D" w:rsidRDefault="00397EC7" w:rsidP="000A0042">
            <w:pPr>
              <w:spacing w:line="240" w:lineRule="auto"/>
              <w:rPr>
                <w:rFonts w:eastAsia="Calibri" w:cstheme="minorHAnsi"/>
                <w:sz w:val="18"/>
                <w:szCs w:val="18"/>
              </w:rPr>
            </w:pPr>
          </w:p>
          <w:p w:rsidR="00397EC7" w:rsidRPr="0057417D" w:rsidRDefault="00397EC7" w:rsidP="005F5714">
            <w:pPr>
              <w:spacing w:line="240" w:lineRule="auto"/>
              <w:rPr>
                <w:rFonts w:eastAsia="Calibri" w:cstheme="minorHAnsi"/>
                <w:sz w:val="18"/>
                <w:szCs w:val="18"/>
              </w:rPr>
            </w:pPr>
            <w:r w:rsidRPr="0057417D">
              <w:rPr>
                <w:rFonts w:eastAsia="Calibri" w:cstheme="minorHAnsi"/>
                <w:sz w:val="18"/>
                <w:szCs w:val="18"/>
              </w:rPr>
              <w:t xml:space="preserve">Proceso de puro derecho, en que se solicita se declare que una reserva tiene origen legal. Además, que la reserva se puede </w:t>
            </w:r>
            <w:r w:rsidR="00082A70">
              <w:rPr>
                <w:rFonts w:eastAsia="Calibri" w:cstheme="minorHAnsi"/>
                <w:sz w:val="18"/>
                <w:szCs w:val="18"/>
              </w:rPr>
              <w:t xml:space="preserve">dotar </w:t>
            </w:r>
            <w:r w:rsidRPr="0057417D">
              <w:rPr>
                <w:rFonts w:eastAsia="Calibri" w:cstheme="minorHAnsi"/>
                <w:sz w:val="18"/>
                <w:szCs w:val="18"/>
              </w:rPr>
              <w:t>con los intereses que genere</w:t>
            </w:r>
            <w:r w:rsidR="00082A70">
              <w:rPr>
                <w:rFonts w:eastAsia="Calibri" w:cstheme="minorHAnsi"/>
                <w:sz w:val="18"/>
                <w:szCs w:val="18"/>
              </w:rPr>
              <w:t>n las inversiones que la respaldan.</w:t>
            </w:r>
          </w:p>
        </w:tc>
        <w:tc>
          <w:tcPr>
            <w:tcW w:w="2268" w:type="dxa"/>
            <w:tcMar>
              <w:top w:w="0" w:type="dxa"/>
              <w:left w:w="108" w:type="dxa"/>
              <w:bottom w:w="0" w:type="dxa"/>
              <w:right w:w="108" w:type="dxa"/>
            </w:tcMar>
          </w:tcPr>
          <w:p w:rsidR="00397EC7" w:rsidRPr="0057417D" w:rsidRDefault="00397EC7" w:rsidP="000A0042">
            <w:pPr>
              <w:spacing w:line="240" w:lineRule="auto"/>
              <w:rPr>
                <w:rFonts w:eastAsia="Calibri" w:cstheme="minorHAnsi"/>
                <w:b/>
                <w:sz w:val="18"/>
                <w:szCs w:val="18"/>
              </w:rPr>
            </w:pPr>
            <w:r w:rsidRPr="0057417D">
              <w:rPr>
                <w:rFonts w:eastAsia="Calibri" w:cstheme="minorHAnsi"/>
                <w:b/>
                <w:sz w:val="18"/>
                <w:szCs w:val="18"/>
              </w:rPr>
              <w:t>En audiencia preliminar.</w:t>
            </w:r>
          </w:p>
        </w:tc>
        <w:tc>
          <w:tcPr>
            <w:tcW w:w="1705" w:type="dxa"/>
            <w:tcMar>
              <w:top w:w="0" w:type="dxa"/>
              <w:left w:w="108" w:type="dxa"/>
              <w:bottom w:w="0" w:type="dxa"/>
              <w:right w:w="108" w:type="dxa"/>
            </w:tcMar>
          </w:tcPr>
          <w:p w:rsidR="00397EC7" w:rsidRPr="0057417D" w:rsidRDefault="00397EC7" w:rsidP="002924F3">
            <w:pPr>
              <w:spacing w:line="240" w:lineRule="auto"/>
              <w:jc w:val="center"/>
              <w:rPr>
                <w:rFonts w:eastAsia="Calibri" w:cstheme="minorHAnsi"/>
                <w:sz w:val="18"/>
                <w:szCs w:val="18"/>
              </w:rPr>
            </w:pPr>
            <w:r w:rsidRPr="0057417D">
              <w:rPr>
                <w:rFonts w:eastAsia="Calibri" w:cstheme="minorHAnsi"/>
                <w:sz w:val="18"/>
                <w:szCs w:val="18"/>
              </w:rPr>
              <w:t>Inestimable.</w:t>
            </w:r>
          </w:p>
        </w:tc>
      </w:tr>
    </w:tbl>
    <w:p w:rsidR="007B1ACA" w:rsidRPr="0057417D" w:rsidRDefault="007B1ACA" w:rsidP="00016AB4">
      <w:pPr>
        <w:spacing w:line="240" w:lineRule="auto"/>
        <w:rPr>
          <w:b/>
          <w:color w:val="1F497D"/>
          <w:szCs w:val="24"/>
        </w:rPr>
      </w:pPr>
    </w:p>
    <w:p w:rsidR="007B1ACA" w:rsidRPr="0057417D" w:rsidRDefault="007B1ACA">
      <w:pPr>
        <w:spacing w:line="360" w:lineRule="auto"/>
        <w:jc w:val="left"/>
        <w:rPr>
          <w:b/>
          <w:color w:val="1F497D"/>
          <w:szCs w:val="24"/>
        </w:rPr>
      </w:pPr>
    </w:p>
    <w:p w:rsidR="00944CC2" w:rsidRPr="0057417D" w:rsidRDefault="00944CC2" w:rsidP="00016AB4">
      <w:pPr>
        <w:pStyle w:val="Ttulo2"/>
        <w:numPr>
          <w:ilvl w:val="0"/>
          <w:numId w:val="6"/>
        </w:numPr>
        <w:spacing w:before="0" w:line="240" w:lineRule="auto"/>
        <w:rPr>
          <w:rFonts w:asciiTheme="minorHAnsi" w:hAnsiTheme="minorHAnsi"/>
          <w:sz w:val="24"/>
          <w:szCs w:val="24"/>
        </w:rPr>
      </w:pPr>
      <w:r w:rsidRPr="0057417D">
        <w:rPr>
          <w:rFonts w:asciiTheme="minorHAnsi" w:hAnsiTheme="minorHAnsi"/>
          <w:b/>
          <w:sz w:val="24"/>
          <w:szCs w:val="24"/>
        </w:rPr>
        <w:t>Viajes realizados por jerarcas institucionales y directores de departamentos</w:t>
      </w:r>
    </w:p>
    <w:p w:rsidR="00944CC2" w:rsidRPr="0057417D" w:rsidRDefault="00944CC2" w:rsidP="00016AB4">
      <w:pPr>
        <w:spacing w:line="240" w:lineRule="auto"/>
        <w:rPr>
          <w:szCs w:val="24"/>
        </w:rPr>
      </w:pPr>
    </w:p>
    <w:p w:rsidR="00730587" w:rsidRPr="0057417D" w:rsidRDefault="00730587" w:rsidP="00016AB4">
      <w:pPr>
        <w:spacing w:line="240" w:lineRule="auto"/>
        <w:rPr>
          <w:rFonts w:eastAsiaTheme="minorEastAsia"/>
          <w:szCs w:val="24"/>
          <w:lang w:eastAsia="es-CR"/>
        </w:rPr>
      </w:pPr>
      <w:r w:rsidRPr="0057417D">
        <w:rPr>
          <w:rFonts w:eastAsiaTheme="minorEastAsia"/>
          <w:szCs w:val="24"/>
          <w:lang w:eastAsia="ja-JP"/>
        </w:rPr>
        <w:t>El</w:t>
      </w:r>
      <w:r w:rsidRPr="0057417D">
        <w:rPr>
          <w:rFonts w:eastAsiaTheme="minorEastAsia"/>
          <w:szCs w:val="24"/>
          <w:lang w:eastAsia="es-CR"/>
        </w:rPr>
        <w:t xml:space="preserve"> cuadro </w:t>
      </w:r>
      <w:r w:rsidR="0085064C" w:rsidRPr="0057417D">
        <w:rPr>
          <w:rFonts w:eastAsiaTheme="minorEastAsia"/>
          <w:szCs w:val="24"/>
          <w:lang w:eastAsia="es-CR"/>
        </w:rPr>
        <w:t>8</w:t>
      </w:r>
      <w:r w:rsidRPr="0057417D">
        <w:rPr>
          <w:rFonts w:eastAsiaTheme="minorEastAsia"/>
          <w:szCs w:val="24"/>
          <w:lang w:eastAsia="es-CR"/>
        </w:rPr>
        <w:t xml:space="preserve"> muestra el detalle de los viajes al exterior realizados por los puestos gerenciales de la Institución</w:t>
      </w:r>
      <w:r w:rsidR="00106AAC" w:rsidRPr="0057417D">
        <w:rPr>
          <w:rFonts w:eastAsiaTheme="minorEastAsia"/>
          <w:szCs w:val="24"/>
          <w:lang w:eastAsia="es-CR"/>
        </w:rPr>
        <w:t xml:space="preserve"> durante 201</w:t>
      </w:r>
      <w:r w:rsidR="001E3AC6" w:rsidRPr="0057417D">
        <w:rPr>
          <w:rFonts w:eastAsiaTheme="minorEastAsia"/>
          <w:szCs w:val="24"/>
          <w:lang w:eastAsia="es-CR"/>
        </w:rPr>
        <w:t>9</w:t>
      </w:r>
      <w:r w:rsidRPr="0057417D">
        <w:rPr>
          <w:rFonts w:eastAsiaTheme="minorEastAsia"/>
          <w:szCs w:val="24"/>
          <w:lang w:eastAsia="es-CR"/>
        </w:rPr>
        <w:t>.</w:t>
      </w:r>
    </w:p>
    <w:p w:rsidR="00121576" w:rsidRPr="0057417D" w:rsidRDefault="00121576" w:rsidP="00016AB4">
      <w:pPr>
        <w:spacing w:line="240" w:lineRule="auto"/>
        <w:rPr>
          <w:rFonts w:eastAsiaTheme="minorEastAsia"/>
          <w:szCs w:val="24"/>
          <w:lang w:eastAsia="es-CR"/>
        </w:rPr>
      </w:pPr>
    </w:p>
    <w:p w:rsidR="009F7D4B" w:rsidRPr="0057417D" w:rsidRDefault="009F7D4B" w:rsidP="00016AB4">
      <w:pPr>
        <w:spacing w:line="240" w:lineRule="auto"/>
        <w:jc w:val="center"/>
        <w:rPr>
          <w:rFonts w:ascii="Century Gothic" w:hAnsi="Century Gothic" w:cs="Century Gothic"/>
          <w:kern w:val="24"/>
          <w:sz w:val="20"/>
          <w:szCs w:val="20"/>
        </w:rPr>
      </w:pPr>
      <w:r w:rsidRPr="0057417D">
        <w:rPr>
          <w:rFonts w:ascii="Century Gothic" w:hAnsi="Century Gothic"/>
          <w:b/>
          <w:color w:val="002060"/>
          <w:sz w:val="20"/>
          <w:szCs w:val="20"/>
        </w:rPr>
        <w:t>C</w:t>
      </w:r>
      <w:r w:rsidR="00944CC2" w:rsidRPr="0057417D">
        <w:rPr>
          <w:rFonts w:ascii="Century Gothic" w:hAnsi="Century Gothic"/>
          <w:b/>
          <w:color w:val="002060"/>
          <w:sz w:val="20"/>
          <w:szCs w:val="20"/>
        </w:rPr>
        <w:t xml:space="preserve">UADRO </w:t>
      </w:r>
      <w:r w:rsidR="00944CC2" w:rsidRPr="0057417D">
        <w:rPr>
          <w:rFonts w:ascii="Century Gothic" w:hAnsi="Century Gothic"/>
          <w:b/>
          <w:color w:val="002060"/>
          <w:sz w:val="20"/>
          <w:szCs w:val="20"/>
        </w:rPr>
        <w:fldChar w:fldCharType="begin"/>
      </w:r>
      <w:r w:rsidR="00944CC2" w:rsidRPr="0057417D">
        <w:rPr>
          <w:rFonts w:ascii="Century Gothic" w:hAnsi="Century Gothic"/>
          <w:b/>
          <w:color w:val="002060"/>
          <w:sz w:val="20"/>
          <w:szCs w:val="20"/>
        </w:rPr>
        <w:instrText xml:space="preserve"> AUTONUM  \s " " </w:instrText>
      </w:r>
      <w:r w:rsidR="00944CC2" w:rsidRPr="0057417D">
        <w:rPr>
          <w:rFonts w:ascii="Century Gothic" w:hAnsi="Century Gothic"/>
          <w:b/>
          <w:color w:val="002060"/>
          <w:sz w:val="20"/>
          <w:szCs w:val="20"/>
        </w:rPr>
        <w:fldChar w:fldCharType="end"/>
      </w:r>
      <w:r w:rsidRPr="0057417D">
        <w:rPr>
          <w:rFonts w:ascii="Century Gothic" w:hAnsi="Century Gothic" w:cs="Century Gothic"/>
          <w:kern w:val="24"/>
          <w:sz w:val="20"/>
          <w:szCs w:val="20"/>
        </w:rPr>
        <w:t xml:space="preserve"> </w:t>
      </w:r>
    </w:p>
    <w:p w:rsidR="00944CC2" w:rsidRPr="0057417D" w:rsidRDefault="009F7D4B" w:rsidP="00016AB4">
      <w:pPr>
        <w:spacing w:line="240" w:lineRule="auto"/>
        <w:jc w:val="center"/>
        <w:rPr>
          <w:rFonts w:ascii="Century Gothic" w:hAnsi="Century Gothic"/>
          <w:b/>
          <w:color w:val="002060"/>
          <w:sz w:val="20"/>
          <w:szCs w:val="20"/>
        </w:rPr>
      </w:pPr>
      <w:r w:rsidRPr="0057417D">
        <w:rPr>
          <w:rFonts w:ascii="Century Gothic" w:hAnsi="Century Gothic" w:cs="Century Gothic"/>
          <w:kern w:val="24"/>
          <w:sz w:val="20"/>
          <w:szCs w:val="20"/>
        </w:rPr>
        <w:t>Superintendencia General de Seguros</w:t>
      </w:r>
    </w:p>
    <w:p w:rsidR="00944CC2" w:rsidRPr="0057417D" w:rsidRDefault="00944CC2" w:rsidP="00016AB4">
      <w:pPr>
        <w:spacing w:line="240" w:lineRule="auto"/>
        <w:jc w:val="center"/>
        <w:rPr>
          <w:rFonts w:ascii="Century Gothic" w:hAnsi="Century Gothic"/>
          <w:b/>
          <w:color w:val="404040" w:themeColor="text1" w:themeTint="BF"/>
          <w:sz w:val="20"/>
          <w:szCs w:val="20"/>
        </w:rPr>
      </w:pPr>
      <w:r w:rsidRPr="0057417D">
        <w:rPr>
          <w:rFonts w:ascii="Century Gothic" w:hAnsi="Century Gothic"/>
          <w:b/>
          <w:color w:val="404040" w:themeColor="text1" w:themeTint="BF"/>
          <w:sz w:val="20"/>
          <w:szCs w:val="20"/>
        </w:rPr>
        <w:t>Viajes al Exterior</w:t>
      </w:r>
      <w:r w:rsidR="009F7D4B" w:rsidRPr="0057417D">
        <w:rPr>
          <w:rFonts w:ascii="Century Gothic" w:hAnsi="Century Gothic"/>
          <w:b/>
          <w:color w:val="404040" w:themeColor="text1" w:themeTint="BF"/>
          <w:sz w:val="20"/>
          <w:szCs w:val="20"/>
        </w:rPr>
        <w:t xml:space="preserve"> de Puestos Gerenciales</w:t>
      </w:r>
    </w:p>
    <w:p w:rsidR="0016640B" w:rsidRPr="0057417D" w:rsidRDefault="0016640B" w:rsidP="00016AB4">
      <w:pPr>
        <w:spacing w:line="240" w:lineRule="auto"/>
        <w:jc w:val="center"/>
        <w:rPr>
          <w:rFonts w:ascii="Century Gothic" w:hAnsi="Century Gothic"/>
          <w:color w:val="404040" w:themeColor="text1" w:themeTint="BF"/>
          <w:sz w:val="18"/>
          <w:szCs w:val="18"/>
        </w:rPr>
      </w:pPr>
      <w:r w:rsidRPr="0057417D">
        <w:rPr>
          <w:rFonts w:ascii="Century Gothic" w:hAnsi="Century Gothic"/>
          <w:color w:val="404040" w:themeColor="text1" w:themeTint="BF"/>
          <w:sz w:val="18"/>
          <w:szCs w:val="18"/>
        </w:rPr>
        <w:t>Año 201</w:t>
      </w:r>
      <w:r w:rsidR="001E3AC6" w:rsidRPr="0057417D">
        <w:rPr>
          <w:rFonts w:ascii="Century Gothic" w:hAnsi="Century Gothic"/>
          <w:color w:val="404040" w:themeColor="text1" w:themeTint="BF"/>
          <w:sz w:val="18"/>
          <w:szCs w:val="18"/>
        </w:rPr>
        <w:t>9</w:t>
      </w:r>
    </w:p>
    <w:tbl>
      <w:tblPr>
        <w:tblW w:w="9027" w:type="dxa"/>
        <w:tblInd w:w="-10" w:type="dxa"/>
        <w:tblCellMar>
          <w:left w:w="70" w:type="dxa"/>
          <w:right w:w="70" w:type="dxa"/>
        </w:tblCellMar>
        <w:tblLook w:val="04A0" w:firstRow="1" w:lastRow="0" w:firstColumn="1" w:lastColumn="0" w:noHBand="0" w:noVBand="1"/>
      </w:tblPr>
      <w:tblGrid>
        <w:gridCol w:w="1900"/>
        <w:gridCol w:w="2200"/>
        <w:gridCol w:w="1287"/>
        <w:gridCol w:w="3640"/>
      </w:tblGrid>
      <w:tr w:rsidR="00944CC2" w:rsidRPr="0057417D" w:rsidTr="009F7D4B">
        <w:trPr>
          <w:cantSplit/>
          <w:trHeight w:val="281"/>
          <w:tblHeader/>
        </w:trPr>
        <w:tc>
          <w:tcPr>
            <w:tcW w:w="1900" w:type="dxa"/>
            <w:tcBorders>
              <w:top w:val="single" w:sz="8" w:space="0" w:color="4F81BD"/>
              <w:left w:val="single" w:sz="8" w:space="0" w:color="4F81BD"/>
              <w:bottom w:val="single" w:sz="8" w:space="0" w:color="1F497D" w:themeColor="text2"/>
              <w:right w:val="nil"/>
            </w:tcBorders>
            <w:shd w:val="clear" w:color="000000" w:fill="365F91"/>
            <w:vAlign w:val="center"/>
            <w:hideMark/>
          </w:tcPr>
          <w:p w:rsidR="00944CC2" w:rsidRPr="0057417D" w:rsidRDefault="00944CC2" w:rsidP="00016AB4">
            <w:pPr>
              <w:spacing w:line="240" w:lineRule="auto"/>
              <w:jc w:val="center"/>
              <w:rPr>
                <w:rFonts w:ascii="Calibri" w:eastAsia="Times New Roman" w:hAnsi="Calibri" w:cs="Calibri"/>
                <w:b/>
                <w:color w:val="FFFFFF"/>
                <w:sz w:val="18"/>
                <w:szCs w:val="18"/>
                <w:lang w:eastAsia="es-CR"/>
              </w:rPr>
            </w:pPr>
            <w:r w:rsidRPr="0057417D">
              <w:rPr>
                <w:rFonts w:ascii="Calibri" w:eastAsia="Times New Roman" w:hAnsi="Calibri" w:cs="Calibri"/>
                <w:b/>
                <w:color w:val="FFFFFF"/>
                <w:sz w:val="18"/>
                <w:szCs w:val="18"/>
                <w:lang w:eastAsia="es-CR"/>
              </w:rPr>
              <w:t>Nombre funcionario</w:t>
            </w:r>
          </w:p>
        </w:tc>
        <w:tc>
          <w:tcPr>
            <w:tcW w:w="2200" w:type="dxa"/>
            <w:tcBorders>
              <w:top w:val="single" w:sz="8" w:space="0" w:color="4F81BD"/>
              <w:left w:val="nil"/>
              <w:bottom w:val="single" w:sz="8" w:space="0" w:color="1F497D" w:themeColor="text2"/>
              <w:right w:val="nil"/>
            </w:tcBorders>
            <w:shd w:val="clear" w:color="000000" w:fill="365F91"/>
            <w:vAlign w:val="center"/>
            <w:hideMark/>
          </w:tcPr>
          <w:p w:rsidR="00944CC2" w:rsidRPr="0057417D" w:rsidRDefault="00944CC2" w:rsidP="00016AB4">
            <w:pPr>
              <w:spacing w:line="240" w:lineRule="auto"/>
              <w:jc w:val="center"/>
              <w:rPr>
                <w:rFonts w:ascii="Calibri" w:eastAsia="Times New Roman" w:hAnsi="Calibri" w:cs="Calibri"/>
                <w:b/>
                <w:color w:val="FFFFFF"/>
                <w:sz w:val="18"/>
                <w:szCs w:val="18"/>
                <w:lang w:eastAsia="es-CR"/>
              </w:rPr>
            </w:pPr>
            <w:r w:rsidRPr="0057417D">
              <w:rPr>
                <w:rFonts w:ascii="Calibri" w:eastAsia="Times New Roman" w:hAnsi="Calibri" w:cs="Calibri"/>
                <w:b/>
                <w:color w:val="FFFFFF"/>
                <w:sz w:val="18"/>
                <w:szCs w:val="18"/>
                <w:lang w:eastAsia="es-CR"/>
              </w:rPr>
              <w:t>Cargo</w:t>
            </w:r>
          </w:p>
        </w:tc>
        <w:tc>
          <w:tcPr>
            <w:tcW w:w="1287" w:type="dxa"/>
            <w:tcBorders>
              <w:top w:val="single" w:sz="8" w:space="0" w:color="4F81BD"/>
              <w:left w:val="nil"/>
              <w:bottom w:val="single" w:sz="8" w:space="0" w:color="1F497D" w:themeColor="text2"/>
              <w:right w:val="nil"/>
            </w:tcBorders>
            <w:shd w:val="clear" w:color="000000" w:fill="365F91"/>
            <w:vAlign w:val="center"/>
            <w:hideMark/>
          </w:tcPr>
          <w:p w:rsidR="00944CC2" w:rsidRPr="0057417D" w:rsidRDefault="00944CC2" w:rsidP="00016AB4">
            <w:pPr>
              <w:spacing w:line="240" w:lineRule="auto"/>
              <w:jc w:val="center"/>
              <w:rPr>
                <w:rFonts w:ascii="Calibri" w:eastAsia="Times New Roman" w:hAnsi="Calibri" w:cs="Calibri"/>
                <w:b/>
                <w:color w:val="FFFFFF"/>
                <w:sz w:val="18"/>
                <w:szCs w:val="18"/>
                <w:lang w:eastAsia="es-CR"/>
              </w:rPr>
            </w:pPr>
            <w:r w:rsidRPr="0057417D">
              <w:rPr>
                <w:rFonts w:ascii="Calibri" w:eastAsia="Times New Roman" w:hAnsi="Calibri" w:cs="Calibri"/>
                <w:b/>
                <w:color w:val="FFFFFF"/>
                <w:sz w:val="18"/>
                <w:szCs w:val="18"/>
                <w:lang w:eastAsia="es-CR"/>
              </w:rPr>
              <w:t>Destino</w:t>
            </w:r>
          </w:p>
        </w:tc>
        <w:tc>
          <w:tcPr>
            <w:tcW w:w="3640" w:type="dxa"/>
            <w:tcBorders>
              <w:top w:val="single" w:sz="8" w:space="0" w:color="4F81BD"/>
              <w:left w:val="nil"/>
              <w:bottom w:val="single" w:sz="8" w:space="0" w:color="1F497D" w:themeColor="text2"/>
              <w:right w:val="single" w:sz="8" w:space="0" w:color="4F81BD"/>
            </w:tcBorders>
            <w:shd w:val="clear" w:color="000000" w:fill="365F91"/>
            <w:vAlign w:val="center"/>
            <w:hideMark/>
          </w:tcPr>
          <w:p w:rsidR="00944CC2" w:rsidRPr="0057417D" w:rsidRDefault="00944CC2" w:rsidP="00016AB4">
            <w:pPr>
              <w:spacing w:line="240" w:lineRule="auto"/>
              <w:jc w:val="center"/>
              <w:rPr>
                <w:rFonts w:ascii="Calibri" w:eastAsia="Times New Roman" w:hAnsi="Calibri" w:cs="Calibri"/>
                <w:b/>
                <w:color w:val="FFFFFF"/>
                <w:sz w:val="18"/>
                <w:szCs w:val="18"/>
                <w:lang w:eastAsia="es-CR"/>
              </w:rPr>
            </w:pPr>
            <w:r w:rsidRPr="0057417D">
              <w:rPr>
                <w:rFonts w:ascii="Calibri" w:eastAsia="Times New Roman" w:hAnsi="Calibri" w:cs="Calibri"/>
                <w:b/>
                <w:color w:val="FFFFFF"/>
                <w:sz w:val="18"/>
                <w:szCs w:val="18"/>
                <w:lang w:eastAsia="es-CR"/>
              </w:rPr>
              <w:t>Nombre capacitación</w:t>
            </w:r>
          </w:p>
        </w:tc>
      </w:tr>
      <w:tr w:rsidR="00944CC2" w:rsidRPr="0057417D" w:rsidTr="009F7D4B">
        <w:trPr>
          <w:cantSplit/>
          <w:trHeight w:val="786"/>
        </w:trPr>
        <w:tc>
          <w:tcPr>
            <w:tcW w:w="1900" w:type="dxa"/>
            <w:tcBorders>
              <w:top w:val="single" w:sz="8" w:space="0" w:color="1F497D" w:themeColor="text2"/>
              <w:left w:val="single" w:sz="8" w:space="0" w:color="1F497D" w:themeColor="text2"/>
              <w:bottom w:val="single" w:sz="8" w:space="0" w:color="4F81BD"/>
              <w:right w:val="nil"/>
            </w:tcBorders>
            <w:shd w:val="clear" w:color="auto" w:fill="auto"/>
            <w:vAlign w:val="center"/>
            <w:hideMark/>
          </w:tcPr>
          <w:p w:rsidR="00944CC2" w:rsidRPr="0057417D" w:rsidRDefault="0030090E" w:rsidP="0030090E">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 xml:space="preserve">Tomás </w:t>
            </w:r>
            <w:r w:rsidR="00944CC2" w:rsidRPr="0057417D">
              <w:rPr>
                <w:rFonts w:eastAsia="Times New Roman" w:cs="Calibri"/>
                <w:color w:val="000000"/>
                <w:sz w:val="18"/>
                <w:szCs w:val="18"/>
                <w:lang w:eastAsia="es-CR"/>
              </w:rPr>
              <w:t>Soley Pérez</w:t>
            </w:r>
          </w:p>
        </w:tc>
        <w:tc>
          <w:tcPr>
            <w:tcW w:w="2200" w:type="dxa"/>
            <w:tcBorders>
              <w:top w:val="single" w:sz="8" w:space="0" w:color="1F497D" w:themeColor="text2"/>
              <w:left w:val="single" w:sz="8" w:space="0" w:color="4F81BD"/>
              <w:bottom w:val="single" w:sz="8" w:space="0" w:color="4F81BD"/>
              <w:right w:val="nil"/>
            </w:tcBorders>
            <w:shd w:val="clear" w:color="auto" w:fill="auto"/>
            <w:vAlign w:val="center"/>
            <w:hideMark/>
          </w:tcPr>
          <w:p w:rsidR="00944CC2" w:rsidRPr="0057417D" w:rsidRDefault="00944CC2" w:rsidP="00016AB4">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Superintendente</w:t>
            </w:r>
          </w:p>
        </w:tc>
        <w:tc>
          <w:tcPr>
            <w:tcW w:w="1287" w:type="dxa"/>
            <w:tcBorders>
              <w:top w:val="single" w:sz="8" w:space="0" w:color="1F497D" w:themeColor="text2"/>
              <w:left w:val="single" w:sz="8" w:space="0" w:color="4F81BD"/>
              <w:bottom w:val="single" w:sz="8" w:space="0" w:color="4F81BD"/>
              <w:right w:val="nil"/>
            </w:tcBorders>
            <w:shd w:val="clear" w:color="auto" w:fill="auto"/>
            <w:vAlign w:val="center"/>
            <w:hideMark/>
          </w:tcPr>
          <w:p w:rsidR="00944CC2" w:rsidRPr="0057417D" w:rsidRDefault="00A81F2E" w:rsidP="00016AB4">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Alemania</w:t>
            </w:r>
          </w:p>
        </w:tc>
        <w:tc>
          <w:tcPr>
            <w:tcW w:w="3640" w:type="dxa"/>
            <w:tcBorders>
              <w:top w:val="single" w:sz="8" w:space="0" w:color="1F497D" w:themeColor="text2"/>
              <w:left w:val="single" w:sz="8" w:space="0" w:color="4F81BD"/>
              <w:bottom w:val="single" w:sz="8" w:space="0" w:color="4F81BD"/>
              <w:right w:val="single" w:sz="8" w:space="0" w:color="1F497D" w:themeColor="text2"/>
            </w:tcBorders>
            <w:shd w:val="clear" w:color="auto" w:fill="auto"/>
            <w:vAlign w:val="center"/>
            <w:hideMark/>
          </w:tcPr>
          <w:p w:rsidR="00944CC2" w:rsidRPr="0057417D" w:rsidRDefault="00A81F2E" w:rsidP="008874A9">
            <w:pPr>
              <w:spacing w:line="240" w:lineRule="auto"/>
              <w:rPr>
                <w:rFonts w:eastAsia="Times New Roman" w:cs="Calibri"/>
                <w:color w:val="000000"/>
                <w:sz w:val="18"/>
                <w:szCs w:val="18"/>
                <w:lang w:eastAsia="es-CR"/>
              </w:rPr>
            </w:pPr>
            <w:r w:rsidRPr="0057417D">
              <w:rPr>
                <w:rFonts w:eastAsia="Times New Roman" w:cs="Calibri"/>
                <w:color w:val="000000"/>
                <w:sz w:val="18"/>
                <w:szCs w:val="18"/>
                <w:lang w:eastAsia="es-CR"/>
              </w:rPr>
              <w:t xml:space="preserve">Participación en el décimo Aniversario de la Iniciativa de Acceso al Seguro sobre el tema </w:t>
            </w:r>
            <w:r w:rsidR="008874A9">
              <w:rPr>
                <w:rFonts w:eastAsia="Times New Roman" w:cs="Calibri"/>
                <w:color w:val="000000"/>
                <w:sz w:val="18"/>
                <w:szCs w:val="18"/>
                <w:lang w:eastAsia="es-CR"/>
              </w:rPr>
              <w:t>del r</w:t>
            </w:r>
            <w:r w:rsidRPr="0057417D">
              <w:rPr>
                <w:rFonts w:eastAsia="Times New Roman" w:cs="Calibri"/>
                <w:color w:val="000000"/>
                <w:sz w:val="18"/>
                <w:szCs w:val="18"/>
                <w:lang w:eastAsia="es-CR"/>
              </w:rPr>
              <w:t>ol del seguro y el supervisor para promover el logro de los objetivos de</w:t>
            </w:r>
            <w:r w:rsidR="008874A9">
              <w:rPr>
                <w:rFonts w:eastAsia="Times New Roman" w:cs="Calibri"/>
                <w:color w:val="000000"/>
                <w:sz w:val="18"/>
                <w:szCs w:val="18"/>
                <w:lang w:eastAsia="es-CR"/>
              </w:rPr>
              <w:t>l</w:t>
            </w:r>
            <w:r w:rsidRPr="0057417D">
              <w:rPr>
                <w:rFonts w:eastAsia="Times New Roman" w:cs="Calibri"/>
                <w:color w:val="000000"/>
                <w:sz w:val="18"/>
                <w:szCs w:val="18"/>
                <w:lang w:eastAsia="es-CR"/>
              </w:rPr>
              <w:t xml:space="preserve"> desarrollo, en el panel inaugural de alto nivel Seguros para el desarrollo sostenible, y b) en la Sexta Conferencia sobre Supervisión Global de Seguros,</w:t>
            </w:r>
          </w:p>
        </w:tc>
      </w:tr>
      <w:tr w:rsidR="00944CC2" w:rsidRPr="0057417D" w:rsidTr="009F7D4B">
        <w:trPr>
          <w:trHeight w:val="732"/>
        </w:trPr>
        <w:tc>
          <w:tcPr>
            <w:tcW w:w="1900" w:type="dxa"/>
            <w:tcBorders>
              <w:top w:val="single" w:sz="8" w:space="0" w:color="4F81BD"/>
              <w:left w:val="single" w:sz="8" w:space="0" w:color="1F497D" w:themeColor="text2"/>
              <w:bottom w:val="single" w:sz="8" w:space="0" w:color="4F81BD"/>
              <w:right w:val="nil"/>
            </w:tcBorders>
            <w:shd w:val="clear" w:color="auto" w:fill="auto"/>
            <w:vAlign w:val="center"/>
            <w:hideMark/>
          </w:tcPr>
          <w:p w:rsidR="00944CC2" w:rsidRPr="0057417D" w:rsidRDefault="00A81F2E" w:rsidP="00016AB4">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Tomás Soley Pérez</w:t>
            </w:r>
          </w:p>
        </w:tc>
        <w:tc>
          <w:tcPr>
            <w:tcW w:w="2200"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A81F2E" w:rsidP="00DC0970">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Superintendente</w:t>
            </w:r>
          </w:p>
        </w:tc>
        <w:tc>
          <w:tcPr>
            <w:tcW w:w="1287"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A81F2E" w:rsidP="00016AB4">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Francia y Suiza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hideMark/>
          </w:tcPr>
          <w:p w:rsidR="00944CC2" w:rsidRPr="0057417D" w:rsidRDefault="00A81F2E" w:rsidP="000D629F">
            <w:pPr>
              <w:spacing w:line="240" w:lineRule="auto"/>
              <w:rPr>
                <w:rFonts w:eastAsia="Times New Roman" w:cs="Calibri"/>
                <w:color w:val="000000"/>
                <w:sz w:val="18"/>
                <w:szCs w:val="18"/>
                <w:lang w:eastAsia="es-CR"/>
              </w:rPr>
            </w:pPr>
            <w:r w:rsidRPr="0057417D">
              <w:rPr>
                <w:rFonts w:eastAsia="Times New Roman" w:cs="Calibri"/>
                <w:color w:val="000000"/>
                <w:sz w:val="18"/>
                <w:szCs w:val="18"/>
                <w:lang w:eastAsia="es-CR"/>
              </w:rPr>
              <w:t>Participación en reunión del Comité de Seguros</w:t>
            </w:r>
            <w:r w:rsidR="008874A9">
              <w:rPr>
                <w:rFonts w:eastAsia="Times New Roman" w:cs="Calibri"/>
                <w:color w:val="000000"/>
                <w:sz w:val="18"/>
                <w:szCs w:val="18"/>
                <w:lang w:eastAsia="es-CR"/>
              </w:rPr>
              <w:t xml:space="preserve"> y Pensiones Privadas de O</w:t>
            </w:r>
            <w:r w:rsidRPr="0057417D">
              <w:rPr>
                <w:rFonts w:eastAsia="Times New Roman" w:cs="Calibri"/>
                <w:color w:val="000000"/>
                <w:sz w:val="18"/>
                <w:szCs w:val="18"/>
                <w:lang w:eastAsia="es-CR"/>
              </w:rPr>
              <w:t>CD</w:t>
            </w:r>
            <w:r w:rsidR="008874A9">
              <w:rPr>
                <w:rFonts w:eastAsia="Times New Roman" w:cs="Calibri"/>
                <w:color w:val="000000"/>
                <w:sz w:val="18"/>
                <w:szCs w:val="18"/>
                <w:lang w:eastAsia="es-CR"/>
              </w:rPr>
              <w:t>E.</w:t>
            </w:r>
          </w:p>
        </w:tc>
      </w:tr>
      <w:tr w:rsidR="00944CC2" w:rsidRPr="0057417D" w:rsidTr="009F7D4B">
        <w:trPr>
          <w:trHeight w:val="463"/>
        </w:trPr>
        <w:tc>
          <w:tcPr>
            <w:tcW w:w="1900" w:type="dxa"/>
            <w:tcBorders>
              <w:top w:val="single" w:sz="8" w:space="0" w:color="4F81BD"/>
              <w:left w:val="single" w:sz="8" w:space="0" w:color="1F497D" w:themeColor="text2"/>
              <w:bottom w:val="single" w:sz="8" w:space="0" w:color="4F81BD"/>
              <w:right w:val="nil"/>
            </w:tcBorders>
            <w:shd w:val="clear" w:color="auto" w:fill="auto"/>
            <w:vAlign w:val="center"/>
            <w:hideMark/>
          </w:tcPr>
          <w:p w:rsidR="00944CC2" w:rsidRPr="0057417D" w:rsidRDefault="002E3157" w:rsidP="00016AB4">
            <w:pPr>
              <w:spacing w:line="240" w:lineRule="auto"/>
              <w:jc w:val="center"/>
              <w:rPr>
                <w:rFonts w:eastAsia="Times New Roman" w:cs="Calibri"/>
                <w:color w:val="000000"/>
                <w:sz w:val="18"/>
                <w:szCs w:val="18"/>
                <w:lang w:eastAsia="es-CR"/>
              </w:rPr>
            </w:pPr>
            <w:r w:rsidRPr="0057417D">
              <w:rPr>
                <w:rFonts w:ascii="Calibri" w:eastAsia="Times New Roman" w:hAnsi="Calibri" w:cs="Calibri"/>
                <w:color w:val="000000"/>
                <w:sz w:val="18"/>
                <w:szCs w:val="18"/>
                <w:lang w:eastAsia="es-CR"/>
              </w:rPr>
              <w:t>German Rodríguez Aguilar</w:t>
            </w:r>
          </w:p>
        </w:tc>
        <w:tc>
          <w:tcPr>
            <w:tcW w:w="2200"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2E3157" w:rsidP="00DC0970">
            <w:pPr>
              <w:spacing w:line="240" w:lineRule="auto"/>
              <w:jc w:val="center"/>
              <w:rPr>
                <w:rFonts w:eastAsia="Times New Roman" w:cs="Calibri"/>
                <w:color w:val="000000"/>
                <w:sz w:val="18"/>
                <w:szCs w:val="18"/>
                <w:lang w:eastAsia="es-CR"/>
              </w:rPr>
            </w:pPr>
            <w:r w:rsidRPr="0057417D">
              <w:rPr>
                <w:rFonts w:ascii="Calibri" w:eastAsia="Times New Roman" w:hAnsi="Calibri" w:cs="Calibri"/>
                <w:color w:val="000000"/>
                <w:sz w:val="18"/>
                <w:szCs w:val="18"/>
                <w:lang w:eastAsia="es-CR"/>
              </w:rPr>
              <w:t>Director Departamento de Asesoría Jurídica</w:t>
            </w:r>
          </w:p>
        </w:tc>
        <w:tc>
          <w:tcPr>
            <w:tcW w:w="1287"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F74150" w:rsidP="00016AB4">
            <w:pPr>
              <w:spacing w:line="240" w:lineRule="auto"/>
              <w:jc w:val="center"/>
              <w:rPr>
                <w:rFonts w:eastAsia="Times New Roman" w:cs="Calibri"/>
                <w:color w:val="000000"/>
                <w:sz w:val="18"/>
                <w:szCs w:val="18"/>
                <w:lang w:eastAsia="es-CR"/>
              </w:rPr>
            </w:pPr>
            <w:r>
              <w:rPr>
                <w:rFonts w:eastAsia="Times New Roman" w:cs="Calibri"/>
                <w:color w:val="000000"/>
                <w:sz w:val="18"/>
                <w:szCs w:val="18"/>
                <w:lang w:eastAsia="es-CR"/>
              </w:rPr>
              <w:t>Francia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hideMark/>
          </w:tcPr>
          <w:p w:rsidR="00944CC2" w:rsidRPr="0057417D" w:rsidRDefault="00A81F2E" w:rsidP="00A81F2E">
            <w:pPr>
              <w:spacing w:line="240" w:lineRule="auto"/>
              <w:rPr>
                <w:rFonts w:eastAsia="Times New Roman" w:cs="Calibri"/>
                <w:color w:val="000000"/>
                <w:sz w:val="18"/>
                <w:szCs w:val="18"/>
                <w:lang w:eastAsia="es-CR"/>
              </w:rPr>
            </w:pPr>
            <w:r w:rsidRPr="0057417D">
              <w:rPr>
                <w:rFonts w:eastAsia="Times New Roman" w:cs="Calibri"/>
                <w:color w:val="000000"/>
                <w:sz w:val="18"/>
                <w:szCs w:val="18"/>
                <w:lang w:eastAsia="es-CR"/>
              </w:rPr>
              <w:t>Participación en la sesión del grupo de trabajo sobre Protección del Consumidor Financiero de OCDE</w:t>
            </w:r>
          </w:p>
        </w:tc>
      </w:tr>
      <w:tr w:rsidR="002E3157" w:rsidRPr="0057417D" w:rsidTr="009F7D4B">
        <w:trPr>
          <w:trHeight w:val="742"/>
        </w:trPr>
        <w:tc>
          <w:tcPr>
            <w:tcW w:w="1900" w:type="dxa"/>
            <w:tcBorders>
              <w:top w:val="single" w:sz="8" w:space="0" w:color="4F81BD"/>
              <w:left w:val="single" w:sz="8" w:space="0" w:color="1F497D" w:themeColor="text2"/>
              <w:bottom w:val="single" w:sz="8" w:space="0" w:color="4F81BD"/>
              <w:right w:val="nil"/>
            </w:tcBorders>
            <w:shd w:val="clear" w:color="auto" w:fill="auto"/>
            <w:vAlign w:val="center"/>
          </w:tcPr>
          <w:p w:rsidR="002E3157" w:rsidRPr="0057417D" w:rsidRDefault="002E3157" w:rsidP="002E3157">
            <w:pPr>
              <w:spacing w:line="240" w:lineRule="auto"/>
              <w:jc w:val="center"/>
              <w:rPr>
                <w:rFonts w:ascii="Calibri" w:eastAsia="Times New Roman" w:hAnsi="Calibri" w:cs="Calibri"/>
                <w:color w:val="000000"/>
                <w:sz w:val="18"/>
                <w:szCs w:val="18"/>
                <w:lang w:eastAsia="es-CR"/>
              </w:rPr>
            </w:pPr>
            <w:r w:rsidRPr="0057417D">
              <w:rPr>
                <w:rFonts w:eastAsia="Times New Roman" w:cs="Calibri"/>
                <w:color w:val="000000"/>
                <w:sz w:val="18"/>
                <w:szCs w:val="18"/>
                <w:lang w:eastAsia="es-CR"/>
              </w:rPr>
              <w:t>Tomás Soley Pérez</w:t>
            </w:r>
          </w:p>
        </w:tc>
        <w:tc>
          <w:tcPr>
            <w:tcW w:w="2200" w:type="dxa"/>
            <w:tcBorders>
              <w:top w:val="single" w:sz="8" w:space="0" w:color="4F81BD"/>
              <w:left w:val="single" w:sz="8" w:space="0" w:color="4F81BD"/>
              <w:bottom w:val="single" w:sz="8" w:space="0" w:color="4F81BD"/>
              <w:right w:val="nil"/>
            </w:tcBorders>
            <w:shd w:val="clear" w:color="auto" w:fill="auto"/>
            <w:vAlign w:val="center"/>
          </w:tcPr>
          <w:p w:rsidR="002E3157" w:rsidRPr="0057417D" w:rsidRDefault="002E3157" w:rsidP="002E3157">
            <w:pPr>
              <w:spacing w:line="240" w:lineRule="auto"/>
              <w:jc w:val="center"/>
              <w:rPr>
                <w:rFonts w:ascii="Calibri" w:eastAsia="Times New Roman" w:hAnsi="Calibri" w:cs="Calibri"/>
                <w:color w:val="000000"/>
                <w:sz w:val="18"/>
                <w:szCs w:val="18"/>
                <w:lang w:eastAsia="es-CR"/>
              </w:rPr>
            </w:pPr>
            <w:r w:rsidRPr="0057417D">
              <w:rPr>
                <w:rFonts w:eastAsia="Times New Roman" w:cs="Calibri"/>
                <w:color w:val="000000"/>
                <w:sz w:val="18"/>
                <w:szCs w:val="18"/>
                <w:lang w:eastAsia="es-CR"/>
              </w:rPr>
              <w:t>Superintendente</w:t>
            </w:r>
          </w:p>
        </w:tc>
        <w:tc>
          <w:tcPr>
            <w:tcW w:w="1287" w:type="dxa"/>
            <w:tcBorders>
              <w:top w:val="single" w:sz="8" w:space="0" w:color="4F81BD"/>
              <w:left w:val="single" w:sz="8" w:space="0" w:color="4F81BD"/>
              <w:bottom w:val="single" w:sz="8" w:space="0" w:color="4F81BD"/>
              <w:right w:val="nil"/>
            </w:tcBorders>
            <w:shd w:val="clear" w:color="auto" w:fill="auto"/>
            <w:vAlign w:val="center"/>
          </w:tcPr>
          <w:p w:rsidR="002E3157" w:rsidRPr="0057417D" w:rsidRDefault="002E3157" w:rsidP="002E3157">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Bolivia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tcPr>
          <w:p w:rsidR="002E3157" w:rsidRPr="0057417D" w:rsidRDefault="002E3157" w:rsidP="002E3157">
            <w:pPr>
              <w:spacing w:line="240" w:lineRule="auto"/>
              <w:rPr>
                <w:rFonts w:eastAsia="Times New Roman" w:cs="Calibri"/>
                <w:color w:val="000000"/>
                <w:sz w:val="18"/>
                <w:szCs w:val="18"/>
                <w:lang w:eastAsia="es-CR"/>
              </w:rPr>
            </w:pPr>
            <w:r w:rsidRPr="0057417D">
              <w:rPr>
                <w:rFonts w:eastAsia="Times New Roman" w:cs="Calibri"/>
                <w:color w:val="000000"/>
                <w:sz w:val="18"/>
                <w:szCs w:val="18"/>
                <w:lang w:eastAsia="es-CR"/>
              </w:rPr>
              <w:t>Participación en XX Conferencia sobre Regulación y Supervisión de Seguros en América Latina IAIS-ASSAL y la XXX Asamblea Anual de ASSAL</w:t>
            </w:r>
          </w:p>
        </w:tc>
      </w:tr>
      <w:tr w:rsidR="00944CC2" w:rsidRPr="0057417D" w:rsidTr="004954E6">
        <w:trPr>
          <w:trHeight w:val="916"/>
        </w:trPr>
        <w:tc>
          <w:tcPr>
            <w:tcW w:w="1900" w:type="dxa"/>
            <w:tcBorders>
              <w:top w:val="single" w:sz="8" w:space="0" w:color="4F81BD"/>
              <w:left w:val="single" w:sz="8" w:space="0" w:color="1F497D" w:themeColor="text2"/>
              <w:bottom w:val="single" w:sz="8" w:space="0" w:color="4F81BD"/>
              <w:right w:val="nil"/>
            </w:tcBorders>
            <w:shd w:val="clear" w:color="auto" w:fill="auto"/>
            <w:vAlign w:val="center"/>
            <w:hideMark/>
          </w:tcPr>
          <w:p w:rsidR="00944CC2" w:rsidRPr="0057417D" w:rsidRDefault="002E3157" w:rsidP="00016AB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Vilma Gamboa Morales</w:t>
            </w:r>
          </w:p>
        </w:tc>
        <w:tc>
          <w:tcPr>
            <w:tcW w:w="2200"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944CC2" w:rsidP="00016AB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Directo</w:t>
            </w:r>
            <w:r w:rsidR="0030090E" w:rsidRPr="0057417D">
              <w:rPr>
                <w:rFonts w:ascii="Calibri" w:eastAsia="Times New Roman" w:hAnsi="Calibri" w:cs="Calibri"/>
                <w:color w:val="000000"/>
                <w:sz w:val="18"/>
                <w:szCs w:val="18"/>
                <w:lang w:eastAsia="es-CR"/>
              </w:rPr>
              <w:t>r</w:t>
            </w:r>
            <w:r w:rsidR="002E3157" w:rsidRPr="0057417D">
              <w:rPr>
                <w:rFonts w:ascii="Calibri" w:eastAsia="Times New Roman" w:hAnsi="Calibri" w:cs="Calibri"/>
                <w:color w:val="000000"/>
                <w:sz w:val="18"/>
                <w:szCs w:val="18"/>
                <w:lang w:eastAsia="es-CR"/>
              </w:rPr>
              <w:t>a</w:t>
            </w:r>
            <w:r w:rsidRPr="0057417D">
              <w:rPr>
                <w:rFonts w:ascii="Calibri" w:eastAsia="Times New Roman" w:hAnsi="Calibri" w:cs="Calibri"/>
                <w:color w:val="000000"/>
                <w:sz w:val="18"/>
                <w:szCs w:val="18"/>
                <w:lang w:eastAsia="es-CR"/>
              </w:rPr>
              <w:t xml:space="preserve"> </w:t>
            </w:r>
            <w:r w:rsidR="002E3157" w:rsidRPr="0057417D">
              <w:rPr>
                <w:rFonts w:ascii="Calibri" w:eastAsia="Times New Roman" w:hAnsi="Calibri" w:cs="Calibri"/>
                <w:color w:val="000000"/>
                <w:sz w:val="18"/>
                <w:szCs w:val="18"/>
                <w:lang w:eastAsia="es-CR"/>
              </w:rPr>
              <w:t xml:space="preserve"> a.i. </w:t>
            </w:r>
            <w:r w:rsidRPr="0057417D">
              <w:rPr>
                <w:rFonts w:ascii="Calibri" w:eastAsia="Times New Roman" w:hAnsi="Calibri" w:cs="Calibri"/>
                <w:color w:val="000000"/>
                <w:sz w:val="18"/>
                <w:szCs w:val="18"/>
                <w:lang w:eastAsia="es-CR"/>
              </w:rPr>
              <w:t>D</w:t>
            </w:r>
            <w:r w:rsidR="002E3157" w:rsidRPr="0057417D">
              <w:rPr>
                <w:rFonts w:ascii="Calibri" w:eastAsia="Times New Roman" w:hAnsi="Calibri" w:cs="Calibri"/>
                <w:color w:val="000000"/>
                <w:sz w:val="18"/>
                <w:szCs w:val="18"/>
                <w:lang w:eastAsia="es-CR"/>
              </w:rPr>
              <w:t>epartamento de Supervisión</w:t>
            </w:r>
          </w:p>
        </w:tc>
        <w:tc>
          <w:tcPr>
            <w:tcW w:w="1287" w:type="dxa"/>
            <w:tcBorders>
              <w:top w:val="single" w:sz="8" w:space="0" w:color="4F81BD"/>
              <w:left w:val="single" w:sz="8" w:space="0" w:color="4F81BD"/>
              <w:bottom w:val="single" w:sz="8" w:space="0" w:color="4F81BD"/>
              <w:right w:val="nil"/>
            </w:tcBorders>
            <w:shd w:val="clear" w:color="auto" w:fill="auto"/>
            <w:vAlign w:val="center"/>
            <w:hideMark/>
          </w:tcPr>
          <w:p w:rsidR="00944CC2" w:rsidRPr="0057417D" w:rsidRDefault="002E3157" w:rsidP="00016AB4">
            <w:pPr>
              <w:spacing w:line="240" w:lineRule="auto"/>
              <w:jc w:val="center"/>
              <w:rPr>
                <w:rFonts w:ascii="Calibri" w:eastAsia="Times New Roman" w:hAnsi="Calibri" w:cs="Calibri"/>
                <w:color w:val="000000"/>
                <w:sz w:val="18"/>
                <w:szCs w:val="18"/>
                <w:lang w:eastAsia="es-CR"/>
              </w:rPr>
            </w:pPr>
            <w:r w:rsidRPr="0057417D">
              <w:rPr>
                <w:rFonts w:eastAsia="Times New Roman" w:cs="Calibri"/>
                <w:color w:val="000000"/>
                <w:sz w:val="18"/>
                <w:szCs w:val="18"/>
                <w:lang w:eastAsia="es-CR"/>
              </w:rPr>
              <w:t>Bolivia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hideMark/>
          </w:tcPr>
          <w:p w:rsidR="00944CC2" w:rsidRPr="0057417D" w:rsidRDefault="002E3157" w:rsidP="0085064C">
            <w:pPr>
              <w:spacing w:line="240" w:lineRule="auto"/>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Participación en XX Conferencia sobre Regulación y Supervisión de Seguros en América Latina IAIS-ASSAL y la XXX Asamblea Anual de ASSAL</w:t>
            </w:r>
          </w:p>
        </w:tc>
      </w:tr>
      <w:tr w:rsidR="004954E6" w:rsidRPr="0057417D" w:rsidTr="00B239B4">
        <w:trPr>
          <w:trHeight w:val="916"/>
        </w:trPr>
        <w:tc>
          <w:tcPr>
            <w:tcW w:w="1900" w:type="dxa"/>
            <w:tcBorders>
              <w:top w:val="single" w:sz="8" w:space="0" w:color="4F81BD"/>
              <w:left w:val="single" w:sz="8" w:space="0" w:color="1F497D" w:themeColor="text2"/>
              <w:bottom w:val="single" w:sz="8" w:space="0" w:color="4F81BD"/>
              <w:right w:val="nil"/>
            </w:tcBorders>
            <w:shd w:val="clear" w:color="auto" w:fill="auto"/>
            <w:vAlign w:val="center"/>
          </w:tcPr>
          <w:p w:rsidR="004954E6" w:rsidRPr="0057417D" w:rsidRDefault="002E3157" w:rsidP="00016AB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Celia Gonzalez Haug</w:t>
            </w:r>
          </w:p>
        </w:tc>
        <w:tc>
          <w:tcPr>
            <w:tcW w:w="2200" w:type="dxa"/>
            <w:tcBorders>
              <w:top w:val="single" w:sz="8" w:space="0" w:color="4F81BD"/>
              <w:left w:val="single" w:sz="8" w:space="0" w:color="4F81BD"/>
              <w:bottom w:val="single" w:sz="8" w:space="0" w:color="4F81BD"/>
              <w:right w:val="nil"/>
            </w:tcBorders>
            <w:shd w:val="clear" w:color="auto" w:fill="auto"/>
            <w:vAlign w:val="center"/>
          </w:tcPr>
          <w:p w:rsidR="004954E6" w:rsidRPr="0057417D" w:rsidRDefault="004954E6" w:rsidP="00016AB4">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Director</w:t>
            </w:r>
            <w:r w:rsidR="002E3157" w:rsidRPr="0057417D">
              <w:rPr>
                <w:rFonts w:ascii="Calibri" w:eastAsia="Times New Roman" w:hAnsi="Calibri" w:cs="Calibri"/>
                <w:color w:val="000000"/>
                <w:sz w:val="18"/>
                <w:szCs w:val="18"/>
                <w:lang w:eastAsia="es-CR"/>
              </w:rPr>
              <w:t>a</w:t>
            </w:r>
            <w:r w:rsidRPr="0057417D">
              <w:rPr>
                <w:rFonts w:ascii="Calibri" w:eastAsia="Times New Roman" w:hAnsi="Calibri" w:cs="Calibri"/>
                <w:color w:val="000000"/>
                <w:sz w:val="18"/>
                <w:szCs w:val="18"/>
                <w:lang w:eastAsia="es-CR"/>
              </w:rPr>
              <w:t xml:space="preserve"> D</w:t>
            </w:r>
            <w:r w:rsidR="002E3157" w:rsidRPr="0057417D">
              <w:rPr>
                <w:rFonts w:ascii="Calibri" w:eastAsia="Times New Roman" w:hAnsi="Calibri" w:cs="Calibri"/>
                <w:color w:val="000000"/>
                <w:sz w:val="18"/>
                <w:szCs w:val="18"/>
                <w:lang w:eastAsia="es-CR"/>
              </w:rPr>
              <w:t>epartamento de Normativa y Autorizaciones</w:t>
            </w:r>
          </w:p>
        </w:tc>
        <w:tc>
          <w:tcPr>
            <w:tcW w:w="1287" w:type="dxa"/>
            <w:tcBorders>
              <w:top w:val="single" w:sz="8" w:space="0" w:color="4F81BD"/>
              <w:left w:val="single" w:sz="8" w:space="0" w:color="4F81BD"/>
              <w:bottom w:val="single" w:sz="8" w:space="0" w:color="4F81BD"/>
              <w:right w:val="nil"/>
            </w:tcBorders>
            <w:shd w:val="clear" w:color="auto" w:fill="auto"/>
            <w:vAlign w:val="center"/>
          </w:tcPr>
          <w:p w:rsidR="004954E6" w:rsidRPr="0057417D" w:rsidRDefault="002E3157" w:rsidP="00016AB4">
            <w:pPr>
              <w:spacing w:line="240" w:lineRule="auto"/>
              <w:jc w:val="center"/>
              <w:rPr>
                <w:rFonts w:ascii="Calibri" w:eastAsia="Times New Roman" w:hAnsi="Calibri" w:cs="Calibri"/>
                <w:color w:val="000000"/>
                <w:sz w:val="18"/>
                <w:szCs w:val="18"/>
                <w:lang w:eastAsia="es-CR"/>
              </w:rPr>
            </w:pPr>
            <w:r w:rsidRPr="0057417D">
              <w:rPr>
                <w:rFonts w:eastAsia="Times New Roman" w:cs="Calibri"/>
                <w:color w:val="000000"/>
                <w:sz w:val="18"/>
                <w:szCs w:val="18"/>
                <w:lang w:eastAsia="es-CR"/>
              </w:rPr>
              <w:t>Bolivia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tcPr>
          <w:p w:rsidR="004954E6" w:rsidRPr="0057417D" w:rsidRDefault="002E3157" w:rsidP="0085064C">
            <w:pPr>
              <w:spacing w:line="240" w:lineRule="auto"/>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Participación en XX Conferencia sobre Regulación y Supervisión de Seguros en América Latina IAIS-ASSAL y la XXX Asamblea Anual de ASSAL</w:t>
            </w:r>
          </w:p>
        </w:tc>
      </w:tr>
      <w:tr w:rsidR="002E3157" w:rsidRPr="0057417D" w:rsidTr="00B239B4">
        <w:trPr>
          <w:trHeight w:val="916"/>
        </w:trPr>
        <w:tc>
          <w:tcPr>
            <w:tcW w:w="1900" w:type="dxa"/>
            <w:tcBorders>
              <w:top w:val="single" w:sz="8" w:space="0" w:color="4F81BD"/>
              <w:left w:val="single" w:sz="8" w:space="0" w:color="1F497D" w:themeColor="text2"/>
              <w:bottom w:val="single" w:sz="8" w:space="0" w:color="4F81BD"/>
              <w:right w:val="nil"/>
            </w:tcBorders>
            <w:shd w:val="clear" w:color="auto" w:fill="auto"/>
            <w:vAlign w:val="center"/>
          </w:tcPr>
          <w:p w:rsidR="002E3157" w:rsidRPr="0057417D" w:rsidRDefault="002E3157" w:rsidP="002E3157">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German Rodríguez Aguilar</w:t>
            </w:r>
          </w:p>
        </w:tc>
        <w:tc>
          <w:tcPr>
            <w:tcW w:w="2200" w:type="dxa"/>
            <w:tcBorders>
              <w:top w:val="single" w:sz="8" w:space="0" w:color="4F81BD"/>
              <w:left w:val="single" w:sz="8" w:space="0" w:color="4F81BD"/>
              <w:bottom w:val="single" w:sz="8" w:space="0" w:color="4F81BD"/>
              <w:right w:val="nil"/>
            </w:tcBorders>
            <w:shd w:val="clear" w:color="auto" w:fill="auto"/>
            <w:vAlign w:val="center"/>
          </w:tcPr>
          <w:p w:rsidR="002E3157" w:rsidRPr="0057417D" w:rsidRDefault="002E3157" w:rsidP="002E3157">
            <w:pPr>
              <w:spacing w:line="240" w:lineRule="auto"/>
              <w:jc w:val="center"/>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Director Departamento de Asesoría Jurídica</w:t>
            </w:r>
          </w:p>
        </w:tc>
        <w:tc>
          <w:tcPr>
            <w:tcW w:w="1287" w:type="dxa"/>
            <w:tcBorders>
              <w:top w:val="single" w:sz="8" w:space="0" w:color="4F81BD"/>
              <w:left w:val="single" w:sz="8" w:space="0" w:color="4F81BD"/>
              <w:bottom w:val="single" w:sz="8" w:space="0" w:color="4F81BD"/>
              <w:right w:val="nil"/>
            </w:tcBorders>
            <w:shd w:val="clear" w:color="auto" w:fill="auto"/>
            <w:vAlign w:val="center"/>
          </w:tcPr>
          <w:p w:rsidR="002E3157" w:rsidRPr="0057417D" w:rsidRDefault="002E3157" w:rsidP="002E3157">
            <w:pPr>
              <w:spacing w:line="240" w:lineRule="auto"/>
              <w:jc w:val="center"/>
              <w:rPr>
                <w:rFonts w:eastAsia="Times New Roman" w:cs="Calibri"/>
                <w:color w:val="000000"/>
                <w:sz w:val="18"/>
                <w:szCs w:val="18"/>
                <w:lang w:eastAsia="es-CR"/>
              </w:rPr>
            </w:pPr>
            <w:r w:rsidRPr="0057417D">
              <w:rPr>
                <w:rFonts w:eastAsia="Times New Roman" w:cs="Calibri"/>
                <w:color w:val="000000"/>
                <w:sz w:val="18"/>
                <w:szCs w:val="18"/>
                <w:lang w:eastAsia="es-CR"/>
              </w:rPr>
              <w:t>Francia</w:t>
            </w:r>
          </w:p>
        </w:tc>
        <w:tc>
          <w:tcPr>
            <w:tcW w:w="3640" w:type="dxa"/>
            <w:tcBorders>
              <w:top w:val="single" w:sz="8" w:space="0" w:color="4F81BD"/>
              <w:left w:val="single" w:sz="8" w:space="0" w:color="4F81BD"/>
              <w:bottom w:val="single" w:sz="8" w:space="0" w:color="4F81BD"/>
              <w:right w:val="single" w:sz="8" w:space="0" w:color="1F497D" w:themeColor="text2"/>
            </w:tcBorders>
            <w:shd w:val="clear" w:color="auto" w:fill="auto"/>
            <w:vAlign w:val="center"/>
          </w:tcPr>
          <w:p w:rsidR="002E3157" w:rsidRPr="0057417D" w:rsidRDefault="002E3157" w:rsidP="002E3157">
            <w:pPr>
              <w:spacing w:line="240" w:lineRule="auto"/>
              <w:rPr>
                <w:rFonts w:ascii="Calibri" w:eastAsia="Times New Roman" w:hAnsi="Calibri" w:cs="Calibri"/>
                <w:color w:val="000000"/>
                <w:sz w:val="18"/>
                <w:szCs w:val="18"/>
                <w:lang w:eastAsia="es-CR"/>
              </w:rPr>
            </w:pPr>
            <w:r w:rsidRPr="0057417D">
              <w:rPr>
                <w:rFonts w:ascii="Calibri" w:eastAsia="Times New Roman" w:hAnsi="Calibri" w:cs="Calibri"/>
                <w:color w:val="000000"/>
                <w:sz w:val="18"/>
                <w:szCs w:val="18"/>
                <w:lang w:eastAsia="es-CR"/>
              </w:rPr>
              <w:t>Participación en la sesión del grupo de trabajo sobre Protección</w:t>
            </w:r>
            <w:r w:rsidR="00F74150">
              <w:rPr>
                <w:rFonts w:ascii="Calibri" w:eastAsia="Times New Roman" w:hAnsi="Calibri" w:cs="Calibri"/>
                <w:color w:val="000000"/>
                <w:sz w:val="18"/>
                <w:szCs w:val="18"/>
                <w:lang w:eastAsia="es-CR"/>
              </w:rPr>
              <w:t xml:space="preserve"> del Consumidor Financiero de OCDE</w:t>
            </w:r>
          </w:p>
        </w:tc>
      </w:tr>
    </w:tbl>
    <w:p w:rsidR="00944CC2" w:rsidRPr="0057417D" w:rsidRDefault="00944CC2" w:rsidP="00016AB4">
      <w:pPr>
        <w:spacing w:line="240" w:lineRule="auto"/>
        <w:jc w:val="center"/>
        <w:rPr>
          <w:rFonts w:ascii="Century Gothic" w:hAnsi="Century Gothic" w:cs="Century Gothic"/>
          <w:bCs/>
          <w:kern w:val="24"/>
          <w:sz w:val="20"/>
          <w:szCs w:val="20"/>
        </w:rPr>
      </w:pPr>
    </w:p>
    <w:p w:rsidR="00636CC4" w:rsidRPr="0057417D" w:rsidRDefault="00636CC4" w:rsidP="00016AB4">
      <w:pPr>
        <w:spacing w:line="240" w:lineRule="auto"/>
      </w:pPr>
    </w:p>
    <w:p w:rsidR="005D613A" w:rsidRPr="0057417D" w:rsidRDefault="00834406"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7" w:name="_Toc473007004"/>
      <w:r w:rsidRPr="0057417D">
        <w:rPr>
          <w:rFonts w:ascii="Century Gothic" w:eastAsiaTheme="majorEastAsia" w:hAnsi="Century Gothic" w:cstheme="majorBidi"/>
          <w:color w:val="365F91" w:themeColor="accent1" w:themeShade="BF"/>
          <w:kern w:val="0"/>
          <w:sz w:val="28"/>
          <w:szCs w:val="28"/>
          <w:lang w:eastAsia="es-CR"/>
        </w:rPr>
        <w:t>LIMITACIONES Y OBSTÁCULOS</w:t>
      </w:r>
      <w:bookmarkEnd w:id="7"/>
    </w:p>
    <w:p w:rsidR="00CD0DAA" w:rsidRPr="0057417D" w:rsidRDefault="00CD0DAA" w:rsidP="00016AB4">
      <w:pPr>
        <w:pStyle w:val="NormalWeb"/>
        <w:spacing w:before="0" w:after="0" w:afterAutospacing="0" w:line="240" w:lineRule="auto"/>
        <w:ind w:left="0"/>
        <w:rPr>
          <w:rFonts w:asciiTheme="minorHAnsi" w:eastAsiaTheme="minorEastAsia" w:hAnsiTheme="minorHAnsi" w:cstheme="minorBidi"/>
          <w:color w:val="auto"/>
          <w:sz w:val="24"/>
          <w:szCs w:val="24"/>
          <w:lang w:eastAsia="es-CR"/>
        </w:rPr>
      </w:pPr>
    </w:p>
    <w:p w:rsidR="00CD0DAA" w:rsidRPr="0057417D" w:rsidRDefault="00336BB6" w:rsidP="00BB53BE">
      <w:pPr>
        <w:pStyle w:val="NormalWeb"/>
        <w:spacing w:before="0" w:after="0" w:afterAutospacing="0" w:line="240" w:lineRule="auto"/>
        <w:ind w:left="0"/>
        <w:rPr>
          <w:rFonts w:asciiTheme="minorHAnsi" w:eastAsiaTheme="minorEastAsia" w:hAnsiTheme="minorHAnsi" w:cstheme="minorBidi"/>
          <w:color w:val="auto"/>
          <w:sz w:val="24"/>
          <w:szCs w:val="24"/>
          <w:lang w:eastAsia="es-CR"/>
        </w:rPr>
      </w:pPr>
      <w:r w:rsidRPr="0057417D">
        <w:rPr>
          <w:rFonts w:asciiTheme="minorHAnsi" w:eastAsiaTheme="minorEastAsia" w:hAnsiTheme="minorHAnsi" w:cstheme="minorBidi"/>
          <w:color w:val="auto"/>
          <w:sz w:val="24"/>
          <w:szCs w:val="24"/>
          <w:lang w:eastAsia="es-CR"/>
        </w:rPr>
        <w:t>A contin</w:t>
      </w:r>
      <w:r w:rsidR="00CD0DAA" w:rsidRPr="0057417D">
        <w:rPr>
          <w:rFonts w:asciiTheme="minorHAnsi" w:eastAsiaTheme="minorEastAsia" w:hAnsiTheme="minorHAnsi" w:cstheme="minorBidi"/>
          <w:color w:val="auto"/>
          <w:sz w:val="24"/>
          <w:szCs w:val="24"/>
          <w:lang w:eastAsia="es-CR"/>
        </w:rPr>
        <w:t xml:space="preserve">uación se describen algunas </w:t>
      </w:r>
      <w:r w:rsidR="00F00BF6" w:rsidRPr="0057417D">
        <w:rPr>
          <w:rFonts w:asciiTheme="minorHAnsi" w:eastAsiaTheme="minorEastAsia" w:hAnsiTheme="minorHAnsi" w:cstheme="minorBidi"/>
          <w:color w:val="auto"/>
          <w:sz w:val="24"/>
          <w:szCs w:val="24"/>
          <w:lang w:eastAsia="es-CR"/>
        </w:rPr>
        <w:t xml:space="preserve">limitaciones y obstáculos </w:t>
      </w:r>
      <w:r w:rsidR="00CD0DAA" w:rsidRPr="0057417D">
        <w:rPr>
          <w:rFonts w:asciiTheme="minorHAnsi" w:eastAsiaTheme="minorEastAsia" w:hAnsiTheme="minorHAnsi" w:cstheme="minorBidi"/>
          <w:color w:val="auto"/>
          <w:sz w:val="24"/>
          <w:szCs w:val="24"/>
          <w:lang w:eastAsia="es-CR"/>
        </w:rPr>
        <w:t xml:space="preserve">identificados </w:t>
      </w:r>
      <w:r w:rsidR="001C3D5E" w:rsidRPr="0057417D">
        <w:rPr>
          <w:rFonts w:asciiTheme="minorHAnsi" w:eastAsiaTheme="minorEastAsia" w:hAnsiTheme="minorHAnsi" w:cstheme="minorBidi"/>
          <w:color w:val="auto"/>
          <w:sz w:val="24"/>
          <w:szCs w:val="24"/>
          <w:lang w:eastAsia="es-CR"/>
        </w:rPr>
        <w:t>internamente;</w:t>
      </w:r>
      <w:r w:rsidR="00CD0DAA" w:rsidRPr="0057417D">
        <w:rPr>
          <w:rFonts w:asciiTheme="minorHAnsi" w:eastAsiaTheme="minorEastAsia" w:hAnsiTheme="minorHAnsi" w:cstheme="minorBidi"/>
          <w:color w:val="auto"/>
          <w:sz w:val="24"/>
          <w:szCs w:val="24"/>
          <w:lang w:eastAsia="es-CR"/>
        </w:rPr>
        <w:t xml:space="preserve"> el primer grupo fue identificado durante</w:t>
      </w:r>
      <w:r w:rsidRPr="0057417D">
        <w:rPr>
          <w:rFonts w:asciiTheme="minorHAnsi" w:eastAsiaTheme="minorEastAsia" w:hAnsiTheme="minorHAnsi" w:cstheme="minorBidi"/>
          <w:color w:val="auto"/>
          <w:sz w:val="24"/>
          <w:szCs w:val="24"/>
          <w:lang w:eastAsia="es-CR"/>
        </w:rPr>
        <w:t xml:space="preserve"> la ejecución del ejercicio estratégico </w:t>
      </w:r>
      <w:r w:rsidR="00A442EA" w:rsidRPr="0057417D">
        <w:rPr>
          <w:rFonts w:asciiTheme="minorHAnsi" w:eastAsiaTheme="minorEastAsia" w:hAnsiTheme="minorHAnsi" w:cstheme="minorBidi"/>
          <w:color w:val="auto"/>
          <w:sz w:val="24"/>
          <w:szCs w:val="24"/>
          <w:lang w:eastAsia="es-CR"/>
        </w:rPr>
        <w:t xml:space="preserve">para el próximo quinquenio </w:t>
      </w:r>
      <w:r w:rsidR="00CD0DAA" w:rsidRPr="0057417D">
        <w:rPr>
          <w:rFonts w:asciiTheme="minorHAnsi" w:eastAsiaTheme="minorEastAsia" w:hAnsiTheme="minorHAnsi" w:cstheme="minorBidi"/>
          <w:color w:val="auto"/>
          <w:sz w:val="24"/>
          <w:szCs w:val="24"/>
          <w:lang w:eastAsia="es-CR"/>
        </w:rPr>
        <w:t>y apunta a elementos que podrían afectar el logro de los objetivos estratégicos y el segundo se determinaron durante la evaluación de riesgos institucional</w:t>
      </w:r>
      <w:r w:rsidR="005F083A">
        <w:rPr>
          <w:rFonts w:asciiTheme="minorHAnsi" w:eastAsiaTheme="minorEastAsia" w:hAnsiTheme="minorHAnsi" w:cstheme="minorBidi"/>
          <w:color w:val="auto"/>
          <w:sz w:val="24"/>
          <w:szCs w:val="24"/>
          <w:lang w:eastAsia="es-CR"/>
        </w:rPr>
        <w:t xml:space="preserve"> realizada a finales del 2018</w:t>
      </w:r>
      <w:r w:rsidR="00CD0DAA" w:rsidRPr="0057417D">
        <w:rPr>
          <w:rFonts w:asciiTheme="minorHAnsi" w:eastAsiaTheme="minorEastAsia" w:hAnsiTheme="minorHAnsi" w:cstheme="minorBidi"/>
          <w:color w:val="auto"/>
          <w:sz w:val="24"/>
          <w:szCs w:val="24"/>
          <w:lang w:eastAsia="es-CR"/>
        </w:rPr>
        <w:t>, por lo que pueden afectar tanto labores estratégicas como operativas.</w:t>
      </w:r>
    </w:p>
    <w:p w:rsidR="00CD0DAA" w:rsidRPr="0057417D" w:rsidRDefault="00CD0DAA" w:rsidP="00BB53BE">
      <w:pPr>
        <w:pStyle w:val="NormalWeb"/>
        <w:spacing w:before="0" w:after="0" w:afterAutospacing="0" w:line="240" w:lineRule="auto"/>
        <w:ind w:left="0"/>
        <w:rPr>
          <w:rFonts w:asciiTheme="minorHAnsi" w:eastAsiaTheme="minorEastAsia" w:hAnsiTheme="minorHAnsi" w:cstheme="minorBidi"/>
          <w:color w:val="auto"/>
          <w:sz w:val="24"/>
          <w:szCs w:val="24"/>
          <w:highlight w:val="magenta"/>
          <w:lang w:eastAsia="es-CR"/>
        </w:rPr>
      </w:pPr>
    </w:p>
    <w:p w:rsidR="00336BB6" w:rsidRPr="0057417D" w:rsidRDefault="0004478E" w:rsidP="006A05F4">
      <w:pPr>
        <w:autoSpaceDE w:val="0"/>
        <w:autoSpaceDN w:val="0"/>
        <w:adjustRightInd w:val="0"/>
        <w:spacing w:line="240" w:lineRule="auto"/>
        <w:rPr>
          <w:rFonts w:cs="Century Gothic"/>
          <w:color w:val="000000"/>
        </w:rPr>
      </w:pPr>
      <w:r w:rsidRPr="0057417D">
        <w:rPr>
          <w:rFonts w:cs="Century Gothic"/>
          <w:color w:val="000000"/>
        </w:rPr>
        <w:t>En el ejercicio estratégico</w:t>
      </w:r>
      <w:r w:rsidR="00336BB6" w:rsidRPr="0057417D">
        <w:rPr>
          <w:rFonts w:cs="Century Gothic"/>
          <w:color w:val="000000"/>
        </w:rPr>
        <w:t xml:space="preserve"> fueron identificados los factores externos que la </w:t>
      </w:r>
      <w:r w:rsidR="000A0042" w:rsidRPr="0057417D">
        <w:rPr>
          <w:rFonts w:cs="Century Gothic"/>
          <w:color w:val="000000"/>
        </w:rPr>
        <w:t>SUGESE</w:t>
      </w:r>
      <w:r w:rsidR="00336BB6" w:rsidRPr="0057417D">
        <w:rPr>
          <w:rFonts w:cs="Century Gothic"/>
          <w:color w:val="000000"/>
        </w:rPr>
        <w:t xml:space="preserve"> no puede controlar, los cuales significan una amenaza que debe ser considerara en el desarrollo las actividades de la Institución. De igual forma, se determinó los factores internos o controlables por parte de </w:t>
      </w:r>
      <w:r w:rsidR="000A0042" w:rsidRPr="0057417D">
        <w:rPr>
          <w:rFonts w:cs="Century Gothic"/>
          <w:color w:val="000000"/>
        </w:rPr>
        <w:t>SUGESE</w:t>
      </w:r>
      <w:r w:rsidR="00336BB6" w:rsidRPr="0057417D">
        <w:rPr>
          <w:rFonts w:cs="Century Gothic"/>
          <w:color w:val="000000"/>
        </w:rPr>
        <w:t xml:space="preserve"> que representan una debilidad para cumplir con la misión. </w:t>
      </w:r>
    </w:p>
    <w:p w:rsidR="00336BB6" w:rsidRPr="0057417D" w:rsidRDefault="00336BB6" w:rsidP="006A05F4">
      <w:pPr>
        <w:spacing w:line="240" w:lineRule="auto"/>
        <w:rPr>
          <w:rFonts w:cs="Century Gothic"/>
          <w:color w:val="000000"/>
        </w:rPr>
      </w:pPr>
    </w:p>
    <w:p w:rsidR="00336BB6" w:rsidRPr="0057417D" w:rsidRDefault="00336BB6" w:rsidP="006A05F4">
      <w:pPr>
        <w:spacing w:line="240" w:lineRule="auto"/>
        <w:rPr>
          <w:rFonts w:cs="Century Gothic"/>
          <w:color w:val="000000"/>
        </w:rPr>
      </w:pPr>
      <w:r w:rsidRPr="0057417D">
        <w:rPr>
          <w:rFonts w:cs="Century Gothic"/>
          <w:color w:val="000000"/>
        </w:rPr>
        <w:t xml:space="preserve">Las siguientes son las debilidades identificadas para la Institución </w:t>
      </w:r>
      <w:r w:rsidR="0004478E" w:rsidRPr="0057417D">
        <w:rPr>
          <w:rFonts w:cs="Century Gothic"/>
          <w:color w:val="000000"/>
        </w:rPr>
        <w:t>para su gestión estratégica</w:t>
      </w:r>
      <w:r w:rsidR="008A32DF">
        <w:rPr>
          <w:rStyle w:val="Refdenotaalpie"/>
          <w:rFonts w:cs="Century Gothic"/>
          <w:color w:val="000000"/>
        </w:rPr>
        <w:footnoteReference w:id="4"/>
      </w:r>
      <w:r w:rsidR="0004478E" w:rsidRPr="0057417D">
        <w:rPr>
          <w:rFonts w:cs="Century Gothic"/>
          <w:color w:val="000000"/>
        </w:rPr>
        <w:t>:</w:t>
      </w:r>
    </w:p>
    <w:p w:rsidR="00336BB6" w:rsidRPr="0057417D" w:rsidRDefault="00336BB6" w:rsidP="006A05F4">
      <w:pPr>
        <w:spacing w:line="240" w:lineRule="auto"/>
        <w:rPr>
          <w:rFonts w:cs="Century Gothic"/>
          <w:color w:val="000000"/>
        </w:rPr>
      </w:pPr>
    </w:p>
    <w:p w:rsidR="00336BB6" w:rsidRPr="0057417D" w:rsidRDefault="00336BB6" w:rsidP="006A05F4">
      <w:pPr>
        <w:pStyle w:val="Prrafodelista"/>
        <w:numPr>
          <w:ilvl w:val="0"/>
          <w:numId w:val="29"/>
        </w:numPr>
        <w:spacing w:after="0" w:line="240" w:lineRule="auto"/>
        <w:rPr>
          <w:rFonts w:cs="Arial"/>
        </w:rPr>
      </w:pPr>
      <w:r w:rsidRPr="0057417D">
        <w:rPr>
          <w:rFonts w:cs="Arial"/>
        </w:rPr>
        <w:t>Cargas de trabajo altas.</w:t>
      </w:r>
    </w:p>
    <w:p w:rsidR="00336BB6" w:rsidRPr="0057417D" w:rsidRDefault="00336BB6" w:rsidP="006A05F4">
      <w:pPr>
        <w:pStyle w:val="Prrafodelista"/>
        <w:numPr>
          <w:ilvl w:val="0"/>
          <w:numId w:val="29"/>
        </w:numPr>
        <w:spacing w:after="0" w:line="240" w:lineRule="auto"/>
        <w:rPr>
          <w:rFonts w:cs="Arial"/>
        </w:rPr>
      </w:pPr>
      <w:r w:rsidRPr="0057417D">
        <w:rPr>
          <w:rFonts w:cs="Arial"/>
        </w:rPr>
        <w:t>Debilidades en comunicación interna y externa.</w:t>
      </w:r>
    </w:p>
    <w:p w:rsidR="00336BB6" w:rsidRPr="0057417D" w:rsidRDefault="00336BB6" w:rsidP="006A05F4">
      <w:pPr>
        <w:pStyle w:val="Prrafodelista"/>
        <w:numPr>
          <w:ilvl w:val="0"/>
          <w:numId w:val="29"/>
        </w:numPr>
        <w:spacing w:after="0" w:line="240" w:lineRule="auto"/>
        <w:rPr>
          <w:rFonts w:cs="Arial"/>
        </w:rPr>
      </w:pPr>
      <w:r w:rsidRPr="0057417D">
        <w:rPr>
          <w:rFonts w:cs="Arial"/>
        </w:rPr>
        <w:t>Estructura y procesos no se adaptan rápidamente a los cambios.</w:t>
      </w:r>
    </w:p>
    <w:p w:rsidR="00A96A68" w:rsidRPr="0057417D" w:rsidRDefault="00336BB6" w:rsidP="006A05F4">
      <w:pPr>
        <w:pStyle w:val="Prrafodelista"/>
        <w:numPr>
          <w:ilvl w:val="0"/>
          <w:numId w:val="29"/>
        </w:numPr>
        <w:spacing w:after="0" w:line="240" w:lineRule="auto"/>
        <w:rPr>
          <w:rFonts w:cs="Arial"/>
        </w:rPr>
      </w:pPr>
      <w:r w:rsidRPr="0057417D">
        <w:rPr>
          <w:rFonts w:cs="Arial"/>
        </w:rPr>
        <w:t xml:space="preserve">Falta de </w:t>
      </w:r>
      <w:r w:rsidR="00A96A68" w:rsidRPr="0057417D">
        <w:rPr>
          <w:rFonts w:cs="Arial"/>
        </w:rPr>
        <w:t>normativa en temas específicos.</w:t>
      </w:r>
    </w:p>
    <w:p w:rsidR="00A96A68" w:rsidRPr="0057417D" w:rsidRDefault="00A96A68" w:rsidP="006A05F4">
      <w:pPr>
        <w:pStyle w:val="Prrafodelista"/>
        <w:numPr>
          <w:ilvl w:val="0"/>
          <w:numId w:val="29"/>
        </w:numPr>
        <w:spacing w:after="0" w:line="240" w:lineRule="auto"/>
        <w:rPr>
          <w:rFonts w:cs="Arial"/>
        </w:rPr>
      </w:pPr>
      <w:r w:rsidRPr="0057417D">
        <w:rPr>
          <w:rFonts w:cs="Arial"/>
        </w:rPr>
        <w:t>Brechas en conocimiento técnico.</w:t>
      </w:r>
    </w:p>
    <w:p w:rsidR="00A96A68" w:rsidRPr="0057417D" w:rsidRDefault="00A96A68" w:rsidP="006A05F4">
      <w:pPr>
        <w:pStyle w:val="Prrafodelista"/>
        <w:numPr>
          <w:ilvl w:val="0"/>
          <w:numId w:val="29"/>
        </w:numPr>
        <w:spacing w:after="0" w:line="240" w:lineRule="auto"/>
        <w:rPr>
          <w:rFonts w:cs="Arial"/>
        </w:rPr>
      </w:pPr>
      <w:r w:rsidRPr="0057417D">
        <w:rPr>
          <w:rFonts w:cs="Arial"/>
        </w:rPr>
        <w:t>Brechas en potestades legales</w:t>
      </w:r>
      <w:r w:rsidR="00A442EA" w:rsidRPr="0057417D">
        <w:rPr>
          <w:rFonts w:cs="Arial"/>
        </w:rPr>
        <w:t>.</w:t>
      </w:r>
    </w:p>
    <w:p w:rsidR="00A96A68" w:rsidRPr="0057417D" w:rsidRDefault="00A96A68" w:rsidP="006A05F4">
      <w:pPr>
        <w:pStyle w:val="Prrafodelista"/>
        <w:numPr>
          <w:ilvl w:val="0"/>
          <w:numId w:val="29"/>
        </w:numPr>
        <w:spacing w:after="0" w:line="240" w:lineRule="auto"/>
        <w:rPr>
          <w:rFonts w:cs="Arial"/>
        </w:rPr>
      </w:pPr>
      <w:r w:rsidRPr="0057417D">
        <w:rPr>
          <w:rFonts w:cs="Arial"/>
        </w:rPr>
        <w:t>Falta de acuerdos de nivel de servicios adecuados, internos y externos.</w:t>
      </w:r>
    </w:p>
    <w:p w:rsidR="00A96A68" w:rsidRPr="0057417D" w:rsidRDefault="00A96A68" w:rsidP="006A05F4">
      <w:pPr>
        <w:pStyle w:val="Prrafodelista"/>
        <w:numPr>
          <w:ilvl w:val="0"/>
          <w:numId w:val="29"/>
        </w:numPr>
        <w:spacing w:after="0" w:line="240" w:lineRule="auto"/>
        <w:rPr>
          <w:rFonts w:cs="Arial"/>
        </w:rPr>
      </w:pPr>
      <w:r w:rsidRPr="0057417D">
        <w:rPr>
          <w:rFonts w:cs="Arial"/>
        </w:rPr>
        <w:t>Infraestructura actual inadecuada.</w:t>
      </w:r>
    </w:p>
    <w:p w:rsidR="00A442EA" w:rsidRPr="0057417D" w:rsidRDefault="00A442EA" w:rsidP="006A05F4">
      <w:pPr>
        <w:pStyle w:val="Prrafodelista"/>
        <w:spacing w:after="0" w:line="240" w:lineRule="auto"/>
        <w:rPr>
          <w:rFonts w:cs="Arial"/>
        </w:rPr>
      </w:pPr>
    </w:p>
    <w:p w:rsidR="00A96A68" w:rsidRPr="0057417D" w:rsidRDefault="00A96A68" w:rsidP="006A05F4">
      <w:pPr>
        <w:spacing w:line="240" w:lineRule="auto"/>
        <w:rPr>
          <w:rFonts w:cs="Arial"/>
        </w:rPr>
      </w:pPr>
      <w:r w:rsidRPr="0057417D">
        <w:rPr>
          <w:rFonts w:cs="Arial"/>
        </w:rPr>
        <w:t xml:space="preserve">Por otra parte, las amenazas identificadas </w:t>
      </w:r>
      <w:r w:rsidR="0004478E" w:rsidRPr="0057417D">
        <w:rPr>
          <w:rFonts w:cs="Arial"/>
        </w:rPr>
        <w:t xml:space="preserve">fueron las citadas a continuación: </w:t>
      </w:r>
    </w:p>
    <w:p w:rsidR="00A96A68" w:rsidRPr="0057417D" w:rsidRDefault="00A96A68" w:rsidP="006A05F4">
      <w:pPr>
        <w:spacing w:line="240" w:lineRule="auto"/>
        <w:rPr>
          <w:rFonts w:cs="Arial"/>
        </w:rPr>
      </w:pPr>
    </w:p>
    <w:p w:rsidR="00336BB6" w:rsidRPr="0057417D" w:rsidRDefault="00A96A68" w:rsidP="006A05F4">
      <w:pPr>
        <w:pStyle w:val="Prrafodelista"/>
        <w:numPr>
          <w:ilvl w:val="0"/>
          <w:numId w:val="30"/>
        </w:numPr>
        <w:spacing w:after="0" w:line="240" w:lineRule="auto"/>
        <w:rPr>
          <w:rFonts w:cs="Arial"/>
        </w:rPr>
      </w:pPr>
      <w:r w:rsidRPr="0057417D">
        <w:rPr>
          <w:rFonts w:cs="Arial"/>
        </w:rPr>
        <w:t xml:space="preserve">Desconocimiento en el mercado de las funciones de la </w:t>
      </w:r>
      <w:r w:rsidR="000A0042" w:rsidRPr="0057417D">
        <w:rPr>
          <w:rFonts w:cs="Arial"/>
        </w:rPr>
        <w:t>SUGESE</w:t>
      </w:r>
      <w:r w:rsidRPr="0057417D">
        <w:rPr>
          <w:rFonts w:cs="Arial"/>
        </w:rPr>
        <w:t xml:space="preserve"> y la regulación.</w:t>
      </w:r>
    </w:p>
    <w:p w:rsidR="00A96A68" w:rsidRPr="0057417D" w:rsidRDefault="00A96A68" w:rsidP="006A05F4">
      <w:pPr>
        <w:pStyle w:val="Prrafodelista"/>
        <w:numPr>
          <w:ilvl w:val="0"/>
          <w:numId w:val="30"/>
        </w:numPr>
        <w:spacing w:after="0" w:line="240" w:lineRule="auto"/>
        <w:rPr>
          <w:rFonts w:cs="Arial"/>
        </w:rPr>
      </w:pPr>
      <w:r w:rsidRPr="0057417D">
        <w:rPr>
          <w:rFonts w:cs="Arial"/>
        </w:rPr>
        <w:t>Entorno político y macroeconómico inestable.</w:t>
      </w:r>
    </w:p>
    <w:p w:rsidR="00A96A68" w:rsidRPr="0057417D" w:rsidRDefault="00E87466" w:rsidP="006A05F4">
      <w:pPr>
        <w:pStyle w:val="Prrafodelista"/>
        <w:numPr>
          <w:ilvl w:val="0"/>
          <w:numId w:val="30"/>
        </w:numPr>
        <w:spacing w:after="0" w:line="240" w:lineRule="auto"/>
        <w:rPr>
          <w:rFonts w:cs="Arial"/>
        </w:rPr>
      </w:pPr>
      <w:r w:rsidRPr="0057417D">
        <w:rPr>
          <w:rFonts w:cs="Arial"/>
        </w:rPr>
        <w:t>Me</w:t>
      </w:r>
      <w:r w:rsidR="00A96A68" w:rsidRPr="0057417D">
        <w:rPr>
          <w:rFonts w:cs="Arial"/>
        </w:rPr>
        <w:t>rcado ilegal de seguros aún presente.</w:t>
      </w:r>
    </w:p>
    <w:p w:rsidR="00A96A68" w:rsidRPr="0057417D" w:rsidRDefault="00A96A68" w:rsidP="006A05F4">
      <w:pPr>
        <w:pStyle w:val="Prrafodelista"/>
        <w:numPr>
          <w:ilvl w:val="0"/>
          <w:numId w:val="30"/>
        </w:numPr>
        <w:spacing w:after="0" w:line="240" w:lineRule="auto"/>
        <w:rPr>
          <w:rFonts w:cs="Arial"/>
        </w:rPr>
      </w:pPr>
      <w:r w:rsidRPr="0057417D">
        <w:rPr>
          <w:rFonts w:cs="Arial"/>
        </w:rPr>
        <w:t>Iniciativas legislativas que puedan impactar de manera no técnica el sector de seguros.</w:t>
      </w:r>
    </w:p>
    <w:p w:rsidR="00A96A68" w:rsidRPr="0057417D" w:rsidRDefault="00A96A68" w:rsidP="006A05F4">
      <w:pPr>
        <w:pStyle w:val="Prrafodelista"/>
        <w:numPr>
          <w:ilvl w:val="0"/>
          <w:numId w:val="30"/>
        </w:numPr>
        <w:spacing w:after="0" w:line="240" w:lineRule="auto"/>
        <w:rPr>
          <w:rFonts w:cs="Arial"/>
          <w:color w:val="595959" w:themeColor="text1" w:themeTint="A6"/>
        </w:rPr>
      </w:pPr>
      <w:r w:rsidRPr="0057417D">
        <w:rPr>
          <w:rFonts w:cs="Arial"/>
        </w:rPr>
        <w:t>Nivel elevado de concentración del mercado</w:t>
      </w:r>
      <w:r w:rsidRPr="0057417D">
        <w:rPr>
          <w:rFonts w:cs="Arial"/>
          <w:color w:val="595959" w:themeColor="text1" w:themeTint="A6"/>
        </w:rPr>
        <w:t>.</w:t>
      </w:r>
    </w:p>
    <w:p w:rsidR="00BB53BE" w:rsidRPr="0057417D" w:rsidRDefault="00BB53BE" w:rsidP="006A05F4">
      <w:pPr>
        <w:pStyle w:val="Prrafodelista"/>
        <w:spacing w:after="0" w:line="240" w:lineRule="auto"/>
        <w:rPr>
          <w:rFonts w:cs="Arial"/>
          <w:color w:val="595959" w:themeColor="text1" w:themeTint="A6"/>
        </w:rPr>
      </w:pPr>
    </w:p>
    <w:p w:rsidR="00A96A68" w:rsidRPr="0057417D" w:rsidRDefault="0004478E" w:rsidP="006A05F4">
      <w:pPr>
        <w:pStyle w:val="Ttulo1"/>
        <w:spacing w:before="0" w:beforeAutospacing="0" w:after="0" w:afterAutospacing="0"/>
        <w:rPr>
          <w:rFonts w:asciiTheme="minorHAnsi" w:eastAsiaTheme="minorHAnsi" w:hAnsiTheme="minorHAnsi" w:cstheme="minorBidi"/>
          <w:b w:val="0"/>
          <w:bCs w:val="0"/>
          <w:kern w:val="0"/>
          <w:sz w:val="24"/>
          <w:szCs w:val="24"/>
          <w:lang w:eastAsia="en-US"/>
        </w:rPr>
      </w:pPr>
      <w:r w:rsidRPr="0057417D">
        <w:rPr>
          <w:rFonts w:asciiTheme="minorHAnsi" w:eastAsiaTheme="minorHAnsi" w:hAnsiTheme="minorHAnsi" w:cstheme="minorBidi"/>
          <w:b w:val="0"/>
          <w:bCs w:val="0"/>
          <w:kern w:val="0"/>
          <w:sz w:val="24"/>
          <w:szCs w:val="24"/>
          <w:lang w:eastAsia="en-US"/>
        </w:rPr>
        <w:t>Para el ejercicio estratégico quinquenal que inici</w:t>
      </w:r>
      <w:r w:rsidR="00A56877" w:rsidRPr="0057417D">
        <w:rPr>
          <w:rFonts w:asciiTheme="minorHAnsi" w:eastAsiaTheme="minorHAnsi" w:hAnsiTheme="minorHAnsi" w:cstheme="minorBidi"/>
          <w:b w:val="0"/>
          <w:bCs w:val="0"/>
          <w:kern w:val="0"/>
          <w:sz w:val="24"/>
          <w:szCs w:val="24"/>
          <w:lang w:eastAsia="en-US"/>
        </w:rPr>
        <w:t>ó</w:t>
      </w:r>
      <w:r w:rsidRPr="0057417D">
        <w:rPr>
          <w:rFonts w:asciiTheme="minorHAnsi" w:eastAsiaTheme="minorHAnsi" w:hAnsiTheme="minorHAnsi" w:cstheme="minorBidi"/>
          <w:b w:val="0"/>
          <w:bCs w:val="0"/>
          <w:kern w:val="0"/>
          <w:sz w:val="24"/>
          <w:szCs w:val="24"/>
          <w:lang w:eastAsia="en-US"/>
        </w:rPr>
        <w:t xml:space="preserve"> en el 2019, </w:t>
      </w:r>
      <w:r w:rsidR="00A96A68" w:rsidRPr="0057417D">
        <w:rPr>
          <w:rFonts w:asciiTheme="minorHAnsi" w:eastAsiaTheme="minorHAnsi" w:hAnsiTheme="minorHAnsi" w:cstheme="minorBidi"/>
          <w:b w:val="0"/>
          <w:bCs w:val="0"/>
          <w:kern w:val="0"/>
          <w:sz w:val="24"/>
          <w:szCs w:val="24"/>
          <w:lang w:eastAsia="en-US"/>
        </w:rPr>
        <w:t>se espera que la Superintendencia</w:t>
      </w:r>
      <w:r w:rsidR="00752219" w:rsidRPr="0057417D">
        <w:rPr>
          <w:rFonts w:asciiTheme="minorHAnsi" w:eastAsiaTheme="minorHAnsi" w:hAnsiTheme="minorHAnsi" w:cstheme="minorBidi"/>
          <w:b w:val="0"/>
          <w:bCs w:val="0"/>
          <w:kern w:val="0"/>
          <w:sz w:val="24"/>
          <w:szCs w:val="24"/>
          <w:lang w:eastAsia="en-US"/>
        </w:rPr>
        <w:t>, mediante la ejecución de</w:t>
      </w:r>
      <w:r w:rsidR="00BB53BE" w:rsidRPr="0057417D">
        <w:rPr>
          <w:rFonts w:asciiTheme="minorHAnsi" w:eastAsiaTheme="minorHAnsi" w:hAnsiTheme="minorHAnsi" w:cstheme="minorBidi"/>
          <w:b w:val="0"/>
          <w:bCs w:val="0"/>
          <w:kern w:val="0"/>
          <w:sz w:val="24"/>
          <w:szCs w:val="24"/>
          <w:lang w:eastAsia="en-US"/>
        </w:rPr>
        <w:t>l nuevo portafolio de proy</w:t>
      </w:r>
      <w:r w:rsidR="00752219" w:rsidRPr="0057417D">
        <w:rPr>
          <w:rFonts w:asciiTheme="minorHAnsi" w:eastAsiaTheme="minorHAnsi" w:hAnsiTheme="minorHAnsi" w:cstheme="minorBidi"/>
          <w:b w:val="0"/>
          <w:bCs w:val="0"/>
          <w:kern w:val="0"/>
          <w:sz w:val="24"/>
          <w:szCs w:val="24"/>
          <w:lang w:eastAsia="en-US"/>
        </w:rPr>
        <w:t xml:space="preserve">ectos estratégicos </w:t>
      </w:r>
      <w:r w:rsidR="00CD0DAA" w:rsidRPr="0057417D">
        <w:rPr>
          <w:rFonts w:asciiTheme="minorHAnsi" w:eastAsiaTheme="minorHAnsi" w:hAnsiTheme="minorHAnsi" w:cstheme="minorBidi"/>
          <w:b w:val="0"/>
          <w:bCs w:val="0"/>
          <w:kern w:val="0"/>
          <w:sz w:val="24"/>
          <w:szCs w:val="24"/>
          <w:lang w:eastAsia="en-US"/>
        </w:rPr>
        <w:t xml:space="preserve">y medidas </w:t>
      </w:r>
      <w:r w:rsidR="0052025F" w:rsidRPr="0057417D">
        <w:rPr>
          <w:rFonts w:asciiTheme="minorHAnsi" w:eastAsiaTheme="minorHAnsi" w:hAnsiTheme="minorHAnsi" w:cstheme="minorBidi"/>
          <w:b w:val="0"/>
          <w:bCs w:val="0"/>
          <w:kern w:val="0"/>
          <w:sz w:val="24"/>
          <w:szCs w:val="24"/>
          <w:lang w:eastAsia="en-US"/>
        </w:rPr>
        <w:t>para</w:t>
      </w:r>
      <w:r w:rsidR="00F00BF6" w:rsidRPr="0057417D">
        <w:rPr>
          <w:rFonts w:asciiTheme="minorHAnsi" w:eastAsiaTheme="minorHAnsi" w:hAnsiTheme="minorHAnsi" w:cstheme="minorBidi"/>
          <w:b w:val="0"/>
          <w:bCs w:val="0"/>
          <w:kern w:val="0"/>
          <w:sz w:val="24"/>
          <w:szCs w:val="24"/>
          <w:lang w:eastAsia="en-US"/>
        </w:rPr>
        <w:t xml:space="preserve"> gestionar </w:t>
      </w:r>
      <w:r w:rsidR="00752219" w:rsidRPr="0057417D">
        <w:rPr>
          <w:rFonts w:asciiTheme="minorHAnsi" w:eastAsiaTheme="minorHAnsi" w:hAnsiTheme="minorHAnsi" w:cstheme="minorBidi"/>
          <w:b w:val="0"/>
          <w:bCs w:val="0"/>
          <w:kern w:val="0"/>
          <w:sz w:val="24"/>
          <w:szCs w:val="24"/>
          <w:lang w:eastAsia="en-US"/>
        </w:rPr>
        <w:t xml:space="preserve">las debilidades </w:t>
      </w:r>
      <w:r w:rsidR="001C3D5E" w:rsidRPr="0057417D">
        <w:rPr>
          <w:rFonts w:asciiTheme="minorHAnsi" w:eastAsiaTheme="minorHAnsi" w:hAnsiTheme="minorHAnsi" w:cstheme="minorBidi"/>
          <w:b w:val="0"/>
          <w:bCs w:val="0"/>
          <w:kern w:val="0"/>
          <w:sz w:val="24"/>
          <w:szCs w:val="24"/>
          <w:lang w:eastAsia="en-US"/>
        </w:rPr>
        <w:t>indicadas</w:t>
      </w:r>
      <w:r w:rsidR="00A96A68" w:rsidRPr="0057417D">
        <w:rPr>
          <w:rFonts w:asciiTheme="minorHAnsi" w:eastAsiaTheme="minorHAnsi" w:hAnsiTheme="minorHAnsi" w:cstheme="minorBidi"/>
          <w:b w:val="0"/>
          <w:bCs w:val="0"/>
          <w:kern w:val="0"/>
          <w:sz w:val="24"/>
          <w:szCs w:val="24"/>
          <w:lang w:eastAsia="en-US"/>
        </w:rPr>
        <w:t xml:space="preserve">, </w:t>
      </w:r>
      <w:r w:rsidR="0052025F" w:rsidRPr="0057417D">
        <w:rPr>
          <w:rFonts w:asciiTheme="minorHAnsi" w:eastAsiaTheme="minorHAnsi" w:hAnsiTheme="minorHAnsi" w:cstheme="minorBidi"/>
          <w:b w:val="0"/>
          <w:bCs w:val="0"/>
          <w:kern w:val="0"/>
          <w:sz w:val="24"/>
          <w:szCs w:val="24"/>
          <w:lang w:eastAsia="en-US"/>
        </w:rPr>
        <w:t xml:space="preserve">podrá continuar cumpliendo, de </w:t>
      </w:r>
      <w:r w:rsidR="00A96A68" w:rsidRPr="0057417D">
        <w:rPr>
          <w:rFonts w:asciiTheme="minorHAnsi" w:eastAsiaTheme="minorHAnsi" w:hAnsiTheme="minorHAnsi" w:cstheme="minorBidi"/>
          <w:b w:val="0"/>
          <w:bCs w:val="0"/>
          <w:kern w:val="0"/>
          <w:sz w:val="24"/>
          <w:szCs w:val="24"/>
          <w:lang w:eastAsia="en-US"/>
        </w:rPr>
        <w:t>manera satisfactoria su objetivo general y funciones.</w:t>
      </w:r>
    </w:p>
    <w:p w:rsidR="00752219" w:rsidRPr="0057417D" w:rsidRDefault="00A96A68" w:rsidP="006A05F4">
      <w:pPr>
        <w:pStyle w:val="Ttulo1"/>
        <w:spacing w:before="0" w:beforeAutospacing="0" w:after="0" w:afterAutospacing="0"/>
        <w:rPr>
          <w:rFonts w:asciiTheme="minorHAnsi" w:eastAsiaTheme="majorEastAsia" w:hAnsiTheme="minorHAnsi" w:cstheme="majorBidi"/>
          <w:kern w:val="0"/>
          <w:sz w:val="24"/>
          <w:szCs w:val="24"/>
          <w:lang w:eastAsia="es-CR"/>
        </w:rPr>
      </w:pPr>
      <w:r w:rsidRPr="0057417D">
        <w:rPr>
          <w:rFonts w:asciiTheme="minorHAnsi" w:eastAsiaTheme="minorHAnsi" w:hAnsiTheme="minorHAnsi" w:cstheme="minorBidi"/>
          <w:b w:val="0"/>
          <w:bCs w:val="0"/>
          <w:kern w:val="0"/>
          <w:sz w:val="24"/>
          <w:szCs w:val="24"/>
          <w:lang w:eastAsia="en-US"/>
        </w:rPr>
        <w:t xml:space="preserve"> </w:t>
      </w:r>
    </w:p>
    <w:p w:rsidR="00AF47E6" w:rsidRPr="0057417D" w:rsidRDefault="00AF47E6" w:rsidP="006A05F4">
      <w:pPr>
        <w:spacing w:line="240" w:lineRule="auto"/>
        <w:rPr>
          <w:rFonts w:ascii="Calibri" w:hAnsi="Calibri" w:cstheme="minorHAnsi"/>
          <w:szCs w:val="24"/>
        </w:rPr>
      </w:pPr>
      <w:r w:rsidRPr="0057417D">
        <w:rPr>
          <w:rFonts w:ascii="Calibri" w:hAnsi="Calibri" w:cstheme="minorHAnsi"/>
          <w:szCs w:val="24"/>
        </w:rPr>
        <w:t xml:space="preserve">Por otra parte, la </w:t>
      </w:r>
      <w:r w:rsidR="000A0042" w:rsidRPr="0057417D">
        <w:rPr>
          <w:rFonts w:ascii="Calibri" w:hAnsi="Calibri" w:cstheme="minorHAnsi"/>
          <w:szCs w:val="24"/>
        </w:rPr>
        <w:t>SUGESE</w:t>
      </w:r>
      <w:r w:rsidRPr="0057417D">
        <w:rPr>
          <w:rFonts w:ascii="Calibri" w:hAnsi="Calibri" w:cstheme="minorHAnsi"/>
          <w:szCs w:val="24"/>
        </w:rPr>
        <w:t xml:space="preserve"> es sujeto de fiscalización por parte de la C</w:t>
      </w:r>
      <w:r w:rsidR="008B3FD0" w:rsidRPr="0057417D">
        <w:rPr>
          <w:rFonts w:ascii="Calibri" w:hAnsi="Calibri" w:cstheme="minorHAnsi"/>
          <w:szCs w:val="24"/>
        </w:rPr>
        <w:t>ontraloría General de la República</w:t>
      </w:r>
      <w:r w:rsidRPr="0057417D">
        <w:rPr>
          <w:rFonts w:ascii="Calibri" w:hAnsi="Calibri" w:cstheme="minorHAnsi"/>
          <w:szCs w:val="24"/>
        </w:rPr>
        <w:t xml:space="preserve">, bajo la aplicación de la </w:t>
      </w:r>
      <w:r w:rsidRPr="0057417D">
        <w:rPr>
          <w:rFonts w:ascii="Calibri" w:hAnsi="Calibri" w:cstheme="minorHAnsi"/>
          <w:i/>
          <w:szCs w:val="24"/>
        </w:rPr>
        <w:t>Ley General de Control Interno</w:t>
      </w:r>
      <w:r w:rsidRPr="0057417D">
        <w:rPr>
          <w:rFonts w:ascii="Calibri" w:hAnsi="Calibri" w:cstheme="minorHAnsi"/>
          <w:szCs w:val="24"/>
        </w:rPr>
        <w:t xml:space="preserve"> N°8292, </w:t>
      </w:r>
      <w:r w:rsidR="0068706A" w:rsidRPr="0057417D">
        <w:rPr>
          <w:rFonts w:ascii="Calibri" w:hAnsi="Calibri" w:cstheme="minorHAnsi"/>
          <w:szCs w:val="24"/>
        </w:rPr>
        <w:t xml:space="preserve">lo que la obliga a la identificación y </w:t>
      </w:r>
      <w:r w:rsidRPr="0057417D">
        <w:rPr>
          <w:rFonts w:ascii="Calibri" w:hAnsi="Calibri" w:cstheme="minorHAnsi"/>
          <w:szCs w:val="24"/>
        </w:rPr>
        <w:t xml:space="preserve"> administración d</w:t>
      </w:r>
      <w:r w:rsidR="0068706A" w:rsidRPr="0057417D">
        <w:rPr>
          <w:rFonts w:ascii="Calibri" w:hAnsi="Calibri" w:cstheme="minorHAnsi"/>
          <w:szCs w:val="24"/>
        </w:rPr>
        <w:t xml:space="preserve">e los riesgos que enfrenta, lo cual le permite </w:t>
      </w:r>
      <w:r w:rsidR="00690300" w:rsidRPr="0057417D">
        <w:rPr>
          <w:rFonts w:ascii="Calibri" w:hAnsi="Calibri" w:cstheme="minorHAnsi"/>
          <w:szCs w:val="24"/>
        </w:rPr>
        <w:t>identifica</w:t>
      </w:r>
      <w:r w:rsidR="0068706A" w:rsidRPr="0057417D">
        <w:rPr>
          <w:rFonts w:ascii="Calibri" w:hAnsi="Calibri" w:cstheme="minorHAnsi"/>
          <w:szCs w:val="24"/>
        </w:rPr>
        <w:t>r</w:t>
      </w:r>
      <w:r w:rsidR="009A2754" w:rsidRPr="0057417D">
        <w:rPr>
          <w:rFonts w:ascii="Calibri" w:hAnsi="Calibri" w:cstheme="minorHAnsi"/>
          <w:szCs w:val="24"/>
        </w:rPr>
        <w:t xml:space="preserve">, analizar y </w:t>
      </w:r>
      <w:r w:rsidR="005F083A">
        <w:rPr>
          <w:rFonts w:ascii="Calibri" w:hAnsi="Calibri" w:cstheme="minorHAnsi"/>
          <w:szCs w:val="24"/>
        </w:rPr>
        <w:t>evaluar de forma adecuada el ni</w:t>
      </w:r>
      <w:r w:rsidR="009A2754" w:rsidRPr="0057417D">
        <w:rPr>
          <w:rFonts w:ascii="Calibri" w:hAnsi="Calibri" w:cstheme="minorHAnsi"/>
          <w:szCs w:val="24"/>
        </w:rPr>
        <w:t>vel de riesgo institucional y adoptar métodos de uso continuo y sistemático, a fin de administrar el nivel de dicho riesgo bajo un esquema eficiente que permita la adecuada ejecución de los procesos del negocio</w:t>
      </w:r>
      <w:r w:rsidR="00690300" w:rsidRPr="0057417D">
        <w:rPr>
          <w:rFonts w:ascii="Calibri" w:hAnsi="Calibri" w:cstheme="minorHAnsi"/>
          <w:szCs w:val="24"/>
        </w:rPr>
        <w:t>.</w:t>
      </w:r>
    </w:p>
    <w:p w:rsidR="001C3D5E" w:rsidRPr="0057417D" w:rsidRDefault="001C3D5E" w:rsidP="006A05F4">
      <w:pPr>
        <w:spacing w:line="240" w:lineRule="auto"/>
        <w:rPr>
          <w:rFonts w:ascii="Calibri" w:hAnsi="Calibri" w:cstheme="minorHAnsi"/>
          <w:szCs w:val="24"/>
          <w:highlight w:val="magenta"/>
        </w:rPr>
      </w:pPr>
    </w:p>
    <w:p w:rsidR="00340BEE" w:rsidRPr="0057417D" w:rsidRDefault="00532E13" w:rsidP="00340BEE">
      <w:pPr>
        <w:rPr>
          <w:rFonts w:cstheme="minorHAnsi"/>
        </w:rPr>
      </w:pPr>
      <w:r w:rsidRPr="0057417D">
        <w:rPr>
          <w:rFonts w:cstheme="minorHAnsi"/>
        </w:rPr>
        <w:t xml:space="preserve">Durante el 2018 se aprobó el </w:t>
      </w:r>
      <w:r w:rsidRPr="0057417D">
        <w:rPr>
          <w:rFonts w:cstheme="minorHAnsi"/>
          <w:i/>
        </w:rPr>
        <w:t>Sistema de Gestión Integral de Riesgos Consejo Nacional de Supervisión del Sistema Financiero</w:t>
      </w:r>
      <w:r w:rsidRPr="0057417D">
        <w:rPr>
          <w:rFonts w:cstheme="minorHAnsi"/>
        </w:rPr>
        <w:t xml:space="preserve">, cuyo objetivo es: asegurar la aplicación del sistema de gestión integral de riesgos en el CONASSIF y las Superintendencias bajo su dirección. </w:t>
      </w:r>
      <w:r w:rsidR="005F083A">
        <w:rPr>
          <w:rFonts w:cstheme="minorHAnsi"/>
        </w:rPr>
        <w:t>De conformidad con lo aprobado por el CONASSIF</w:t>
      </w:r>
      <w:r w:rsidRPr="0057417D">
        <w:rPr>
          <w:rFonts w:cstheme="minorHAnsi"/>
        </w:rPr>
        <w:t xml:space="preserve"> se realizó la </w:t>
      </w:r>
      <w:r w:rsidR="00340BEE" w:rsidRPr="0057417D">
        <w:rPr>
          <w:rFonts w:cstheme="minorHAnsi"/>
        </w:rPr>
        <w:t xml:space="preserve">evaluación de riesgos </w:t>
      </w:r>
      <w:r w:rsidR="005F083A">
        <w:rPr>
          <w:rFonts w:cstheme="minorHAnsi"/>
        </w:rPr>
        <w:t>de</w:t>
      </w:r>
      <w:r w:rsidR="00340BEE" w:rsidRPr="0057417D">
        <w:rPr>
          <w:rFonts w:cstheme="minorHAnsi"/>
        </w:rPr>
        <w:t xml:space="preserve"> los procesos de la </w:t>
      </w:r>
      <w:r w:rsidR="000A0042" w:rsidRPr="0057417D">
        <w:rPr>
          <w:rFonts w:cstheme="minorHAnsi"/>
        </w:rPr>
        <w:t>SUGESE</w:t>
      </w:r>
      <w:r w:rsidRPr="0057417D">
        <w:rPr>
          <w:rFonts w:cstheme="minorHAnsi"/>
        </w:rPr>
        <w:t xml:space="preserve"> para 2018 y se </w:t>
      </w:r>
      <w:r w:rsidR="00340BEE" w:rsidRPr="0057417D">
        <w:rPr>
          <w:rFonts w:cstheme="minorHAnsi"/>
        </w:rPr>
        <w:t xml:space="preserve">logró identificar 4 eventos de riesgo de afectación institucional. </w:t>
      </w:r>
    </w:p>
    <w:p w:rsidR="00340BEE" w:rsidRPr="0057417D" w:rsidRDefault="00532E13" w:rsidP="00532E13">
      <w:pPr>
        <w:tabs>
          <w:tab w:val="left" w:pos="2055"/>
        </w:tabs>
        <w:rPr>
          <w:rFonts w:cstheme="minorHAnsi"/>
        </w:rPr>
      </w:pPr>
      <w:r w:rsidRPr="0057417D">
        <w:rPr>
          <w:rFonts w:cstheme="minorHAnsi"/>
        </w:rPr>
        <w:tab/>
      </w:r>
    </w:p>
    <w:p w:rsidR="00340BEE" w:rsidRPr="0057417D" w:rsidRDefault="00340BEE" w:rsidP="000E6FA7">
      <w:pPr>
        <w:pStyle w:val="Prrafodelista"/>
        <w:numPr>
          <w:ilvl w:val="0"/>
          <w:numId w:val="38"/>
        </w:numPr>
        <w:spacing w:after="0" w:line="240" w:lineRule="auto"/>
        <w:rPr>
          <w:rFonts w:cstheme="minorHAnsi"/>
        </w:rPr>
      </w:pPr>
      <w:r w:rsidRPr="0057417D">
        <w:rPr>
          <w:rFonts w:cstheme="minorHAnsi"/>
        </w:rPr>
        <w:t>Pérdida de personal clave.</w:t>
      </w:r>
    </w:p>
    <w:p w:rsidR="00340BEE" w:rsidRPr="0057417D" w:rsidRDefault="00340BEE" w:rsidP="000E6FA7">
      <w:pPr>
        <w:pStyle w:val="Prrafodelista"/>
        <w:numPr>
          <w:ilvl w:val="0"/>
          <w:numId w:val="38"/>
        </w:numPr>
        <w:spacing w:after="0" w:line="240" w:lineRule="auto"/>
        <w:rPr>
          <w:rFonts w:cstheme="minorHAnsi"/>
        </w:rPr>
      </w:pPr>
      <w:r w:rsidRPr="0057417D">
        <w:rPr>
          <w:rFonts w:cstheme="minorHAnsi"/>
        </w:rPr>
        <w:t>Excesivas cargas de trabajo, se necesita más personal.</w:t>
      </w:r>
    </w:p>
    <w:p w:rsidR="00340BEE" w:rsidRPr="0057417D" w:rsidRDefault="00340BEE" w:rsidP="000E6FA7">
      <w:pPr>
        <w:pStyle w:val="Prrafodelista"/>
        <w:numPr>
          <w:ilvl w:val="0"/>
          <w:numId w:val="38"/>
        </w:numPr>
        <w:spacing w:after="0" w:line="240" w:lineRule="auto"/>
        <w:rPr>
          <w:rFonts w:cstheme="minorHAnsi"/>
        </w:rPr>
      </w:pPr>
      <w:r w:rsidRPr="0057417D">
        <w:rPr>
          <w:rFonts w:cstheme="minorHAnsi"/>
        </w:rPr>
        <w:t>Fallas en la comunicación y coordinación entre dependencias.</w:t>
      </w:r>
    </w:p>
    <w:p w:rsidR="00340BEE" w:rsidRPr="0057417D" w:rsidRDefault="00340BEE" w:rsidP="000E6FA7">
      <w:pPr>
        <w:pStyle w:val="Prrafodelista"/>
        <w:numPr>
          <w:ilvl w:val="0"/>
          <w:numId w:val="38"/>
        </w:numPr>
        <w:spacing w:after="0" w:line="240" w:lineRule="auto"/>
        <w:rPr>
          <w:rFonts w:cstheme="minorHAnsi"/>
        </w:rPr>
      </w:pPr>
      <w:r w:rsidRPr="0057417D">
        <w:rPr>
          <w:rFonts w:cstheme="minorHAnsi"/>
        </w:rPr>
        <w:t xml:space="preserve">Problemas en la calidad de la información entregada a </w:t>
      </w:r>
      <w:r w:rsidR="000A0042" w:rsidRPr="0057417D">
        <w:rPr>
          <w:rFonts w:cstheme="minorHAnsi"/>
        </w:rPr>
        <w:t>SUGESE</w:t>
      </w:r>
      <w:r w:rsidRPr="0057417D">
        <w:rPr>
          <w:rFonts w:cstheme="minorHAnsi"/>
        </w:rPr>
        <w:t>.</w:t>
      </w:r>
    </w:p>
    <w:p w:rsidR="00340BEE" w:rsidRPr="0057417D" w:rsidRDefault="00340BEE" w:rsidP="000E6FA7">
      <w:pPr>
        <w:pStyle w:val="Prrafodelista"/>
        <w:spacing w:after="0" w:line="240" w:lineRule="auto"/>
        <w:rPr>
          <w:rFonts w:cstheme="minorHAnsi"/>
        </w:rPr>
      </w:pPr>
    </w:p>
    <w:p w:rsidR="00340BEE" w:rsidRPr="0057417D" w:rsidRDefault="005F083A" w:rsidP="00340BEE">
      <w:pPr>
        <w:rPr>
          <w:rFonts w:cstheme="minorHAnsi"/>
        </w:rPr>
      </w:pPr>
      <w:r>
        <w:rPr>
          <w:rFonts w:cstheme="minorHAnsi"/>
        </w:rPr>
        <w:t xml:space="preserve">Para lo señalado se determinó que </w:t>
      </w:r>
      <w:r w:rsidR="00340BEE" w:rsidRPr="0057417D">
        <w:rPr>
          <w:rFonts w:cstheme="minorHAnsi"/>
        </w:rPr>
        <w:t xml:space="preserve">las medidas de control vigentes no </w:t>
      </w:r>
      <w:r>
        <w:rPr>
          <w:rFonts w:cstheme="minorHAnsi"/>
        </w:rPr>
        <w:t>eran</w:t>
      </w:r>
      <w:r w:rsidR="00340BEE" w:rsidRPr="0057417D">
        <w:rPr>
          <w:rFonts w:cstheme="minorHAnsi"/>
        </w:rPr>
        <w:t xml:space="preserve"> totalmente efectivas para su control</w:t>
      </w:r>
      <w:r w:rsidR="000E6FA7" w:rsidRPr="0057417D">
        <w:rPr>
          <w:rFonts w:cstheme="minorHAnsi"/>
        </w:rPr>
        <w:t>,</w:t>
      </w:r>
      <w:r w:rsidR="00340BEE" w:rsidRPr="0057417D">
        <w:rPr>
          <w:rFonts w:cstheme="minorHAnsi"/>
        </w:rPr>
        <w:t xml:space="preserve"> según el apetito de riesgo definido</w:t>
      </w:r>
      <w:r>
        <w:rPr>
          <w:rFonts w:cstheme="minorHAnsi"/>
        </w:rPr>
        <w:t xml:space="preserve"> por el CONASSIF, por lo que se</w:t>
      </w:r>
      <w:r w:rsidR="00340BEE" w:rsidRPr="0057417D">
        <w:rPr>
          <w:rFonts w:cstheme="minorHAnsi"/>
        </w:rPr>
        <w:t xml:space="preserve"> definió un plan de mitigación.</w:t>
      </w:r>
    </w:p>
    <w:p w:rsidR="00340BEE" w:rsidRPr="0057417D" w:rsidRDefault="00340BEE" w:rsidP="00340BEE">
      <w:pPr>
        <w:rPr>
          <w:rFonts w:cstheme="minorHAnsi"/>
        </w:rPr>
      </w:pPr>
    </w:p>
    <w:p w:rsidR="00340BEE" w:rsidRPr="0057417D" w:rsidRDefault="00340BEE" w:rsidP="00340BEE">
      <w:pPr>
        <w:rPr>
          <w:rFonts w:cstheme="minorHAnsi"/>
        </w:rPr>
      </w:pPr>
      <w:r w:rsidRPr="0057417D">
        <w:rPr>
          <w:rFonts w:cstheme="minorHAnsi"/>
        </w:rPr>
        <w:t xml:space="preserve">La evaluación de riesgos además identificó otros 21 eventos de riesgo </w:t>
      </w:r>
      <w:r w:rsidR="005F083A">
        <w:rPr>
          <w:rFonts w:cstheme="minorHAnsi"/>
        </w:rPr>
        <w:t xml:space="preserve">de </w:t>
      </w:r>
      <w:r w:rsidRPr="0057417D">
        <w:rPr>
          <w:rFonts w:cstheme="minorHAnsi"/>
        </w:rPr>
        <w:t xml:space="preserve">afectación particular </w:t>
      </w:r>
      <w:r w:rsidR="005F083A">
        <w:rPr>
          <w:rFonts w:cstheme="minorHAnsi"/>
        </w:rPr>
        <w:t>en</w:t>
      </w:r>
      <w:r w:rsidRPr="0057417D">
        <w:rPr>
          <w:rFonts w:cstheme="minorHAnsi"/>
        </w:rPr>
        <w:t xml:space="preserve"> los diferentes procesos de la Superintendencia, para cada uno de los cuales se definió un plan de mitigación</w:t>
      </w:r>
      <w:r w:rsidR="005F083A">
        <w:rPr>
          <w:rFonts w:cstheme="minorHAnsi"/>
        </w:rPr>
        <w:t xml:space="preserve"> específico</w:t>
      </w:r>
      <w:r w:rsidRPr="0057417D">
        <w:rPr>
          <w:rFonts w:cstheme="minorHAnsi"/>
        </w:rPr>
        <w:t xml:space="preserve">. </w:t>
      </w:r>
    </w:p>
    <w:p w:rsidR="00054812" w:rsidRPr="0057417D" w:rsidRDefault="00054812" w:rsidP="006A05F4">
      <w:pPr>
        <w:pStyle w:val="Prrafodelista"/>
        <w:rPr>
          <w:rFonts w:eastAsiaTheme="minorHAnsi" w:cstheme="minorHAnsi"/>
          <w:b/>
          <w:bCs/>
          <w:szCs w:val="24"/>
          <w:lang w:eastAsia="en-US"/>
        </w:rPr>
      </w:pPr>
    </w:p>
    <w:p w:rsidR="0046129A" w:rsidRPr="0057417D" w:rsidRDefault="00834406" w:rsidP="00016AB4">
      <w:pPr>
        <w:pStyle w:val="Ttulo1"/>
        <w:numPr>
          <w:ilvl w:val="0"/>
          <w:numId w:val="1"/>
        </w:numPr>
        <w:spacing w:before="0" w:beforeAutospacing="0" w:after="0" w:afterAutospacing="0"/>
        <w:ind w:left="426" w:hanging="426"/>
        <w:rPr>
          <w:rFonts w:ascii="Century Gothic" w:eastAsiaTheme="majorEastAsia" w:hAnsi="Century Gothic" w:cstheme="majorBidi"/>
          <w:color w:val="365F91" w:themeColor="accent1" w:themeShade="BF"/>
          <w:kern w:val="0"/>
          <w:sz w:val="28"/>
          <w:szCs w:val="28"/>
          <w:lang w:eastAsia="es-CR"/>
        </w:rPr>
      </w:pPr>
      <w:bookmarkStart w:id="8" w:name="_Toc473007005"/>
      <w:r w:rsidRPr="0057417D">
        <w:rPr>
          <w:rFonts w:ascii="Century Gothic" w:eastAsiaTheme="majorEastAsia" w:hAnsi="Century Gothic" w:cstheme="majorBidi"/>
          <w:color w:val="365F91" w:themeColor="accent1" w:themeShade="BF"/>
          <w:kern w:val="0"/>
          <w:sz w:val="28"/>
          <w:szCs w:val="28"/>
          <w:lang w:eastAsia="es-CR"/>
        </w:rPr>
        <w:t>RETOS Y VISIÓN DE FUTURO</w:t>
      </w:r>
      <w:bookmarkEnd w:id="8"/>
    </w:p>
    <w:p w:rsidR="001C3D5E" w:rsidRPr="0057417D" w:rsidRDefault="001C3D5E" w:rsidP="00016AB4">
      <w:pPr>
        <w:shd w:val="clear" w:color="auto" w:fill="FFFFFF"/>
        <w:spacing w:line="240" w:lineRule="auto"/>
        <w:rPr>
          <w:szCs w:val="24"/>
        </w:rPr>
      </w:pPr>
    </w:p>
    <w:p w:rsidR="00A46E0E" w:rsidRDefault="008249A5" w:rsidP="008249A5">
      <w:pPr>
        <w:spacing w:line="240" w:lineRule="auto"/>
        <w:rPr>
          <w:rFonts w:cstheme="minorHAnsi"/>
        </w:rPr>
      </w:pPr>
      <w:r w:rsidRPr="0057417D">
        <w:rPr>
          <w:rFonts w:cstheme="minorHAnsi"/>
        </w:rPr>
        <w:t xml:space="preserve">La desaceleración </w:t>
      </w:r>
      <w:r w:rsidR="005F083A">
        <w:rPr>
          <w:rFonts w:cstheme="minorHAnsi"/>
        </w:rPr>
        <w:t xml:space="preserve">económica observada durante el </w:t>
      </w:r>
      <w:r w:rsidR="00A46E0E">
        <w:rPr>
          <w:rFonts w:cstheme="minorHAnsi"/>
        </w:rPr>
        <w:t>2018</w:t>
      </w:r>
      <w:r w:rsidRPr="0057417D">
        <w:rPr>
          <w:rFonts w:cstheme="minorHAnsi"/>
        </w:rPr>
        <w:t xml:space="preserve">, así como las expectativas </w:t>
      </w:r>
      <w:r w:rsidR="00A46E0E">
        <w:rPr>
          <w:rFonts w:cstheme="minorHAnsi"/>
        </w:rPr>
        <w:t>poco favorables sobre el desenvolvimiento económic</w:t>
      </w:r>
      <w:r w:rsidR="00D03C48">
        <w:rPr>
          <w:rFonts w:cstheme="minorHAnsi"/>
        </w:rPr>
        <w:t>o</w:t>
      </w:r>
      <w:r w:rsidR="00A46E0E">
        <w:rPr>
          <w:rFonts w:cstheme="minorHAnsi"/>
        </w:rPr>
        <w:t xml:space="preserve"> del país, llevaron a una </w:t>
      </w:r>
      <w:r w:rsidRPr="0057417D">
        <w:rPr>
          <w:rFonts w:cstheme="minorHAnsi"/>
        </w:rPr>
        <w:t>desaceleración del mercado asegurador</w:t>
      </w:r>
      <w:r w:rsidR="00A46E0E">
        <w:rPr>
          <w:rFonts w:cstheme="minorHAnsi"/>
        </w:rPr>
        <w:t>, no obstante su crecimiento estuvo por encima de los principales indicadores económicos</w:t>
      </w:r>
      <w:r w:rsidR="008E5578">
        <w:rPr>
          <w:rFonts w:cstheme="minorHAnsi"/>
        </w:rPr>
        <w:t xml:space="preserve"> y se mantuvieron las perspectivas favorables para el mercado de seguros</w:t>
      </w:r>
      <w:r w:rsidR="00A46E0E">
        <w:rPr>
          <w:rFonts w:cstheme="minorHAnsi"/>
        </w:rPr>
        <w:t>.</w:t>
      </w:r>
    </w:p>
    <w:p w:rsidR="00A46E0E" w:rsidRDefault="00A46E0E" w:rsidP="008249A5">
      <w:pPr>
        <w:spacing w:line="240" w:lineRule="auto"/>
        <w:rPr>
          <w:rFonts w:cstheme="minorHAnsi"/>
        </w:rPr>
      </w:pPr>
    </w:p>
    <w:p w:rsidR="00A46E0E" w:rsidRDefault="00A46E0E" w:rsidP="008249A5">
      <w:pPr>
        <w:spacing w:line="240" w:lineRule="auto"/>
        <w:rPr>
          <w:rFonts w:cstheme="minorHAnsi"/>
        </w:rPr>
      </w:pPr>
      <w:r>
        <w:rPr>
          <w:rFonts w:cstheme="minorHAnsi"/>
        </w:rPr>
        <w:t>Para</w:t>
      </w:r>
      <w:r w:rsidR="008E5578">
        <w:rPr>
          <w:rFonts w:cstheme="minorHAnsi"/>
        </w:rPr>
        <w:t xml:space="preserve"> el 2020</w:t>
      </w:r>
      <w:r>
        <w:rPr>
          <w:rFonts w:cstheme="minorHAnsi"/>
        </w:rPr>
        <w:t xml:space="preserve"> se esperaba que esa desaceleración se mantenga, agravada por los recientes acontecimientos de la pandemia del Covid-19, que es de esperar lleve a una recesión y contrac</w:t>
      </w:r>
      <w:r w:rsidR="008E5578">
        <w:rPr>
          <w:rFonts w:cstheme="minorHAnsi"/>
        </w:rPr>
        <w:t>ción económica importante, de lo</w:t>
      </w:r>
      <w:r>
        <w:rPr>
          <w:rFonts w:cstheme="minorHAnsi"/>
        </w:rPr>
        <w:t xml:space="preserve"> cual </w:t>
      </w:r>
      <w:r w:rsidR="008E5578">
        <w:rPr>
          <w:rFonts w:cstheme="minorHAnsi"/>
        </w:rPr>
        <w:t xml:space="preserve">el </w:t>
      </w:r>
      <w:r>
        <w:rPr>
          <w:rFonts w:cstheme="minorHAnsi"/>
        </w:rPr>
        <w:t xml:space="preserve">sector aseguradora no será ajeno.  No obstante, a la fecha es difícil prever la magnitud de la contracción o los efectos específicos sobre el sector asegurador, lo que se vislumbra es un panorama incierto, que obliga a una supervisión más estricta y cercana del mercado de seguros, de forma tal que la crisis generada por el Covid-19 no desestabilice el sector, ni comprometa los compromisos de las entidades con los asegurados; además se deberán tomar medidas de carácter regulatorio que alivien los efectos negativos de la crisis generada por la pandemia, en el corto y mediano plazo.    </w:t>
      </w:r>
    </w:p>
    <w:p w:rsidR="00A46E0E" w:rsidRDefault="00A46E0E" w:rsidP="008249A5">
      <w:pPr>
        <w:spacing w:line="240" w:lineRule="auto"/>
        <w:rPr>
          <w:rFonts w:cstheme="minorHAnsi"/>
        </w:rPr>
      </w:pPr>
    </w:p>
    <w:p w:rsidR="008249A5" w:rsidRPr="0057417D" w:rsidRDefault="00D03C48" w:rsidP="008249A5">
      <w:pPr>
        <w:spacing w:line="240" w:lineRule="auto"/>
        <w:rPr>
          <w:rFonts w:cstheme="minorHAnsi"/>
        </w:rPr>
      </w:pPr>
      <w:r>
        <w:rPr>
          <w:rFonts w:cstheme="minorHAnsi"/>
        </w:rPr>
        <w:t>A pesar de la crisis, e</w:t>
      </w:r>
      <w:r w:rsidR="008249A5" w:rsidRPr="0057417D">
        <w:rPr>
          <w:rFonts w:cstheme="minorHAnsi"/>
        </w:rPr>
        <w:t xml:space="preserve">n materia de supervisión </w:t>
      </w:r>
      <w:r>
        <w:rPr>
          <w:rFonts w:cstheme="minorHAnsi"/>
        </w:rPr>
        <w:t>se mantendrá el enfoque</w:t>
      </w:r>
      <w:r w:rsidR="008249A5" w:rsidRPr="0057417D">
        <w:rPr>
          <w:rFonts w:cstheme="minorHAnsi"/>
        </w:rPr>
        <w:t xml:space="preserve"> del modelo de supervisión basado en riesgos (SBR)</w:t>
      </w:r>
      <w:r w:rsidR="00535E6C">
        <w:rPr>
          <w:rFonts w:cstheme="minorHAnsi"/>
        </w:rPr>
        <w:t xml:space="preserve">, </w:t>
      </w:r>
      <w:r>
        <w:rPr>
          <w:rFonts w:cstheme="minorHAnsi"/>
        </w:rPr>
        <w:t xml:space="preserve">continuando con el fomento de </w:t>
      </w:r>
      <w:r w:rsidR="008249A5" w:rsidRPr="0057417D">
        <w:rPr>
          <w:rFonts w:cstheme="minorHAnsi"/>
        </w:rPr>
        <w:t>buenas prácticas en la gestión del reaseguro y la mejora del gobierno corporativo y gestión de riesgos de las entidades</w:t>
      </w:r>
      <w:r w:rsidR="008E5578">
        <w:rPr>
          <w:rFonts w:cstheme="minorHAnsi"/>
        </w:rPr>
        <w:t xml:space="preserve"> de seguros</w:t>
      </w:r>
      <w:r>
        <w:rPr>
          <w:rFonts w:cstheme="minorHAnsi"/>
        </w:rPr>
        <w:t>, así como la vigilancia continua de la g</w:t>
      </w:r>
      <w:r w:rsidR="008249A5" w:rsidRPr="0057417D">
        <w:rPr>
          <w:rFonts w:cstheme="minorHAnsi"/>
        </w:rPr>
        <w:t>estión y solvencia de las aseguradoras</w:t>
      </w:r>
      <w:r w:rsidR="008E5578">
        <w:rPr>
          <w:rFonts w:cstheme="minorHAnsi"/>
        </w:rPr>
        <w:t>.</w:t>
      </w:r>
      <w:r w:rsidR="008249A5" w:rsidRPr="0057417D">
        <w:rPr>
          <w:rFonts w:cstheme="minorHAnsi"/>
        </w:rPr>
        <w:t xml:space="preserve"> </w:t>
      </w:r>
    </w:p>
    <w:p w:rsidR="008249A5" w:rsidRPr="0057417D" w:rsidRDefault="008249A5" w:rsidP="008249A5">
      <w:pPr>
        <w:spacing w:line="240" w:lineRule="auto"/>
        <w:rPr>
          <w:rFonts w:cstheme="minorHAnsi"/>
        </w:rPr>
      </w:pPr>
    </w:p>
    <w:p w:rsidR="00D03C48" w:rsidRDefault="008249A5" w:rsidP="008249A5">
      <w:pPr>
        <w:spacing w:line="240" w:lineRule="auto"/>
        <w:rPr>
          <w:rFonts w:cstheme="minorHAnsi"/>
        </w:rPr>
      </w:pPr>
      <w:r w:rsidRPr="0057417D">
        <w:rPr>
          <w:rFonts w:cstheme="minorHAnsi"/>
        </w:rPr>
        <w:t>En cuanto al desarrollo normativo,</w:t>
      </w:r>
      <w:r w:rsidR="00D03C48">
        <w:rPr>
          <w:rFonts w:cstheme="minorHAnsi"/>
        </w:rPr>
        <w:t xml:space="preserve"> </w:t>
      </w:r>
      <w:r w:rsidR="008E5578">
        <w:rPr>
          <w:rFonts w:cstheme="minorHAnsi"/>
        </w:rPr>
        <w:t xml:space="preserve">en la medida de lo posible, </w:t>
      </w:r>
      <w:r w:rsidR="00D03C48">
        <w:rPr>
          <w:rFonts w:cstheme="minorHAnsi"/>
        </w:rPr>
        <w:t xml:space="preserve">se continuará con los proyectos reglamentarios en desarrollo, con vista a finalizarlos en el 2020, estos son: la normativa sobre hechos relevantes, </w:t>
      </w:r>
      <w:r w:rsidRPr="0057417D">
        <w:rPr>
          <w:rFonts w:cstheme="minorHAnsi"/>
        </w:rPr>
        <w:t>la revisión integral de la normativa de autorizac</w:t>
      </w:r>
      <w:r w:rsidR="00D03C48">
        <w:rPr>
          <w:rFonts w:cstheme="minorHAnsi"/>
        </w:rPr>
        <w:t>ión y registro de participantes y el emisión definitiva de la normativa de seguros inclusivos y la revisión parcial de temas de la reglamentación de solvencia.  Aunado a lo anterior, se deberán dedicar recursos a los temas normativos que complementan las leyes aprobadas en el 2019 como parte del proceso de ingreso a la OECD</w:t>
      </w:r>
      <w:r w:rsidR="0066126E">
        <w:rPr>
          <w:rFonts w:cstheme="minorHAnsi"/>
        </w:rPr>
        <w:t>, en particular normar los temas del financiamiento de los sujetos supervisados de los gastos de las superintendencias,  supervisión de grupos financieros y económicos, cierre de brechas con respecto a las Normas de Información Financiera (NIFF), así como algunos aspectos reformados de la Ley Reguladora del Mercado de Valores que afectan a todos los mercado financieros locales.</w:t>
      </w:r>
    </w:p>
    <w:p w:rsidR="00D03C48" w:rsidRDefault="00D03C48" w:rsidP="008249A5">
      <w:pPr>
        <w:spacing w:line="240" w:lineRule="auto"/>
        <w:rPr>
          <w:rFonts w:cstheme="minorHAnsi"/>
        </w:rPr>
      </w:pPr>
    </w:p>
    <w:p w:rsidR="008249A5" w:rsidRPr="0057417D" w:rsidRDefault="008249A5" w:rsidP="008249A5">
      <w:pPr>
        <w:spacing w:line="240" w:lineRule="auto"/>
        <w:rPr>
          <w:rFonts w:cstheme="minorHAnsi"/>
        </w:rPr>
      </w:pPr>
      <w:r w:rsidRPr="0057417D">
        <w:rPr>
          <w:rFonts w:cstheme="minorHAnsi"/>
        </w:rPr>
        <w:t>Por otra parte, la Superintendencia continuará trabajando en la modificación integral del régimen de solvencia para aproximarse a un modelo tipo Solvencia II de la Unión Europea</w:t>
      </w:r>
      <w:r w:rsidR="0066126E">
        <w:rPr>
          <w:rFonts w:cstheme="minorHAnsi"/>
        </w:rPr>
        <w:t xml:space="preserve"> y las </w:t>
      </w:r>
      <w:r w:rsidRPr="0057417D">
        <w:rPr>
          <w:rFonts w:cstheme="minorHAnsi"/>
        </w:rPr>
        <w:t>actividades preparatorias para la adopción  de la norma Internacional de Información Financiera del contrato de Seguros (NIFF 17), prevista</w:t>
      </w:r>
      <w:r w:rsidR="008E5578">
        <w:rPr>
          <w:rFonts w:cstheme="minorHAnsi"/>
        </w:rPr>
        <w:t xml:space="preserve"> ahora </w:t>
      </w:r>
      <w:r w:rsidRPr="0057417D">
        <w:rPr>
          <w:rFonts w:cstheme="minorHAnsi"/>
        </w:rPr>
        <w:t>para el 202</w:t>
      </w:r>
      <w:r w:rsidR="0066126E">
        <w:rPr>
          <w:rFonts w:cstheme="minorHAnsi"/>
        </w:rPr>
        <w:t>3</w:t>
      </w:r>
      <w:r w:rsidRPr="0057417D">
        <w:rPr>
          <w:rFonts w:cstheme="minorHAnsi"/>
        </w:rPr>
        <w:t xml:space="preserve">. Ambos temas están incluidos en el Plan Estratégico </w:t>
      </w:r>
      <w:r w:rsidR="008E5578">
        <w:rPr>
          <w:rFonts w:cstheme="minorHAnsi"/>
        </w:rPr>
        <w:t>del</w:t>
      </w:r>
      <w:r w:rsidRPr="0057417D">
        <w:rPr>
          <w:rFonts w:cstheme="minorHAnsi"/>
        </w:rPr>
        <w:t xml:space="preserve"> quinquenio 2019-2023.  </w:t>
      </w:r>
    </w:p>
    <w:p w:rsidR="008249A5" w:rsidRPr="0057417D" w:rsidRDefault="008249A5" w:rsidP="008249A5">
      <w:pPr>
        <w:spacing w:line="240" w:lineRule="auto"/>
        <w:rPr>
          <w:rFonts w:cstheme="minorHAnsi"/>
        </w:rPr>
      </w:pPr>
    </w:p>
    <w:p w:rsidR="008249A5" w:rsidRPr="0057417D" w:rsidRDefault="008249A5" w:rsidP="008249A5">
      <w:pPr>
        <w:spacing w:line="240" w:lineRule="auto"/>
        <w:rPr>
          <w:rFonts w:cstheme="minorHAnsi"/>
        </w:rPr>
      </w:pPr>
      <w:r w:rsidRPr="0057417D">
        <w:rPr>
          <w:rFonts w:cstheme="minorHAnsi"/>
        </w:rPr>
        <w:t xml:space="preserve">Otros hitos estratégicos </w:t>
      </w:r>
      <w:r w:rsidR="0066126E">
        <w:rPr>
          <w:rFonts w:cstheme="minorHAnsi"/>
        </w:rPr>
        <w:t xml:space="preserve">en </w:t>
      </w:r>
      <w:r w:rsidR="008E5578">
        <w:rPr>
          <w:rFonts w:cstheme="minorHAnsi"/>
        </w:rPr>
        <w:t xml:space="preserve">los </w:t>
      </w:r>
      <w:r w:rsidR="0066126E">
        <w:rPr>
          <w:rFonts w:cstheme="minorHAnsi"/>
        </w:rPr>
        <w:t>que se espera avanzar en el 2020</w:t>
      </w:r>
      <w:r w:rsidRPr="0057417D">
        <w:rPr>
          <w:rFonts w:cstheme="minorHAnsi"/>
        </w:rPr>
        <w:t xml:space="preserve"> son la mejora en la divulgación de información cuantitativa para el público y el cumplimiento de mejores práctica de supervisión de intermediarios y conducta de mercado.</w:t>
      </w:r>
    </w:p>
    <w:p w:rsidR="008249A5" w:rsidRPr="0057417D" w:rsidRDefault="008249A5" w:rsidP="008249A5">
      <w:pPr>
        <w:spacing w:line="240" w:lineRule="auto"/>
        <w:rPr>
          <w:rFonts w:cstheme="minorHAnsi"/>
        </w:rPr>
      </w:pPr>
    </w:p>
    <w:p w:rsidR="008E5578" w:rsidRDefault="0066126E" w:rsidP="0066126E">
      <w:pPr>
        <w:spacing w:line="240" w:lineRule="auto"/>
      </w:pPr>
      <w:r w:rsidRPr="00535E6C">
        <w:rPr>
          <w:rFonts w:cstheme="minorHAnsi"/>
          <w:szCs w:val="24"/>
          <w:highlight w:val="yellow"/>
        </w:rPr>
        <w:t>A pesar de la</w:t>
      </w:r>
      <w:r w:rsidR="008E5578" w:rsidRPr="00535E6C">
        <w:rPr>
          <w:rFonts w:cstheme="minorHAnsi"/>
          <w:szCs w:val="24"/>
          <w:highlight w:val="yellow"/>
        </w:rPr>
        <w:t>s</w:t>
      </w:r>
      <w:r w:rsidRPr="00535E6C">
        <w:rPr>
          <w:rFonts w:cstheme="minorHAnsi"/>
          <w:szCs w:val="24"/>
          <w:highlight w:val="yellow"/>
        </w:rPr>
        <w:t xml:space="preserve"> perspectivas económicas desfavorables y las consecuencias negativas de la reciente crisis generada por el Covid-1</w:t>
      </w:r>
      <w:r w:rsidR="00535E6C" w:rsidRPr="00535E6C">
        <w:rPr>
          <w:rFonts w:cstheme="minorHAnsi"/>
          <w:szCs w:val="24"/>
          <w:highlight w:val="yellow"/>
        </w:rPr>
        <w:t>9</w:t>
      </w:r>
      <w:r w:rsidRPr="00535E6C">
        <w:rPr>
          <w:rFonts w:cstheme="minorHAnsi"/>
          <w:szCs w:val="24"/>
          <w:highlight w:val="yellow"/>
        </w:rPr>
        <w:t xml:space="preserve">, la Superintendencia mantendrá los logros alcanzados en cuanto a </w:t>
      </w:r>
      <w:r w:rsidR="008249A5" w:rsidRPr="00535E6C">
        <w:rPr>
          <w:highlight w:val="yellow"/>
        </w:rPr>
        <w:t>buenas prácticas de regulación y supervisión del mercado de seguros</w:t>
      </w:r>
      <w:r w:rsidR="0090535F" w:rsidRPr="00535E6C">
        <w:rPr>
          <w:highlight w:val="yellow"/>
        </w:rPr>
        <w:t xml:space="preserve">. </w:t>
      </w:r>
    </w:p>
    <w:p w:rsidR="008E5578" w:rsidRDefault="008E5578" w:rsidP="0066126E">
      <w:pPr>
        <w:spacing w:line="240" w:lineRule="auto"/>
      </w:pPr>
    </w:p>
    <w:p w:rsidR="00F41569" w:rsidRPr="0057417D" w:rsidRDefault="008249A5" w:rsidP="0066126E">
      <w:pPr>
        <w:spacing w:line="240" w:lineRule="auto"/>
      </w:pPr>
      <w:r w:rsidRPr="0057417D">
        <w:t xml:space="preserve">En el mediano plazo es </w:t>
      </w:r>
      <w:r w:rsidR="00535E6C">
        <w:t>relevante</w:t>
      </w:r>
      <w:r w:rsidR="008E5578">
        <w:t xml:space="preserve"> que la Superintendencia continúe </w:t>
      </w:r>
      <w:r w:rsidRPr="0057417D">
        <w:t>mejorando el cumplimiento de estándares internacionales y consolidar lo alcanzado</w:t>
      </w:r>
      <w:r w:rsidR="008E5578">
        <w:t xml:space="preserve"> en materia de regulación y supervisión</w:t>
      </w:r>
      <w:r w:rsidRPr="0057417D">
        <w:t>, en procura de coadyuvar a un mercado de seguros más desarrollado</w:t>
      </w:r>
      <w:r w:rsidR="0090535F" w:rsidRPr="0057417D">
        <w:t>,</w:t>
      </w:r>
      <w:r w:rsidRPr="0057417D">
        <w:t xml:space="preserve"> inclusivo</w:t>
      </w:r>
      <w:r w:rsidR="0090535F" w:rsidRPr="0057417D">
        <w:t xml:space="preserve"> y apegado a las mejores prácticas</w:t>
      </w:r>
      <w:r w:rsidRPr="0057417D">
        <w:t xml:space="preserve">. </w:t>
      </w:r>
    </w:p>
    <w:p w:rsidR="008249A5" w:rsidRPr="0057417D" w:rsidRDefault="008249A5" w:rsidP="00016AB4">
      <w:pPr>
        <w:spacing w:line="240" w:lineRule="auto"/>
      </w:pPr>
    </w:p>
    <w:p w:rsidR="008249A5" w:rsidRPr="0057417D" w:rsidRDefault="008249A5" w:rsidP="00016AB4">
      <w:pPr>
        <w:spacing w:line="240" w:lineRule="auto"/>
      </w:pPr>
    </w:p>
    <w:p w:rsidR="00320F96" w:rsidRPr="0057417D" w:rsidRDefault="00320F96" w:rsidP="00016AB4">
      <w:pPr>
        <w:pStyle w:val="Ttulo1"/>
        <w:numPr>
          <w:ilvl w:val="0"/>
          <w:numId w:val="1"/>
        </w:numPr>
        <w:spacing w:before="0" w:beforeAutospacing="0" w:after="0" w:afterAutospacing="0"/>
        <w:ind w:left="709"/>
        <w:jc w:val="left"/>
        <w:rPr>
          <w:rFonts w:ascii="Century Gothic" w:eastAsiaTheme="majorEastAsia" w:hAnsi="Century Gothic" w:cstheme="majorBidi"/>
          <w:color w:val="365F91" w:themeColor="accent1" w:themeShade="BF"/>
          <w:kern w:val="0"/>
          <w:sz w:val="28"/>
          <w:szCs w:val="28"/>
          <w:lang w:eastAsia="es-CR"/>
        </w:rPr>
      </w:pPr>
      <w:bookmarkStart w:id="9" w:name="_Toc473007006"/>
      <w:r w:rsidRPr="0057417D">
        <w:rPr>
          <w:rFonts w:ascii="Century Gothic" w:eastAsiaTheme="majorEastAsia" w:hAnsi="Century Gothic" w:cstheme="majorBidi"/>
          <w:color w:val="365F91" w:themeColor="accent1" w:themeShade="BF"/>
          <w:kern w:val="0"/>
          <w:sz w:val="28"/>
          <w:szCs w:val="28"/>
          <w:lang w:eastAsia="es-CR"/>
        </w:rPr>
        <w:t>ANEXOS</w:t>
      </w:r>
      <w:bookmarkEnd w:id="9"/>
    </w:p>
    <w:p w:rsidR="008B51B0" w:rsidRPr="0057417D" w:rsidRDefault="008B51B0" w:rsidP="00016AB4">
      <w:pPr>
        <w:spacing w:line="240" w:lineRule="auto"/>
        <w:jc w:val="center"/>
        <w:rPr>
          <w:rFonts w:ascii="Century Gothic" w:hAnsi="Century Gothic"/>
          <w:b/>
          <w:color w:val="002060"/>
          <w:sz w:val="20"/>
          <w:szCs w:val="20"/>
        </w:rPr>
      </w:pPr>
    </w:p>
    <w:p w:rsidR="008B51B0" w:rsidRPr="0057417D" w:rsidRDefault="008B51B0" w:rsidP="00016AB4">
      <w:pPr>
        <w:spacing w:line="240" w:lineRule="auto"/>
        <w:jc w:val="left"/>
        <w:rPr>
          <w:rFonts w:ascii="Century Gothic" w:hAnsi="Century Gothic"/>
          <w:b/>
          <w:color w:val="002060"/>
          <w:sz w:val="20"/>
          <w:szCs w:val="20"/>
        </w:rPr>
      </w:pPr>
      <w:r w:rsidRPr="0057417D">
        <w:rPr>
          <w:rFonts w:ascii="Century Gothic" w:hAnsi="Century Gothic"/>
          <w:b/>
          <w:color w:val="002060"/>
          <w:sz w:val="20"/>
          <w:szCs w:val="20"/>
        </w:rPr>
        <w:br w:type="page"/>
      </w:r>
    </w:p>
    <w:p w:rsidR="0016640B" w:rsidRPr="0057417D" w:rsidRDefault="0016640B" w:rsidP="00016AB4">
      <w:pPr>
        <w:spacing w:line="240" w:lineRule="auto"/>
        <w:jc w:val="center"/>
        <w:rPr>
          <w:rFonts w:cstheme="minorHAnsi"/>
          <w:b/>
          <w:color w:val="002060"/>
          <w:sz w:val="20"/>
          <w:szCs w:val="20"/>
        </w:rPr>
      </w:pPr>
      <w:r w:rsidRPr="0057417D">
        <w:rPr>
          <w:rFonts w:cstheme="minorHAnsi"/>
          <w:b/>
          <w:color w:val="002060"/>
          <w:sz w:val="20"/>
          <w:szCs w:val="20"/>
        </w:rPr>
        <w:t>ANEXO 1</w:t>
      </w:r>
    </w:p>
    <w:p w:rsidR="0016640B" w:rsidRPr="0057417D" w:rsidRDefault="0016640B" w:rsidP="00016AB4">
      <w:pPr>
        <w:spacing w:line="240" w:lineRule="auto"/>
        <w:jc w:val="center"/>
        <w:rPr>
          <w:rFonts w:ascii="Century Gothic" w:hAnsi="Century Gothic" w:cstheme="minorHAnsi"/>
          <w:b/>
          <w:color w:val="404040" w:themeColor="text1" w:themeTint="BF"/>
          <w:sz w:val="20"/>
          <w:szCs w:val="20"/>
        </w:rPr>
      </w:pPr>
      <w:r w:rsidRPr="0057417D">
        <w:rPr>
          <w:rFonts w:ascii="Century Gothic" w:hAnsi="Century Gothic" w:cstheme="minorHAnsi"/>
          <w:bCs/>
          <w:kern w:val="24"/>
          <w:sz w:val="20"/>
          <w:szCs w:val="20"/>
        </w:rPr>
        <w:t>Superintendencia General de Seguros</w:t>
      </w:r>
      <w:r w:rsidRPr="0057417D">
        <w:rPr>
          <w:rFonts w:ascii="Century Gothic" w:hAnsi="Century Gothic" w:cstheme="minorHAnsi"/>
          <w:b/>
          <w:color w:val="404040" w:themeColor="text1" w:themeTint="BF"/>
          <w:sz w:val="20"/>
          <w:szCs w:val="20"/>
        </w:rPr>
        <w:t xml:space="preserve"> </w:t>
      </w:r>
    </w:p>
    <w:p w:rsidR="00B32790" w:rsidRPr="0057417D" w:rsidRDefault="00B32790" w:rsidP="00B32790">
      <w:pPr>
        <w:spacing w:line="240" w:lineRule="auto"/>
        <w:jc w:val="center"/>
        <w:rPr>
          <w:rFonts w:ascii="Century Gothic" w:hAnsi="Century Gothic" w:cstheme="minorHAnsi"/>
          <w:b/>
          <w:bCs/>
        </w:rPr>
      </w:pPr>
      <w:r w:rsidRPr="0057417D">
        <w:rPr>
          <w:rFonts w:ascii="Century Gothic" w:hAnsi="Century Gothic" w:cstheme="minorHAnsi"/>
          <w:b/>
          <w:color w:val="404040" w:themeColor="text1" w:themeTint="BF"/>
          <w:sz w:val="20"/>
          <w:szCs w:val="20"/>
        </w:rPr>
        <w:t>PLAN ESTRATEGIGO 201</w:t>
      </w:r>
      <w:r w:rsidR="00BD4424" w:rsidRPr="0057417D">
        <w:rPr>
          <w:rFonts w:ascii="Century Gothic" w:hAnsi="Century Gothic" w:cstheme="minorHAnsi"/>
          <w:b/>
          <w:color w:val="404040" w:themeColor="text1" w:themeTint="BF"/>
          <w:sz w:val="20"/>
          <w:szCs w:val="20"/>
        </w:rPr>
        <w:t>9</w:t>
      </w:r>
      <w:r w:rsidRPr="0057417D">
        <w:rPr>
          <w:rFonts w:ascii="Century Gothic" w:hAnsi="Century Gothic" w:cstheme="minorHAnsi"/>
          <w:b/>
          <w:color w:val="404040" w:themeColor="text1" w:themeTint="BF"/>
          <w:sz w:val="20"/>
          <w:szCs w:val="20"/>
        </w:rPr>
        <w:t>-20</w:t>
      </w:r>
      <w:r w:rsidR="00BD4424" w:rsidRPr="0057417D">
        <w:rPr>
          <w:rFonts w:ascii="Century Gothic" w:hAnsi="Century Gothic" w:cstheme="minorHAnsi"/>
          <w:b/>
          <w:color w:val="404040" w:themeColor="text1" w:themeTint="BF"/>
          <w:sz w:val="20"/>
          <w:szCs w:val="20"/>
        </w:rPr>
        <w:t>23</w:t>
      </w:r>
    </w:p>
    <w:p w:rsidR="00B32790" w:rsidRPr="0057417D" w:rsidRDefault="00B32790"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color w:val="404040" w:themeColor="text1" w:themeTint="BF"/>
          <w:sz w:val="20"/>
          <w:szCs w:val="20"/>
        </w:rPr>
      </w:pPr>
      <w:r w:rsidRPr="0057417D">
        <w:rPr>
          <w:rFonts w:ascii="Century Gothic" w:hAnsi="Century Gothic" w:cstheme="minorHAnsi"/>
          <w:b/>
          <w:color w:val="404040" w:themeColor="text1" w:themeTint="BF"/>
          <w:sz w:val="20"/>
          <w:szCs w:val="20"/>
        </w:rPr>
        <w:t xml:space="preserve">Portafolio Institucional de Proyectos  </w:t>
      </w:r>
    </w:p>
    <w:p w:rsidR="00B32790" w:rsidRPr="0057417D" w:rsidRDefault="00B32790" w:rsidP="00B32790">
      <w:pPr>
        <w:tabs>
          <w:tab w:val="left" w:pos="1617"/>
          <w:tab w:val="left" w:pos="4240"/>
          <w:tab w:val="left" w:pos="7087"/>
          <w:tab w:val="left" w:pos="7907"/>
          <w:tab w:val="left" w:pos="8725"/>
          <w:tab w:val="left" w:pos="9624"/>
          <w:tab w:val="left" w:pos="10442"/>
        </w:tabs>
        <w:ind w:left="55"/>
        <w:jc w:val="center"/>
        <w:rPr>
          <w:rFonts w:ascii="Century Gothic" w:hAnsi="Century Gothic" w:cstheme="minorHAnsi"/>
          <w:b/>
          <w:bCs/>
          <w:color w:val="404040" w:themeColor="text1" w:themeTint="BF"/>
          <w:sz w:val="20"/>
          <w:szCs w:val="20"/>
        </w:rPr>
      </w:pPr>
      <w:r w:rsidRPr="0057417D">
        <w:rPr>
          <w:rFonts w:ascii="Century Gothic" w:hAnsi="Century Gothic" w:cstheme="minorHAnsi"/>
          <w:b/>
          <w:color w:val="404040" w:themeColor="text1" w:themeTint="BF"/>
          <w:sz w:val="20"/>
          <w:szCs w:val="20"/>
        </w:rPr>
        <w:t>Diciembre 201</w:t>
      </w:r>
      <w:r w:rsidR="00BD4424" w:rsidRPr="0057417D">
        <w:rPr>
          <w:rFonts w:ascii="Century Gothic" w:hAnsi="Century Gothic" w:cstheme="minorHAnsi"/>
          <w:b/>
          <w:color w:val="404040" w:themeColor="text1" w:themeTint="BF"/>
          <w:sz w:val="20"/>
          <w:szCs w:val="20"/>
        </w:rPr>
        <w:t>9</w:t>
      </w:r>
      <w:r w:rsidRPr="0057417D">
        <w:rPr>
          <w:rStyle w:val="Refdenotaalpie"/>
          <w:rFonts w:ascii="Century Gothic" w:hAnsi="Century Gothic" w:cstheme="minorHAnsi"/>
          <w:b/>
          <w:bCs/>
          <w:color w:val="404040" w:themeColor="text1" w:themeTint="BF"/>
          <w:sz w:val="20"/>
          <w:szCs w:val="20"/>
        </w:rPr>
        <w:footnoteReference w:id="5"/>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2158"/>
        <w:gridCol w:w="2158"/>
        <w:gridCol w:w="2877"/>
        <w:gridCol w:w="1276"/>
      </w:tblGrid>
      <w:tr w:rsidR="00F80E25" w:rsidRPr="008874A9" w:rsidTr="00442D46">
        <w:trPr>
          <w:cantSplit/>
          <w:trHeight w:val="492"/>
          <w:tblHeader/>
          <w:jc w:val="center"/>
        </w:trPr>
        <w:tc>
          <w:tcPr>
            <w:tcW w:w="2158" w:type="dxa"/>
            <w:tcBorders>
              <w:bottom w:val="single" w:sz="4" w:space="0" w:color="auto"/>
            </w:tcBorders>
            <w:shd w:val="clear" w:color="auto" w:fill="31849B" w:themeFill="accent5" w:themeFillShade="BF"/>
            <w:hideMark/>
          </w:tcPr>
          <w:p w:rsidR="00F80E25" w:rsidRPr="008874A9" w:rsidRDefault="00F80E25" w:rsidP="00442D46">
            <w:pPr>
              <w:jc w:val="center"/>
              <w:rPr>
                <w:rFonts w:ascii="Arial Narrow" w:hAnsi="Arial Narrow" w:cs="Tahoma"/>
                <w:b/>
                <w:bCs/>
                <w:color w:val="FFFFFF" w:themeColor="background1"/>
                <w:sz w:val="20"/>
                <w:szCs w:val="20"/>
              </w:rPr>
            </w:pPr>
            <w:r w:rsidRPr="008874A9">
              <w:rPr>
                <w:rFonts w:ascii="Arial Narrow" w:hAnsi="Arial Narrow" w:cs="Tahoma"/>
                <w:b/>
                <w:bCs/>
                <w:color w:val="FFFFFF" w:themeColor="background1"/>
                <w:sz w:val="20"/>
                <w:szCs w:val="20"/>
              </w:rPr>
              <w:t>ESTRATEGIA</w:t>
            </w:r>
          </w:p>
        </w:tc>
        <w:tc>
          <w:tcPr>
            <w:tcW w:w="2158" w:type="dxa"/>
            <w:tcBorders>
              <w:bottom w:val="single" w:sz="4" w:space="0" w:color="auto"/>
            </w:tcBorders>
            <w:shd w:val="clear" w:color="auto" w:fill="31849B" w:themeFill="accent5" w:themeFillShade="BF"/>
            <w:hideMark/>
          </w:tcPr>
          <w:p w:rsidR="00F80E25" w:rsidRPr="008874A9" w:rsidRDefault="00F80E25" w:rsidP="00442D46">
            <w:pPr>
              <w:jc w:val="center"/>
              <w:rPr>
                <w:rFonts w:ascii="Arial Narrow" w:hAnsi="Arial Narrow" w:cs="Tahoma"/>
                <w:b/>
                <w:bCs/>
                <w:color w:val="FFFFFF" w:themeColor="background1"/>
                <w:sz w:val="20"/>
                <w:szCs w:val="20"/>
              </w:rPr>
            </w:pPr>
            <w:r w:rsidRPr="008874A9">
              <w:rPr>
                <w:rFonts w:ascii="Arial Narrow" w:hAnsi="Arial Narrow" w:cs="Tahoma"/>
                <w:b/>
                <w:bCs/>
                <w:color w:val="FFFFFF" w:themeColor="background1"/>
                <w:sz w:val="20"/>
                <w:szCs w:val="20"/>
              </w:rPr>
              <w:t>OBJETIVO ESTRATÉGICO</w:t>
            </w:r>
          </w:p>
        </w:tc>
        <w:tc>
          <w:tcPr>
            <w:tcW w:w="2158" w:type="dxa"/>
            <w:tcBorders>
              <w:bottom w:val="single" w:sz="4" w:space="0" w:color="auto"/>
            </w:tcBorders>
            <w:shd w:val="clear" w:color="auto" w:fill="31849B" w:themeFill="accent5" w:themeFillShade="BF"/>
            <w:hideMark/>
          </w:tcPr>
          <w:p w:rsidR="00F80E25" w:rsidRPr="008874A9" w:rsidRDefault="00F80E25" w:rsidP="00442D46">
            <w:pPr>
              <w:ind w:left="102"/>
              <w:jc w:val="center"/>
              <w:rPr>
                <w:rFonts w:ascii="Arial Narrow" w:hAnsi="Arial Narrow" w:cs="Tahoma"/>
                <w:b/>
                <w:bCs/>
                <w:color w:val="FFFFFF" w:themeColor="background1"/>
                <w:sz w:val="20"/>
                <w:szCs w:val="20"/>
              </w:rPr>
            </w:pPr>
            <w:r w:rsidRPr="008874A9">
              <w:rPr>
                <w:rFonts w:ascii="Arial Narrow" w:hAnsi="Arial Narrow" w:cs="Tahoma"/>
                <w:b/>
                <w:bCs/>
                <w:color w:val="FFFFFF" w:themeColor="background1"/>
                <w:sz w:val="20"/>
                <w:szCs w:val="20"/>
              </w:rPr>
              <w:t>Proyectos Relacionados</w:t>
            </w:r>
          </w:p>
        </w:tc>
        <w:tc>
          <w:tcPr>
            <w:tcW w:w="2877" w:type="dxa"/>
            <w:tcBorders>
              <w:bottom w:val="single" w:sz="4" w:space="0" w:color="auto"/>
            </w:tcBorders>
            <w:shd w:val="clear" w:color="auto" w:fill="31849B" w:themeFill="accent5" w:themeFillShade="BF"/>
            <w:hideMark/>
          </w:tcPr>
          <w:p w:rsidR="00F80E25" w:rsidRPr="008874A9" w:rsidRDefault="00F80E25" w:rsidP="00442D46">
            <w:pPr>
              <w:jc w:val="center"/>
              <w:rPr>
                <w:rFonts w:ascii="Arial Narrow" w:hAnsi="Arial Narrow" w:cs="Tahoma"/>
                <w:b/>
                <w:bCs/>
                <w:color w:val="FFFFFF" w:themeColor="background1"/>
                <w:sz w:val="20"/>
                <w:szCs w:val="20"/>
              </w:rPr>
            </w:pPr>
            <w:r w:rsidRPr="008874A9">
              <w:rPr>
                <w:rFonts w:ascii="Arial Narrow" w:hAnsi="Arial Narrow" w:cs="Tahoma"/>
                <w:b/>
                <w:bCs/>
                <w:color w:val="FFFFFF" w:themeColor="background1"/>
                <w:sz w:val="20"/>
                <w:szCs w:val="20"/>
              </w:rPr>
              <w:t>Descripción del Proyecto</w:t>
            </w:r>
          </w:p>
        </w:tc>
        <w:tc>
          <w:tcPr>
            <w:tcW w:w="1276" w:type="dxa"/>
            <w:tcBorders>
              <w:bottom w:val="single" w:sz="4" w:space="0" w:color="auto"/>
            </w:tcBorders>
            <w:shd w:val="clear" w:color="auto" w:fill="31849B" w:themeFill="accent5" w:themeFillShade="BF"/>
            <w:hideMark/>
          </w:tcPr>
          <w:p w:rsidR="00F80E25" w:rsidRPr="008874A9" w:rsidRDefault="00F80E25" w:rsidP="00442D46">
            <w:pPr>
              <w:jc w:val="center"/>
              <w:rPr>
                <w:rFonts w:ascii="Arial Narrow" w:hAnsi="Arial Narrow" w:cs="Tahoma"/>
                <w:b/>
                <w:bCs/>
                <w:color w:val="FFFFFF" w:themeColor="background1"/>
                <w:sz w:val="20"/>
                <w:szCs w:val="20"/>
              </w:rPr>
            </w:pPr>
            <w:r w:rsidRPr="008874A9">
              <w:rPr>
                <w:rFonts w:ascii="Arial Narrow" w:hAnsi="Arial Narrow" w:cs="Tahoma"/>
                <w:b/>
                <w:bCs/>
                <w:color w:val="FFFFFF" w:themeColor="background1"/>
                <w:sz w:val="20"/>
                <w:szCs w:val="20"/>
              </w:rPr>
              <w:t>Estado al 31/12/2019</w:t>
            </w:r>
          </w:p>
        </w:tc>
      </w:tr>
      <w:tr w:rsidR="009C186B" w:rsidRPr="008874A9" w:rsidTr="00442D46">
        <w:trPr>
          <w:cantSplit/>
          <w:trHeight w:val="1085"/>
          <w:jc w:val="center"/>
        </w:trPr>
        <w:tc>
          <w:tcPr>
            <w:tcW w:w="2158" w:type="dxa"/>
            <w:vMerge w:val="restart"/>
            <w:tcBorders>
              <w:bottom w:val="dashSmallGap" w:sz="4" w:space="0" w:color="7F7F7F" w:themeColor="text1" w:themeTint="80"/>
              <w:right w:val="dashSmallGap" w:sz="4" w:space="0" w:color="7F7F7F" w:themeColor="text1" w:themeTint="80"/>
            </w:tcBorders>
            <w:shd w:val="clear" w:color="auto" w:fill="B6DDE8" w:themeFill="accent5" w:themeFillTint="66"/>
          </w:tcPr>
          <w:p w:rsidR="009C186B" w:rsidRPr="008874A9" w:rsidRDefault="009C186B" w:rsidP="00442D46">
            <w:pPr>
              <w:rPr>
                <w:rFonts w:ascii="Arial Narrow" w:hAnsi="Arial Narrow" w:cs="Tahoma"/>
                <w:strike/>
                <w:sz w:val="20"/>
                <w:szCs w:val="20"/>
              </w:rPr>
            </w:pPr>
            <w:r w:rsidRPr="008874A9">
              <w:rPr>
                <w:rFonts w:ascii="Arial Narrow" w:hAnsi="Arial Narrow" w:cs="Tahoma"/>
                <w:b/>
                <w:sz w:val="20"/>
                <w:szCs w:val="20"/>
              </w:rPr>
              <w:t>REGULACIÓN Y SUPERVISIÓN:</w:t>
            </w:r>
            <w:r w:rsidRPr="008874A9">
              <w:rPr>
                <w:rFonts w:ascii="Arial Narrow" w:hAnsi="Arial Narrow" w:cs="Tahoma"/>
                <w:sz w:val="20"/>
                <w:szCs w:val="20"/>
              </w:rPr>
              <w:t xml:space="preserve"> Profundizar la aplicación de buenas prácticas internacionales</w:t>
            </w:r>
          </w:p>
        </w:tc>
        <w:tc>
          <w:tcPr>
            <w:tcW w:w="2158" w:type="dxa"/>
            <w:vMerge w:val="restart"/>
            <w:tcBorders>
              <w:left w:val="dashSmallGap" w:sz="4" w:space="0" w:color="7F7F7F" w:themeColor="text1" w:themeTint="80"/>
              <w:right w:val="dashSmallGap" w:sz="4" w:space="0" w:color="7F7F7F" w:themeColor="text1" w:themeTint="80"/>
            </w:tcBorders>
            <w:shd w:val="clear" w:color="auto" w:fill="auto"/>
          </w:tcPr>
          <w:p w:rsidR="009C186B" w:rsidRPr="008874A9" w:rsidRDefault="009C186B" w:rsidP="00442D46">
            <w:pPr>
              <w:ind w:left="2" w:hangingChars="1" w:hanging="2"/>
              <w:rPr>
                <w:rFonts w:ascii="Arial Narrow" w:hAnsi="Arial Narrow" w:cs="Tahoma"/>
                <w:sz w:val="20"/>
                <w:szCs w:val="20"/>
              </w:rPr>
            </w:pPr>
            <w:r w:rsidRPr="008874A9">
              <w:rPr>
                <w:rFonts w:ascii="Arial Narrow" w:hAnsi="Arial Narrow" w:cs="Tahoma"/>
                <w:bCs/>
                <w:sz w:val="20"/>
                <w:szCs w:val="20"/>
              </w:rPr>
              <w:t>1.1 Actualizar el modelo de Suficiencia Patrimonial con base en Riesgos en un plazo de cinco años</w:t>
            </w:r>
          </w:p>
          <w:p w:rsidR="009C186B" w:rsidRPr="008874A9" w:rsidRDefault="009C186B" w:rsidP="009C186B">
            <w:pPr>
              <w:ind w:left="2" w:hangingChars="1" w:hanging="2"/>
              <w:rPr>
                <w:rFonts w:ascii="Arial Narrow" w:hAnsi="Arial Narrow" w:cs="Tahoma"/>
                <w:sz w:val="20"/>
                <w:szCs w:val="20"/>
              </w:rPr>
            </w:pPr>
          </w:p>
        </w:tc>
        <w:tc>
          <w:tcPr>
            <w:tcW w:w="2158" w:type="dxa"/>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442D46">
            <w:pPr>
              <w:rPr>
                <w:rFonts w:ascii="Arial Narrow" w:hAnsi="Arial Narrow" w:cs="Tahoma"/>
                <w:sz w:val="20"/>
                <w:szCs w:val="20"/>
              </w:rPr>
            </w:pPr>
            <w:r w:rsidRPr="008874A9">
              <w:rPr>
                <w:rFonts w:ascii="Arial Narrow" w:hAnsi="Arial Narrow" w:cs="Tahoma"/>
                <w:bCs/>
                <w:color w:val="404040" w:themeColor="text1" w:themeTint="BF"/>
                <w:kern w:val="24"/>
                <w:sz w:val="20"/>
                <w:szCs w:val="20"/>
              </w:rPr>
              <w:t>1.1.1 Modelo de Capital Basado en Riesgo Tipo Solvencia II</w:t>
            </w:r>
          </w:p>
        </w:tc>
        <w:tc>
          <w:tcPr>
            <w:tcW w:w="2877" w:type="dxa"/>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442D46">
            <w:pPr>
              <w:rPr>
                <w:rFonts w:ascii="Arial Narrow" w:hAnsi="Arial Narrow" w:cs="Tahoma"/>
                <w:sz w:val="20"/>
                <w:szCs w:val="20"/>
              </w:rPr>
            </w:pPr>
            <w:r w:rsidRPr="008874A9">
              <w:rPr>
                <w:rFonts w:ascii="Arial Narrow" w:hAnsi="Arial Narrow" w:cs="Tahoma"/>
                <w:bCs/>
                <w:color w:val="000000"/>
                <w:sz w:val="20"/>
                <w:szCs w:val="20"/>
              </w:rPr>
              <w:t>Diagnóstico de la brecha de cumplimiento de los estándares internaciones y mejores prácticas para la regulación y supervisión de la solvencia de las entidades de seguros, e implementación de una reforma integral del régimen de solvencia de las aseguradoras, para avanzar hacia un modelo tipo Solvencia II.</w:t>
            </w:r>
          </w:p>
        </w:tc>
        <w:tc>
          <w:tcPr>
            <w:tcW w:w="1276" w:type="dxa"/>
            <w:tcBorders>
              <w:left w:val="dashSmallGap" w:sz="4" w:space="0" w:color="7F7F7F" w:themeColor="text1" w:themeTint="80"/>
              <w:bottom w:val="dashSmallGap" w:sz="4" w:space="0" w:color="7F7F7F" w:themeColor="text1" w:themeTint="80"/>
            </w:tcBorders>
            <w:shd w:val="clear" w:color="000000" w:fill="FFFFFF"/>
          </w:tcPr>
          <w:p w:rsidR="009C186B" w:rsidRPr="008874A9" w:rsidRDefault="009C186B" w:rsidP="00442D46">
            <w:pPr>
              <w:jc w:val="center"/>
              <w:rPr>
                <w:rFonts w:ascii="Arial Narrow" w:hAnsi="Arial Narrow" w:cs="Tahoma"/>
                <w:color w:val="000000"/>
                <w:sz w:val="20"/>
                <w:szCs w:val="20"/>
              </w:rPr>
            </w:pPr>
            <w:r w:rsidRPr="008874A9">
              <w:rPr>
                <w:rFonts w:ascii="Arial Narrow" w:hAnsi="Arial Narrow" w:cs="Tahoma"/>
                <w:color w:val="000000"/>
                <w:sz w:val="20"/>
                <w:szCs w:val="20"/>
              </w:rPr>
              <w:t>Finalizada Fase I.</w:t>
            </w:r>
          </w:p>
          <w:p w:rsidR="009C186B" w:rsidRPr="008874A9" w:rsidRDefault="009C186B" w:rsidP="00442D46">
            <w:pPr>
              <w:jc w:val="center"/>
              <w:rPr>
                <w:rFonts w:ascii="Arial Narrow" w:hAnsi="Arial Narrow" w:cs="Tahoma"/>
                <w:color w:val="000000"/>
                <w:sz w:val="20"/>
                <w:szCs w:val="20"/>
              </w:rPr>
            </w:pPr>
            <w:r w:rsidRPr="008874A9">
              <w:rPr>
                <w:rFonts w:ascii="Arial Narrow" w:hAnsi="Arial Narrow" w:cs="Tahoma"/>
                <w:color w:val="000000"/>
                <w:sz w:val="20"/>
                <w:szCs w:val="20"/>
              </w:rPr>
              <w:t>No iniciada Fase II</w:t>
            </w:r>
          </w:p>
        </w:tc>
      </w:tr>
      <w:tr w:rsidR="009C186B" w:rsidRPr="008874A9" w:rsidTr="00442D46">
        <w:trPr>
          <w:cantSplit/>
          <w:trHeight w:val="1219"/>
          <w:jc w:val="center"/>
        </w:trPr>
        <w:tc>
          <w:tcPr>
            <w:tcW w:w="2158" w:type="dxa"/>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rsidR="009C186B" w:rsidRPr="008874A9" w:rsidRDefault="009C186B" w:rsidP="00442D46">
            <w:pPr>
              <w:rPr>
                <w:rFonts w:ascii="Arial Narrow" w:hAnsi="Arial Narrow" w:cs="Tahoma"/>
                <w:color w:val="000000"/>
                <w:sz w:val="20"/>
                <w:szCs w:val="20"/>
              </w:rPr>
            </w:pPr>
          </w:p>
        </w:tc>
        <w:tc>
          <w:tcPr>
            <w:tcW w:w="2158" w:type="dxa"/>
            <w:vMerge/>
            <w:tcBorders>
              <w:left w:val="dashSmallGap" w:sz="4" w:space="0" w:color="7F7F7F" w:themeColor="text1" w:themeTint="80"/>
              <w:right w:val="dashSmallGap" w:sz="4" w:space="0" w:color="7F7F7F" w:themeColor="text1" w:themeTint="80"/>
            </w:tcBorders>
            <w:shd w:val="clear" w:color="auto" w:fill="auto"/>
            <w:hideMark/>
          </w:tcPr>
          <w:p w:rsidR="009C186B" w:rsidRPr="008874A9" w:rsidRDefault="009C186B" w:rsidP="009C186B">
            <w:pPr>
              <w:ind w:left="2" w:hangingChars="1" w:hanging="2"/>
              <w:rPr>
                <w:rFonts w:ascii="Arial Narrow" w:hAnsi="Arial Narrow" w:cs="Tahoma"/>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rsidR="009C186B" w:rsidRPr="008874A9" w:rsidRDefault="009C186B" w:rsidP="00442D46">
            <w:pPr>
              <w:rPr>
                <w:rFonts w:ascii="Arial Narrow" w:hAnsi="Arial Narrow" w:cs="Tahoma"/>
                <w:sz w:val="20"/>
                <w:szCs w:val="20"/>
              </w:rPr>
            </w:pPr>
            <w:r w:rsidRPr="008874A9">
              <w:rPr>
                <w:rFonts w:ascii="Arial Narrow" w:hAnsi="Arial Narrow" w:cs="Tahoma"/>
                <w:bCs/>
                <w:color w:val="404040" w:themeColor="text1" w:themeTint="BF"/>
                <w:kern w:val="24"/>
                <w:sz w:val="20"/>
                <w:szCs w:val="20"/>
              </w:rPr>
              <w:t>1.1.2 Enfoque para la supervisión de reaseguros</w:t>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442D46">
            <w:pPr>
              <w:rPr>
                <w:rFonts w:ascii="Arial Narrow" w:hAnsi="Arial Narrow" w:cs="Tahoma"/>
                <w:sz w:val="20"/>
                <w:szCs w:val="20"/>
              </w:rPr>
            </w:pPr>
            <w:r w:rsidRPr="008874A9">
              <w:rPr>
                <w:rFonts w:ascii="Arial Narrow" w:hAnsi="Arial Narrow" w:cs="Tahoma"/>
                <w:bCs/>
                <w:color w:val="000000"/>
                <w:sz w:val="20"/>
                <w:szCs w:val="20"/>
              </w:rPr>
              <w:t>Este proyecto pretende el desarrollo del enfoque de supervisión de reaseguros en el marco del Reglamento de Gestión de Riesgos y Control Interno. Lo anterior permitirá al supervisor contar con lineamientos y criterios generales de orientación en la evaluación de políticas, procedimientos y prácticas de reaseguros así como evaluación de su efectividad.</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rsidR="009C186B" w:rsidRPr="008874A9" w:rsidRDefault="009C186B" w:rsidP="00442D46">
            <w:pPr>
              <w:jc w:val="center"/>
              <w:rPr>
                <w:rFonts w:ascii="Arial Narrow" w:hAnsi="Arial Narrow" w:cs="Tahoma"/>
                <w:color w:val="000000"/>
                <w:sz w:val="20"/>
                <w:szCs w:val="20"/>
              </w:rPr>
            </w:pPr>
            <w:r w:rsidRPr="008874A9">
              <w:rPr>
                <w:rFonts w:ascii="Arial Narrow" w:hAnsi="Arial Narrow" w:cs="Tahoma"/>
                <w:color w:val="000000"/>
                <w:sz w:val="20"/>
                <w:szCs w:val="20"/>
              </w:rPr>
              <w:t>En ejecución</w:t>
            </w:r>
          </w:p>
        </w:tc>
      </w:tr>
      <w:tr w:rsidR="009C186B" w:rsidRPr="008874A9" w:rsidTr="00442D46">
        <w:trPr>
          <w:cantSplit/>
          <w:trHeight w:val="1219"/>
          <w:jc w:val="center"/>
        </w:trPr>
        <w:tc>
          <w:tcPr>
            <w:tcW w:w="2158" w:type="dxa"/>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rsidR="009C186B" w:rsidRPr="008874A9" w:rsidRDefault="009C186B" w:rsidP="009C186B">
            <w:pPr>
              <w:rPr>
                <w:rFonts w:ascii="Arial Narrow" w:hAnsi="Arial Narrow" w:cs="Tahoma"/>
                <w:color w:val="000000"/>
                <w:sz w:val="20"/>
                <w:szCs w:val="20"/>
              </w:rPr>
            </w:pPr>
          </w:p>
        </w:tc>
        <w:tc>
          <w:tcPr>
            <w:tcW w:w="2158" w:type="dxa"/>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ind w:left="2" w:hangingChars="1" w:hanging="2"/>
              <w:rPr>
                <w:rFonts w:ascii="Arial Narrow" w:hAnsi="Arial Narrow" w:cs="Tahoma"/>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rsidR="009C186B" w:rsidRPr="008874A9" w:rsidRDefault="009C186B" w:rsidP="009C186B">
            <w:pPr>
              <w:rPr>
                <w:rFonts w:ascii="Arial Narrow" w:hAnsi="Arial Narrow" w:cs="Tahoma"/>
                <w:bCs/>
                <w:color w:val="404040" w:themeColor="text1" w:themeTint="BF"/>
                <w:kern w:val="24"/>
                <w:sz w:val="20"/>
                <w:szCs w:val="20"/>
              </w:rPr>
            </w:pPr>
            <w:r w:rsidRPr="008874A9">
              <w:rPr>
                <w:rFonts w:ascii="Arial Narrow" w:hAnsi="Arial Narrow" w:cs="Tahoma"/>
                <w:bCs/>
                <w:color w:val="404040" w:themeColor="text1" w:themeTint="BF"/>
                <w:kern w:val="24"/>
                <w:sz w:val="20"/>
                <w:szCs w:val="20"/>
              </w:rPr>
              <w:t xml:space="preserve">1.1.3 Adopción de la Norma Internacional de  NIIF 17  </w:t>
            </w:r>
            <w:r w:rsidRPr="008874A9">
              <w:rPr>
                <w:rFonts w:ascii="Arial Narrow" w:hAnsi="Arial Narrow" w:cs="Tahoma"/>
                <w:bCs/>
                <w:color w:val="FFFFFF" w:themeColor="light1"/>
                <w:kern w:val="24"/>
                <w:sz w:val="20"/>
                <w:szCs w:val="20"/>
              </w:rPr>
              <w:sym w:font="Wingdings" w:char="F03A"/>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rPr>
                <w:rFonts w:ascii="Arial Narrow" w:hAnsi="Arial Narrow" w:cs="Tahoma"/>
                <w:bCs/>
                <w:color w:val="000000"/>
                <w:sz w:val="20"/>
                <w:szCs w:val="20"/>
              </w:rPr>
            </w:pPr>
            <w:r w:rsidRPr="008874A9">
              <w:rPr>
                <w:rFonts w:ascii="Arial Narrow" w:hAnsi="Arial Narrow" w:cs="Tahoma"/>
                <w:bCs/>
                <w:color w:val="000000"/>
                <w:sz w:val="20"/>
                <w:szCs w:val="20"/>
              </w:rPr>
              <w:t>Planteamiento de los cambios específicos a la normativa de información financiera costarricense para una adecuada convergencia a la NIIF 17 y normas relacionadas.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rsidR="009C186B" w:rsidRPr="008874A9" w:rsidRDefault="009C186B" w:rsidP="009C186B">
            <w:pPr>
              <w:jc w:val="center"/>
              <w:rPr>
                <w:rFonts w:ascii="Arial Narrow" w:hAnsi="Arial Narrow" w:cs="Tahoma"/>
                <w:color w:val="000000"/>
                <w:sz w:val="20"/>
                <w:szCs w:val="20"/>
              </w:rPr>
            </w:pPr>
            <w:r w:rsidRPr="008874A9">
              <w:rPr>
                <w:rFonts w:ascii="Arial Narrow" w:hAnsi="Arial Narrow" w:cs="Tahoma"/>
                <w:color w:val="000000"/>
                <w:sz w:val="20"/>
                <w:szCs w:val="20"/>
              </w:rPr>
              <w:t>No iniciado</w:t>
            </w:r>
          </w:p>
        </w:tc>
      </w:tr>
      <w:tr w:rsidR="009C186B" w:rsidRPr="008874A9" w:rsidTr="00442D46">
        <w:trPr>
          <w:cantSplit/>
          <w:trHeight w:val="575"/>
          <w:jc w:val="center"/>
        </w:trPr>
        <w:tc>
          <w:tcPr>
            <w:tcW w:w="2158" w:type="dxa"/>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rsidR="009C186B" w:rsidRPr="008874A9" w:rsidRDefault="009C186B" w:rsidP="009C186B">
            <w:pPr>
              <w:rPr>
                <w:rFonts w:ascii="Arial Narrow" w:hAnsi="Arial Narrow" w:cs="Tahoma"/>
                <w:color w:val="000000"/>
                <w:sz w:val="20"/>
                <w:szCs w:val="20"/>
              </w:rPr>
            </w:pPr>
          </w:p>
        </w:tc>
        <w:tc>
          <w:tcPr>
            <w:tcW w:w="2158" w:type="dxa"/>
            <w:vMerge w:val="restart"/>
            <w:tcBorders>
              <w:top w:val="dashSmallGap" w:sz="4" w:space="0" w:color="7F7F7F" w:themeColor="text1" w:themeTint="80"/>
              <w:left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ind w:left="2" w:hangingChars="1" w:hanging="2"/>
              <w:rPr>
                <w:rFonts w:ascii="Arial Narrow" w:hAnsi="Arial Narrow" w:cs="Tahoma"/>
                <w:bCs/>
                <w:sz w:val="20"/>
                <w:szCs w:val="20"/>
              </w:rPr>
            </w:pPr>
          </w:p>
          <w:p w:rsidR="009C186B" w:rsidRPr="008874A9" w:rsidRDefault="009C186B" w:rsidP="009C186B">
            <w:pPr>
              <w:ind w:left="2" w:hangingChars="1" w:hanging="2"/>
              <w:rPr>
                <w:rFonts w:ascii="Arial Narrow" w:hAnsi="Arial Narrow" w:cs="Tahoma"/>
                <w:bCs/>
                <w:sz w:val="20"/>
                <w:szCs w:val="20"/>
              </w:rPr>
            </w:pPr>
            <w:r w:rsidRPr="008874A9">
              <w:rPr>
                <w:rFonts w:ascii="Arial Narrow" w:hAnsi="Arial Narrow" w:cs="Tahoma"/>
                <w:bCs/>
                <w:sz w:val="20"/>
                <w:szCs w:val="20"/>
              </w:rPr>
              <w:t>1.2 Diseñar y probar el modelo de supervisión de conducta de mercado en un 100% de las entidades incluidas en el plan piloto al 2023.</w:t>
            </w:r>
            <w:r w:rsidRPr="008874A9">
              <w:rPr>
                <w:rFonts w:ascii="Arial Narrow" w:hAnsi="Arial Narrow" w:cs="Tahoma"/>
                <w:sz w:val="20"/>
                <w:szCs w:val="20"/>
              </w:rPr>
              <w:t xml:space="preserve"> </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rsidR="009C186B" w:rsidRPr="008874A9" w:rsidRDefault="009C186B" w:rsidP="009C186B">
            <w:pPr>
              <w:rPr>
                <w:rFonts w:ascii="Arial Narrow" w:hAnsi="Arial Narrow" w:cs="Tahoma"/>
                <w:bCs/>
                <w:color w:val="404040" w:themeColor="text1" w:themeTint="BF"/>
                <w:kern w:val="24"/>
                <w:sz w:val="20"/>
                <w:szCs w:val="20"/>
              </w:rPr>
            </w:pPr>
            <w:r w:rsidRPr="008874A9">
              <w:rPr>
                <w:rFonts w:ascii="Arial Narrow" w:hAnsi="Arial Narrow" w:cs="Tahoma"/>
                <w:bCs/>
                <w:color w:val="404040" w:themeColor="text1" w:themeTint="BF"/>
                <w:kern w:val="24"/>
                <w:sz w:val="20"/>
                <w:szCs w:val="20"/>
              </w:rPr>
              <w:t>1.2.1 Definición de condiciones para facilitar la inclusión y acceso al seguro de poblaciones meta identificadas</w:t>
            </w:r>
          </w:p>
          <w:p w:rsidR="009C186B" w:rsidRPr="008874A9" w:rsidRDefault="009C186B" w:rsidP="009C186B">
            <w:pPr>
              <w:rPr>
                <w:rFonts w:ascii="Arial Narrow" w:hAnsi="Arial Narrow" w:cs="Tahoma"/>
                <w:bCs/>
                <w:color w:val="404040" w:themeColor="text1" w:themeTint="BF"/>
                <w:kern w:val="24"/>
                <w:sz w:val="20"/>
                <w:szCs w:val="20"/>
              </w:rPr>
            </w:pPr>
            <w:r w:rsidRPr="008874A9">
              <w:rPr>
                <w:rFonts w:ascii="Arial Narrow" w:hAnsi="Arial Narrow" w:cs="Tahoma"/>
                <w:bCs/>
                <w:color w:val="FFFFFF" w:themeColor="light1"/>
                <w:kern w:val="24"/>
                <w:sz w:val="20"/>
                <w:szCs w:val="20"/>
              </w:rPr>
              <w:sym w:font="Wingdings" w:char="F03A"/>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782006" w:rsidRPr="008874A9" w:rsidRDefault="00782006" w:rsidP="00782006">
            <w:pPr>
              <w:spacing w:line="240" w:lineRule="auto"/>
              <w:rPr>
                <w:rFonts w:ascii="Arial Narrow" w:hAnsi="Arial Narrow" w:cs="Tahoma"/>
                <w:bCs/>
                <w:color w:val="000000"/>
                <w:sz w:val="20"/>
                <w:szCs w:val="20"/>
              </w:rPr>
            </w:pPr>
            <w:r w:rsidRPr="008874A9">
              <w:rPr>
                <w:rFonts w:ascii="Arial Narrow" w:hAnsi="Arial Narrow" w:cs="Tahoma"/>
                <w:bCs/>
                <w:color w:val="000000"/>
                <w:sz w:val="20"/>
                <w:szCs w:val="20"/>
              </w:rPr>
              <w:t xml:space="preserve">Busca cambios regulatorios con el objeto de crear condiciones para promover un mercado de seguros más inclusivo, para lo cual se desarrolló un proyecto de normativa, que </w:t>
            </w:r>
            <w:r w:rsidR="00D772EC" w:rsidRPr="008874A9">
              <w:rPr>
                <w:rFonts w:ascii="Arial Narrow" w:hAnsi="Arial Narrow" w:cs="Tahoma"/>
                <w:bCs/>
                <w:color w:val="000000"/>
                <w:sz w:val="20"/>
                <w:szCs w:val="20"/>
              </w:rPr>
              <w:t xml:space="preserve"> se remitió a consulta externa por parte del </w:t>
            </w:r>
            <w:r w:rsidR="000A0042" w:rsidRPr="008874A9">
              <w:rPr>
                <w:rFonts w:ascii="Arial Narrow" w:hAnsi="Arial Narrow" w:cs="Tahoma"/>
                <w:bCs/>
                <w:color w:val="000000"/>
                <w:sz w:val="20"/>
                <w:szCs w:val="20"/>
              </w:rPr>
              <w:t>CONASSIF</w:t>
            </w:r>
            <w:r w:rsidR="00D772EC" w:rsidRPr="008874A9">
              <w:rPr>
                <w:rFonts w:ascii="Arial Narrow" w:hAnsi="Arial Narrow" w:cs="Tahoma"/>
                <w:bCs/>
                <w:color w:val="000000"/>
                <w:sz w:val="20"/>
                <w:szCs w:val="20"/>
              </w:rPr>
              <w:t xml:space="preserve"> y</w:t>
            </w:r>
            <w:r w:rsidRPr="008874A9">
              <w:rPr>
                <w:rFonts w:ascii="Arial Narrow" w:hAnsi="Arial Narrow" w:cs="Tahoma"/>
                <w:bCs/>
                <w:color w:val="000000"/>
                <w:sz w:val="20"/>
                <w:szCs w:val="20"/>
              </w:rPr>
              <w:t xml:space="preserve"> se espera concluir su trámite en 20</w:t>
            </w:r>
            <w:r w:rsidR="00643A34" w:rsidRPr="008874A9">
              <w:rPr>
                <w:rFonts w:ascii="Arial Narrow" w:hAnsi="Arial Narrow" w:cs="Tahoma"/>
                <w:bCs/>
                <w:color w:val="000000"/>
                <w:sz w:val="20"/>
                <w:szCs w:val="20"/>
              </w:rPr>
              <w:t>20</w:t>
            </w:r>
            <w:r w:rsidRPr="008874A9">
              <w:rPr>
                <w:rFonts w:ascii="Arial Narrow" w:hAnsi="Arial Narrow" w:cs="Tahoma"/>
                <w:bCs/>
                <w:color w:val="000000"/>
                <w:sz w:val="20"/>
                <w:szCs w:val="20"/>
              </w:rPr>
              <w:t xml:space="preserve">.  </w:t>
            </w:r>
          </w:p>
          <w:p w:rsidR="009C186B" w:rsidRPr="008874A9" w:rsidRDefault="009C186B" w:rsidP="009C186B">
            <w:pPr>
              <w:rPr>
                <w:rFonts w:ascii="Arial Narrow" w:hAnsi="Arial Narrow" w:cs="Tahoma"/>
                <w:bCs/>
                <w:color w:val="000000"/>
                <w:sz w:val="20"/>
                <w:szCs w:val="20"/>
              </w:rPr>
            </w:pP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rsidR="009C186B" w:rsidRPr="008874A9" w:rsidRDefault="00782006" w:rsidP="009C186B">
            <w:pPr>
              <w:jc w:val="center"/>
              <w:rPr>
                <w:rFonts w:ascii="Arial Narrow" w:hAnsi="Arial Narrow" w:cs="Tahoma"/>
                <w:color w:val="000000"/>
                <w:sz w:val="20"/>
                <w:szCs w:val="20"/>
              </w:rPr>
            </w:pPr>
            <w:r w:rsidRPr="008874A9">
              <w:rPr>
                <w:rFonts w:ascii="Arial Narrow" w:hAnsi="Arial Narrow" w:cs="Tahoma"/>
                <w:color w:val="000000"/>
                <w:sz w:val="20"/>
                <w:szCs w:val="20"/>
              </w:rPr>
              <w:t>En ejecución</w:t>
            </w:r>
          </w:p>
        </w:tc>
      </w:tr>
      <w:tr w:rsidR="009C186B" w:rsidRPr="008874A9" w:rsidTr="009C186B">
        <w:trPr>
          <w:cantSplit/>
          <w:trHeight w:val="575"/>
          <w:jc w:val="center"/>
        </w:trPr>
        <w:tc>
          <w:tcPr>
            <w:tcW w:w="2158" w:type="dxa"/>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rsidR="009C186B" w:rsidRPr="008874A9" w:rsidRDefault="009C186B" w:rsidP="009C186B">
            <w:pPr>
              <w:rPr>
                <w:rFonts w:ascii="Arial Narrow" w:hAnsi="Arial Narrow" w:cs="Tahoma"/>
                <w:color w:val="000000"/>
                <w:sz w:val="20"/>
                <w:szCs w:val="20"/>
              </w:rPr>
            </w:pPr>
          </w:p>
        </w:tc>
        <w:tc>
          <w:tcPr>
            <w:tcW w:w="2158" w:type="dxa"/>
            <w:vMerge/>
            <w:tcBorders>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hideMark/>
          </w:tcPr>
          <w:p w:rsidR="009C186B" w:rsidRPr="008874A9" w:rsidRDefault="009C186B" w:rsidP="009C186B">
            <w:pPr>
              <w:ind w:left="2" w:hangingChars="1" w:hanging="2"/>
              <w:rPr>
                <w:rFonts w:ascii="Arial Narrow" w:hAnsi="Arial Narrow" w:cs="Tahoma"/>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vAlign w:val="center"/>
          </w:tcPr>
          <w:p w:rsidR="009C186B" w:rsidRPr="008874A9" w:rsidRDefault="009C186B" w:rsidP="009C186B">
            <w:pPr>
              <w:rPr>
                <w:rFonts w:ascii="Arial Narrow" w:hAnsi="Arial Narrow" w:cs="Tahoma"/>
                <w:sz w:val="20"/>
                <w:szCs w:val="20"/>
              </w:rPr>
            </w:pPr>
            <w:r w:rsidRPr="008874A9">
              <w:rPr>
                <w:rFonts w:ascii="Arial Narrow" w:hAnsi="Arial Narrow" w:cs="Tahoma"/>
                <w:bCs/>
                <w:color w:val="404040" w:themeColor="text1" w:themeTint="BF"/>
                <w:kern w:val="24"/>
                <w:sz w:val="20"/>
                <w:szCs w:val="20"/>
              </w:rPr>
              <w:t>1.2.2 Modelo de supervisión de conducta de mercado</w:t>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080DB8" w:rsidP="009C186B">
            <w:pPr>
              <w:rPr>
                <w:rFonts w:ascii="Arial Narrow" w:hAnsi="Arial Narrow" w:cs="Tahoma"/>
                <w:sz w:val="20"/>
                <w:szCs w:val="20"/>
              </w:rPr>
            </w:pPr>
            <w:r w:rsidRPr="008874A9">
              <w:rPr>
                <w:rFonts w:ascii="Arial Narrow" w:hAnsi="Arial Narrow" w:cs="Tahoma"/>
                <w:bCs/>
                <w:color w:val="404040" w:themeColor="text1" w:themeTint="BF"/>
                <w:kern w:val="24"/>
                <w:sz w:val="20"/>
                <w:szCs w:val="20"/>
              </w:rPr>
              <w:t>Modelo de Supervisión de Conducta de Mercado bajo un enfoque de supervisión basada en riesgos; con la finalidad de procurar que el consumidor reciba un trato justo hacia el consumidor de seguros y facilitar el mercado a partir de la confianza que genere en el consumidor la relación con su aseguradora e intermediario.</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rsidR="009C186B" w:rsidRPr="008874A9" w:rsidRDefault="00782006" w:rsidP="009C186B">
            <w:pPr>
              <w:jc w:val="center"/>
              <w:rPr>
                <w:rFonts w:ascii="Arial Narrow" w:hAnsi="Arial Narrow" w:cs="Tahoma"/>
                <w:color w:val="000000"/>
                <w:sz w:val="20"/>
                <w:szCs w:val="20"/>
              </w:rPr>
            </w:pPr>
            <w:r w:rsidRPr="008874A9">
              <w:rPr>
                <w:rFonts w:ascii="Arial Narrow" w:hAnsi="Arial Narrow" w:cs="Tahoma"/>
                <w:color w:val="000000"/>
                <w:sz w:val="20"/>
                <w:szCs w:val="20"/>
              </w:rPr>
              <w:t>En ejecución</w:t>
            </w:r>
          </w:p>
        </w:tc>
      </w:tr>
      <w:tr w:rsidR="009C186B" w:rsidRPr="008874A9" w:rsidTr="00442D46">
        <w:trPr>
          <w:cantSplit/>
          <w:trHeight w:val="1274"/>
          <w:jc w:val="center"/>
        </w:trPr>
        <w:tc>
          <w:tcPr>
            <w:tcW w:w="2158" w:type="dxa"/>
            <w:vMerge/>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tcPr>
          <w:p w:rsidR="009C186B" w:rsidRPr="008874A9" w:rsidRDefault="009C186B" w:rsidP="009C186B">
            <w:pPr>
              <w:rPr>
                <w:rFonts w:ascii="Arial Narrow" w:hAnsi="Arial Narrow" w:cs="Tahoma"/>
                <w:color w:val="000000"/>
                <w:sz w:val="20"/>
                <w:szCs w:val="20"/>
              </w:rPr>
            </w:pP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rPr>
                <w:rFonts w:ascii="Arial Narrow" w:hAnsi="Arial Narrow" w:cs="Tahoma"/>
                <w:bCs/>
                <w:color w:val="000000"/>
                <w:sz w:val="20"/>
                <w:szCs w:val="20"/>
              </w:rPr>
            </w:pPr>
            <w:r w:rsidRPr="008874A9">
              <w:rPr>
                <w:rFonts w:ascii="Arial Narrow" w:hAnsi="Arial Narrow" w:cs="Tahoma"/>
                <w:bCs/>
                <w:color w:val="000000"/>
                <w:sz w:val="20"/>
                <w:szCs w:val="20"/>
              </w:rPr>
              <w:t>1.3 Implementar un procedimiento que permita la revisión permanente de la normativa vigente en un plazo de un año.</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1.3.1 Procedimiento de revisión permanente de normativa de seguros</w:t>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pStyle w:val="Textoindependienteprimerasangra2"/>
              <w:spacing w:before="40" w:after="40"/>
              <w:ind w:left="0" w:firstLine="0"/>
              <w:rPr>
                <w:rFonts w:ascii="Arial Narrow" w:hAnsi="Arial Narrow" w:cs="Tahoma"/>
                <w:bCs/>
                <w:color w:val="000000"/>
                <w:sz w:val="20"/>
                <w:szCs w:val="20"/>
                <w:lang w:eastAsia="es-ES"/>
              </w:rPr>
            </w:pPr>
            <w:r w:rsidRPr="008874A9">
              <w:rPr>
                <w:rFonts w:ascii="Arial Narrow" w:hAnsi="Arial Narrow" w:cs="Tahoma"/>
                <w:bCs/>
                <w:color w:val="000000"/>
                <w:sz w:val="20"/>
                <w:szCs w:val="20"/>
                <w:lang w:eastAsia="es-ES"/>
              </w:rPr>
              <w:t>Mediante la implementación del procedimiento de revisión permanente, permitirá ajustar la normativa de seguros a los cambios en las prácticas internacionales, los principios de supervisión, la legislación nacional e internacional. Lo cual permitiría corregir los rezagos que puede presentar la regulación costarricense en determinados momentos, sobre todo, en aquellas normas que atienen los riesgos sustantivos a que se exponen las entidades supervisadas por la Superintendencia General de Seguros.</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000000" w:fill="FFFFFF"/>
          </w:tcPr>
          <w:p w:rsidR="009C186B" w:rsidRPr="008874A9" w:rsidRDefault="009C186B" w:rsidP="009C186B">
            <w:pPr>
              <w:jc w:val="center"/>
              <w:rPr>
                <w:rFonts w:ascii="Arial Narrow" w:hAnsi="Arial Narrow" w:cs="Tahoma"/>
                <w:sz w:val="20"/>
                <w:szCs w:val="20"/>
              </w:rPr>
            </w:pPr>
            <w:r w:rsidRPr="008874A9">
              <w:rPr>
                <w:rFonts w:ascii="Arial Narrow" w:hAnsi="Arial Narrow" w:cs="Tahoma"/>
                <w:sz w:val="20"/>
                <w:szCs w:val="20"/>
              </w:rPr>
              <w:t>En ejecución</w:t>
            </w:r>
          </w:p>
        </w:tc>
      </w:tr>
      <w:tr w:rsidR="009C186B" w:rsidRPr="008874A9" w:rsidTr="00442D46">
        <w:trPr>
          <w:cantSplit/>
          <w:trHeight w:val="912"/>
          <w:jc w:val="center"/>
        </w:trPr>
        <w:tc>
          <w:tcPr>
            <w:tcW w:w="2158" w:type="dxa"/>
            <w:vMerge w:val="restart"/>
            <w:tcBorders>
              <w:top w:val="dashSmallGap" w:sz="4" w:space="0" w:color="7F7F7F" w:themeColor="text1" w:themeTint="80"/>
              <w:right w:val="dashSmallGap" w:sz="4" w:space="0" w:color="7F7F7F" w:themeColor="text1" w:themeTint="80"/>
            </w:tcBorders>
            <w:shd w:val="clear" w:color="auto" w:fill="B6DDE8" w:themeFill="accent5" w:themeFillTint="66"/>
            <w:hideMark/>
          </w:tcPr>
          <w:p w:rsidR="009C186B" w:rsidRPr="008874A9" w:rsidRDefault="009C186B" w:rsidP="009C186B">
            <w:pPr>
              <w:ind w:firstLineChars="100" w:firstLine="200"/>
              <w:rPr>
                <w:rFonts w:ascii="Arial Narrow" w:hAnsi="Arial Narrow" w:cs="Tahoma"/>
                <w:color w:val="000000"/>
                <w:sz w:val="20"/>
                <w:szCs w:val="20"/>
              </w:rPr>
            </w:pPr>
          </w:p>
          <w:p w:rsidR="009C186B" w:rsidRPr="008874A9" w:rsidRDefault="009C186B" w:rsidP="009C186B">
            <w:pPr>
              <w:rPr>
                <w:rFonts w:ascii="Arial Narrow" w:hAnsi="Arial Narrow" w:cs="Tahoma"/>
                <w:b/>
                <w:sz w:val="20"/>
                <w:szCs w:val="20"/>
              </w:rPr>
            </w:pPr>
            <w:r w:rsidRPr="008874A9">
              <w:rPr>
                <w:rFonts w:ascii="Arial Narrow" w:hAnsi="Arial Narrow" w:cs="Tahoma"/>
                <w:b/>
                <w:sz w:val="20"/>
                <w:szCs w:val="20"/>
              </w:rPr>
              <w:t xml:space="preserve">ORGANIZACIÓN: </w:t>
            </w:r>
            <w:r w:rsidRPr="008874A9">
              <w:rPr>
                <w:rFonts w:ascii="Arial Narrow" w:hAnsi="Arial Narrow" w:cs="Tahoma"/>
                <w:sz w:val="20"/>
                <w:szCs w:val="20"/>
              </w:rPr>
              <w:t>Impulsar la mejora continua de la organización</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ind w:left="2" w:hangingChars="1" w:hanging="2"/>
              <w:rPr>
                <w:rFonts w:ascii="Arial Narrow" w:hAnsi="Arial Narrow" w:cs="Tahoma"/>
                <w:color w:val="000000"/>
                <w:sz w:val="20"/>
                <w:szCs w:val="20"/>
              </w:rPr>
            </w:pPr>
            <w:r w:rsidRPr="008874A9">
              <w:rPr>
                <w:rFonts w:ascii="Arial Narrow" w:hAnsi="Arial Narrow" w:cs="Tahoma"/>
                <w:color w:val="000000"/>
                <w:sz w:val="20"/>
                <w:szCs w:val="20"/>
              </w:rPr>
              <w:t>2.1. Contar con un modelo para gestionar talento humano, para cumplir con los objetivos de la Superintendencia, en un plazo máximo de tres años</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2.1.1 Modelo de Gestión del Talento Humano.</w:t>
            </w: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 xml:space="preserve">Contar con un modelo fácil de administración  del talento humano que permita a la </w:t>
            </w:r>
            <w:r w:rsidR="000A0042" w:rsidRPr="008874A9">
              <w:rPr>
                <w:rFonts w:ascii="Arial Narrow" w:hAnsi="Arial Narrow" w:cs="Tahoma"/>
                <w:color w:val="000000"/>
                <w:sz w:val="20"/>
                <w:szCs w:val="20"/>
              </w:rPr>
              <w:t>SUGESE</w:t>
            </w:r>
            <w:r w:rsidRPr="008874A9">
              <w:rPr>
                <w:rFonts w:ascii="Arial Narrow" w:hAnsi="Arial Narrow" w:cs="Tahoma"/>
                <w:color w:val="000000"/>
                <w:sz w:val="20"/>
                <w:szCs w:val="20"/>
              </w:rPr>
              <w:t>, que permita gestionar todo su sistema interno de calidad.</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rsidR="009C186B" w:rsidRPr="008874A9" w:rsidRDefault="009C186B" w:rsidP="009C186B">
            <w:pPr>
              <w:jc w:val="center"/>
              <w:rPr>
                <w:rFonts w:ascii="Arial Narrow" w:hAnsi="Arial Narrow" w:cs="Tahoma"/>
                <w:sz w:val="20"/>
                <w:szCs w:val="20"/>
              </w:rPr>
            </w:pPr>
          </w:p>
        </w:tc>
      </w:tr>
      <w:tr w:rsidR="009C186B" w:rsidRPr="008874A9" w:rsidTr="00442D46">
        <w:trPr>
          <w:cantSplit/>
          <w:trHeight w:val="179"/>
          <w:jc w:val="center"/>
        </w:trPr>
        <w:tc>
          <w:tcPr>
            <w:tcW w:w="2158" w:type="dxa"/>
            <w:vMerge/>
            <w:tcBorders>
              <w:right w:val="dashSmallGap" w:sz="4" w:space="0" w:color="7F7F7F" w:themeColor="text1" w:themeTint="80"/>
            </w:tcBorders>
            <w:shd w:val="clear" w:color="auto" w:fill="B6DDE8" w:themeFill="accent5" w:themeFillTint="66"/>
          </w:tcPr>
          <w:p w:rsidR="009C186B" w:rsidRPr="008874A9" w:rsidRDefault="009C186B" w:rsidP="009C186B">
            <w:pPr>
              <w:ind w:firstLineChars="100" w:firstLine="200"/>
              <w:rPr>
                <w:rFonts w:ascii="Arial Narrow" w:hAnsi="Arial Narrow" w:cs="Tahoma"/>
                <w:color w:val="000000"/>
                <w:sz w:val="20"/>
                <w:szCs w:val="20"/>
              </w:rPr>
            </w:pPr>
          </w:p>
        </w:tc>
        <w:tc>
          <w:tcPr>
            <w:tcW w:w="2158" w:type="dxa"/>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rsidR="009C186B" w:rsidRPr="008874A9" w:rsidRDefault="009C186B" w:rsidP="009C186B">
            <w:pPr>
              <w:ind w:left="2" w:hangingChars="1" w:hanging="2"/>
              <w:rPr>
                <w:rFonts w:ascii="Arial Narrow" w:hAnsi="Arial Narrow" w:cs="Tahoma"/>
                <w:color w:val="000000"/>
                <w:sz w:val="20"/>
                <w:szCs w:val="20"/>
              </w:rPr>
            </w:pPr>
            <w:r w:rsidRPr="008874A9">
              <w:rPr>
                <w:rFonts w:ascii="Arial Narrow" w:hAnsi="Arial Narrow" w:cs="Tahoma"/>
                <w:color w:val="000000"/>
                <w:sz w:val="20"/>
                <w:szCs w:val="20"/>
              </w:rPr>
              <w:t xml:space="preserve">2.2. Actualizar el sistema de gestión por proceso de la </w:t>
            </w:r>
            <w:r w:rsidR="000A0042" w:rsidRPr="008874A9">
              <w:rPr>
                <w:rFonts w:ascii="Arial Narrow" w:hAnsi="Arial Narrow" w:cs="Tahoma"/>
                <w:color w:val="000000"/>
                <w:sz w:val="20"/>
                <w:szCs w:val="20"/>
              </w:rPr>
              <w:t>SUGESE</w:t>
            </w:r>
            <w:r w:rsidRPr="008874A9">
              <w:rPr>
                <w:rFonts w:ascii="Arial Narrow" w:hAnsi="Arial Narrow" w:cs="Tahoma"/>
                <w:color w:val="000000"/>
                <w:sz w:val="20"/>
                <w:szCs w:val="20"/>
              </w:rPr>
              <w:t xml:space="preserve"> de acuerdo con las características de la institución para el año 2023.</w:t>
            </w:r>
          </w:p>
        </w:tc>
        <w:tc>
          <w:tcPr>
            <w:tcW w:w="2158" w:type="dxa"/>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 xml:space="preserve">2.2.1 Revisión y actualización del sistema de gestión de procesos de la </w:t>
            </w:r>
            <w:r w:rsidR="000A0042" w:rsidRPr="008874A9">
              <w:rPr>
                <w:rFonts w:ascii="Arial Narrow" w:hAnsi="Arial Narrow" w:cs="Tahoma"/>
                <w:color w:val="000000"/>
                <w:sz w:val="20"/>
                <w:szCs w:val="20"/>
              </w:rPr>
              <w:t>SUGESE</w:t>
            </w:r>
            <w:r w:rsidRPr="008874A9">
              <w:rPr>
                <w:rFonts w:ascii="Arial Narrow" w:hAnsi="Arial Narrow" w:cs="Tahoma"/>
                <w:color w:val="000000"/>
                <w:sz w:val="20"/>
                <w:szCs w:val="20"/>
              </w:rPr>
              <w:t>.</w:t>
            </w:r>
          </w:p>
          <w:p w:rsidR="009C186B" w:rsidRPr="008874A9" w:rsidRDefault="009C186B" w:rsidP="009C186B">
            <w:pPr>
              <w:rPr>
                <w:rFonts w:ascii="Arial Narrow" w:hAnsi="Arial Narrow" w:cs="Tahoma"/>
                <w:color w:val="000000"/>
                <w:sz w:val="20"/>
                <w:szCs w:val="20"/>
              </w:rPr>
            </w:pPr>
          </w:p>
        </w:tc>
        <w:tc>
          <w:tcPr>
            <w:tcW w:w="2877" w:type="dxa"/>
            <w:tcBorders>
              <w:top w:val="dashSmallGap"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 xml:space="preserve">Revisión y actualización del sistema de gestión de procesos de la </w:t>
            </w:r>
            <w:r w:rsidR="000A0042" w:rsidRPr="008874A9">
              <w:rPr>
                <w:rFonts w:ascii="Arial Narrow" w:hAnsi="Arial Narrow" w:cs="Tahoma"/>
                <w:color w:val="000000"/>
                <w:sz w:val="20"/>
                <w:szCs w:val="20"/>
              </w:rPr>
              <w:t>SUGESE</w:t>
            </w:r>
            <w:r w:rsidRPr="008874A9">
              <w:rPr>
                <w:rFonts w:ascii="Arial Narrow" w:hAnsi="Arial Narrow" w:cs="Tahoma"/>
                <w:color w:val="000000"/>
                <w:sz w:val="20"/>
                <w:szCs w:val="20"/>
              </w:rPr>
              <w:t>.</w:t>
            </w:r>
          </w:p>
        </w:tc>
        <w:tc>
          <w:tcPr>
            <w:tcW w:w="1276" w:type="dxa"/>
            <w:tcBorders>
              <w:top w:val="dashSmallGap" w:sz="4" w:space="0" w:color="7F7F7F" w:themeColor="text1" w:themeTint="80"/>
              <w:left w:val="dashSmallGap" w:sz="4" w:space="0" w:color="7F7F7F" w:themeColor="text1" w:themeTint="80"/>
              <w:bottom w:val="single" w:sz="4" w:space="0" w:color="7F7F7F" w:themeColor="text1" w:themeTint="80"/>
            </w:tcBorders>
            <w:shd w:val="clear" w:color="auto" w:fill="auto"/>
          </w:tcPr>
          <w:p w:rsidR="009C186B" w:rsidRPr="008874A9" w:rsidRDefault="009C186B" w:rsidP="009C186B">
            <w:pPr>
              <w:jc w:val="center"/>
              <w:rPr>
                <w:rFonts w:ascii="Arial Narrow" w:hAnsi="Arial Narrow" w:cs="Tahoma"/>
                <w:sz w:val="20"/>
                <w:szCs w:val="20"/>
              </w:rPr>
            </w:pPr>
            <w:r w:rsidRPr="008874A9">
              <w:rPr>
                <w:rFonts w:ascii="Arial Narrow" w:hAnsi="Arial Narrow" w:cs="Tahoma"/>
                <w:sz w:val="20"/>
                <w:szCs w:val="20"/>
              </w:rPr>
              <w:t>No iniciado</w:t>
            </w:r>
          </w:p>
        </w:tc>
      </w:tr>
      <w:tr w:rsidR="009C186B" w:rsidRPr="008874A9" w:rsidTr="00442D46">
        <w:trPr>
          <w:cantSplit/>
          <w:trHeight w:val="444"/>
          <w:jc w:val="center"/>
        </w:trPr>
        <w:tc>
          <w:tcPr>
            <w:tcW w:w="2158" w:type="dxa"/>
            <w:vMerge/>
            <w:tcBorders>
              <w:bottom w:val="dashSmallGap" w:sz="4" w:space="0" w:color="7F7F7F" w:themeColor="text1" w:themeTint="80"/>
              <w:right w:val="dashSmallGap" w:sz="4" w:space="0" w:color="7F7F7F" w:themeColor="text1" w:themeTint="80"/>
            </w:tcBorders>
            <w:shd w:val="clear" w:color="auto" w:fill="B6DDE8" w:themeFill="accent5" w:themeFillTint="66"/>
          </w:tcPr>
          <w:p w:rsidR="009C186B" w:rsidRPr="008874A9" w:rsidRDefault="009C186B" w:rsidP="009C186B">
            <w:pPr>
              <w:ind w:firstLineChars="100" w:firstLine="200"/>
              <w:rPr>
                <w:rFonts w:ascii="Arial Narrow" w:hAnsi="Arial Narrow" w:cs="Tahoma"/>
                <w:color w:val="000000"/>
                <w:sz w:val="20"/>
                <w:szCs w:val="20"/>
              </w:rPr>
            </w:pPr>
          </w:p>
        </w:tc>
        <w:tc>
          <w:tcPr>
            <w:tcW w:w="2158" w:type="dxa"/>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ind w:left="2" w:hangingChars="1" w:hanging="2"/>
              <w:rPr>
                <w:rFonts w:ascii="Arial Narrow" w:hAnsi="Arial Narrow" w:cs="Tahoma"/>
                <w:color w:val="000000"/>
                <w:sz w:val="20"/>
                <w:szCs w:val="20"/>
              </w:rPr>
            </w:pPr>
            <w:r w:rsidRPr="008874A9">
              <w:rPr>
                <w:rFonts w:ascii="Arial Narrow" w:hAnsi="Arial Narrow" w:cs="Tahoma"/>
                <w:color w:val="000000"/>
                <w:sz w:val="20"/>
                <w:szCs w:val="20"/>
              </w:rPr>
              <w:t xml:space="preserve">2.3. Lograr una comunicación eficaz a lo interno de la </w:t>
            </w:r>
            <w:r w:rsidR="000A0042" w:rsidRPr="008874A9">
              <w:rPr>
                <w:rFonts w:ascii="Arial Narrow" w:hAnsi="Arial Narrow" w:cs="Tahoma"/>
                <w:color w:val="000000"/>
                <w:sz w:val="20"/>
                <w:szCs w:val="20"/>
              </w:rPr>
              <w:t>SUGESE</w:t>
            </w:r>
            <w:r w:rsidRPr="008874A9">
              <w:rPr>
                <w:rFonts w:ascii="Arial Narrow" w:hAnsi="Arial Narrow" w:cs="Tahoma"/>
                <w:color w:val="000000"/>
                <w:sz w:val="20"/>
                <w:szCs w:val="20"/>
              </w:rPr>
              <w:t xml:space="preserve"> en un plazo de un año.</w:t>
            </w:r>
          </w:p>
        </w:tc>
        <w:tc>
          <w:tcPr>
            <w:tcW w:w="2158" w:type="dxa"/>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2.3.1 Instrumento de comunicación interna entre procesos.</w:t>
            </w:r>
          </w:p>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 </w:t>
            </w:r>
          </w:p>
          <w:p w:rsidR="009C186B" w:rsidRPr="008874A9" w:rsidRDefault="009C186B" w:rsidP="009C186B">
            <w:pPr>
              <w:rPr>
                <w:rFonts w:ascii="Arial Narrow" w:hAnsi="Arial Narrow" w:cs="Tahoma"/>
                <w:color w:val="000000"/>
                <w:sz w:val="20"/>
                <w:szCs w:val="20"/>
              </w:rPr>
            </w:pPr>
          </w:p>
        </w:tc>
        <w:tc>
          <w:tcPr>
            <w:tcW w:w="2877" w:type="dxa"/>
            <w:tcBorders>
              <w:top w:val="single"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Incluir las acciones de comunicación interna en la nueva herramienta de comunicación.</w:t>
            </w:r>
          </w:p>
        </w:tc>
        <w:tc>
          <w:tcPr>
            <w:tcW w:w="1276" w:type="dxa"/>
            <w:tcBorders>
              <w:top w:val="single" w:sz="4" w:space="0" w:color="7F7F7F" w:themeColor="text1" w:themeTint="80"/>
              <w:left w:val="dashSmallGap" w:sz="4" w:space="0" w:color="7F7F7F" w:themeColor="text1" w:themeTint="80"/>
              <w:bottom w:val="dashSmallGap" w:sz="4" w:space="0" w:color="7F7F7F" w:themeColor="text1" w:themeTint="80"/>
            </w:tcBorders>
            <w:shd w:val="clear" w:color="auto" w:fill="auto"/>
          </w:tcPr>
          <w:p w:rsidR="009C186B" w:rsidRPr="008874A9" w:rsidRDefault="009C186B" w:rsidP="009C186B">
            <w:pPr>
              <w:jc w:val="center"/>
              <w:rPr>
                <w:rFonts w:ascii="Arial Narrow" w:hAnsi="Arial Narrow" w:cs="Tahoma"/>
                <w:sz w:val="20"/>
                <w:szCs w:val="20"/>
              </w:rPr>
            </w:pPr>
          </w:p>
        </w:tc>
      </w:tr>
      <w:tr w:rsidR="009C186B" w:rsidRPr="008874A9" w:rsidTr="00442D46">
        <w:trPr>
          <w:cantSplit/>
          <w:trHeight w:val="1973"/>
          <w:jc w:val="center"/>
        </w:trPr>
        <w:tc>
          <w:tcPr>
            <w:tcW w:w="2158" w:type="dxa"/>
            <w:tcBorders>
              <w:top w:val="dashSmallGap" w:sz="4" w:space="0" w:color="7F7F7F" w:themeColor="text1" w:themeTint="80"/>
              <w:bottom w:val="dashSmallGap" w:sz="4" w:space="0" w:color="7F7F7F" w:themeColor="text1" w:themeTint="80"/>
              <w:right w:val="dashSmallGap" w:sz="4" w:space="0" w:color="7F7F7F" w:themeColor="text1" w:themeTint="80"/>
            </w:tcBorders>
            <w:shd w:val="clear" w:color="auto" w:fill="B6DDE8" w:themeFill="accent5" w:themeFillTint="66"/>
            <w:hideMark/>
          </w:tcPr>
          <w:p w:rsidR="009C186B" w:rsidRPr="008874A9" w:rsidRDefault="009C186B" w:rsidP="009C186B">
            <w:pPr>
              <w:rPr>
                <w:rFonts w:ascii="Arial Narrow" w:hAnsi="Arial Narrow" w:cs="Tahoma"/>
                <w:b/>
                <w:sz w:val="20"/>
                <w:szCs w:val="20"/>
              </w:rPr>
            </w:pPr>
            <w:r w:rsidRPr="008874A9">
              <w:rPr>
                <w:rFonts w:ascii="Arial Narrow" w:hAnsi="Arial Narrow" w:cs="Tahoma"/>
                <w:b/>
                <w:bCs/>
                <w:sz w:val="20"/>
                <w:szCs w:val="20"/>
              </w:rPr>
              <w:t>DIVULGACIÓN:</w:t>
            </w:r>
          </w:p>
          <w:p w:rsidR="009C186B" w:rsidRPr="008874A9" w:rsidRDefault="009C186B" w:rsidP="009C186B">
            <w:pPr>
              <w:rPr>
                <w:rFonts w:ascii="Arial Narrow" w:hAnsi="Arial Narrow" w:cs="Tahoma"/>
                <w:color w:val="000000"/>
                <w:sz w:val="20"/>
                <w:szCs w:val="20"/>
              </w:rPr>
            </w:pPr>
            <w:r w:rsidRPr="008874A9">
              <w:rPr>
                <w:rFonts w:ascii="Arial Narrow" w:hAnsi="Arial Narrow" w:cs="Tahoma"/>
                <w:sz w:val="20"/>
                <w:szCs w:val="20"/>
              </w:rPr>
              <w:t>Facilitar el conocimiento del mercado de seguros al consumidor y partes interesadas.</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000000" w:fill="FFFFFF"/>
          </w:tcPr>
          <w:p w:rsidR="009C186B" w:rsidRPr="008874A9" w:rsidRDefault="009C186B" w:rsidP="009C186B">
            <w:pPr>
              <w:ind w:left="2" w:hangingChars="1" w:hanging="2"/>
              <w:rPr>
                <w:rFonts w:ascii="Arial Narrow" w:hAnsi="Arial Narrow" w:cs="Tahoma"/>
                <w:color w:val="000000"/>
                <w:sz w:val="20"/>
                <w:szCs w:val="20"/>
              </w:rPr>
            </w:pPr>
            <w:r w:rsidRPr="008874A9">
              <w:rPr>
                <w:rFonts w:ascii="Arial Narrow" w:hAnsi="Arial Narrow" w:cs="Tahoma"/>
                <w:bCs/>
                <w:color w:val="000000"/>
                <w:sz w:val="20"/>
                <w:szCs w:val="20"/>
              </w:rPr>
              <w:t>3.1 Llevar al nivel de ampliamente observado los estándares del ICP 20 que resulten legalmente posibles  de aplicar, a más tardar al 2023</w:t>
            </w:r>
          </w:p>
        </w:tc>
        <w:tc>
          <w:tcPr>
            <w:tcW w:w="2158"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ind w:left="2" w:hangingChars="1" w:hanging="2"/>
              <w:rPr>
                <w:rFonts w:ascii="Arial Narrow" w:hAnsi="Arial Narrow" w:cs="Tahoma"/>
                <w:color w:val="000000"/>
                <w:sz w:val="20"/>
                <w:szCs w:val="20"/>
              </w:rPr>
            </w:pPr>
            <w:r w:rsidRPr="008874A9">
              <w:rPr>
                <w:rFonts w:ascii="Arial Narrow" w:hAnsi="Arial Narrow" w:cs="Tahoma"/>
                <w:color w:val="000000"/>
                <w:sz w:val="20"/>
                <w:szCs w:val="20"/>
              </w:rPr>
              <w:t>3.1.1 Definición e implementación de sistema de estadísticas de seguros para el público.</w:t>
            </w:r>
          </w:p>
          <w:p w:rsidR="009C186B" w:rsidRPr="008874A9" w:rsidRDefault="009C186B" w:rsidP="009C186B">
            <w:pPr>
              <w:rPr>
                <w:rFonts w:ascii="Arial Narrow" w:hAnsi="Arial Narrow" w:cs="Tahoma"/>
                <w:color w:val="000000"/>
                <w:sz w:val="20"/>
                <w:szCs w:val="20"/>
              </w:rPr>
            </w:pPr>
          </w:p>
        </w:tc>
        <w:tc>
          <w:tcPr>
            <w:tcW w:w="2877" w:type="dxa"/>
            <w:tc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tcBorders>
            <w:shd w:val="clear" w:color="auto" w:fill="auto"/>
          </w:tcPr>
          <w:p w:rsidR="009C186B" w:rsidRPr="008874A9" w:rsidRDefault="009C186B" w:rsidP="009C186B">
            <w:pPr>
              <w:rPr>
                <w:rFonts w:ascii="Arial Narrow" w:hAnsi="Arial Narrow" w:cs="Tahoma"/>
                <w:color w:val="000000"/>
                <w:sz w:val="20"/>
                <w:szCs w:val="20"/>
              </w:rPr>
            </w:pPr>
            <w:r w:rsidRPr="008874A9">
              <w:rPr>
                <w:rFonts w:ascii="Arial Narrow" w:hAnsi="Arial Narrow" w:cs="Tahoma"/>
                <w:color w:val="000000"/>
                <w:sz w:val="20"/>
                <w:szCs w:val="20"/>
              </w:rPr>
              <w:t>El proyecto incluye la revisión de la información estadística que actualmente se pone a disposición del público, ampliar la oferta de información y disponer de un motor de generación de estadísticas para el público, a disposición del público en la página web e interconectada con los sistemas de información de la Superintendencia.</w:t>
            </w:r>
          </w:p>
        </w:tc>
        <w:tc>
          <w:tcPr>
            <w:tcW w:w="1276" w:type="dxa"/>
            <w:tcBorders>
              <w:top w:val="dashSmallGap" w:sz="4" w:space="0" w:color="7F7F7F" w:themeColor="text1" w:themeTint="80"/>
              <w:left w:val="dashSmallGap" w:sz="4" w:space="0" w:color="7F7F7F" w:themeColor="text1" w:themeTint="80"/>
              <w:bottom w:val="dashSmallGap" w:sz="4" w:space="0" w:color="7F7F7F" w:themeColor="text1" w:themeTint="80"/>
            </w:tcBorders>
            <w:shd w:val="clear" w:color="auto" w:fill="auto"/>
          </w:tcPr>
          <w:p w:rsidR="009C186B" w:rsidRPr="008874A9" w:rsidRDefault="009C186B" w:rsidP="009C186B">
            <w:pPr>
              <w:jc w:val="center"/>
              <w:rPr>
                <w:rFonts w:ascii="Arial Narrow" w:hAnsi="Arial Narrow" w:cs="Tahoma"/>
                <w:sz w:val="20"/>
                <w:szCs w:val="20"/>
              </w:rPr>
            </w:pPr>
            <w:r w:rsidRPr="008874A9">
              <w:rPr>
                <w:rFonts w:ascii="Arial Narrow" w:hAnsi="Arial Narrow" w:cs="Tahoma"/>
                <w:sz w:val="20"/>
                <w:szCs w:val="20"/>
              </w:rPr>
              <w:t>En ejecución Fase I</w:t>
            </w:r>
          </w:p>
        </w:tc>
      </w:tr>
    </w:tbl>
    <w:p w:rsidR="00B32790" w:rsidRPr="0057417D" w:rsidRDefault="00B32790" w:rsidP="001A5EBE">
      <w:pPr>
        <w:rPr>
          <w:rFonts w:cstheme="minorHAnsi"/>
        </w:rPr>
      </w:pPr>
    </w:p>
    <w:p w:rsidR="0057417D" w:rsidRPr="0057417D" w:rsidRDefault="0057417D">
      <w:pPr>
        <w:rPr>
          <w:rFonts w:cstheme="minorHAnsi"/>
        </w:rPr>
      </w:pPr>
    </w:p>
    <w:sectPr w:rsidR="0057417D" w:rsidRPr="0057417D" w:rsidSect="00D7389D">
      <w:headerReference w:type="default" r:id="rId13"/>
      <w:footerReference w:type="default" r:id="rId14"/>
      <w:headerReference w:type="first" r:id="rId15"/>
      <w:pgSz w:w="12240" w:h="15840" w:code="1"/>
      <w:pgMar w:top="1418" w:right="1701" w:bottom="1418" w:left="1701" w:header="71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EBE" w:rsidRDefault="00693EBE" w:rsidP="0046129A">
      <w:pPr>
        <w:spacing w:line="240" w:lineRule="auto"/>
      </w:pPr>
      <w:r>
        <w:separator/>
      </w:r>
    </w:p>
  </w:endnote>
  <w:endnote w:type="continuationSeparator" w:id="0">
    <w:p w:rsidR="00693EBE" w:rsidRDefault="00693EBE" w:rsidP="0046129A">
      <w:pPr>
        <w:spacing w:line="240" w:lineRule="auto"/>
      </w:pPr>
      <w:r>
        <w:continuationSeparator/>
      </w:r>
    </w:p>
  </w:endnote>
  <w:endnote w:type="continuationNotice" w:id="1">
    <w:p w:rsidR="00693EBE" w:rsidRDefault="00693E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SansPro-Light">
    <w:altName w:val="MS Gothic"/>
    <w:panose1 w:val="00000000000000000000"/>
    <w:charset w:val="80"/>
    <w:family w:val="swiss"/>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20"/>
      </w:rPr>
      <w:id w:val="-583220502"/>
      <w:docPartObj>
        <w:docPartGallery w:val="Page Numbers (Bottom of Page)"/>
        <w:docPartUnique/>
      </w:docPartObj>
    </w:sdtPr>
    <w:sdtEndPr/>
    <w:sdtContent>
      <w:sdt>
        <w:sdtPr>
          <w:rPr>
            <w:color w:val="808080" w:themeColor="background1" w:themeShade="80"/>
            <w:sz w:val="20"/>
          </w:rPr>
          <w:id w:val="-45689045"/>
          <w:docPartObj>
            <w:docPartGallery w:val="Page Numbers (Top of Page)"/>
            <w:docPartUnique/>
          </w:docPartObj>
        </w:sdtPr>
        <w:sdtEndPr/>
        <w:sdtContent>
          <w:p w:rsidR="005F5714" w:rsidRPr="00D7389D" w:rsidRDefault="005F5714">
            <w:pPr>
              <w:pStyle w:val="Piedepgina"/>
              <w:jc w:val="right"/>
              <w:rPr>
                <w:color w:val="808080" w:themeColor="background1" w:themeShade="80"/>
              </w:rPr>
            </w:pPr>
          </w:p>
          <w:p w:rsidR="005F5714" w:rsidRPr="008C5005" w:rsidRDefault="005F5714" w:rsidP="00F23E5A">
            <w:pPr>
              <w:pStyle w:val="Piedepgina"/>
              <w:jc w:val="center"/>
              <w:rPr>
                <w:color w:val="808080" w:themeColor="background1" w:themeShade="80"/>
                <w:sz w:val="20"/>
              </w:rPr>
            </w:pPr>
            <w:r w:rsidRPr="00F23E5A">
              <w:rPr>
                <w:rFonts w:asciiTheme="majorHAnsi" w:hAnsiTheme="majorHAnsi"/>
                <w:color w:val="948A54" w:themeColor="background2" w:themeShade="80"/>
                <w:sz w:val="20"/>
                <w:szCs w:val="20"/>
                <w:lang w:val="es-ES"/>
              </w:rPr>
              <w:t xml:space="preserve">Página </w:t>
            </w:r>
            <w:r w:rsidRPr="00F23E5A">
              <w:rPr>
                <w:rFonts w:asciiTheme="majorHAnsi" w:hAnsiTheme="majorHAnsi"/>
                <w:bCs/>
                <w:color w:val="948A54" w:themeColor="background2" w:themeShade="80"/>
                <w:sz w:val="20"/>
                <w:szCs w:val="20"/>
              </w:rPr>
              <w:fldChar w:fldCharType="begin"/>
            </w:r>
            <w:r w:rsidRPr="00F23E5A">
              <w:rPr>
                <w:rFonts w:asciiTheme="majorHAnsi" w:hAnsiTheme="majorHAnsi"/>
                <w:bCs/>
                <w:color w:val="948A54" w:themeColor="background2" w:themeShade="80"/>
                <w:sz w:val="20"/>
                <w:szCs w:val="20"/>
              </w:rPr>
              <w:instrText>PAGE</w:instrText>
            </w:r>
            <w:r w:rsidRPr="00F23E5A">
              <w:rPr>
                <w:rFonts w:asciiTheme="majorHAnsi" w:hAnsiTheme="majorHAnsi"/>
                <w:bCs/>
                <w:color w:val="948A54" w:themeColor="background2" w:themeShade="80"/>
                <w:sz w:val="20"/>
                <w:szCs w:val="20"/>
              </w:rPr>
              <w:fldChar w:fldCharType="separate"/>
            </w:r>
            <w:r w:rsidR="00F07959">
              <w:rPr>
                <w:rFonts w:asciiTheme="majorHAnsi" w:hAnsiTheme="majorHAnsi"/>
                <w:bCs/>
                <w:noProof/>
                <w:color w:val="948A54" w:themeColor="background2" w:themeShade="80"/>
                <w:sz w:val="20"/>
                <w:szCs w:val="20"/>
              </w:rPr>
              <w:t>5</w:t>
            </w:r>
            <w:r w:rsidRPr="00F23E5A">
              <w:rPr>
                <w:rFonts w:asciiTheme="majorHAnsi" w:hAnsiTheme="majorHAnsi"/>
                <w:bCs/>
                <w:color w:val="948A54" w:themeColor="background2" w:themeShade="80"/>
                <w:sz w:val="20"/>
                <w:szCs w:val="20"/>
              </w:rPr>
              <w:fldChar w:fldCharType="end"/>
            </w:r>
          </w:p>
        </w:sdtContent>
      </w:sdt>
    </w:sdtContent>
  </w:sdt>
  <w:p w:rsidR="005F5714" w:rsidRPr="008C5005" w:rsidRDefault="005F5714">
    <w:pPr>
      <w:pStyle w:val="Piedepgina"/>
      <w:rPr>
        <w:color w:val="365F91" w:themeColor="accent1" w:themeShade="B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EBE" w:rsidRDefault="00693EBE" w:rsidP="0046129A">
      <w:pPr>
        <w:spacing w:line="240" w:lineRule="auto"/>
      </w:pPr>
      <w:r>
        <w:separator/>
      </w:r>
    </w:p>
  </w:footnote>
  <w:footnote w:type="continuationSeparator" w:id="0">
    <w:p w:rsidR="00693EBE" w:rsidRDefault="00693EBE" w:rsidP="0046129A">
      <w:pPr>
        <w:spacing w:line="240" w:lineRule="auto"/>
      </w:pPr>
      <w:r>
        <w:continuationSeparator/>
      </w:r>
    </w:p>
  </w:footnote>
  <w:footnote w:type="continuationNotice" w:id="1">
    <w:p w:rsidR="00693EBE" w:rsidRDefault="00693EBE">
      <w:pPr>
        <w:spacing w:line="240" w:lineRule="auto"/>
      </w:pPr>
    </w:p>
  </w:footnote>
  <w:footnote w:id="2">
    <w:p w:rsidR="005F5714" w:rsidRPr="003A5DE3" w:rsidRDefault="005F5714" w:rsidP="006D4226">
      <w:pPr>
        <w:pStyle w:val="Textonotapie"/>
        <w:rPr>
          <w:i/>
          <w:sz w:val="18"/>
          <w:szCs w:val="18"/>
          <w:highlight w:val="magenta"/>
        </w:rPr>
      </w:pPr>
      <w:r w:rsidRPr="003A5DE3">
        <w:rPr>
          <w:rStyle w:val="Refdenotaalpie"/>
          <w:i/>
          <w:sz w:val="18"/>
          <w:szCs w:val="18"/>
        </w:rPr>
        <w:footnoteRef/>
      </w:r>
      <w:r w:rsidRPr="003A5DE3">
        <w:rPr>
          <w:i/>
          <w:sz w:val="18"/>
          <w:szCs w:val="18"/>
        </w:rPr>
        <w:t xml:space="preserve"> Al finalizar 2018, se encontraban inscritas </w:t>
      </w:r>
      <w:r>
        <w:rPr>
          <w:i/>
          <w:sz w:val="18"/>
          <w:szCs w:val="18"/>
        </w:rPr>
        <w:t>31</w:t>
      </w:r>
      <w:r w:rsidRPr="003A5DE3">
        <w:rPr>
          <w:i/>
          <w:sz w:val="18"/>
          <w:szCs w:val="18"/>
        </w:rPr>
        <w:t xml:space="preserve"> sociedades corredoras, 5</w:t>
      </w:r>
      <w:r>
        <w:rPr>
          <w:i/>
          <w:sz w:val="18"/>
          <w:szCs w:val="18"/>
        </w:rPr>
        <w:t>4</w:t>
      </w:r>
      <w:r w:rsidRPr="003A5DE3">
        <w:rPr>
          <w:i/>
          <w:sz w:val="18"/>
          <w:szCs w:val="18"/>
        </w:rPr>
        <w:t xml:space="preserve"> sociedades agencia y 1</w:t>
      </w:r>
      <w:r>
        <w:rPr>
          <w:i/>
          <w:sz w:val="18"/>
          <w:szCs w:val="18"/>
        </w:rPr>
        <w:t>08</w:t>
      </w:r>
      <w:r w:rsidRPr="003A5DE3">
        <w:rPr>
          <w:i/>
          <w:sz w:val="18"/>
          <w:szCs w:val="18"/>
        </w:rPr>
        <w:t xml:space="preserve"> operadores de seguros autoexpedibles, tanto en condición activa como inactiva.  La condición inactiva, en el caso de operadores de seguros autoexpedibles o sociedades agencia, significa que no están acreditados por una aseguradora como parte de su canal de intermediación; las sociedades corredoras estarían inactivas si así lo deciden voluntariamente. </w:t>
      </w:r>
    </w:p>
  </w:footnote>
  <w:footnote w:id="3">
    <w:p w:rsidR="005F5714" w:rsidRPr="001D042A" w:rsidRDefault="005F5714">
      <w:pPr>
        <w:pStyle w:val="Textonotapie"/>
      </w:pPr>
      <w:r>
        <w:rPr>
          <w:rStyle w:val="Refdenotaalpie"/>
        </w:rPr>
        <w:footnoteRef/>
      </w:r>
      <w:r>
        <w:t xml:space="preserve"> El 2 de marzo de 2020, el solicitante de esta autorización desistió sobre el trámite, por lo que el expediente de autorización fue archivado.</w:t>
      </w:r>
    </w:p>
  </w:footnote>
  <w:footnote w:id="4">
    <w:p w:rsidR="005F5714" w:rsidRPr="008A32DF" w:rsidRDefault="005F5714">
      <w:pPr>
        <w:pStyle w:val="Textonotapie"/>
      </w:pPr>
      <w:r>
        <w:rPr>
          <w:rStyle w:val="Refdenotaalpie"/>
        </w:rPr>
        <w:footnoteRef/>
      </w:r>
      <w:r>
        <w:t xml:space="preserve"> Estas debilidades y amenazas fueron identificadas durante la formulación del Plan Estratégico en el 2018  y se mantuvieron en revisión del plan hecha en 2019.</w:t>
      </w:r>
    </w:p>
  </w:footnote>
  <w:footnote w:id="5">
    <w:p w:rsidR="005F5714" w:rsidRPr="00095105" w:rsidRDefault="005F5714" w:rsidP="00B32790">
      <w:pPr>
        <w:pStyle w:val="Textonotapie"/>
        <w:rPr>
          <w:lang w:val="es-ES"/>
        </w:rPr>
      </w:pPr>
      <w:r>
        <w:rPr>
          <w:rStyle w:val="Refdenotaalpie"/>
        </w:rPr>
        <w:footnoteRef/>
      </w:r>
      <w:r>
        <w:t xml:space="preserve"> Revisión del Cuadro de mando integral del Plan Estratégico 2014-2018, basada en la revisión integral  de mayo de 2017 y de junio 2018, esta última en el marco de la formulación del Plan Estratégico 2019-2023.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14" w:rsidRPr="000C65EC" w:rsidRDefault="005F5714" w:rsidP="00ED2F0A">
    <w:pPr>
      <w:pStyle w:val="Encabezado"/>
      <w:shd w:val="clear" w:color="auto" w:fill="FFFFFF" w:themeFill="background1"/>
      <w:jc w:val="right"/>
      <w:rPr>
        <w:color w:val="002060"/>
        <w14:reflection w14:blurRad="0" w14:stA="48000" w14:stPos="0" w14:endA="0" w14:endPos="0" w14:dist="0" w14:dir="0" w14:fadeDir="0" w14:sx="0" w14:sy="0" w14:kx="0" w14:ky="0" w14:algn="b"/>
      </w:rPr>
    </w:pPr>
    <w:r w:rsidRPr="000C65EC">
      <w:rPr>
        <w:noProof/>
        <w:color w:val="002060"/>
        <w:lang w:eastAsia="es-CR"/>
        <w14:reflection w14:blurRad="0" w14:stA="48000" w14:stPos="0" w14:endA="0" w14:endPos="0" w14:dist="0" w14:dir="0" w14:fadeDir="0" w14:sx="0" w14:sy="0" w14:kx="0" w14:ky="0" w14:algn="b"/>
      </w:rPr>
      <w:drawing>
        <wp:anchor distT="0" distB="0" distL="114300" distR="114300" simplePos="0" relativeHeight="251658240" behindDoc="0" locked="0" layoutInCell="1" allowOverlap="1" wp14:anchorId="53C902F3" wp14:editId="40E72802">
          <wp:simplePos x="0" y="0"/>
          <wp:positionH relativeFrom="column">
            <wp:posOffset>4872990</wp:posOffset>
          </wp:positionH>
          <wp:positionV relativeFrom="paragraph">
            <wp:posOffset>-141605</wp:posOffset>
          </wp:positionV>
          <wp:extent cx="759460" cy="494030"/>
          <wp:effectExtent l="0" t="0" r="254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GESE.bmp"/>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b="20591"/>
                  <a:stretch/>
                </pic:blipFill>
                <pic:spPr bwMode="auto">
                  <a:xfrm>
                    <a:off x="0" y="0"/>
                    <a:ext cx="759460" cy="494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714" w:rsidRDefault="005F5714" w:rsidP="00ED2F0A">
    <w:pPr>
      <w:pStyle w:val="Encabezado"/>
      <w:shd w:val="clear" w:color="auto" w:fill="FFFFFF" w:themeFill="background1"/>
      <w:jc w:val="right"/>
      <w:rPr>
        <w:color w:val="002060"/>
      </w:rPr>
    </w:pPr>
  </w:p>
  <w:p w:rsidR="005F5714" w:rsidRPr="006E6D98" w:rsidRDefault="005F5714" w:rsidP="00ED2F0A">
    <w:pPr>
      <w:pStyle w:val="Encabezado"/>
      <w:shd w:val="clear" w:color="auto" w:fill="FFFFFF" w:themeFill="background1"/>
      <w:jc w:val="right"/>
      <w:rPr>
        <w:color w:val="002060"/>
      </w:rPr>
    </w:pPr>
    <w:r>
      <w:rPr>
        <w:noProof/>
        <w:color w:val="002060"/>
        <w:lang w:eastAsia="es-CR"/>
      </w:rPr>
      <mc:AlternateContent>
        <mc:Choice Requires="wps">
          <w:drawing>
            <wp:anchor distT="0" distB="0" distL="114300" distR="114300" simplePos="0" relativeHeight="251658241" behindDoc="0" locked="0" layoutInCell="1" allowOverlap="1" wp14:anchorId="53C902F9" wp14:editId="53C902FA">
              <wp:simplePos x="0" y="0"/>
              <wp:positionH relativeFrom="column">
                <wp:posOffset>-441960</wp:posOffset>
              </wp:positionH>
              <wp:positionV relativeFrom="paragraph">
                <wp:posOffset>98425</wp:posOffset>
              </wp:positionV>
              <wp:extent cx="6477000" cy="0"/>
              <wp:effectExtent l="0" t="0" r="19050" b="19050"/>
              <wp:wrapNone/>
              <wp:docPr id="22" name="Conector recto 22"/>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57E1C" id="Conector recto 2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4.8pt,7.75pt" to="47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" strokecolor="#4f81bd [3204]" strokeweight=".5pt">
              <v:stroke joinstyle="miter"/>
            </v:line>
          </w:pict>
        </mc:Fallback>
      </mc:AlternateContent>
    </w:r>
  </w:p>
  <w:p w:rsidR="005F5714" w:rsidRDefault="005F57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714" w:rsidRDefault="005F57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5F8F"/>
    <w:multiLevelType w:val="hybridMultilevel"/>
    <w:tmpl w:val="641AB4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A33679E"/>
    <w:multiLevelType w:val="hybridMultilevel"/>
    <w:tmpl w:val="B890088C"/>
    <w:lvl w:ilvl="0" w:tplc="07D27220">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14245E17"/>
    <w:multiLevelType w:val="hybridMultilevel"/>
    <w:tmpl w:val="D4627468"/>
    <w:lvl w:ilvl="0" w:tplc="140A0019">
      <w:start w:val="1"/>
      <w:numFmt w:val="lowerLetter"/>
      <w:lvlText w:val="%1."/>
      <w:lvlJc w:val="left"/>
      <w:pPr>
        <w:ind w:left="720" w:hanging="360"/>
      </w:pPr>
      <w:rPr>
        <w:rFonts w:hint="default"/>
      </w:rPr>
    </w:lvl>
    <w:lvl w:ilvl="1" w:tplc="140A001B">
      <w:start w:val="1"/>
      <w:numFmt w:val="lowerRoman"/>
      <w:lvlText w:val="%2."/>
      <w:lvlJc w:val="right"/>
      <w:pPr>
        <w:ind w:left="1440" w:hanging="360"/>
      </w:pPr>
      <w:rPr>
        <w:rFont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53E1577"/>
    <w:multiLevelType w:val="hybridMultilevel"/>
    <w:tmpl w:val="4C3E7FEE"/>
    <w:lvl w:ilvl="0" w:tplc="140A0019">
      <w:start w:val="1"/>
      <w:numFmt w:val="lowerLetter"/>
      <w:lvlText w:val="%1."/>
      <w:lvlJc w:val="left"/>
      <w:pPr>
        <w:ind w:left="781" w:hanging="360"/>
      </w:pPr>
    </w:lvl>
    <w:lvl w:ilvl="1" w:tplc="140A0019" w:tentative="1">
      <w:start w:val="1"/>
      <w:numFmt w:val="lowerLetter"/>
      <w:lvlText w:val="%2."/>
      <w:lvlJc w:val="left"/>
      <w:pPr>
        <w:ind w:left="1501" w:hanging="360"/>
      </w:pPr>
    </w:lvl>
    <w:lvl w:ilvl="2" w:tplc="140A001B" w:tentative="1">
      <w:start w:val="1"/>
      <w:numFmt w:val="lowerRoman"/>
      <w:lvlText w:val="%3."/>
      <w:lvlJc w:val="right"/>
      <w:pPr>
        <w:ind w:left="2221" w:hanging="180"/>
      </w:pPr>
    </w:lvl>
    <w:lvl w:ilvl="3" w:tplc="140A000F" w:tentative="1">
      <w:start w:val="1"/>
      <w:numFmt w:val="decimal"/>
      <w:lvlText w:val="%4."/>
      <w:lvlJc w:val="left"/>
      <w:pPr>
        <w:ind w:left="2941" w:hanging="360"/>
      </w:pPr>
    </w:lvl>
    <w:lvl w:ilvl="4" w:tplc="140A0019" w:tentative="1">
      <w:start w:val="1"/>
      <w:numFmt w:val="lowerLetter"/>
      <w:lvlText w:val="%5."/>
      <w:lvlJc w:val="left"/>
      <w:pPr>
        <w:ind w:left="3661" w:hanging="360"/>
      </w:pPr>
    </w:lvl>
    <w:lvl w:ilvl="5" w:tplc="140A001B" w:tentative="1">
      <w:start w:val="1"/>
      <w:numFmt w:val="lowerRoman"/>
      <w:lvlText w:val="%6."/>
      <w:lvlJc w:val="right"/>
      <w:pPr>
        <w:ind w:left="4381" w:hanging="180"/>
      </w:pPr>
    </w:lvl>
    <w:lvl w:ilvl="6" w:tplc="140A000F" w:tentative="1">
      <w:start w:val="1"/>
      <w:numFmt w:val="decimal"/>
      <w:lvlText w:val="%7."/>
      <w:lvlJc w:val="left"/>
      <w:pPr>
        <w:ind w:left="5101" w:hanging="360"/>
      </w:pPr>
    </w:lvl>
    <w:lvl w:ilvl="7" w:tplc="140A0019" w:tentative="1">
      <w:start w:val="1"/>
      <w:numFmt w:val="lowerLetter"/>
      <w:lvlText w:val="%8."/>
      <w:lvlJc w:val="left"/>
      <w:pPr>
        <w:ind w:left="5821" w:hanging="360"/>
      </w:pPr>
    </w:lvl>
    <w:lvl w:ilvl="8" w:tplc="140A001B" w:tentative="1">
      <w:start w:val="1"/>
      <w:numFmt w:val="lowerRoman"/>
      <w:lvlText w:val="%9."/>
      <w:lvlJc w:val="right"/>
      <w:pPr>
        <w:ind w:left="6541" w:hanging="180"/>
      </w:pPr>
    </w:lvl>
  </w:abstractNum>
  <w:abstractNum w:abstractNumId="4" w15:restartNumberingAfterBreak="0">
    <w:nsid w:val="16EC152E"/>
    <w:multiLevelType w:val="hybridMultilevel"/>
    <w:tmpl w:val="802EDC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C162F7D"/>
    <w:multiLevelType w:val="hybridMultilevel"/>
    <w:tmpl w:val="3752AD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C855B63"/>
    <w:multiLevelType w:val="hybridMultilevel"/>
    <w:tmpl w:val="7BB8AA26"/>
    <w:lvl w:ilvl="0" w:tplc="23FE5356">
      <w:start w:val="1"/>
      <w:numFmt w:val="upperRoman"/>
      <w:lvlText w:val="%1."/>
      <w:lvlJc w:val="left"/>
      <w:pPr>
        <w:ind w:left="4689" w:hanging="720"/>
      </w:pPr>
      <w:rPr>
        <w:rFonts w:ascii="Century Gothic" w:hAnsi="Century Gothic" w:hint="default"/>
        <w:color w:val="365F91" w:themeColor="accent1" w:themeShade="BF"/>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10747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2B6542E"/>
    <w:multiLevelType w:val="hybridMultilevel"/>
    <w:tmpl w:val="722C9398"/>
    <w:lvl w:ilvl="0" w:tplc="1390ECE4">
      <w:start w:val="6"/>
      <w:numFmt w:val="bullet"/>
      <w:lvlText w:val="-"/>
      <w:lvlJc w:val="left"/>
      <w:pPr>
        <w:ind w:left="720" w:hanging="360"/>
      </w:pPr>
      <w:rPr>
        <w:rFonts w:ascii="Cambria" w:eastAsia="Times New Roman" w:hAnsi="Cambria"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6234495"/>
    <w:multiLevelType w:val="hybridMultilevel"/>
    <w:tmpl w:val="9E0A96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88656DF"/>
    <w:multiLevelType w:val="hybridMultilevel"/>
    <w:tmpl w:val="DF4E74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9857E4D"/>
    <w:multiLevelType w:val="multilevel"/>
    <w:tmpl w:val="84645070"/>
    <w:lvl w:ilvl="0">
      <w:start w:val="10"/>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BBB5317"/>
    <w:multiLevelType w:val="hybridMultilevel"/>
    <w:tmpl w:val="C3564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325EE1"/>
    <w:multiLevelType w:val="hybridMultilevel"/>
    <w:tmpl w:val="72767334"/>
    <w:lvl w:ilvl="0" w:tplc="140A0019">
      <w:start w:val="1"/>
      <w:numFmt w:val="lowerLetter"/>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FD77E7C"/>
    <w:multiLevelType w:val="hybridMultilevel"/>
    <w:tmpl w:val="CB3AF682"/>
    <w:lvl w:ilvl="0" w:tplc="140A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D5F9C"/>
    <w:multiLevelType w:val="hybridMultilevel"/>
    <w:tmpl w:val="B060C914"/>
    <w:lvl w:ilvl="0" w:tplc="A6CC803C">
      <w:start w:val="1"/>
      <w:numFmt w:val="lowerLetter"/>
      <w:lvlText w:val="%1."/>
      <w:lvlJc w:val="left"/>
      <w:pPr>
        <w:ind w:left="720" w:hanging="360"/>
      </w:pPr>
      <w:rPr>
        <w:rFonts w:asciiTheme="majorHAnsi" w:hAnsiTheme="majorHAnsi" w:hint="default"/>
        <w:i w:val="0"/>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ED251BA"/>
    <w:multiLevelType w:val="hybridMultilevel"/>
    <w:tmpl w:val="EE68CF3E"/>
    <w:lvl w:ilvl="0" w:tplc="140A000F">
      <w:start w:val="1"/>
      <w:numFmt w:val="decimal"/>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F810B9A"/>
    <w:multiLevelType w:val="hybridMultilevel"/>
    <w:tmpl w:val="A602480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Times New Roman"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Times New Roman"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Times New Roman" w:hint="default"/>
      </w:rPr>
    </w:lvl>
    <w:lvl w:ilvl="8" w:tplc="140A0005">
      <w:start w:val="1"/>
      <w:numFmt w:val="bullet"/>
      <w:lvlText w:val=""/>
      <w:lvlJc w:val="left"/>
      <w:pPr>
        <w:ind w:left="6480" w:hanging="360"/>
      </w:pPr>
      <w:rPr>
        <w:rFonts w:ascii="Wingdings" w:hAnsi="Wingdings" w:hint="default"/>
      </w:rPr>
    </w:lvl>
  </w:abstractNum>
  <w:abstractNum w:abstractNumId="18" w15:restartNumberingAfterBreak="0">
    <w:nsid w:val="43AA1678"/>
    <w:multiLevelType w:val="hybridMultilevel"/>
    <w:tmpl w:val="3306FC5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459F1ADF"/>
    <w:multiLevelType w:val="multilevel"/>
    <w:tmpl w:val="B808A9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98C3EF1"/>
    <w:multiLevelType w:val="hybridMultilevel"/>
    <w:tmpl w:val="EC10CDE8"/>
    <w:lvl w:ilvl="0" w:tplc="140A000F">
      <w:start w:val="1"/>
      <w:numFmt w:val="decimal"/>
      <w:lvlText w:val="%1."/>
      <w:lvlJc w:val="left"/>
      <w:pPr>
        <w:ind w:left="770" w:hanging="360"/>
      </w:pPr>
      <w:rPr>
        <w:rFonts w:hint="default"/>
      </w:rPr>
    </w:lvl>
    <w:lvl w:ilvl="1" w:tplc="140A0003" w:tentative="1">
      <w:start w:val="1"/>
      <w:numFmt w:val="bullet"/>
      <w:lvlText w:val="o"/>
      <w:lvlJc w:val="left"/>
      <w:pPr>
        <w:ind w:left="1490" w:hanging="360"/>
      </w:pPr>
      <w:rPr>
        <w:rFonts w:ascii="Courier New" w:hAnsi="Courier New" w:cs="Courier New" w:hint="default"/>
      </w:rPr>
    </w:lvl>
    <w:lvl w:ilvl="2" w:tplc="140A0005" w:tentative="1">
      <w:start w:val="1"/>
      <w:numFmt w:val="bullet"/>
      <w:lvlText w:val=""/>
      <w:lvlJc w:val="left"/>
      <w:pPr>
        <w:ind w:left="2210" w:hanging="360"/>
      </w:pPr>
      <w:rPr>
        <w:rFonts w:ascii="Wingdings" w:hAnsi="Wingdings" w:hint="default"/>
      </w:rPr>
    </w:lvl>
    <w:lvl w:ilvl="3" w:tplc="140A0001" w:tentative="1">
      <w:start w:val="1"/>
      <w:numFmt w:val="bullet"/>
      <w:lvlText w:val=""/>
      <w:lvlJc w:val="left"/>
      <w:pPr>
        <w:ind w:left="2930" w:hanging="360"/>
      </w:pPr>
      <w:rPr>
        <w:rFonts w:ascii="Symbol" w:hAnsi="Symbol" w:hint="default"/>
      </w:rPr>
    </w:lvl>
    <w:lvl w:ilvl="4" w:tplc="140A0003" w:tentative="1">
      <w:start w:val="1"/>
      <w:numFmt w:val="bullet"/>
      <w:lvlText w:val="o"/>
      <w:lvlJc w:val="left"/>
      <w:pPr>
        <w:ind w:left="3650" w:hanging="360"/>
      </w:pPr>
      <w:rPr>
        <w:rFonts w:ascii="Courier New" w:hAnsi="Courier New" w:cs="Courier New" w:hint="default"/>
      </w:rPr>
    </w:lvl>
    <w:lvl w:ilvl="5" w:tplc="140A0005" w:tentative="1">
      <w:start w:val="1"/>
      <w:numFmt w:val="bullet"/>
      <w:lvlText w:val=""/>
      <w:lvlJc w:val="left"/>
      <w:pPr>
        <w:ind w:left="4370" w:hanging="360"/>
      </w:pPr>
      <w:rPr>
        <w:rFonts w:ascii="Wingdings" w:hAnsi="Wingdings" w:hint="default"/>
      </w:rPr>
    </w:lvl>
    <w:lvl w:ilvl="6" w:tplc="140A0001" w:tentative="1">
      <w:start w:val="1"/>
      <w:numFmt w:val="bullet"/>
      <w:lvlText w:val=""/>
      <w:lvlJc w:val="left"/>
      <w:pPr>
        <w:ind w:left="5090" w:hanging="360"/>
      </w:pPr>
      <w:rPr>
        <w:rFonts w:ascii="Symbol" w:hAnsi="Symbol" w:hint="default"/>
      </w:rPr>
    </w:lvl>
    <w:lvl w:ilvl="7" w:tplc="140A0003" w:tentative="1">
      <w:start w:val="1"/>
      <w:numFmt w:val="bullet"/>
      <w:lvlText w:val="o"/>
      <w:lvlJc w:val="left"/>
      <w:pPr>
        <w:ind w:left="5810" w:hanging="360"/>
      </w:pPr>
      <w:rPr>
        <w:rFonts w:ascii="Courier New" w:hAnsi="Courier New" w:cs="Courier New" w:hint="default"/>
      </w:rPr>
    </w:lvl>
    <w:lvl w:ilvl="8" w:tplc="140A0005" w:tentative="1">
      <w:start w:val="1"/>
      <w:numFmt w:val="bullet"/>
      <w:lvlText w:val=""/>
      <w:lvlJc w:val="left"/>
      <w:pPr>
        <w:ind w:left="6530" w:hanging="360"/>
      </w:pPr>
      <w:rPr>
        <w:rFonts w:ascii="Wingdings" w:hAnsi="Wingdings" w:hint="default"/>
      </w:rPr>
    </w:lvl>
  </w:abstractNum>
  <w:abstractNum w:abstractNumId="21" w15:restartNumberingAfterBreak="0">
    <w:nsid w:val="4B541927"/>
    <w:multiLevelType w:val="hybridMultilevel"/>
    <w:tmpl w:val="6AC6C30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19422E"/>
    <w:multiLevelType w:val="hybridMultilevel"/>
    <w:tmpl w:val="2C9A845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51404F00"/>
    <w:multiLevelType w:val="hybridMultilevel"/>
    <w:tmpl w:val="7A708DA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3147DCE"/>
    <w:multiLevelType w:val="hybridMultilevel"/>
    <w:tmpl w:val="73E6A488"/>
    <w:lvl w:ilvl="0" w:tplc="C39A804C">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5" w15:restartNumberingAfterBreak="0">
    <w:nsid w:val="541E5D06"/>
    <w:multiLevelType w:val="hybridMultilevel"/>
    <w:tmpl w:val="7C78844C"/>
    <w:lvl w:ilvl="0" w:tplc="85A221A0">
      <w:numFmt w:val="bullet"/>
      <w:lvlText w:val=""/>
      <w:lvlJc w:val="left"/>
      <w:pPr>
        <w:ind w:left="1068" w:hanging="360"/>
      </w:pPr>
      <w:rPr>
        <w:rFonts w:ascii="Symbol" w:eastAsiaTheme="minorHAnsi" w:hAnsi="Symbo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6" w15:restartNumberingAfterBreak="0">
    <w:nsid w:val="56676E13"/>
    <w:multiLevelType w:val="hybridMultilevel"/>
    <w:tmpl w:val="60FAB9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74367D1"/>
    <w:multiLevelType w:val="hybridMultilevel"/>
    <w:tmpl w:val="398C36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7DE2DD7"/>
    <w:multiLevelType w:val="hybridMultilevel"/>
    <w:tmpl w:val="84C4E9BE"/>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D2523CB"/>
    <w:multiLevelType w:val="hybridMultilevel"/>
    <w:tmpl w:val="9932B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DB64F63"/>
    <w:multiLevelType w:val="hybridMultilevel"/>
    <w:tmpl w:val="EDAC9128"/>
    <w:lvl w:ilvl="0" w:tplc="C386A89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5DF6AAA"/>
    <w:multiLevelType w:val="hybridMultilevel"/>
    <w:tmpl w:val="B2D401D2"/>
    <w:lvl w:ilvl="0" w:tplc="C2EECE4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9C50006"/>
    <w:multiLevelType w:val="hybridMultilevel"/>
    <w:tmpl w:val="A7C6013E"/>
    <w:lvl w:ilvl="0" w:tplc="DE0ADF8C">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AE70076"/>
    <w:multiLevelType w:val="hybridMultilevel"/>
    <w:tmpl w:val="5C64EC5A"/>
    <w:lvl w:ilvl="0" w:tplc="0ECC01A4">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DF22D35"/>
    <w:multiLevelType w:val="hybridMultilevel"/>
    <w:tmpl w:val="47784B44"/>
    <w:lvl w:ilvl="0" w:tplc="140A0019">
      <w:start w:val="1"/>
      <w:numFmt w:val="lowerLetter"/>
      <w:lvlText w:val="%1."/>
      <w:lvlJc w:val="left"/>
      <w:pPr>
        <w:tabs>
          <w:tab w:val="num" w:pos="720"/>
        </w:tabs>
        <w:ind w:left="720" w:hanging="360"/>
      </w:pPr>
      <w:rPr>
        <w:rFonts w:hint="default"/>
      </w:rPr>
    </w:lvl>
    <w:lvl w:ilvl="1" w:tplc="F1C6B974" w:tentative="1">
      <w:start w:val="1"/>
      <w:numFmt w:val="decimal"/>
      <w:lvlText w:val="%2."/>
      <w:lvlJc w:val="left"/>
      <w:pPr>
        <w:tabs>
          <w:tab w:val="num" w:pos="1440"/>
        </w:tabs>
        <w:ind w:left="1440" w:hanging="360"/>
      </w:pPr>
    </w:lvl>
    <w:lvl w:ilvl="2" w:tplc="1250CEA6" w:tentative="1">
      <w:start w:val="1"/>
      <w:numFmt w:val="decimal"/>
      <w:lvlText w:val="%3."/>
      <w:lvlJc w:val="left"/>
      <w:pPr>
        <w:tabs>
          <w:tab w:val="num" w:pos="2160"/>
        </w:tabs>
        <w:ind w:left="2160" w:hanging="360"/>
      </w:pPr>
    </w:lvl>
    <w:lvl w:ilvl="3" w:tplc="4812558C" w:tentative="1">
      <w:start w:val="1"/>
      <w:numFmt w:val="decimal"/>
      <w:lvlText w:val="%4."/>
      <w:lvlJc w:val="left"/>
      <w:pPr>
        <w:tabs>
          <w:tab w:val="num" w:pos="2880"/>
        </w:tabs>
        <w:ind w:left="2880" w:hanging="360"/>
      </w:pPr>
    </w:lvl>
    <w:lvl w:ilvl="4" w:tplc="6EC2949E" w:tentative="1">
      <w:start w:val="1"/>
      <w:numFmt w:val="decimal"/>
      <w:lvlText w:val="%5."/>
      <w:lvlJc w:val="left"/>
      <w:pPr>
        <w:tabs>
          <w:tab w:val="num" w:pos="3600"/>
        </w:tabs>
        <w:ind w:left="3600" w:hanging="360"/>
      </w:pPr>
    </w:lvl>
    <w:lvl w:ilvl="5" w:tplc="0B9CC3C0" w:tentative="1">
      <w:start w:val="1"/>
      <w:numFmt w:val="decimal"/>
      <w:lvlText w:val="%6."/>
      <w:lvlJc w:val="left"/>
      <w:pPr>
        <w:tabs>
          <w:tab w:val="num" w:pos="4320"/>
        </w:tabs>
        <w:ind w:left="4320" w:hanging="360"/>
      </w:pPr>
    </w:lvl>
    <w:lvl w:ilvl="6" w:tplc="4022DEC6" w:tentative="1">
      <w:start w:val="1"/>
      <w:numFmt w:val="decimal"/>
      <w:lvlText w:val="%7."/>
      <w:lvlJc w:val="left"/>
      <w:pPr>
        <w:tabs>
          <w:tab w:val="num" w:pos="5040"/>
        </w:tabs>
        <w:ind w:left="5040" w:hanging="360"/>
      </w:pPr>
    </w:lvl>
    <w:lvl w:ilvl="7" w:tplc="DB26BCBA" w:tentative="1">
      <w:start w:val="1"/>
      <w:numFmt w:val="decimal"/>
      <w:lvlText w:val="%8."/>
      <w:lvlJc w:val="left"/>
      <w:pPr>
        <w:tabs>
          <w:tab w:val="num" w:pos="5760"/>
        </w:tabs>
        <w:ind w:left="5760" w:hanging="360"/>
      </w:pPr>
    </w:lvl>
    <w:lvl w:ilvl="8" w:tplc="CF3CE7A4" w:tentative="1">
      <w:start w:val="1"/>
      <w:numFmt w:val="decimal"/>
      <w:lvlText w:val="%9."/>
      <w:lvlJc w:val="left"/>
      <w:pPr>
        <w:tabs>
          <w:tab w:val="num" w:pos="6480"/>
        </w:tabs>
        <w:ind w:left="6480" w:hanging="360"/>
      </w:pPr>
    </w:lvl>
  </w:abstractNum>
  <w:abstractNum w:abstractNumId="35" w15:restartNumberingAfterBreak="0">
    <w:nsid w:val="70D0276D"/>
    <w:multiLevelType w:val="hybridMultilevel"/>
    <w:tmpl w:val="56AEC0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1F17A51"/>
    <w:multiLevelType w:val="hybridMultilevel"/>
    <w:tmpl w:val="7A708DA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20C0FC1"/>
    <w:multiLevelType w:val="hybridMultilevel"/>
    <w:tmpl w:val="015A3A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344EF7"/>
    <w:multiLevelType w:val="hybridMultilevel"/>
    <w:tmpl w:val="294CC202"/>
    <w:lvl w:ilvl="0" w:tplc="4F7E0706">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28"/>
  </w:num>
  <w:num w:numId="3">
    <w:abstractNumId w:val="14"/>
  </w:num>
  <w:num w:numId="4">
    <w:abstractNumId w:val="3"/>
  </w:num>
  <w:num w:numId="5">
    <w:abstractNumId w:val="15"/>
  </w:num>
  <w:num w:numId="6">
    <w:abstractNumId w:val="21"/>
  </w:num>
  <w:num w:numId="7">
    <w:abstractNumId w:val="20"/>
  </w:num>
  <w:num w:numId="8">
    <w:abstractNumId w:val="4"/>
  </w:num>
  <w:num w:numId="9">
    <w:abstractNumId w:val="34"/>
  </w:num>
  <w:num w:numId="10">
    <w:abstractNumId w:val="13"/>
  </w:num>
  <w:num w:numId="11">
    <w:abstractNumId w:val="17"/>
  </w:num>
  <w:num w:numId="12">
    <w:abstractNumId w:val="29"/>
  </w:num>
  <w:num w:numId="13">
    <w:abstractNumId w:val="8"/>
  </w:num>
  <w:num w:numId="14">
    <w:abstractNumId w:val="2"/>
  </w:num>
  <w:num w:numId="15">
    <w:abstractNumId w:val="9"/>
  </w:num>
  <w:num w:numId="16">
    <w:abstractNumId w:val="19"/>
  </w:num>
  <w:num w:numId="17">
    <w:abstractNumId w:val="11"/>
  </w:num>
  <w:num w:numId="18">
    <w:abstractNumId w:val="27"/>
  </w:num>
  <w:num w:numId="19">
    <w:abstractNumId w:val="35"/>
  </w:num>
  <w:num w:numId="20">
    <w:abstractNumId w:val="37"/>
  </w:num>
  <w:num w:numId="21">
    <w:abstractNumId w:val="30"/>
  </w:num>
  <w:num w:numId="22">
    <w:abstractNumId w:val="32"/>
  </w:num>
  <w:num w:numId="23">
    <w:abstractNumId w:val="31"/>
  </w:num>
  <w:num w:numId="24">
    <w:abstractNumId w:val="12"/>
  </w:num>
  <w:num w:numId="25">
    <w:abstractNumId w:val="22"/>
  </w:num>
  <w:num w:numId="26">
    <w:abstractNumId w:val="26"/>
  </w:num>
  <w:num w:numId="27">
    <w:abstractNumId w:val="10"/>
  </w:num>
  <w:num w:numId="28">
    <w:abstractNumId w:val="18"/>
  </w:num>
  <w:num w:numId="29">
    <w:abstractNumId w:val="7"/>
  </w:num>
  <w:num w:numId="30">
    <w:abstractNumId w:val="36"/>
  </w:num>
  <w:num w:numId="31">
    <w:abstractNumId w:val="25"/>
  </w:num>
  <w:num w:numId="32">
    <w:abstractNumId w:val="38"/>
  </w:num>
  <w:num w:numId="33">
    <w:abstractNumId w:val="5"/>
  </w:num>
  <w:num w:numId="34">
    <w:abstractNumId w:val="0"/>
  </w:num>
  <w:num w:numId="35">
    <w:abstractNumId w:val="16"/>
  </w:num>
  <w:num w:numId="36">
    <w:abstractNumId w:val="1"/>
  </w:num>
  <w:num w:numId="37">
    <w:abstractNumId w:val="33"/>
  </w:num>
  <w:num w:numId="38">
    <w:abstractNumId w:val="23"/>
  </w:num>
  <w:num w:numId="39">
    <w:abstractNumId w:val="2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9A"/>
    <w:rsid w:val="00000526"/>
    <w:rsid w:val="000015D2"/>
    <w:rsid w:val="00001602"/>
    <w:rsid w:val="00011B35"/>
    <w:rsid w:val="000130AF"/>
    <w:rsid w:val="00016AB4"/>
    <w:rsid w:val="00017DB3"/>
    <w:rsid w:val="00022DC8"/>
    <w:rsid w:val="00025BF3"/>
    <w:rsid w:val="000270B1"/>
    <w:rsid w:val="00027EEC"/>
    <w:rsid w:val="000328A1"/>
    <w:rsid w:val="0003298B"/>
    <w:rsid w:val="000332B7"/>
    <w:rsid w:val="00043E29"/>
    <w:rsid w:val="0004478E"/>
    <w:rsid w:val="00047405"/>
    <w:rsid w:val="000526F0"/>
    <w:rsid w:val="00054812"/>
    <w:rsid w:val="00056356"/>
    <w:rsid w:val="000605C9"/>
    <w:rsid w:val="00061535"/>
    <w:rsid w:val="0006322F"/>
    <w:rsid w:val="0006361D"/>
    <w:rsid w:val="0006618D"/>
    <w:rsid w:val="00067408"/>
    <w:rsid w:val="00071469"/>
    <w:rsid w:val="00072D03"/>
    <w:rsid w:val="00075AF8"/>
    <w:rsid w:val="0007739A"/>
    <w:rsid w:val="00080DB8"/>
    <w:rsid w:val="00080DC7"/>
    <w:rsid w:val="0008249E"/>
    <w:rsid w:val="00082A70"/>
    <w:rsid w:val="000863D0"/>
    <w:rsid w:val="00091005"/>
    <w:rsid w:val="000931DF"/>
    <w:rsid w:val="000A0042"/>
    <w:rsid w:val="000A4F7D"/>
    <w:rsid w:val="000A5A16"/>
    <w:rsid w:val="000B2E4E"/>
    <w:rsid w:val="000B7EEE"/>
    <w:rsid w:val="000C1933"/>
    <w:rsid w:val="000C342C"/>
    <w:rsid w:val="000C58E0"/>
    <w:rsid w:val="000C65EC"/>
    <w:rsid w:val="000D1E7D"/>
    <w:rsid w:val="000D5AE5"/>
    <w:rsid w:val="000D6094"/>
    <w:rsid w:val="000D629F"/>
    <w:rsid w:val="000E0259"/>
    <w:rsid w:val="000E10E6"/>
    <w:rsid w:val="000E2392"/>
    <w:rsid w:val="000E39EF"/>
    <w:rsid w:val="000E6FA7"/>
    <w:rsid w:val="00100356"/>
    <w:rsid w:val="001011AD"/>
    <w:rsid w:val="001019C1"/>
    <w:rsid w:val="00101F30"/>
    <w:rsid w:val="001044B7"/>
    <w:rsid w:val="00106AAC"/>
    <w:rsid w:val="00113C22"/>
    <w:rsid w:val="00114B6E"/>
    <w:rsid w:val="00115B28"/>
    <w:rsid w:val="00116B95"/>
    <w:rsid w:val="0011745C"/>
    <w:rsid w:val="00121576"/>
    <w:rsid w:val="00125D57"/>
    <w:rsid w:val="00130752"/>
    <w:rsid w:val="00133D43"/>
    <w:rsid w:val="00135AB5"/>
    <w:rsid w:val="001364F6"/>
    <w:rsid w:val="00145C6D"/>
    <w:rsid w:val="001462FF"/>
    <w:rsid w:val="00151721"/>
    <w:rsid w:val="00154563"/>
    <w:rsid w:val="001551DC"/>
    <w:rsid w:val="001554C2"/>
    <w:rsid w:val="00161706"/>
    <w:rsid w:val="00165AF9"/>
    <w:rsid w:val="00165D73"/>
    <w:rsid w:val="0016640B"/>
    <w:rsid w:val="001671F9"/>
    <w:rsid w:val="00176C0F"/>
    <w:rsid w:val="0018012A"/>
    <w:rsid w:val="00181521"/>
    <w:rsid w:val="00183C58"/>
    <w:rsid w:val="00184A50"/>
    <w:rsid w:val="00184E26"/>
    <w:rsid w:val="00196670"/>
    <w:rsid w:val="001A0F73"/>
    <w:rsid w:val="001A5EBE"/>
    <w:rsid w:val="001B1AF8"/>
    <w:rsid w:val="001B1DA2"/>
    <w:rsid w:val="001B632D"/>
    <w:rsid w:val="001C0692"/>
    <w:rsid w:val="001C3D5E"/>
    <w:rsid w:val="001C7E99"/>
    <w:rsid w:val="001D042A"/>
    <w:rsid w:val="001D0CB7"/>
    <w:rsid w:val="001E0284"/>
    <w:rsid w:val="001E081E"/>
    <w:rsid w:val="001E0ED5"/>
    <w:rsid w:val="001E3AC6"/>
    <w:rsid w:val="001E3E88"/>
    <w:rsid w:val="001E5D5A"/>
    <w:rsid w:val="001E6E2A"/>
    <w:rsid w:val="001E72D3"/>
    <w:rsid w:val="001E79D1"/>
    <w:rsid w:val="001F2C7F"/>
    <w:rsid w:val="001F3357"/>
    <w:rsid w:val="001F3CDB"/>
    <w:rsid w:val="001F68CE"/>
    <w:rsid w:val="00205805"/>
    <w:rsid w:val="00207DFF"/>
    <w:rsid w:val="002119CA"/>
    <w:rsid w:val="00212804"/>
    <w:rsid w:val="00213914"/>
    <w:rsid w:val="00213D81"/>
    <w:rsid w:val="00214751"/>
    <w:rsid w:val="00220049"/>
    <w:rsid w:val="0022055D"/>
    <w:rsid w:val="0022135A"/>
    <w:rsid w:val="0022268B"/>
    <w:rsid w:val="002311A4"/>
    <w:rsid w:val="00232F61"/>
    <w:rsid w:val="00233600"/>
    <w:rsid w:val="00233F3C"/>
    <w:rsid w:val="00234E5E"/>
    <w:rsid w:val="00235D5E"/>
    <w:rsid w:val="00235F7B"/>
    <w:rsid w:val="00236CE2"/>
    <w:rsid w:val="00237627"/>
    <w:rsid w:val="002437B8"/>
    <w:rsid w:val="002450C0"/>
    <w:rsid w:val="00251C7D"/>
    <w:rsid w:val="00254B03"/>
    <w:rsid w:val="00263CCA"/>
    <w:rsid w:val="0026787B"/>
    <w:rsid w:val="00267D66"/>
    <w:rsid w:val="00271119"/>
    <w:rsid w:val="00271F21"/>
    <w:rsid w:val="002740B6"/>
    <w:rsid w:val="00277535"/>
    <w:rsid w:val="00282894"/>
    <w:rsid w:val="002838D4"/>
    <w:rsid w:val="00287A6E"/>
    <w:rsid w:val="002902A1"/>
    <w:rsid w:val="002919AB"/>
    <w:rsid w:val="002920BB"/>
    <w:rsid w:val="002924F3"/>
    <w:rsid w:val="00292B15"/>
    <w:rsid w:val="002A280A"/>
    <w:rsid w:val="002A483B"/>
    <w:rsid w:val="002A772B"/>
    <w:rsid w:val="002B24E6"/>
    <w:rsid w:val="002B2658"/>
    <w:rsid w:val="002B2DBE"/>
    <w:rsid w:val="002B4A7B"/>
    <w:rsid w:val="002B54E8"/>
    <w:rsid w:val="002C07D4"/>
    <w:rsid w:val="002C62AB"/>
    <w:rsid w:val="002D3940"/>
    <w:rsid w:val="002D5D04"/>
    <w:rsid w:val="002D7932"/>
    <w:rsid w:val="002D7EA3"/>
    <w:rsid w:val="002E11E9"/>
    <w:rsid w:val="002E3157"/>
    <w:rsid w:val="002E34D2"/>
    <w:rsid w:val="002F044A"/>
    <w:rsid w:val="002F1910"/>
    <w:rsid w:val="002F21C0"/>
    <w:rsid w:val="002F28D3"/>
    <w:rsid w:val="002F6A4B"/>
    <w:rsid w:val="002F7EB9"/>
    <w:rsid w:val="0030090E"/>
    <w:rsid w:val="0030400B"/>
    <w:rsid w:val="003103D9"/>
    <w:rsid w:val="00313E45"/>
    <w:rsid w:val="00316A7A"/>
    <w:rsid w:val="00320F96"/>
    <w:rsid w:val="003250CA"/>
    <w:rsid w:val="003301D5"/>
    <w:rsid w:val="00333200"/>
    <w:rsid w:val="00335074"/>
    <w:rsid w:val="003352F6"/>
    <w:rsid w:val="003358A4"/>
    <w:rsid w:val="00335BF0"/>
    <w:rsid w:val="00336BB6"/>
    <w:rsid w:val="00340424"/>
    <w:rsid w:val="00340BEE"/>
    <w:rsid w:val="0034204A"/>
    <w:rsid w:val="00342DDC"/>
    <w:rsid w:val="0034452D"/>
    <w:rsid w:val="003448B3"/>
    <w:rsid w:val="00346CFE"/>
    <w:rsid w:val="00347515"/>
    <w:rsid w:val="0035360C"/>
    <w:rsid w:val="00353732"/>
    <w:rsid w:val="003567A8"/>
    <w:rsid w:val="00360522"/>
    <w:rsid w:val="00362EFD"/>
    <w:rsid w:val="00364A9B"/>
    <w:rsid w:val="00367333"/>
    <w:rsid w:val="00373405"/>
    <w:rsid w:val="00375F43"/>
    <w:rsid w:val="00376D6C"/>
    <w:rsid w:val="00380227"/>
    <w:rsid w:val="00380431"/>
    <w:rsid w:val="003813F1"/>
    <w:rsid w:val="003821C9"/>
    <w:rsid w:val="0038445F"/>
    <w:rsid w:val="00384C1F"/>
    <w:rsid w:val="003852D9"/>
    <w:rsid w:val="00385313"/>
    <w:rsid w:val="00386DC7"/>
    <w:rsid w:val="00387807"/>
    <w:rsid w:val="00392EED"/>
    <w:rsid w:val="00393C8C"/>
    <w:rsid w:val="00393D27"/>
    <w:rsid w:val="00393E26"/>
    <w:rsid w:val="00397EC7"/>
    <w:rsid w:val="003A10A2"/>
    <w:rsid w:val="003A45EE"/>
    <w:rsid w:val="003A55C6"/>
    <w:rsid w:val="003A5DE3"/>
    <w:rsid w:val="003A6523"/>
    <w:rsid w:val="003A7DA0"/>
    <w:rsid w:val="003B2BC1"/>
    <w:rsid w:val="003B3012"/>
    <w:rsid w:val="003B3815"/>
    <w:rsid w:val="003B46CD"/>
    <w:rsid w:val="003B5132"/>
    <w:rsid w:val="003B5D01"/>
    <w:rsid w:val="003B6874"/>
    <w:rsid w:val="003B71DB"/>
    <w:rsid w:val="003C0A1D"/>
    <w:rsid w:val="003C1177"/>
    <w:rsid w:val="003C203F"/>
    <w:rsid w:val="003D153B"/>
    <w:rsid w:val="003D4206"/>
    <w:rsid w:val="003D4B2B"/>
    <w:rsid w:val="003F1AF7"/>
    <w:rsid w:val="003F795D"/>
    <w:rsid w:val="00401824"/>
    <w:rsid w:val="00411C20"/>
    <w:rsid w:val="0041206D"/>
    <w:rsid w:val="00413E5F"/>
    <w:rsid w:val="004225D4"/>
    <w:rsid w:val="004276F5"/>
    <w:rsid w:val="00432E28"/>
    <w:rsid w:val="00442D46"/>
    <w:rsid w:val="00451150"/>
    <w:rsid w:val="00453605"/>
    <w:rsid w:val="00454692"/>
    <w:rsid w:val="00455890"/>
    <w:rsid w:val="0045687C"/>
    <w:rsid w:val="00460688"/>
    <w:rsid w:val="0046129A"/>
    <w:rsid w:val="00462DD6"/>
    <w:rsid w:val="0046437C"/>
    <w:rsid w:val="0047053F"/>
    <w:rsid w:val="00477740"/>
    <w:rsid w:val="00481208"/>
    <w:rsid w:val="00482807"/>
    <w:rsid w:val="00485D23"/>
    <w:rsid w:val="00487CEE"/>
    <w:rsid w:val="004954E6"/>
    <w:rsid w:val="0049773F"/>
    <w:rsid w:val="004A181F"/>
    <w:rsid w:val="004A4968"/>
    <w:rsid w:val="004A61B6"/>
    <w:rsid w:val="004A7CF6"/>
    <w:rsid w:val="004B1688"/>
    <w:rsid w:val="004B603C"/>
    <w:rsid w:val="004C42BF"/>
    <w:rsid w:val="004D0D7C"/>
    <w:rsid w:val="004D3F1B"/>
    <w:rsid w:val="004D492E"/>
    <w:rsid w:val="004D6524"/>
    <w:rsid w:val="004E015E"/>
    <w:rsid w:val="004E0614"/>
    <w:rsid w:val="004E404D"/>
    <w:rsid w:val="004E46E1"/>
    <w:rsid w:val="004F2A5D"/>
    <w:rsid w:val="004F50FC"/>
    <w:rsid w:val="004F6400"/>
    <w:rsid w:val="004F74FE"/>
    <w:rsid w:val="0050058C"/>
    <w:rsid w:val="00500CAE"/>
    <w:rsid w:val="005027C2"/>
    <w:rsid w:val="005029EF"/>
    <w:rsid w:val="00502FD5"/>
    <w:rsid w:val="005032CD"/>
    <w:rsid w:val="005033FC"/>
    <w:rsid w:val="0050362D"/>
    <w:rsid w:val="005064AA"/>
    <w:rsid w:val="00506B64"/>
    <w:rsid w:val="005119A0"/>
    <w:rsid w:val="00512E33"/>
    <w:rsid w:val="00513021"/>
    <w:rsid w:val="005145E9"/>
    <w:rsid w:val="0052025F"/>
    <w:rsid w:val="005213AD"/>
    <w:rsid w:val="00524360"/>
    <w:rsid w:val="00526A4E"/>
    <w:rsid w:val="00530F29"/>
    <w:rsid w:val="00532E13"/>
    <w:rsid w:val="00534775"/>
    <w:rsid w:val="00535E6C"/>
    <w:rsid w:val="005362D8"/>
    <w:rsid w:val="00542C0E"/>
    <w:rsid w:val="005432CF"/>
    <w:rsid w:val="00550ADC"/>
    <w:rsid w:val="005545A9"/>
    <w:rsid w:val="00554B54"/>
    <w:rsid w:val="00556F57"/>
    <w:rsid w:val="005610C7"/>
    <w:rsid w:val="00562231"/>
    <w:rsid w:val="00562A39"/>
    <w:rsid w:val="0056313A"/>
    <w:rsid w:val="0057000C"/>
    <w:rsid w:val="00572DE5"/>
    <w:rsid w:val="0057417D"/>
    <w:rsid w:val="00577986"/>
    <w:rsid w:val="00582DD0"/>
    <w:rsid w:val="00584366"/>
    <w:rsid w:val="00584EF3"/>
    <w:rsid w:val="0058773A"/>
    <w:rsid w:val="00592C09"/>
    <w:rsid w:val="00593E29"/>
    <w:rsid w:val="00594B9A"/>
    <w:rsid w:val="00595430"/>
    <w:rsid w:val="00595D69"/>
    <w:rsid w:val="005961DB"/>
    <w:rsid w:val="0059711F"/>
    <w:rsid w:val="005A12BB"/>
    <w:rsid w:val="005A1457"/>
    <w:rsid w:val="005A1A15"/>
    <w:rsid w:val="005A234B"/>
    <w:rsid w:val="005A36B4"/>
    <w:rsid w:val="005A36E4"/>
    <w:rsid w:val="005A3838"/>
    <w:rsid w:val="005A59FB"/>
    <w:rsid w:val="005A69AB"/>
    <w:rsid w:val="005B5156"/>
    <w:rsid w:val="005B53C5"/>
    <w:rsid w:val="005C052F"/>
    <w:rsid w:val="005C1CE9"/>
    <w:rsid w:val="005D18F5"/>
    <w:rsid w:val="005D441C"/>
    <w:rsid w:val="005D613A"/>
    <w:rsid w:val="005E3670"/>
    <w:rsid w:val="005E385C"/>
    <w:rsid w:val="005E591D"/>
    <w:rsid w:val="005E6377"/>
    <w:rsid w:val="005E6E71"/>
    <w:rsid w:val="005F048A"/>
    <w:rsid w:val="005F083A"/>
    <w:rsid w:val="005F0B3F"/>
    <w:rsid w:val="005F0B84"/>
    <w:rsid w:val="005F30F9"/>
    <w:rsid w:val="005F42B7"/>
    <w:rsid w:val="005F5714"/>
    <w:rsid w:val="0060573E"/>
    <w:rsid w:val="006074F7"/>
    <w:rsid w:val="00611175"/>
    <w:rsid w:val="00611405"/>
    <w:rsid w:val="00613C34"/>
    <w:rsid w:val="0061791A"/>
    <w:rsid w:val="00620202"/>
    <w:rsid w:val="006225F9"/>
    <w:rsid w:val="00636994"/>
    <w:rsid w:val="00636CC4"/>
    <w:rsid w:val="00641323"/>
    <w:rsid w:val="00643A34"/>
    <w:rsid w:val="006464BD"/>
    <w:rsid w:val="006470C7"/>
    <w:rsid w:val="00647CB0"/>
    <w:rsid w:val="0065035F"/>
    <w:rsid w:val="00650B66"/>
    <w:rsid w:val="006513A1"/>
    <w:rsid w:val="00652F26"/>
    <w:rsid w:val="00657049"/>
    <w:rsid w:val="0066126E"/>
    <w:rsid w:val="006615B7"/>
    <w:rsid w:val="00661EE7"/>
    <w:rsid w:val="00662CBD"/>
    <w:rsid w:val="00670237"/>
    <w:rsid w:val="0067164B"/>
    <w:rsid w:val="00673D7B"/>
    <w:rsid w:val="00676D2F"/>
    <w:rsid w:val="00681F7A"/>
    <w:rsid w:val="00682D3A"/>
    <w:rsid w:val="00684DAD"/>
    <w:rsid w:val="0068706A"/>
    <w:rsid w:val="0068733F"/>
    <w:rsid w:val="006876FB"/>
    <w:rsid w:val="00690300"/>
    <w:rsid w:val="0069361C"/>
    <w:rsid w:val="00693B4A"/>
    <w:rsid w:val="00693EBE"/>
    <w:rsid w:val="006951F7"/>
    <w:rsid w:val="00696355"/>
    <w:rsid w:val="006A05F4"/>
    <w:rsid w:val="006B0F43"/>
    <w:rsid w:val="006B417D"/>
    <w:rsid w:val="006C0C4D"/>
    <w:rsid w:val="006C2581"/>
    <w:rsid w:val="006D2BBB"/>
    <w:rsid w:val="006D4226"/>
    <w:rsid w:val="006D427F"/>
    <w:rsid w:val="006E0F08"/>
    <w:rsid w:val="006E6D98"/>
    <w:rsid w:val="006F2DA7"/>
    <w:rsid w:val="006F41AA"/>
    <w:rsid w:val="00704C65"/>
    <w:rsid w:val="00705804"/>
    <w:rsid w:val="0070769C"/>
    <w:rsid w:val="007209FB"/>
    <w:rsid w:val="00722146"/>
    <w:rsid w:val="00722418"/>
    <w:rsid w:val="007241AF"/>
    <w:rsid w:val="00730587"/>
    <w:rsid w:val="00730F04"/>
    <w:rsid w:val="007332D5"/>
    <w:rsid w:val="00733730"/>
    <w:rsid w:val="00734559"/>
    <w:rsid w:val="0074107B"/>
    <w:rsid w:val="0074176B"/>
    <w:rsid w:val="0074703C"/>
    <w:rsid w:val="007519CB"/>
    <w:rsid w:val="00751A6D"/>
    <w:rsid w:val="00751ADD"/>
    <w:rsid w:val="00752219"/>
    <w:rsid w:val="007528F1"/>
    <w:rsid w:val="00752F1D"/>
    <w:rsid w:val="00754FE4"/>
    <w:rsid w:val="00763209"/>
    <w:rsid w:val="007635E7"/>
    <w:rsid w:val="00766EAB"/>
    <w:rsid w:val="00767390"/>
    <w:rsid w:val="0077175A"/>
    <w:rsid w:val="00773055"/>
    <w:rsid w:val="0077603C"/>
    <w:rsid w:val="00777C24"/>
    <w:rsid w:val="00780403"/>
    <w:rsid w:val="00782006"/>
    <w:rsid w:val="00786F5C"/>
    <w:rsid w:val="007911E5"/>
    <w:rsid w:val="00791D73"/>
    <w:rsid w:val="00794402"/>
    <w:rsid w:val="00796964"/>
    <w:rsid w:val="007A2605"/>
    <w:rsid w:val="007A4A07"/>
    <w:rsid w:val="007A4D35"/>
    <w:rsid w:val="007A74D4"/>
    <w:rsid w:val="007B1ACA"/>
    <w:rsid w:val="007C0DD5"/>
    <w:rsid w:val="007C3099"/>
    <w:rsid w:val="007C35A9"/>
    <w:rsid w:val="007C4ADA"/>
    <w:rsid w:val="007D19E2"/>
    <w:rsid w:val="007D38D2"/>
    <w:rsid w:val="007E75A4"/>
    <w:rsid w:val="007F14B3"/>
    <w:rsid w:val="007F28F4"/>
    <w:rsid w:val="007F4E60"/>
    <w:rsid w:val="007F545D"/>
    <w:rsid w:val="00800A53"/>
    <w:rsid w:val="00803838"/>
    <w:rsid w:val="00803B1C"/>
    <w:rsid w:val="00803D49"/>
    <w:rsid w:val="00807CBB"/>
    <w:rsid w:val="0081128B"/>
    <w:rsid w:val="008132E4"/>
    <w:rsid w:val="00817679"/>
    <w:rsid w:val="008227AD"/>
    <w:rsid w:val="00822B50"/>
    <w:rsid w:val="0082410D"/>
    <w:rsid w:val="00824182"/>
    <w:rsid w:val="008249A5"/>
    <w:rsid w:val="0083230B"/>
    <w:rsid w:val="00834406"/>
    <w:rsid w:val="00835CFB"/>
    <w:rsid w:val="00836116"/>
    <w:rsid w:val="008371E9"/>
    <w:rsid w:val="00840743"/>
    <w:rsid w:val="0084082C"/>
    <w:rsid w:val="00840D62"/>
    <w:rsid w:val="0084154D"/>
    <w:rsid w:val="00841706"/>
    <w:rsid w:val="008422F5"/>
    <w:rsid w:val="00842647"/>
    <w:rsid w:val="00844266"/>
    <w:rsid w:val="00844BD5"/>
    <w:rsid w:val="008503D4"/>
    <w:rsid w:val="0085064C"/>
    <w:rsid w:val="00850CC5"/>
    <w:rsid w:val="00852442"/>
    <w:rsid w:val="00852749"/>
    <w:rsid w:val="008543E2"/>
    <w:rsid w:val="00854D3A"/>
    <w:rsid w:val="00856106"/>
    <w:rsid w:val="00862FC1"/>
    <w:rsid w:val="00872E56"/>
    <w:rsid w:val="00873659"/>
    <w:rsid w:val="00883930"/>
    <w:rsid w:val="008874A9"/>
    <w:rsid w:val="008925FE"/>
    <w:rsid w:val="00893EC0"/>
    <w:rsid w:val="00895415"/>
    <w:rsid w:val="00895895"/>
    <w:rsid w:val="008964E0"/>
    <w:rsid w:val="008A32DF"/>
    <w:rsid w:val="008A3F14"/>
    <w:rsid w:val="008A509D"/>
    <w:rsid w:val="008A7E16"/>
    <w:rsid w:val="008B097E"/>
    <w:rsid w:val="008B3FD0"/>
    <w:rsid w:val="008B47D7"/>
    <w:rsid w:val="008B49EB"/>
    <w:rsid w:val="008B51B0"/>
    <w:rsid w:val="008C0342"/>
    <w:rsid w:val="008C0C89"/>
    <w:rsid w:val="008C5005"/>
    <w:rsid w:val="008C6894"/>
    <w:rsid w:val="008C6C48"/>
    <w:rsid w:val="008C7D6B"/>
    <w:rsid w:val="008C7D6D"/>
    <w:rsid w:val="008D28EE"/>
    <w:rsid w:val="008D2BCD"/>
    <w:rsid w:val="008D6F0A"/>
    <w:rsid w:val="008E30C0"/>
    <w:rsid w:val="008E4FEC"/>
    <w:rsid w:val="008E551A"/>
    <w:rsid w:val="008E5578"/>
    <w:rsid w:val="008F0D66"/>
    <w:rsid w:val="008F2EB0"/>
    <w:rsid w:val="008F4299"/>
    <w:rsid w:val="008F4985"/>
    <w:rsid w:val="008F607A"/>
    <w:rsid w:val="008F6675"/>
    <w:rsid w:val="00900039"/>
    <w:rsid w:val="0090535F"/>
    <w:rsid w:val="00916795"/>
    <w:rsid w:val="00917D96"/>
    <w:rsid w:val="0092090A"/>
    <w:rsid w:val="00920A13"/>
    <w:rsid w:val="00930933"/>
    <w:rsid w:val="0093243D"/>
    <w:rsid w:val="00934548"/>
    <w:rsid w:val="00934FF1"/>
    <w:rsid w:val="0093653C"/>
    <w:rsid w:val="00944CC2"/>
    <w:rsid w:val="009454F0"/>
    <w:rsid w:val="009553C4"/>
    <w:rsid w:val="00957031"/>
    <w:rsid w:val="00960766"/>
    <w:rsid w:val="00972BD6"/>
    <w:rsid w:val="00974D7F"/>
    <w:rsid w:val="00975A88"/>
    <w:rsid w:val="00977C33"/>
    <w:rsid w:val="00980CC6"/>
    <w:rsid w:val="00980DC7"/>
    <w:rsid w:val="009819B4"/>
    <w:rsid w:val="00982ACD"/>
    <w:rsid w:val="00984E39"/>
    <w:rsid w:val="00990BEF"/>
    <w:rsid w:val="00992C94"/>
    <w:rsid w:val="009935F6"/>
    <w:rsid w:val="009A0D1A"/>
    <w:rsid w:val="009A2754"/>
    <w:rsid w:val="009A35E7"/>
    <w:rsid w:val="009A7EED"/>
    <w:rsid w:val="009B28A6"/>
    <w:rsid w:val="009B625B"/>
    <w:rsid w:val="009C186B"/>
    <w:rsid w:val="009C18D1"/>
    <w:rsid w:val="009C7982"/>
    <w:rsid w:val="009D1B22"/>
    <w:rsid w:val="009E36CE"/>
    <w:rsid w:val="009E6015"/>
    <w:rsid w:val="009E6D7D"/>
    <w:rsid w:val="009F061B"/>
    <w:rsid w:val="009F0C1F"/>
    <w:rsid w:val="009F7D4B"/>
    <w:rsid w:val="00A003D1"/>
    <w:rsid w:val="00A012DA"/>
    <w:rsid w:val="00A07CBE"/>
    <w:rsid w:val="00A24276"/>
    <w:rsid w:val="00A26896"/>
    <w:rsid w:val="00A31024"/>
    <w:rsid w:val="00A3350B"/>
    <w:rsid w:val="00A37A61"/>
    <w:rsid w:val="00A416B6"/>
    <w:rsid w:val="00A44286"/>
    <w:rsid w:val="00A442EA"/>
    <w:rsid w:val="00A4685F"/>
    <w:rsid w:val="00A46E0E"/>
    <w:rsid w:val="00A54547"/>
    <w:rsid w:val="00A547D8"/>
    <w:rsid w:val="00A56877"/>
    <w:rsid w:val="00A656A5"/>
    <w:rsid w:val="00A665AC"/>
    <w:rsid w:val="00A6704A"/>
    <w:rsid w:val="00A678C9"/>
    <w:rsid w:val="00A678CD"/>
    <w:rsid w:val="00A70DE0"/>
    <w:rsid w:val="00A71615"/>
    <w:rsid w:val="00A71C6E"/>
    <w:rsid w:val="00A71DF0"/>
    <w:rsid w:val="00A73981"/>
    <w:rsid w:val="00A755E0"/>
    <w:rsid w:val="00A80234"/>
    <w:rsid w:val="00A81F2E"/>
    <w:rsid w:val="00A83EE8"/>
    <w:rsid w:val="00A90B88"/>
    <w:rsid w:val="00A90EB5"/>
    <w:rsid w:val="00A92DB1"/>
    <w:rsid w:val="00A93C79"/>
    <w:rsid w:val="00A96A68"/>
    <w:rsid w:val="00AA1C3B"/>
    <w:rsid w:val="00AA3F9E"/>
    <w:rsid w:val="00AA75BD"/>
    <w:rsid w:val="00AC0BAB"/>
    <w:rsid w:val="00AC1541"/>
    <w:rsid w:val="00AC278B"/>
    <w:rsid w:val="00AC6399"/>
    <w:rsid w:val="00AC66EA"/>
    <w:rsid w:val="00AC7895"/>
    <w:rsid w:val="00AC7BA1"/>
    <w:rsid w:val="00AD0901"/>
    <w:rsid w:val="00AD4394"/>
    <w:rsid w:val="00AD6990"/>
    <w:rsid w:val="00AE04B0"/>
    <w:rsid w:val="00AE5B40"/>
    <w:rsid w:val="00AF0278"/>
    <w:rsid w:val="00AF0345"/>
    <w:rsid w:val="00AF47E6"/>
    <w:rsid w:val="00B01096"/>
    <w:rsid w:val="00B04562"/>
    <w:rsid w:val="00B10E19"/>
    <w:rsid w:val="00B12944"/>
    <w:rsid w:val="00B12F01"/>
    <w:rsid w:val="00B13C50"/>
    <w:rsid w:val="00B16157"/>
    <w:rsid w:val="00B16984"/>
    <w:rsid w:val="00B170B4"/>
    <w:rsid w:val="00B17C91"/>
    <w:rsid w:val="00B239B4"/>
    <w:rsid w:val="00B32790"/>
    <w:rsid w:val="00B33392"/>
    <w:rsid w:val="00B3732E"/>
    <w:rsid w:val="00B44700"/>
    <w:rsid w:val="00B57156"/>
    <w:rsid w:val="00B606CE"/>
    <w:rsid w:val="00B61A49"/>
    <w:rsid w:val="00B61ADD"/>
    <w:rsid w:val="00B64D8F"/>
    <w:rsid w:val="00B760A5"/>
    <w:rsid w:val="00B76728"/>
    <w:rsid w:val="00B773D0"/>
    <w:rsid w:val="00B775CF"/>
    <w:rsid w:val="00B83C94"/>
    <w:rsid w:val="00B86C63"/>
    <w:rsid w:val="00B90599"/>
    <w:rsid w:val="00B9270A"/>
    <w:rsid w:val="00B9689C"/>
    <w:rsid w:val="00B9771F"/>
    <w:rsid w:val="00BA6C70"/>
    <w:rsid w:val="00BA7A44"/>
    <w:rsid w:val="00BB53BE"/>
    <w:rsid w:val="00BC1D2A"/>
    <w:rsid w:val="00BC23CA"/>
    <w:rsid w:val="00BC2448"/>
    <w:rsid w:val="00BC284B"/>
    <w:rsid w:val="00BC5B2B"/>
    <w:rsid w:val="00BC676F"/>
    <w:rsid w:val="00BD0995"/>
    <w:rsid w:val="00BD0F34"/>
    <w:rsid w:val="00BD4424"/>
    <w:rsid w:val="00BD6479"/>
    <w:rsid w:val="00BD7E49"/>
    <w:rsid w:val="00BE29B9"/>
    <w:rsid w:val="00BE3F4E"/>
    <w:rsid w:val="00BE7EC1"/>
    <w:rsid w:val="00BF769D"/>
    <w:rsid w:val="00C0346A"/>
    <w:rsid w:val="00C0676E"/>
    <w:rsid w:val="00C105AC"/>
    <w:rsid w:val="00C11AA6"/>
    <w:rsid w:val="00C1218A"/>
    <w:rsid w:val="00C14664"/>
    <w:rsid w:val="00C20239"/>
    <w:rsid w:val="00C2213A"/>
    <w:rsid w:val="00C223DB"/>
    <w:rsid w:val="00C248BF"/>
    <w:rsid w:val="00C256B3"/>
    <w:rsid w:val="00C37006"/>
    <w:rsid w:val="00C42644"/>
    <w:rsid w:val="00C47995"/>
    <w:rsid w:val="00C51FA7"/>
    <w:rsid w:val="00C55841"/>
    <w:rsid w:val="00C614BF"/>
    <w:rsid w:val="00C62648"/>
    <w:rsid w:val="00C76617"/>
    <w:rsid w:val="00C808A1"/>
    <w:rsid w:val="00C8514C"/>
    <w:rsid w:val="00C86B06"/>
    <w:rsid w:val="00C874CC"/>
    <w:rsid w:val="00C914D3"/>
    <w:rsid w:val="00C93F51"/>
    <w:rsid w:val="00C9422B"/>
    <w:rsid w:val="00C95123"/>
    <w:rsid w:val="00C97E3B"/>
    <w:rsid w:val="00CA0E17"/>
    <w:rsid w:val="00CA28AA"/>
    <w:rsid w:val="00CA30DE"/>
    <w:rsid w:val="00CA3E9D"/>
    <w:rsid w:val="00CB4B3F"/>
    <w:rsid w:val="00CC4CB8"/>
    <w:rsid w:val="00CD0DAA"/>
    <w:rsid w:val="00CD17AE"/>
    <w:rsid w:val="00CD2F98"/>
    <w:rsid w:val="00CD344A"/>
    <w:rsid w:val="00CD54DB"/>
    <w:rsid w:val="00CD7835"/>
    <w:rsid w:val="00CD7F7C"/>
    <w:rsid w:val="00CE7764"/>
    <w:rsid w:val="00CF501F"/>
    <w:rsid w:val="00CF6D79"/>
    <w:rsid w:val="00CF6DAB"/>
    <w:rsid w:val="00CF798D"/>
    <w:rsid w:val="00D037DB"/>
    <w:rsid w:val="00D03C48"/>
    <w:rsid w:val="00D11079"/>
    <w:rsid w:val="00D237C7"/>
    <w:rsid w:val="00D24583"/>
    <w:rsid w:val="00D270D0"/>
    <w:rsid w:val="00D31288"/>
    <w:rsid w:val="00D33FBE"/>
    <w:rsid w:val="00D34DDC"/>
    <w:rsid w:val="00D356BA"/>
    <w:rsid w:val="00D3680C"/>
    <w:rsid w:val="00D42285"/>
    <w:rsid w:val="00D42771"/>
    <w:rsid w:val="00D46274"/>
    <w:rsid w:val="00D466AF"/>
    <w:rsid w:val="00D50508"/>
    <w:rsid w:val="00D544B2"/>
    <w:rsid w:val="00D607FA"/>
    <w:rsid w:val="00D60CF8"/>
    <w:rsid w:val="00D622C8"/>
    <w:rsid w:val="00D71AE7"/>
    <w:rsid w:val="00D7389D"/>
    <w:rsid w:val="00D772EC"/>
    <w:rsid w:val="00D80577"/>
    <w:rsid w:val="00D83708"/>
    <w:rsid w:val="00D838E3"/>
    <w:rsid w:val="00D93F15"/>
    <w:rsid w:val="00DA08C9"/>
    <w:rsid w:val="00DA16D6"/>
    <w:rsid w:val="00DA1F8A"/>
    <w:rsid w:val="00DB1AB1"/>
    <w:rsid w:val="00DB579C"/>
    <w:rsid w:val="00DB65F7"/>
    <w:rsid w:val="00DC0970"/>
    <w:rsid w:val="00DC1D68"/>
    <w:rsid w:val="00DC2ADC"/>
    <w:rsid w:val="00DC373C"/>
    <w:rsid w:val="00DC73A8"/>
    <w:rsid w:val="00DE13C5"/>
    <w:rsid w:val="00DE32ED"/>
    <w:rsid w:val="00DE79FB"/>
    <w:rsid w:val="00DF2779"/>
    <w:rsid w:val="00E02B8E"/>
    <w:rsid w:val="00E03745"/>
    <w:rsid w:val="00E15002"/>
    <w:rsid w:val="00E204C6"/>
    <w:rsid w:val="00E23C5E"/>
    <w:rsid w:val="00E23E74"/>
    <w:rsid w:val="00E241AB"/>
    <w:rsid w:val="00E2727E"/>
    <w:rsid w:val="00E33345"/>
    <w:rsid w:val="00E3742D"/>
    <w:rsid w:val="00E37803"/>
    <w:rsid w:val="00E42095"/>
    <w:rsid w:val="00E428A8"/>
    <w:rsid w:val="00E50C38"/>
    <w:rsid w:val="00E510EF"/>
    <w:rsid w:val="00E6667E"/>
    <w:rsid w:val="00E7128A"/>
    <w:rsid w:val="00E72C91"/>
    <w:rsid w:val="00E7521E"/>
    <w:rsid w:val="00E83E84"/>
    <w:rsid w:val="00E840F1"/>
    <w:rsid w:val="00E856C6"/>
    <w:rsid w:val="00E85C70"/>
    <w:rsid w:val="00E87466"/>
    <w:rsid w:val="00E87A37"/>
    <w:rsid w:val="00E92310"/>
    <w:rsid w:val="00E9332A"/>
    <w:rsid w:val="00E940DE"/>
    <w:rsid w:val="00E958E2"/>
    <w:rsid w:val="00E9750F"/>
    <w:rsid w:val="00E975E2"/>
    <w:rsid w:val="00E97BDC"/>
    <w:rsid w:val="00EA020B"/>
    <w:rsid w:val="00EA2FC9"/>
    <w:rsid w:val="00EA5040"/>
    <w:rsid w:val="00EA7C5E"/>
    <w:rsid w:val="00EB0D18"/>
    <w:rsid w:val="00EB0DA3"/>
    <w:rsid w:val="00EB308F"/>
    <w:rsid w:val="00EC1570"/>
    <w:rsid w:val="00EC1F2C"/>
    <w:rsid w:val="00ED0878"/>
    <w:rsid w:val="00ED1248"/>
    <w:rsid w:val="00ED131C"/>
    <w:rsid w:val="00ED1FD3"/>
    <w:rsid w:val="00ED2070"/>
    <w:rsid w:val="00ED2F0A"/>
    <w:rsid w:val="00EE181A"/>
    <w:rsid w:val="00EE1969"/>
    <w:rsid w:val="00EE53D6"/>
    <w:rsid w:val="00EE7BE8"/>
    <w:rsid w:val="00EF0631"/>
    <w:rsid w:val="00EF0D02"/>
    <w:rsid w:val="00EF2430"/>
    <w:rsid w:val="00EF64CE"/>
    <w:rsid w:val="00EF6D5C"/>
    <w:rsid w:val="00EF7113"/>
    <w:rsid w:val="00F00BF6"/>
    <w:rsid w:val="00F01455"/>
    <w:rsid w:val="00F07959"/>
    <w:rsid w:val="00F10914"/>
    <w:rsid w:val="00F10A0F"/>
    <w:rsid w:val="00F11B5A"/>
    <w:rsid w:val="00F16078"/>
    <w:rsid w:val="00F202EF"/>
    <w:rsid w:val="00F23E5A"/>
    <w:rsid w:val="00F3348E"/>
    <w:rsid w:val="00F344BB"/>
    <w:rsid w:val="00F35EA8"/>
    <w:rsid w:val="00F37CB3"/>
    <w:rsid w:val="00F4000E"/>
    <w:rsid w:val="00F41569"/>
    <w:rsid w:val="00F43337"/>
    <w:rsid w:val="00F45977"/>
    <w:rsid w:val="00F47907"/>
    <w:rsid w:val="00F52E76"/>
    <w:rsid w:val="00F56F84"/>
    <w:rsid w:val="00F575AE"/>
    <w:rsid w:val="00F62302"/>
    <w:rsid w:val="00F65052"/>
    <w:rsid w:val="00F7224F"/>
    <w:rsid w:val="00F74150"/>
    <w:rsid w:val="00F74B49"/>
    <w:rsid w:val="00F76D4A"/>
    <w:rsid w:val="00F80E25"/>
    <w:rsid w:val="00F8672B"/>
    <w:rsid w:val="00F9318D"/>
    <w:rsid w:val="00F961F3"/>
    <w:rsid w:val="00F97EA8"/>
    <w:rsid w:val="00FB553E"/>
    <w:rsid w:val="00FB66D8"/>
    <w:rsid w:val="00FC165E"/>
    <w:rsid w:val="00FC793B"/>
    <w:rsid w:val="00FD24B3"/>
    <w:rsid w:val="00FD30FA"/>
    <w:rsid w:val="00FE450E"/>
    <w:rsid w:val="00FE4D31"/>
    <w:rsid w:val="00FE6471"/>
    <w:rsid w:val="00FE6C6E"/>
    <w:rsid w:val="00FF0244"/>
    <w:rsid w:val="00FF37F6"/>
    <w:rsid w:val="00FF5B2B"/>
    <w:rsid w:val="00FF71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0243"/>
  <w15:chartTrackingRefBased/>
  <w15:docId w15:val="{C9BD7E84-624F-40BE-8DAA-D0F235A9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F6"/>
    <w:pPr>
      <w:spacing w:line="276" w:lineRule="auto"/>
      <w:jc w:val="both"/>
    </w:pPr>
    <w:rPr>
      <w:sz w:val="24"/>
    </w:rPr>
  </w:style>
  <w:style w:type="paragraph" w:styleId="Ttulo1">
    <w:name w:val="heading 1"/>
    <w:basedOn w:val="Normal"/>
    <w:link w:val="Ttulo1Car"/>
    <w:uiPriority w:val="9"/>
    <w:qFormat/>
    <w:rsid w:val="0046129A"/>
    <w:pPr>
      <w:spacing w:before="100" w:beforeAutospacing="1" w:after="100" w:afterAutospacing="1" w:line="240" w:lineRule="auto"/>
      <w:outlineLvl w:val="0"/>
    </w:pPr>
    <w:rPr>
      <w:rFonts w:ascii="Times New Roman" w:eastAsia="Times New Roman" w:hAnsi="Times New Roman" w:cs="Times New Roman"/>
      <w:b/>
      <w:bCs/>
      <w:kern w:val="36"/>
      <w:sz w:val="25"/>
      <w:szCs w:val="25"/>
      <w:lang w:eastAsia="es-ES"/>
    </w:rPr>
  </w:style>
  <w:style w:type="paragraph" w:styleId="Ttulo2">
    <w:name w:val="heading 2"/>
    <w:basedOn w:val="Normal"/>
    <w:next w:val="Normal"/>
    <w:link w:val="Ttulo2Car"/>
    <w:uiPriority w:val="9"/>
    <w:unhideWhenUsed/>
    <w:qFormat/>
    <w:rsid w:val="004612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6129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29A"/>
    <w:rPr>
      <w:rFonts w:ascii="Times New Roman" w:eastAsia="Times New Roman" w:hAnsi="Times New Roman" w:cs="Times New Roman"/>
      <w:b/>
      <w:bCs/>
      <w:kern w:val="36"/>
      <w:sz w:val="25"/>
      <w:szCs w:val="25"/>
      <w:lang w:eastAsia="es-ES"/>
    </w:rPr>
  </w:style>
  <w:style w:type="character" w:styleId="Hipervnculo">
    <w:name w:val="Hyperlink"/>
    <w:basedOn w:val="Fuentedeprrafopredeter"/>
    <w:uiPriority w:val="99"/>
    <w:rsid w:val="0046129A"/>
    <w:rPr>
      <w:color w:val="0000FF"/>
      <w:u w:val="single"/>
    </w:rPr>
  </w:style>
  <w:style w:type="paragraph" w:styleId="Prrafodelista">
    <w:name w:val="List Paragraph"/>
    <w:aliases w:val="Titulo 2,VIÑETA,Figuras de tesis,titulo 3,Con viñetas,Normal con viñetas,3,Use Case List Paragraph,Bullet 1,List Paragraph 1,Numbered List Paragraph,Main numbered paragraph,Bullets,List Paragraph (numbered (a)),Akapit z listą BS,Liste 1"/>
    <w:basedOn w:val="Normal"/>
    <w:link w:val="PrrafodelistaCar"/>
    <w:uiPriority w:val="34"/>
    <w:qFormat/>
    <w:rsid w:val="0046129A"/>
    <w:pPr>
      <w:spacing w:after="200"/>
      <w:ind w:left="720"/>
      <w:contextualSpacing/>
    </w:pPr>
    <w:rPr>
      <w:rFonts w:eastAsiaTheme="minorEastAsia"/>
      <w:lang w:eastAsia="es-CR"/>
    </w:rPr>
  </w:style>
  <w:style w:type="character" w:customStyle="1" w:styleId="PrrafodelistaCar">
    <w:name w:val="Párrafo de lista Car"/>
    <w:aliases w:val="Titulo 2 Car,VIÑETA Car,Figuras de tesis Car,titulo 3 Car,Con viñetas Car,Normal con viñetas Car,3 Car,Use Case List Paragraph Car,Bullet 1 Car,List Paragraph 1 Car,Numbered List Paragraph Car,Main numbered paragraph Car,Bullets Car"/>
    <w:basedOn w:val="Fuentedeprrafopredeter"/>
    <w:link w:val="Prrafodelista"/>
    <w:uiPriority w:val="34"/>
    <w:locked/>
    <w:rsid w:val="0046129A"/>
    <w:rPr>
      <w:rFonts w:eastAsiaTheme="minorEastAsia"/>
      <w:lang w:eastAsia="es-CR"/>
    </w:rPr>
  </w:style>
  <w:style w:type="table" w:customStyle="1" w:styleId="Listaclara-nfasis11">
    <w:name w:val="Lista clara - Énfasis 11"/>
    <w:basedOn w:val="Tablanormal"/>
    <w:uiPriority w:val="61"/>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notapie">
    <w:name w:val="footnote text"/>
    <w:aliases w:val="Footnote Text Char2,Footnote Text Char1 Char1,Footnote Text Char Char Char,Footnote Text Char1 Char Char Char,Footnote Text Char Char Char Char Char,Footnote Text Char1 Char Char Char Char Char,Footnote Text Char,Footnote Text Char1 Char"/>
    <w:basedOn w:val="Normal"/>
    <w:link w:val="TextonotapieCar"/>
    <w:uiPriority w:val="99"/>
    <w:unhideWhenUsed/>
    <w:rsid w:val="0046129A"/>
    <w:pPr>
      <w:spacing w:line="240" w:lineRule="auto"/>
    </w:pPr>
    <w:rPr>
      <w:rFonts w:eastAsiaTheme="minorEastAsia"/>
      <w:sz w:val="20"/>
      <w:szCs w:val="20"/>
      <w:lang w:eastAsia="es-CR"/>
    </w:rPr>
  </w:style>
  <w:style w:type="character" w:customStyle="1" w:styleId="TextonotapieCar">
    <w:name w:val="Texto nota pie Car"/>
    <w:aliases w:val="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46129A"/>
    <w:rPr>
      <w:rFonts w:eastAsiaTheme="minorEastAsia"/>
      <w:sz w:val="20"/>
      <w:szCs w:val="20"/>
      <w:lang w:eastAsia="es-CR"/>
    </w:rPr>
  </w:style>
  <w:style w:type="character" w:styleId="Refdenotaalpie">
    <w:name w:val="footnote reference"/>
    <w:aliases w:val="Ref,de nota al pie,16 Point,Superscript 6 Point,Superscript 6 Point + 11 pt,FC,ftref,referencia nota al pie"/>
    <w:basedOn w:val="Fuentedeprrafopredeter"/>
    <w:uiPriority w:val="99"/>
    <w:unhideWhenUsed/>
    <w:rsid w:val="0046129A"/>
    <w:rPr>
      <w:vertAlign w:val="superscript"/>
    </w:rPr>
  </w:style>
  <w:style w:type="character" w:customStyle="1" w:styleId="Ttulo2Car">
    <w:name w:val="Título 2 Car"/>
    <w:basedOn w:val="Fuentedeprrafopredeter"/>
    <w:link w:val="Ttulo2"/>
    <w:uiPriority w:val="9"/>
    <w:rsid w:val="0046129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46129A"/>
    <w:rPr>
      <w:rFonts w:asciiTheme="majorHAnsi" w:eastAsiaTheme="majorEastAsia" w:hAnsiTheme="majorHAnsi" w:cstheme="majorBidi"/>
      <w:color w:val="243F60" w:themeColor="accent1" w:themeShade="7F"/>
      <w:sz w:val="24"/>
      <w:szCs w:val="24"/>
    </w:rPr>
  </w:style>
  <w:style w:type="table" w:customStyle="1" w:styleId="Cuadrculaclara-nfasis11">
    <w:name w:val="Cuadrícula clara - Énfasis 11"/>
    <w:basedOn w:val="Tablanormal"/>
    <w:uiPriority w:val="62"/>
    <w:rsid w:val="0046129A"/>
    <w:pPr>
      <w:spacing w:line="240" w:lineRule="auto"/>
    </w:pPr>
    <w:rPr>
      <w:rFonts w:eastAsiaTheme="minorEastAsia"/>
      <w:lang w:eastAsia="es-C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129A"/>
    <w:pPr>
      <w:spacing w:before="150" w:after="100" w:afterAutospacing="1" w:line="225" w:lineRule="atLeast"/>
      <w:ind w:left="150"/>
    </w:pPr>
    <w:rPr>
      <w:rFonts w:ascii="Arial" w:eastAsia="Times New Roman" w:hAnsi="Arial" w:cs="Arial"/>
      <w:color w:val="333333"/>
      <w:sz w:val="18"/>
      <w:szCs w:val="18"/>
      <w:lang w:eastAsia="es-ES"/>
    </w:rPr>
  </w:style>
  <w:style w:type="paragraph" w:styleId="TtulodeTDC">
    <w:name w:val="TOC Heading"/>
    <w:basedOn w:val="Ttulo1"/>
    <w:next w:val="Normal"/>
    <w:uiPriority w:val="39"/>
    <w:unhideWhenUsed/>
    <w:qFormat/>
    <w:rsid w:val="0046129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s-CR"/>
    </w:rPr>
  </w:style>
  <w:style w:type="paragraph" w:styleId="TDC1">
    <w:name w:val="toc 1"/>
    <w:basedOn w:val="Normal"/>
    <w:next w:val="Normal"/>
    <w:autoRedefine/>
    <w:uiPriority w:val="39"/>
    <w:unhideWhenUsed/>
    <w:rsid w:val="0046129A"/>
    <w:pPr>
      <w:tabs>
        <w:tab w:val="right" w:leader="dot" w:pos="8828"/>
      </w:tabs>
      <w:spacing w:after="100" w:line="240" w:lineRule="auto"/>
      <w:ind w:left="284" w:hanging="284"/>
    </w:pPr>
    <w:rPr>
      <w:rFonts w:eastAsiaTheme="minorEastAsia"/>
      <w:lang w:eastAsia="es-CR"/>
    </w:rPr>
  </w:style>
  <w:style w:type="paragraph" w:styleId="TDC3">
    <w:name w:val="toc 3"/>
    <w:basedOn w:val="Normal"/>
    <w:next w:val="Normal"/>
    <w:autoRedefine/>
    <w:uiPriority w:val="39"/>
    <w:unhideWhenUsed/>
    <w:rsid w:val="0046129A"/>
    <w:pPr>
      <w:tabs>
        <w:tab w:val="left" w:pos="880"/>
        <w:tab w:val="right" w:leader="dot" w:pos="8828"/>
      </w:tabs>
      <w:spacing w:before="120" w:after="120"/>
      <w:ind w:left="426"/>
    </w:pPr>
    <w:rPr>
      <w:rFonts w:ascii="Century Gothic" w:eastAsiaTheme="minorEastAsia" w:hAnsi="Century Gothic"/>
      <w:i/>
      <w:noProof/>
      <w:sz w:val="20"/>
      <w:lang w:eastAsia="es-CR"/>
    </w:rPr>
  </w:style>
  <w:style w:type="paragraph" w:styleId="TDC2">
    <w:name w:val="toc 2"/>
    <w:basedOn w:val="Normal"/>
    <w:next w:val="Normal"/>
    <w:autoRedefine/>
    <w:uiPriority w:val="39"/>
    <w:unhideWhenUsed/>
    <w:rsid w:val="0046129A"/>
    <w:pPr>
      <w:tabs>
        <w:tab w:val="right" w:leader="dot" w:pos="8828"/>
      </w:tabs>
      <w:spacing w:after="100"/>
      <w:ind w:left="426"/>
    </w:pPr>
    <w:rPr>
      <w:rFonts w:eastAsiaTheme="minorEastAsia"/>
      <w:lang w:eastAsia="es-CR"/>
    </w:rPr>
  </w:style>
  <w:style w:type="paragraph" w:styleId="Encabezado">
    <w:name w:val="header"/>
    <w:basedOn w:val="Normal"/>
    <w:link w:val="EncabezadoCar"/>
    <w:uiPriority w:val="99"/>
    <w:unhideWhenUsed/>
    <w:rsid w:val="008C50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C5005"/>
    <w:rPr>
      <w:sz w:val="24"/>
    </w:rPr>
  </w:style>
  <w:style w:type="paragraph" w:styleId="Piedepgina">
    <w:name w:val="footer"/>
    <w:basedOn w:val="Normal"/>
    <w:link w:val="PiedepginaCar"/>
    <w:uiPriority w:val="99"/>
    <w:unhideWhenUsed/>
    <w:rsid w:val="008C50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C5005"/>
    <w:rPr>
      <w:sz w:val="24"/>
    </w:rPr>
  </w:style>
  <w:style w:type="character" w:styleId="Textodelmarcadordeposicin">
    <w:name w:val="Placeholder Text"/>
    <w:basedOn w:val="Fuentedeprrafopredeter"/>
    <w:uiPriority w:val="99"/>
    <w:semiHidden/>
    <w:rsid w:val="006E6D98"/>
    <w:rPr>
      <w:color w:val="808080"/>
    </w:rPr>
  </w:style>
  <w:style w:type="character" w:styleId="Hipervnculovisitado">
    <w:name w:val="FollowedHyperlink"/>
    <w:basedOn w:val="Fuentedeprrafopredeter"/>
    <w:uiPriority w:val="99"/>
    <w:semiHidden/>
    <w:unhideWhenUsed/>
    <w:rsid w:val="00B760A5"/>
    <w:rPr>
      <w:color w:val="800080" w:themeColor="followedHyperlink"/>
      <w:u w:val="single"/>
    </w:rPr>
  </w:style>
  <w:style w:type="paragraph" w:styleId="Puesto">
    <w:name w:val="Title"/>
    <w:basedOn w:val="Normal"/>
    <w:next w:val="Normal"/>
    <w:link w:val="PuestoCar"/>
    <w:uiPriority w:val="10"/>
    <w:qFormat/>
    <w:rsid w:val="005064AA"/>
    <w:pPr>
      <w:spacing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64AA"/>
    <w:rPr>
      <w:rFonts w:asciiTheme="majorHAnsi" w:eastAsiaTheme="majorEastAsia" w:hAnsiTheme="majorHAnsi" w:cstheme="majorBidi"/>
      <w:spacing w:val="-10"/>
      <w:kern w:val="28"/>
      <w:sz w:val="56"/>
      <w:szCs w:val="56"/>
    </w:rPr>
  </w:style>
  <w:style w:type="table" w:styleId="Tablaconcuadrcula">
    <w:name w:val="Table Grid"/>
    <w:basedOn w:val="Tablanormal"/>
    <w:rsid w:val="001F2C7F"/>
    <w:pPr>
      <w:spacing w:line="240" w:lineRule="auto"/>
    </w:pPr>
    <w:rPr>
      <w:rFonts w:eastAsiaTheme="minorEastAsia"/>
      <w:lang w:eastAsia="es-C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unhideWhenUsed/>
    <w:rsid w:val="00D33FBE"/>
    <w:rPr>
      <w:sz w:val="16"/>
      <w:szCs w:val="16"/>
    </w:rPr>
  </w:style>
  <w:style w:type="paragraph" w:styleId="Textocomentario">
    <w:name w:val="annotation text"/>
    <w:basedOn w:val="Normal"/>
    <w:link w:val="TextocomentarioCar"/>
    <w:uiPriority w:val="99"/>
    <w:unhideWhenUsed/>
    <w:rsid w:val="00D33FBE"/>
    <w:pPr>
      <w:spacing w:line="240" w:lineRule="auto"/>
    </w:pPr>
    <w:rPr>
      <w:sz w:val="20"/>
      <w:szCs w:val="20"/>
    </w:rPr>
  </w:style>
  <w:style w:type="character" w:customStyle="1" w:styleId="TextocomentarioCar">
    <w:name w:val="Texto comentario Car"/>
    <w:basedOn w:val="Fuentedeprrafopredeter"/>
    <w:link w:val="Textocomentario"/>
    <w:uiPriority w:val="99"/>
    <w:rsid w:val="00D33FBE"/>
    <w:rPr>
      <w:sz w:val="20"/>
      <w:szCs w:val="20"/>
    </w:rPr>
  </w:style>
  <w:style w:type="paragraph" w:styleId="Asuntodelcomentario">
    <w:name w:val="annotation subject"/>
    <w:basedOn w:val="Textocomentario"/>
    <w:next w:val="Textocomentario"/>
    <w:link w:val="AsuntodelcomentarioCar"/>
    <w:uiPriority w:val="99"/>
    <w:semiHidden/>
    <w:unhideWhenUsed/>
    <w:rsid w:val="00D33FBE"/>
    <w:rPr>
      <w:b/>
      <w:bCs/>
    </w:rPr>
  </w:style>
  <w:style w:type="character" w:customStyle="1" w:styleId="AsuntodelcomentarioCar">
    <w:name w:val="Asunto del comentario Car"/>
    <w:basedOn w:val="TextocomentarioCar"/>
    <w:link w:val="Asuntodelcomentario"/>
    <w:uiPriority w:val="99"/>
    <w:semiHidden/>
    <w:rsid w:val="00D33FBE"/>
    <w:rPr>
      <w:b/>
      <w:bCs/>
      <w:sz w:val="20"/>
      <w:szCs w:val="20"/>
    </w:rPr>
  </w:style>
  <w:style w:type="paragraph" w:styleId="Textodeglobo">
    <w:name w:val="Balloon Text"/>
    <w:basedOn w:val="Normal"/>
    <w:link w:val="TextodegloboCar"/>
    <w:uiPriority w:val="99"/>
    <w:semiHidden/>
    <w:unhideWhenUsed/>
    <w:rsid w:val="00D33F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FBE"/>
    <w:rPr>
      <w:rFonts w:ascii="Segoe UI" w:hAnsi="Segoe UI" w:cs="Segoe UI"/>
      <w:sz w:val="18"/>
      <w:szCs w:val="18"/>
    </w:rPr>
  </w:style>
  <w:style w:type="paragraph" w:customStyle="1" w:styleId="Default">
    <w:name w:val="Default"/>
    <w:rsid w:val="00A547D8"/>
    <w:pPr>
      <w:autoSpaceDE w:val="0"/>
      <w:autoSpaceDN w:val="0"/>
      <w:adjustRightInd w:val="0"/>
      <w:spacing w:line="240" w:lineRule="auto"/>
    </w:pPr>
    <w:rPr>
      <w:rFonts w:ascii="Book Antiqua" w:hAnsi="Book Antiqua" w:cs="Book Antiqua"/>
      <w:color w:val="000000"/>
      <w:sz w:val="24"/>
      <w:szCs w:val="24"/>
    </w:rPr>
  </w:style>
  <w:style w:type="paragraph" w:customStyle="1" w:styleId="PrrafoTtulosCar1">
    <w:name w:val="Párrafo Títulos Car1"/>
    <w:basedOn w:val="Normal"/>
    <w:link w:val="PrrafoTtulosCar1Car"/>
    <w:rsid w:val="008C6C48"/>
    <w:pPr>
      <w:spacing w:before="160" w:after="160" w:line="240" w:lineRule="auto"/>
      <w:ind w:left="1701"/>
    </w:pPr>
    <w:rPr>
      <w:rFonts w:ascii="Arial" w:eastAsia="Times New Roman" w:hAnsi="Arial" w:cs="Times New Roman"/>
      <w:sz w:val="20"/>
      <w:szCs w:val="24"/>
      <w:lang w:val="es-ES"/>
    </w:rPr>
  </w:style>
  <w:style w:type="character" w:customStyle="1" w:styleId="PrrafoTtulosCar1Car">
    <w:name w:val="Párrafo Títulos Car1 Car"/>
    <w:link w:val="PrrafoTtulosCar1"/>
    <w:rsid w:val="008C6C48"/>
    <w:rPr>
      <w:rFonts w:ascii="Arial" w:eastAsia="Times New Roman" w:hAnsi="Arial" w:cs="Times New Roman"/>
      <w:sz w:val="20"/>
      <w:szCs w:val="24"/>
      <w:lang w:val="es-ES"/>
    </w:rPr>
  </w:style>
  <w:style w:type="paragraph" w:styleId="Textoindependiente">
    <w:name w:val="Body Text"/>
    <w:basedOn w:val="Normal"/>
    <w:link w:val="TextoindependienteCar"/>
    <w:rsid w:val="00043E29"/>
    <w:pPr>
      <w:spacing w:line="240" w:lineRule="auto"/>
    </w:pPr>
    <w:rPr>
      <w:rFonts w:ascii="Times New Roman" w:eastAsia="Times New Roman" w:hAnsi="Times New Roman" w:cs="Times New Roman"/>
      <w:szCs w:val="20"/>
      <w:u w:val="single"/>
    </w:rPr>
  </w:style>
  <w:style w:type="character" w:customStyle="1" w:styleId="TextoindependienteCar">
    <w:name w:val="Texto independiente Car"/>
    <w:basedOn w:val="Fuentedeprrafopredeter"/>
    <w:link w:val="Textoindependiente"/>
    <w:rsid w:val="00043E29"/>
    <w:rPr>
      <w:rFonts w:ascii="Times New Roman" w:eastAsia="Times New Roman" w:hAnsi="Times New Roman" w:cs="Times New Roman"/>
      <w:sz w:val="24"/>
      <w:szCs w:val="20"/>
      <w:u w:val="single"/>
    </w:rPr>
  </w:style>
  <w:style w:type="table" w:styleId="Listaclara-nfasis1">
    <w:name w:val="Light List Accent 1"/>
    <w:basedOn w:val="Tablanormal"/>
    <w:uiPriority w:val="61"/>
    <w:rsid w:val="00803D49"/>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oennegrita">
    <w:name w:val="Strong"/>
    <w:basedOn w:val="Fuentedeprrafopredeter"/>
    <w:uiPriority w:val="22"/>
    <w:qFormat/>
    <w:rsid w:val="007C4ADA"/>
    <w:rPr>
      <w:b/>
      <w:bCs/>
    </w:rPr>
  </w:style>
  <w:style w:type="table" w:styleId="Tabladelista3-nfasis5">
    <w:name w:val="List Table 3 Accent 5"/>
    <w:basedOn w:val="Tablanormal"/>
    <w:uiPriority w:val="48"/>
    <w:rsid w:val="00336BB6"/>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cuadrcula1clara">
    <w:name w:val="Grid Table 1 Light"/>
    <w:basedOn w:val="Tablanormal"/>
    <w:uiPriority w:val="46"/>
    <w:rsid w:val="00D3128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F80E25"/>
    <w:pPr>
      <w:spacing w:after="120"/>
      <w:ind w:left="283"/>
    </w:pPr>
  </w:style>
  <w:style w:type="character" w:customStyle="1" w:styleId="SangradetextonormalCar">
    <w:name w:val="Sangría de texto normal Car"/>
    <w:basedOn w:val="Fuentedeprrafopredeter"/>
    <w:link w:val="Sangradetextonormal"/>
    <w:uiPriority w:val="99"/>
    <w:semiHidden/>
    <w:rsid w:val="00F80E25"/>
    <w:rPr>
      <w:sz w:val="24"/>
    </w:rPr>
  </w:style>
  <w:style w:type="paragraph" w:styleId="Textoindependienteprimerasangra2">
    <w:name w:val="Body Text First Indent 2"/>
    <w:basedOn w:val="Sangradetextonormal"/>
    <w:link w:val="Textoindependienteprimerasangra2Car"/>
    <w:uiPriority w:val="99"/>
    <w:semiHidden/>
    <w:unhideWhenUsed/>
    <w:rsid w:val="00F80E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80E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0043">
      <w:bodyDiv w:val="1"/>
      <w:marLeft w:val="0"/>
      <w:marRight w:val="0"/>
      <w:marTop w:val="0"/>
      <w:marBottom w:val="0"/>
      <w:divBdr>
        <w:top w:val="none" w:sz="0" w:space="0" w:color="auto"/>
        <w:left w:val="none" w:sz="0" w:space="0" w:color="auto"/>
        <w:bottom w:val="none" w:sz="0" w:space="0" w:color="auto"/>
        <w:right w:val="none" w:sz="0" w:space="0" w:color="auto"/>
      </w:divBdr>
    </w:div>
    <w:div w:id="138959050">
      <w:bodyDiv w:val="1"/>
      <w:marLeft w:val="0"/>
      <w:marRight w:val="0"/>
      <w:marTop w:val="0"/>
      <w:marBottom w:val="0"/>
      <w:divBdr>
        <w:top w:val="none" w:sz="0" w:space="0" w:color="auto"/>
        <w:left w:val="none" w:sz="0" w:space="0" w:color="auto"/>
        <w:bottom w:val="none" w:sz="0" w:space="0" w:color="auto"/>
        <w:right w:val="none" w:sz="0" w:space="0" w:color="auto"/>
      </w:divBdr>
    </w:div>
    <w:div w:id="173343715">
      <w:bodyDiv w:val="1"/>
      <w:marLeft w:val="0"/>
      <w:marRight w:val="0"/>
      <w:marTop w:val="0"/>
      <w:marBottom w:val="0"/>
      <w:divBdr>
        <w:top w:val="none" w:sz="0" w:space="0" w:color="auto"/>
        <w:left w:val="none" w:sz="0" w:space="0" w:color="auto"/>
        <w:bottom w:val="none" w:sz="0" w:space="0" w:color="auto"/>
        <w:right w:val="none" w:sz="0" w:space="0" w:color="auto"/>
      </w:divBdr>
    </w:div>
    <w:div w:id="201983292">
      <w:bodyDiv w:val="1"/>
      <w:marLeft w:val="0"/>
      <w:marRight w:val="0"/>
      <w:marTop w:val="0"/>
      <w:marBottom w:val="0"/>
      <w:divBdr>
        <w:top w:val="none" w:sz="0" w:space="0" w:color="auto"/>
        <w:left w:val="none" w:sz="0" w:space="0" w:color="auto"/>
        <w:bottom w:val="none" w:sz="0" w:space="0" w:color="auto"/>
        <w:right w:val="none" w:sz="0" w:space="0" w:color="auto"/>
      </w:divBdr>
    </w:div>
    <w:div w:id="226495030">
      <w:bodyDiv w:val="1"/>
      <w:marLeft w:val="0"/>
      <w:marRight w:val="0"/>
      <w:marTop w:val="0"/>
      <w:marBottom w:val="0"/>
      <w:divBdr>
        <w:top w:val="none" w:sz="0" w:space="0" w:color="auto"/>
        <w:left w:val="none" w:sz="0" w:space="0" w:color="auto"/>
        <w:bottom w:val="none" w:sz="0" w:space="0" w:color="auto"/>
        <w:right w:val="none" w:sz="0" w:space="0" w:color="auto"/>
      </w:divBdr>
    </w:div>
    <w:div w:id="266933738">
      <w:bodyDiv w:val="1"/>
      <w:marLeft w:val="0"/>
      <w:marRight w:val="0"/>
      <w:marTop w:val="0"/>
      <w:marBottom w:val="0"/>
      <w:divBdr>
        <w:top w:val="none" w:sz="0" w:space="0" w:color="auto"/>
        <w:left w:val="none" w:sz="0" w:space="0" w:color="auto"/>
        <w:bottom w:val="none" w:sz="0" w:space="0" w:color="auto"/>
        <w:right w:val="none" w:sz="0" w:space="0" w:color="auto"/>
      </w:divBdr>
    </w:div>
    <w:div w:id="315301438">
      <w:bodyDiv w:val="1"/>
      <w:marLeft w:val="0"/>
      <w:marRight w:val="0"/>
      <w:marTop w:val="0"/>
      <w:marBottom w:val="0"/>
      <w:divBdr>
        <w:top w:val="none" w:sz="0" w:space="0" w:color="auto"/>
        <w:left w:val="none" w:sz="0" w:space="0" w:color="auto"/>
        <w:bottom w:val="none" w:sz="0" w:space="0" w:color="auto"/>
        <w:right w:val="none" w:sz="0" w:space="0" w:color="auto"/>
      </w:divBdr>
    </w:div>
    <w:div w:id="330761704">
      <w:bodyDiv w:val="1"/>
      <w:marLeft w:val="0"/>
      <w:marRight w:val="0"/>
      <w:marTop w:val="0"/>
      <w:marBottom w:val="0"/>
      <w:divBdr>
        <w:top w:val="none" w:sz="0" w:space="0" w:color="auto"/>
        <w:left w:val="none" w:sz="0" w:space="0" w:color="auto"/>
        <w:bottom w:val="none" w:sz="0" w:space="0" w:color="auto"/>
        <w:right w:val="none" w:sz="0" w:space="0" w:color="auto"/>
      </w:divBdr>
    </w:div>
    <w:div w:id="356198340">
      <w:bodyDiv w:val="1"/>
      <w:marLeft w:val="0"/>
      <w:marRight w:val="0"/>
      <w:marTop w:val="0"/>
      <w:marBottom w:val="0"/>
      <w:divBdr>
        <w:top w:val="none" w:sz="0" w:space="0" w:color="auto"/>
        <w:left w:val="none" w:sz="0" w:space="0" w:color="auto"/>
        <w:bottom w:val="none" w:sz="0" w:space="0" w:color="auto"/>
        <w:right w:val="none" w:sz="0" w:space="0" w:color="auto"/>
      </w:divBdr>
    </w:div>
    <w:div w:id="363481636">
      <w:bodyDiv w:val="1"/>
      <w:marLeft w:val="0"/>
      <w:marRight w:val="0"/>
      <w:marTop w:val="0"/>
      <w:marBottom w:val="0"/>
      <w:divBdr>
        <w:top w:val="none" w:sz="0" w:space="0" w:color="auto"/>
        <w:left w:val="none" w:sz="0" w:space="0" w:color="auto"/>
        <w:bottom w:val="none" w:sz="0" w:space="0" w:color="auto"/>
        <w:right w:val="none" w:sz="0" w:space="0" w:color="auto"/>
      </w:divBdr>
    </w:div>
    <w:div w:id="417096000">
      <w:bodyDiv w:val="1"/>
      <w:marLeft w:val="0"/>
      <w:marRight w:val="0"/>
      <w:marTop w:val="0"/>
      <w:marBottom w:val="0"/>
      <w:divBdr>
        <w:top w:val="none" w:sz="0" w:space="0" w:color="auto"/>
        <w:left w:val="none" w:sz="0" w:space="0" w:color="auto"/>
        <w:bottom w:val="none" w:sz="0" w:space="0" w:color="auto"/>
        <w:right w:val="none" w:sz="0" w:space="0" w:color="auto"/>
      </w:divBdr>
    </w:div>
    <w:div w:id="478965757">
      <w:bodyDiv w:val="1"/>
      <w:marLeft w:val="0"/>
      <w:marRight w:val="0"/>
      <w:marTop w:val="0"/>
      <w:marBottom w:val="0"/>
      <w:divBdr>
        <w:top w:val="none" w:sz="0" w:space="0" w:color="auto"/>
        <w:left w:val="none" w:sz="0" w:space="0" w:color="auto"/>
        <w:bottom w:val="none" w:sz="0" w:space="0" w:color="auto"/>
        <w:right w:val="none" w:sz="0" w:space="0" w:color="auto"/>
      </w:divBdr>
    </w:div>
    <w:div w:id="524710812">
      <w:bodyDiv w:val="1"/>
      <w:marLeft w:val="0"/>
      <w:marRight w:val="0"/>
      <w:marTop w:val="0"/>
      <w:marBottom w:val="0"/>
      <w:divBdr>
        <w:top w:val="none" w:sz="0" w:space="0" w:color="auto"/>
        <w:left w:val="none" w:sz="0" w:space="0" w:color="auto"/>
        <w:bottom w:val="none" w:sz="0" w:space="0" w:color="auto"/>
        <w:right w:val="none" w:sz="0" w:space="0" w:color="auto"/>
      </w:divBdr>
    </w:div>
    <w:div w:id="549196910">
      <w:bodyDiv w:val="1"/>
      <w:marLeft w:val="0"/>
      <w:marRight w:val="0"/>
      <w:marTop w:val="0"/>
      <w:marBottom w:val="0"/>
      <w:divBdr>
        <w:top w:val="none" w:sz="0" w:space="0" w:color="auto"/>
        <w:left w:val="none" w:sz="0" w:space="0" w:color="auto"/>
        <w:bottom w:val="none" w:sz="0" w:space="0" w:color="auto"/>
        <w:right w:val="none" w:sz="0" w:space="0" w:color="auto"/>
      </w:divBdr>
    </w:div>
    <w:div w:id="555704237">
      <w:bodyDiv w:val="1"/>
      <w:marLeft w:val="0"/>
      <w:marRight w:val="0"/>
      <w:marTop w:val="0"/>
      <w:marBottom w:val="0"/>
      <w:divBdr>
        <w:top w:val="none" w:sz="0" w:space="0" w:color="auto"/>
        <w:left w:val="none" w:sz="0" w:space="0" w:color="auto"/>
        <w:bottom w:val="none" w:sz="0" w:space="0" w:color="auto"/>
        <w:right w:val="none" w:sz="0" w:space="0" w:color="auto"/>
      </w:divBdr>
    </w:div>
    <w:div w:id="555747830">
      <w:bodyDiv w:val="1"/>
      <w:marLeft w:val="0"/>
      <w:marRight w:val="0"/>
      <w:marTop w:val="0"/>
      <w:marBottom w:val="0"/>
      <w:divBdr>
        <w:top w:val="none" w:sz="0" w:space="0" w:color="auto"/>
        <w:left w:val="none" w:sz="0" w:space="0" w:color="auto"/>
        <w:bottom w:val="none" w:sz="0" w:space="0" w:color="auto"/>
        <w:right w:val="none" w:sz="0" w:space="0" w:color="auto"/>
      </w:divBdr>
    </w:div>
    <w:div w:id="575285064">
      <w:bodyDiv w:val="1"/>
      <w:marLeft w:val="0"/>
      <w:marRight w:val="0"/>
      <w:marTop w:val="0"/>
      <w:marBottom w:val="0"/>
      <w:divBdr>
        <w:top w:val="none" w:sz="0" w:space="0" w:color="auto"/>
        <w:left w:val="none" w:sz="0" w:space="0" w:color="auto"/>
        <w:bottom w:val="none" w:sz="0" w:space="0" w:color="auto"/>
        <w:right w:val="none" w:sz="0" w:space="0" w:color="auto"/>
      </w:divBdr>
    </w:div>
    <w:div w:id="634455720">
      <w:bodyDiv w:val="1"/>
      <w:marLeft w:val="0"/>
      <w:marRight w:val="0"/>
      <w:marTop w:val="0"/>
      <w:marBottom w:val="0"/>
      <w:divBdr>
        <w:top w:val="none" w:sz="0" w:space="0" w:color="auto"/>
        <w:left w:val="none" w:sz="0" w:space="0" w:color="auto"/>
        <w:bottom w:val="none" w:sz="0" w:space="0" w:color="auto"/>
        <w:right w:val="none" w:sz="0" w:space="0" w:color="auto"/>
      </w:divBdr>
    </w:div>
    <w:div w:id="641807595">
      <w:bodyDiv w:val="1"/>
      <w:marLeft w:val="0"/>
      <w:marRight w:val="0"/>
      <w:marTop w:val="0"/>
      <w:marBottom w:val="0"/>
      <w:divBdr>
        <w:top w:val="none" w:sz="0" w:space="0" w:color="auto"/>
        <w:left w:val="none" w:sz="0" w:space="0" w:color="auto"/>
        <w:bottom w:val="none" w:sz="0" w:space="0" w:color="auto"/>
        <w:right w:val="none" w:sz="0" w:space="0" w:color="auto"/>
      </w:divBdr>
    </w:div>
    <w:div w:id="653224925">
      <w:bodyDiv w:val="1"/>
      <w:marLeft w:val="0"/>
      <w:marRight w:val="0"/>
      <w:marTop w:val="0"/>
      <w:marBottom w:val="0"/>
      <w:divBdr>
        <w:top w:val="none" w:sz="0" w:space="0" w:color="auto"/>
        <w:left w:val="none" w:sz="0" w:space="0" w:color="auto"/>
        <w:bottom w:val="none" w:sz="0" w:space="0" w:color="auto"/>
        <w:right w:val="none" w:sz="0" w:space="0" w:color="auto"/>
      </w:divBdr>
    </w:div>
    <w:div w:id="675763135">
      <w:bodyDiv w:val="1"/>
      <w:marLeft w:val="0"/>
      <w:marRight w:val="0"/>
      <w:marTop w:val="0"/>
      <w:marBottom w:val="0"/>
      <w:divBdr>
        <w:top w:val="none" w:sz="0" w:space="0" w:color="auto"/>
        <w:left w:val="none" w:sz="0" w:space="0" w:color="auto"/>
        <w:bottom w:val="none" w:sz="0" w:space="0" w:color="auto"/>
        <w:right w:val="none" w:sz="0" w:space="0" w:color="auto"/>
      </w:divBdr>
    </w:div>
    <w:div w:id="681006245">
      <w:bodyDiv w:val="1"/>
      <w:marLeft w:val="0"/>
      <w:marRight w:val="0"/>
      <w:marTop w:val="0"/>
      <w:marBottom w:val="0"/>
      <w:divBdr>
        <w:top w:val="none" w:sz="0" w:space="0" w:color="auto"/>
        <w:left w:val="none" w:sz="0" w:space="0" w:color="auto"/>
        <w:bottom w:val="none" w:sz="0" w:space="0" w:color="auto"/>
        <w:right w:val="none" w:sz="0" w:space="0" w:color="auto"/>
      </w:divBdr>
    </w:div>
    <w:div w:id="711419552">
      <w:bodyDiv w:val="1"/>
      <w:marLeft w:val="0"/>
      <w:marRight w:val="0"/>
      <w:marTop w:val="0"/>
      <w:marBottom w:val="0"/>
      <w:divBdr>
        <w:top w:val="none" w:sz="0" w:space="0" w:color="auto"/>
        <w:left w:val="none" w:sz="0" w:space="0" w:color="auto"/>
        <w:bottom w:val="none" w:sz="0" w:space="0" w:color="auto"/>
        <w:right w:val="none" w:sz="0" w:space="0" w:color="auto"/>
      </w:divBdr>
    </w:div>
    <w:div w:id="802311350">
      <w:bodyDiv w:val="1"/>
      <w:marLeft w:val="0"/>
      <w:marRight w:val="0"/>
      <w:marTop w:val="0"/>
      <w:marBottom w:val="0"/>
      <w:divBdr>
        <w:top w:val="none" w:sz="0" w:space="0" w:color="auto"/>
        <w:left w:val="none" w:sz="0" w:space="0" w:color="auto"/>
        <w:bottom w:val="none" w:sz="0" w:space="0" w:color="auto"/>
        <w:right w:val="none" w:sz="0" w:space="0" w:color="auto"/>
      </w:divBdr>
    </w:div>
    <w:div w:id="1048992996">
      <w:bodyDiv w:val="1"/>
      <w:marLeft w:val="0"/>
      <w:marRight w:val="0"/>
      <w:marTop w:val="0"/>
      <w:marBottom w:val="0"/>
      <w:divBdr>
        <w:top w:val="none" w:sz="0" w:space="0" w:color="auto"/>
        <w:left w:val="none" w:sz="0" w:space="0" w:color="auto"/>
        <w:bottom w:val="none" w:sz="0" w:space="0" w:color="auto"/>
        <w:right w:val="none" w:sz="0" w:space="0" w:color="auto"/>
      </w:divBdr>
    </w:div>
    <w:div w:id="1064598030">
      <w:bodyDiv w:val="1"/>
      <w:marLeft w:val="0"/>
      <w:marRight w:val="0"/>
      <w:marTop w:val="0"/>
      <w:marBottom w:val="0"/>
      <w:divBdr>
        <w:top w:val="none" w:sz="0" w:space="0" w:color="auto"/>
        <w:left w:val="none" w:sz="0" w:space="0" w:color="auto"/>
        <w:bottom w:val="none" w:sz="0" w:space="0" w:color="auto"/>
        <w:right w:val="none" w:sz="0" w:space="0" w:color="auto"/>
      </w:divBdr>
    </w:div>
    <w:div w:id="1076318147">
      <w:bodyDiv w:val="1"/>
      <w:marLeft w:val="0"/>
      <w:marRight w:val="0"/>
      <w:marTop w:val="0"/>
      <w:marBottom w:val="0"/>
      <w:divBdr>
        <w:top w:val="none" w:sz="0" w:space="0" w:color="auto"/>
        <w:left w:val="none" w:sz="0" w:space="0" w:color="auto"/>
        <w:bottom w:val="none" w:sz="0" w:space="0" w:color="auto"/>
        <w:right w:val="none" w:sz="0" w:space="0" w:color="auto"/>
      </w:divBdr>
    </w:div>
    <w:div w:id="1092245320">
      <w:bodyDiv w:val="1"/>
      <w:marLeft w:val="0"/>
      <w:marRight w:val="0"/>
      <w:marTop w:val="0"/>
      <w:marBottom w:val="0"/>
      <w:divBdr>
        <w:top w:val="none" w:sz="0" w:space="0" w:color="auto"/>
        <w:left w:val="none" w:sz="0" w:space="0" w:color="auto"/>
        <w:bottom w:val="none" w:sz="0" w:space="0" w:color="auto"/>
        <w:right w:val="none" w:sz="0" w:space="0" w:color="auto"/>
      </w:divBdr>
    </w:div>
    <w:div w:id="1208906233">
      <w:bodyDiv w:val="1"/>
      <w:marLeft w:val="0"/>
      <w:marRight w:val="0"/>
      <w:marTop w:val="0"/>
      <w:marBottom w:val="0"/>
      <w:divBdr>
        <w:top w:val="none" w:sz="0" w:space="0" w:color="auto"/>
        <w:left w:val="none" w:sz="0" w:space="0" w:color="auto"/>
        <w:bottom w:val="none" w:sz="0" w:space="0" w:color="auto"/>
        <w:right w:val="none" w:sz="0" w:space="0" w:color="auto"/>
      </w:divBdr>
    </w:div>
    <w:div w:id="1229851479">
      <w:bodyDiv w:val="1"/>
      <w:marLeft w:val="0"/>
      <w:marRight w:val="0"/>
      <w:marTop w:val="0"/>
      <w:marBottom w:val="0"/>
      <w:divBdr>
        <w:top w:val="none" w:sz="0" w:space="0" w:color="auto"/>
        <w:left w:val="none" w:sz="0" w:space="0" w:color="auto"/>
        <w:bottom w:val="none" w:sz="0" w:space="0" w:color="auto"/>
        <w:right w:val="none" w:sz="0" w:space="0" w:color="auto"/>
      </w:divBdr>
    </w:div>
    <w:div w:id="1275937696">
      <w:bodyDiv w:val="1"/>
      <w:marLeft w:val="0"/>
      <w:marRight w:val="0"/>
      <w:marTop w:val="0"/>
      <w:marBottom w:val="0"/>
      <w:divBdr>
        <w:top w:val="none" w:sz="0" w:space="0" w:color="auto"/>
        <w:left w:val="none" w:sz="0" w:space="0" w:color="auto"/>
        <w:bottom w:val="none" w:sz="0" w:space="0" w:color="auto"/>
        <w:right w:val="none" w:sz="0" w:space="0" w:color="auto"/>
      </w:divBdr>
    </w:div>
    <w:div w:id="1334449920">
      <w:bodyDiv w:val="1"/>
      <w:marLeft w:val="0"/>
      <w:marRight w:val="0"/>
      <w:marTop w:val="0"/>
      <w:marBottom w:val="0"/>
      <w:divBdr>
        <w:top w:val="none" w:sz="0" w:space="0" w:color="auto"/>
        <w:left w:val="none" w:sz="0" w:space="0" w:color="auto"/>
        <w:bottom w:val="none" w:sz="0" w:space="0" w:color="auto"/>
        <w:right w:val="none" w:sz="0" w:space="0" w:color="auto"/>
      </w:divBdr>
    </w:div>
    <w:div w:id="1345547440">
      <w:bodyDiv w:val="1"/>
      <w:marLeft w:val="0"/>
      <w:marRight w:val="0"/>
      <w:marTop w:val="0"/>
      <w:marBottom w:val="0"/>
      <w:divBdr>
        <w:top w:val="none" w:sz="0" w:space="0" w:color="auto"/>
        <w:left w:val="none" w:sz="0" w:space="0" w:color="auto"/>
        <w:bottom w:val="none" w:sz="0" w:space="0" w:color="auto"/>
        <w:right w:val="none" w:sz="0" w:space="0" w:color="auto"/>
      </w:divBdr>
    </w:div>
    <w:div w:id="1430200420">
      <w:bodyDiv w:val="1"/>
      <w:marLeft w:val="0"/>
      <w:marRight w:val="0"/>
      <w:marTop w:val="0"/>
      <w:marBottom w:val="0"/>
      <w:divBdr>
        <w:top w:val="none" w:sz="0" w:space="0" w:color="auto"/>
        <w:left w:val="none" w:sz="0" w:space="0" w:color="auto"/>
        <w:bottom w:val="none" w:sz="0" w:space="0" w:color="auto"/>
        <w:right w:val="none" w:sz="0" w:space="0" w:color="auto"/>
      </w:divBdr>
    </w:div>
    <w:div w:id="1474326630">
      <w:bodyDiv w:val="1"/>
      <w:marLeft w:val="0"/>
      <w:marRight w:val="0"/>
      <w:marTop w:val="0"/>
      <w:marBottom w:val="0"/>
      <w:divBdr>
        <w:top w:val="none" w:sz="0" w:space="0" w:color="auto"/>
        <w:left w:val="none" w:sz="0" w:space="0" w:color="auto"/>
        <w:bottom w:val="none" w:sz="0" w:space="0" w:color="auto"/>
        <w:right w:val="none" w:sz="0" w:space="0" w:color="auto"/>
      </w:divBdr>
    </w:div>
    <w:div w:id="1477407716">
      <w:bodyDiv w:val="1"/>
      <w:marLeft w:val="0"/>
      <w:marRight w:val="0"/>
      <w:marTop w:val="0"/>
      <w:marBottom w:val="0"/>
      <w:divBdr>
        <w:top w:val="none" w:sz="0" w:space="0" w:color="auto"/>
        <w:left w:val="none" w:sz="0" w:space="0" w:color="auto"/>
        <w:bottom w:val="none" w:sz="0" w:space="0" w:color="auto"/>
        <w:right w:val="none" w:sz="0" w:space="0" w:color="auto"/>
      </w:divBdr>
    </w:div>
    <w:div w:id="1518616730">
      <w:bodyDiv w:val="1"/>
      <w:marLeft w:val="0"/>
      <w:marRight w:val="0"/>
      <w:marTop w:val="0"/>
      <w:marBottom w:val="0"/>
      <w:divBdr>
        <w:top w:val="none" w:sz="0" w:space="0" w:color="auto"/>
        <w:left w:val="none" w:sz="0" w:space="0" w:color="auto"/>
        <w:bottom w:val="none" w:sz="0" w:space="0" w:color="auto"/>
        <w:right w:val="none" w:sz="0" w:space="0" w:color="auto"/>
      </w:divBdr>
    </w:div>
    <w:div w:id="1535539464">
      <w:bodyDiv w:val="1"/>
      <w:marLeft w:val="0"/>
      <w:marRight w:val="0"/>
      <w:marTop w:val="0"/>
      <w:marBottom w:val="0"/>
      <w:divBdr>
        <w:top w:val="none" w:sz="0" w:space="0" w:color="auto"/>
        <w:left w:val="none" w:sz="0" w:space="0" w:color="auto"/>
        <w:bottom w:val="none" w:sz="0" w:space="0" w:color="auto"/>
        <w:right w:val="none" w:sz="0" w:space="0" w:color="auto"/>
      </w:divBdr>
    </w:div>
    <w:div w:id="1706755093">
      <w:bodyDiv w:val="1"/>
      <w:marLeft w:val="0"/>
      <w:marRight w:val="0"/>
      <w:marTop w:val="0"/>
      <w:marBottom w:val="0"/>
      <w:divBdr>
        <w:top w:val="none" w:sz="0" w:space="0" w:color="auto"/>
        <w:left w:val="none" w:sz="0" w:space="0" w:color="auto"/>
        <w:bottom w:val="none" w:sz="0" w:space="0" w:color="auto"/>
        <w:right w:val="none" w:sz="0" w:space="0" w:color="auto"/>
      </w:divBdr>
    </w:div>
    <w:div w:id="1716538207">
      <w:bodyDiv w:val="1"/>
      <w:marLeft w:val="0"/>
      <w:marRight w:val="0"/>
      <w:marTop w:val="0"/>
      <w:marBottom w:val="0"/>
      <w:divBdr>
        <w:top w:val="none" w:sz="0" w:space="0" w:color="auto"/>
        <w:left w:val="none" w:sz="0" w:space="0" w:color="auto"/>
        <w:bottom w:val="none" w:sz="0" w:space="0" w:color="auto"/>
        <w:right w:val="none" w:sz="0" w:space="0" w:color="auto"/>
      </w:divBdr>
    </w:div>
    <w:div w:id="1730306497">
      <w:bodyDiv w:val="1"/>
      <w:marLeft w:val="0"/>
      <w:marRight w:val="0"/>
      <w:marTop w:val="0"/>
      <w:marBottom w:val="0"/>
      <w:divBdr>
        <w:top w:val="none" w:sz="0" w:space="0" w:color="auto"/>
        <w:left w:val="none" w:sz="0" w:space="0" w:color="auto"/>
        <w:bottom w:val="none" w:sz="0" w:space="0" w:color="auto"/>
        <w:right w:val="none" w:sz="0" w:space="0" w:color="auto"/>
      </w:divBdr>
    </w:div>
    <w:div w:id="1803569460">
      <w:bodyDiv w:val="1"/>
      <w:marLeft w:val="0"/>
      <w:marRight w:val="0"/>
      <w:marTop w:val="0"/>
      <w:marBottom w:val="0"/>
      <w:divBdr>
        <w:top w:val="none" w:sz="0" w:space="0" w:color="auto"/>
        <w:left w:val="none" w:sz="0" w:space="0" w:color="auto"/>
        <w:bottom w:val="none" w:sz="0" w:space="0" w:color="auto"/>
        <w:right w:val="none" w:sz="0" w:space="0" w:color="auto"/>
      </w:divBdr>
    </w:div>
    <w:div w:id="1859807004">
      <w:bodyDiv w:val="1"/>
      <w:marLeft w:val="0"/>
      <w:marRight w:val="0"/>
      <w:marTop w:val="0"/>
      <w:marBottom w:val="0"/>
      <w:divBdr>
        <w:top w:val="none" w:sz="0" w:space="0" w:color="auto"/>
        <w:left w:val="none" w:sz="0" w:space="0" w:color="auto"/>
        <w:bottom w:val="none" w:sz="0" w:space="0" w:color="auto"/>
        <w:right w:val="none" w:sz="0" w:space="0" w:color="auto"/>
      </w:divBdr>
    </w:div>
    <w:div w:id="1878354360">
      <w:bodyDiv w:val="1"/>
      <w:marLeft w:val="0"/>
      <w:marRight w:val="0"/>
      <w:marTop w:val="0"/>
      <w:marBottom w:val="0"/>
      <w:divBdr>
        <w:top w:val="none" w:sz="0" w:space="0" w:color="auto"/>
        <w:left w:val="none" w:sz="0" w:space="0" w:color="auto"/>
        <w:bottom w:val="none" w:sz="0" w:space="0" w:color="auto"/>
        <w:right w:val="none" w:sz="0" w:space="0" w:color="auto"/>
      </w:divBdr>
    </w:div>
    <w:div w:id="1889143161">
      <w:bodyDiv w:val="1"/>
      <w:marLeft w:val="0"/>
      <w:marRight w:val="0"/>
      <w:marTop w:val="0"/>
      <w:marBottom w:val="0"/>
      <w:divBdr>
        <w:top w:val="none" w:sz="0" w:space="0" w:color="auto"/>
        <w:left w:val="none" w:sz="0" w:space="0" w:color="auto"/>
        <w:bottom w:val="none" w:sz="0" w:space="0" w:color="auto"/>
        <w:right w:val="none" w:sz="0" w:space="0" w:color="auto"/>
      </w:divBdr>
    </w:div>
    <w:div w:id="1931352640">
      <w:bodyDiv w:val="1"/>
      <w:marLeft w:val="0"/>
      <w:marRight w:val="0"/>
      <w:marTop w:val="0"/>
      <w:marBottom w:val="0"/>
      <w:divBdr>
        <w:top w:val="none" w:sz="0" w:space="0" w:color="auto"/>
        <w:left w:val="none" w:sz="0" w:space="0" w:color="auto"/>
        <w:bottom w:val="none" w:sz="0" w:space="0" w:color="auto"/>
        <w:right w:val="none" w:sz="0" w:space="0" w:color="auto"/>
      </w:divBdr>
    </w:div>
    <w:div w:id="1954631611">
      <w:bodyDiv w:val="1"/>
      <w:marLeft w:val="0"/>
      <w:marRight w:val="0"/>
      <w:marTop w:val="0"/>
      <w:marBottom w:val="0"/>
      <w:divBdr>
        <w:top w:val="none" w:sz="0" w:space="0" w:color="auto"/>
        <w:left w:val="none" w:sz="0" w:space="0" w:color="auto"/>
        <w:bottom w:val="none" w:sz="0" w:space="0" w:color="auto"/>
        <w:right w:val="none" w:sz="0" w:space="0" w:color="auto"/>
      </w:divBdr>
    </w:div>
    <w:div w:id="1997881282">
      <w:bodyDiv w:val="1"/>
      <w:marLeft w:val="0"/>
      <w:marRight w:val="0"/>
      <w:marTop w:val="0"/>
      <w:marBottom w:val="0"/>
      <w:divBdr>
        <w:top w:val="none" w:sz="0" w:space="0" w:color="auto"/>
        <w:left w:val="none" w:sz="0" w:space="0" w:color="auto"/>
        <w:bottom w:val="none" w:sz="0" w:space="0" w:color="auto"/>
        <w:right w:val="none" w:sz="0" w:space="0" w:color="auto"/>
      </w:divBdr>
    </w:div>
    <w:div w:id="2002460008">
      <w:bodyDiv w:val="1"/>
      <w:marLeft w:val="0"/>
      <w:marRight w:val="0"/>
      <w:marTop w:val="0"/>
      <w:marBottom w:val="0"/>
      <w:divBdr>
        <w:top w:val="none" w:sz="0" w:space="0" w:color="auto"/>
        <w:left w:val="none" w:sz="0" w:space="0" w:color="auto"/>
        <w:bottom w:val="none" w:sz="0" w:space="0" w:color="auto"/>
        <w:right w:val="none" w:sz="0" w:space="0" w:color="auto"/>
      </w:divBdr>
    </w:div>
    <w:div w:id="2018726930">
      <w:bodyDiv w:val="1"/>
      <w:marLeft w:val="0"/>
      <w:marRight w:val="0"/>
      <w:marTop w:val="0"/>
      <w:marBottom w:val="0"/>
      <w:divBdr>
        <w:top w:val="none" w:sz="0" w:space="0" w:color="auto"/>
        <w:left w:val="none" w:sz="0" w:space="0" w:color="auto"/>
        <w:bottom w:val="none" w:sz="0" w:space="0" w:color="auto"/>
        <w:right w:val="none" w:sz="0" w:space="0" w:color="auto"/>
      </w:divBdr>
    </w:div>
    <w:div w:id="2022924801">
      <w:bodyDiv w:val="1"/>
      <w:marLeft w:val="0"/>
      <w:marRight w:val="0"/>
      <w:marTop w:val="0"/>
      <w:marBottom w:val="0"/>
      <w:divBdr>
        <w:top w:val="none" w:sz="0" w:space="0" w:color="auto"/>
        <w:left w:val="none" w:sz="0" w:space="0" w:color="auto"/>
        <w:bottom w:val="none" w:sz="0" w:space="0" w:color="auto"/>
        <w:right w:val="none" w:sz="0" w:space="0" w:color="auto"/>
      </w:divBdr>
    </w:div>
    <w:div w:id="21360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2020-04-15T06:00:00+00:00</FechaPublicacionDocumento>
    <TipoContenido xmlns="b9fc4df0-8f56-46e7-b005-54afe0044df7" xsi:nil="true"/>
    <ContenidoMultilineaHTML xmlns="b9fc4df0-8f56-46e7-b005-54afe0044df7">&lt;p&gt;​Informe Ley para Perfeccionar la Rendición de Cuentas N°9398&lt;/p&gt;</ContenidoMultilineaHTML>
  </documentManagement>
</p:properties>
</file>

<file path=customXml/item4.xml><?xml version="1.0" encoding="utf-8"?>
<ct:contentTypeSchema xmlns:ct="http://schemas.microsoft.com/office/2006/metadata/contentType" xmlns:ma="http://schemas.microsoft.com/office/2006/metadata/properties/metaAttributes" ct:_="" ma:_="" ma:contentTypeName="Publicaciones" ma:contentTypeID="0x010100C1BE8F4CE8CB2A478C59280E0A0F46A8004DB78757853D0B47B004B473532BDC5A" ma:contentTypeVersion="8" ma:contentTypeDescription="" ma:contentTypeScope="" ma:versionID="2b70b7e3f4008bd9b03a097dbf8ff4d0">
  <xsd:schema xmlns:xsd="http://www.w3.org/2001/XMLSchema" xmlns:xs="http://www.w3.org/2001/XMLSchema" xmlns:p="http://schemas.microsoft.com/office/2006/metadata/properties" xmlns:ns2="b9fc4df0-8f56-46e7-b005-54afe0044df7" targetNamespace="http://schemas.microsoft.com/office/2006/metadata/properties" ma:root="true" ma:fieldsID="541b8d13a4c4233b0f7511f9e48f9f07" ns2:_="">
    <xsd:import namespace="b9fc4df0-8f56-46e7-b005-54afe0044df7"/>
    <xsd:element name="properties">
      <xsd:complexType>
        <xsd:sequence>
          <xsd:element name="documentManagement">
            <xsd:complexType>
              <xsd:all>
                <xsd:element ref="ns2:FechaPublicacionDocumento" minOccurs="0"/>
                <xsd:element ref="ns2:SharedWithUsers" minOccurs="0"/>
                <xsd:element ref="ns2:ContenidoMultilineaHTML"/>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FechaPublicacionDocumento" ma:index="8" nillable="true" ma:displayName="FechaPublicacionDocumento" ma:description="" ma:format="DateOnly" ma:internalName="FechaPublicacionDocumento">
      <xsd:simpleType>
        <xsd:restriction base="dms:DateTime"/>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idoMultilineaHTML" ma:index="10" ma:displayName="ContenidoMultilineaHTML" ma:description="" ma:internalName="ContenidoMultilineaHTML">
      <xsd:simpleType>
        <xsd:restriction base="dms:Unknown"/>
      </xsd:simpleType>
    </xsd:element>
    <xsd:element name="TipoContenido" ma:index="11"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D027-EAC2-4C3C-A7D8-8DFB52FD5B71}"/>
</file>

<file path=customXml/itemProps2.xml><?xml version="1.0" encoding="utf-8"?>
<ds:datastoreItem xmlns:ds="http://schemas.openxmlformats.org/officeDocument/2006/customXml" ds:itemID="{2547F8B6-E521-41F3-9D30-2FCEA0E69655}"/>
</file>

<file path=customXml/itemProps3.xml><?xml version="1.0" encoding="utf-8"?>
<ds:datastoreItem xmlns:ds="http://schemas.openxmlformats.org/officeDocument/2006/customXml" ds:itemID="{6211C1FA-A4E0-41C9-AEA3-8E927D2BA54E}"/>
</file>

<file path=customXml/itemProps4.xml><?xml version="1.0" encoding="utf-8"?>
<ds:datastoreItem xmlns:ds="http://schemas.openxmlformats.org/officeDocument/2006/customXml" ds:itemID="{F8407423-7E7C-4D7E-AE98-59D4DAB0B5AB}"/>
</file>

<file path=docProps/app.xml><?xml version="1.0" encoding="utf-8"?>
<Properties xmlns="http://schemas.openxmlformats.org/officeDocument/2006/extended-properties" xmlns:vt="http://schemas.openxmlformats.org/officeDocument/2006/docPropsVTypes">
  <Template>Normal</Template>
  <TotalTime>0</TotalTime>
  <Pages>1</Pages>
  <Words>6900</Words>
  <Characters>37950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Informe Ley para Perfeccionar la Rendición de Cuentas N°9398</vt:lpstr>
    </vt:vector>
  </TitlesOfParts>
  <Company>Nombre de la entidad</Company>
  <LinksUpToDate>false</LinksUpToDate>
  <CharactersWithSpaces>44761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Ley para Perfeccionar la Rendición de Cuentas N°9398</dc:title>
  <dc:subject/>
  <dc:creator>CHACON ARG�ELLO GINA</dc:creator>
  <cp:keywords/>
  <dc:description/>
  <cp:lastModifiedBy>MOLINA LOPEZ MELISSA</cp:lastModifiedBy>
  <cp:revision>1</cp:revision>
  <dcterms:created xsi:type="dcterms:W3CDTF">2020-04-14T21:36:00Z</dcterms:created>
  <dcterms:modified xsi:type="dcterms:W3CDTF">2020-04-14T21:36:00Z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0x010100C1BE8F4CE8CB2A478C59280E0A0F46A8004DB78757853D0B47B004B473532BDC5A</vt:lpwstr>
  </property>
  <property fmtid="{D5CDD505-2E9C-101B-9397-08002B2CF9AE}" pid="3" name="WorkflowChangePath">
    <vt:lpwstr>3c2042e4-8b07-49bf-ad75-15f29aee7af3,341;84637138-d5a7-48a7-9dd2-ac0808de8848,342;</vt:lpwstr>
  </property>
</Properties>
</file>