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4394" w:rsidRPr="004B1036" w:rsidRDefault="00AA56A1" w:rsidP="008C7ADA">
      <w:pPr>
        <w:spacing w:line="240" w:lineRule="auto"/>
        <w:ind w:left="426"/>
        <w:rPr>
          <w:rFonts w:ascii="Cambria" w:hAnsi="Cambria"/>
          <w:spacing w:val="22"/>
          <w:sz w:val="18"/>
          <w:szCs w:val="18"/>
        </w:rPr>
      </w:pPr>
      <w:r>
        <w:rPr>
          <w:rFonts w:ascii="Cambria" w:hAnsi="Cambria"/>
          <w:noProof/>
          <w:spacing w:val="22"/>
          <w:sz w:val="18"/>
          <w:szCs w:val="18"/>
        </w:rPr>
        <w:drawing>
          <wp:anchor distT="0" distB="0" distL="114300" distR="114300" simplePos="0" relativeHeight="251659266" behindDoc="0" locked="0" layoutInCell="1" allowOverlap="1" wp14:anchorId="62103605" wp14:editId="06FF9AA7">
            <wp:simplePos x="0" y="0"/>
            <wp:positionH relativeFrom="column">
              <wp:posOffset>-1079689</wp:posOffset>
            </wp:positionH>
            <wp:positionV relativeFrom="paragraph">
              <wp:posOffset>-1335405</wp:posOffset>
            </wp:positionV>
            <wp:extent cx="7772400" cy="10993751"/>
            <wp:effectExtent l="0" t="0" r="0" b="0"/>
            <wp:wrapNone/>
            <wp:docPr id="7" name="Imagen 7"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magen que contiene Interfaz de usuario gráfica&#10;&#10;Descripción generada automáticamente"/>
                    <pic:cNvPicPr/>
                  </pic:nvPicPr>
                  <pic:blipFill>
                    <a:blip r:embed="rId11">
                      <a:extLst>
                        <a:ext uri="{28A0092B-C50C-407E-A947-70E740481C1C}">
                          <a14:useLocalDpi xmlns:a14="http://schemas.microsoft.com/office/drawing/2010/main" val="0"/>
                        </a:ext>
                      </a:extLst>
                    </a:blip>
                    <a:stretch>
                      <a:fillRect/>
                    </a:stretch>
                  </pic:blipFill>
                  <pic:spPr>
                    <a:xfrm>
                      <a:off x="0" y="0"/>
                      <a:ext cx="7772400" cy="10993751"/>
                    </a:xfrm>
                    <a:prstGeom prst="rect">
                      <a:avLst/>
                    </a:prstGeom>
                  </pic:spPr>
                </pic:pic>
              </a:graphicData>
            </a:graphic>
            <wp14:sizeRelH relativeFrom="margin">
              <wp14:pctWidth>0</wp14:pctWidth>
            </wp14:sizeRelH>
            <wp14:sizeRelV relativeFrom="margin">
              <wp14:pctHeight>0</wp14:pctHeight>
            </wp14:sizeRelV>
          </wp:anchor>
        </w:drawing>
      </w:r>
    </w:p>
    <w:p w:rsidR="002B6234" w:rsidRDefault="002B6234" w:rsidP="008C7ADA">
      <w:pPr>
        <w:spacing w:line="240" w:lineRule="auto"/>
        <w:jc w:val="center"/>
        <w:rPr>
          <w:rFonts w:ascii="Century Gothic" w:hAnsi="Century Gothic"/>
          <w:b/>
        </w:rPr>
      </w:pPr>
    </w:p>
    <w:p w:rsidR="00AA56A1" w:rsidRDefault="00AA56A1" w:rsidP="008C7ADA">
      <w:pPr>
        <w:spacing w:line="240" w:lineRule="auto"/>
        <w:jc w:val="center"/>
        <w:rPr>
          <w:rFonts w:ascii="Century Gothic" w:hAnsi="Century Gothic"/>
          <w:b/>
        </w:rPr>
      </w:pPr>
    </w:p>
    <w:p w:rsidR="00AA56A1" w:rsidRDefault="00AA56A1" w:rsidP="008C7ADA">
      <w:pPr>
        <w:spacing w:line="240" w:lineRule="auto"/>
        <w:jc w:val="center"/>
        <w:rPr>
          <w:rFonts w:ascii="Century Gothic" w:hAnsi="Century Gothic"/>
          <w:b/>
        </w:rPr>
      </w:pPr>
    </w:p>
    <w:p w:rsidR="00AA56A1" w:rsidRDefault="00AA56A1" w:rsidP="008C7ADA">
      <w:pPr>
        <w:spacing w:line="240" w:lineRule="auto"/>
        <w:jc w:val="center"/>
        <w:rPr>
          <w:rFonts w:ascii="Century Gothic" w:hAnsi="Century Gothic"/>
          <w:b/>
        </w:rPr>
      </w:pPr>
    </w:p>
    <w:p w:rsidR="00AA56A1" w:rsidRDefault="00AA56A1" w:rsidP="008C7ADA">
      <w:pPr>
        <w:spacing w:line="240" w:lineRule="auto"/>
        <w:jc w:val="center"/>
        <w:rPr>
          <w:rFonts w:ascii="Century Gothic" w:hAnsi="Century Gothic"/>
          <w:b/>
        </w:rPr>
      </w:pPr>
    </w:p>
    <w:p w:rsidR="00AA56A1" w:rsidRDefault="00AA56A1" w:rsidP="008C7ADA">
      <w:pPr>
        <w:spacing w:line="240" w:lineRule="auto"/>
        <w:jc w:val="center"/>
        <w:rPr>
          <w:rFonts w:ascii="Century Gothic" w:hAnsi="Century Gothic"/>
          <w:b/>
        </w:rPr>
      </w:pPr>
    </w:p>
    <w:p w:rsidR="00AA56A1" w:rsidRDefault="00AA56A1" w:rsidP="008C7ADA">
      <w:pPr>
        <w:spacing w:line="240" w:lineRule="auto"/>
        <w:jc w:val="center"/>
        <w:rPr>
          <w:rFonts w:ascii="Century Gothic" w:hAnsi="Century Gothic"/>
          <w:b/>
        </w:rPr>
      </w:pPr>
    </w:p>
    <w:p w:rsidR="00AA56A1" w:rsidRDefault="00AA56A1" w:rsidP="008C7ADA">
      <w:pPr>
        <w:spacing w:line="240" w:lineRule="auto"/>
        <w:jc w:val="center"/>
        <w:rPr>
          <w:rFonts w:ascii="Century Gothic" w:hAnsi="Century Gothic"/>
          <w:b/>
        </w:rPr>
      </w:pPr>
    </w:p>
    <w:p w:rsidR="00AA56A1" w:rsidRDefault="00AA56A1" w:rsidP="008C7ADA">
      <w:pPr>
        <w:spacing w:line="240" w:lineRule="auto"/>
        <w:jc w:val="center"/>
        <w:rPr>
          <w:rFonts w:ascii="Century Gothic" w:hAnsi="Century Gothic"/>
          <w:b/>
        </w:rPr>
      </w:pPr>
    </w:p>
    <w:p w:rsidR="00AA56A1" w:rsidRDefault="00AA56A1" w:rsidP="008C7ADA">
      <w:pPr>
        <w:spacing w:line="240" w:lineRule="auto"/>
        <w:jc w:val="center"/>
        <w:rPr>
          <w:rFonts w:ascii="Century Gothic" w:hAnsi="Century Gothic"/>
          <w:b/>
        </w:rPr>
      </w:pPr>
    </w:p>
    <w:p w:rsidR="00AA56A1" w:rsidRDefault="00AA56A1" w:rsidP="008C7ADA">
      <w:pPr>
        <w:spacing w:line="240" w:lineRule="auto"/>
        <w:jc w:val="center"/>
        <w:rPr>
          <w:rFonts w:ascii="Century Gothic" w:hAnsi="Century Gothic"/>
          <w:b/>
        </w:rPr>
      </w:pPr>
    </w:p>
    <w:p w:rsidR="00AA56A1" w:rsidRDefault="00AA56A1" w:rsidP="008C7ADA">
      <w:pPr>
        <w:spacing w:line="240" w:lineRule="auto"/>
        <w:jc w:val="center"/>
        <w:rPr>
          <w:rFonts w:ascii="Century Gothic" w:hAnsi="Century Gothic"/>
          <w:b/>
        </w:rPr>
      </w:pPr>
    </w:p>
    <w:p w:rsidR="00AA56A1" w:rsidRDefault="00AA56A1" w:rsidP="008C7ADA">
      <w:pPr>
        <w:spacing w:line="240" w:lineRule="auto"/>
        <w:jc w:val="center"/>
        <w:rPr>
          <w:rFonts w:ascii="Century Gothic" w:hAnsi="Century Gothic"/>
          <w:b/>
        </w:rPr>
      </w:pPr>
    </w:p>
    <w:p w:rsidR="00AA56A1" w:rsidRDefault="00AA56A1" w:rsidP="008C7ADA">
      <w:pPr>
        <w:spacing w:line="240" w:lineRule="auto"/>
        <w:jc w:val="center"/>
        <w:rPr>
          <w:rFonts w:ascii="Century Gothic" w:hAnsi="Century Gothic"/>
          <w:b/>
        </w:rPr>
      </w:pPr>
    </w:p>
    <w:p w:rsidR="00AA56A1" w:rsidRDefault="00AA56A1" w:rsidP="008C7ADA">
      <w:pPr>
        <w:spacing w:line="240" w:lineRule="auto"/>
        <w:jc w:val="center"/>
        <w:rPr>
          <w:rFonts w:ascii="Century Gothic" w:hAnsi="Century Gothic"/>
          <w:b/>
        </w:rPr>
      </w:pPr>
    </w:p>
    <w:p w:rsidR="00AA56A1" w:rsidRDefault="00AA56A1" w:rsidP="008C7ADA">
      <w:pPr>
        <w:spacing w:line="240" w:lineRule="auto"/>
        <w:jc w:val="center"/>
        <w:rPr>
          <w:rFonts w:ascii="Century Gothic" w:hAnsi="Century Gothic"/>
          <w:b/>
        </w:rPr>
      </w:pPr>
    </w:p>
    <w:p w:rsidR="00AA56A1" w:rsidRDefault="00AA56A1" w:rsidP="008C7ADA">
      <w:pPr>
        <w:spacing w:line="240" w:lineRule="auto"/>
        <w:jc w:val="center"/>
        <w:rPr>
          <w:rFonts w:ascii="Century Gothic" w:hAnsi="Century Gothic"/>
          <w:b/>
        </w:rPr>
      </w:pPr>
    </w:p>
    <w:p w:rsidR="00AA56A1" w:rsidRDefault="00AA56A1" w:rsidP="008C7ADA">
      <w:pPr>
        <w:spacing w:line="240" w:lineRule="auto"/>
        <w:jc w:val="center"/>
        <w:rPr>
          <w:rFonts w:ascii="Century Gothic" w:hAnsi="Century Gothic"/>
          <w:b/>
        </w:rPr>
      </w:pPr>
    </w:p>
    <w:p w:rsidR="00AA56A1" w:rsidRDefault="00AA56A1" w:rsidP="008C7ADA">
      <w:pPr>
        <w:spacing w:line="240" w:lineRule="auto"/>
        <w:jc w:val="center"/>
        <w:rPr>
          <w:rFonts w:ascii="Century Gothic" w:hAnsi="Century Gothic"/>
          <w:b/>
        </w:rPr>
      </w:pPr>
    </w:p>
    <w:p w:rsidR="00AA56A1" w:rsidRDefault="00AA56A1" w:rsidP="008C7ADA">
      <w:pPr>
        <w:spacing w:line="240" w:lineRule="auto"/>
        <w:jc w:val="center"/>
        <w:rPr>
          <w:rFonts w:ascii="Century Gothic" w:hAnsi="Century Gothic"/>
          <w:b/>
        </w:rPr>
      </w:pPr>
    </w:p>
    <w:p w:rsidR="00AA56A1" w:rsidRDefault="00AA56A1" w:rsidP="008C7ADA">
      <w:pPr>
        <w:spacing w:line="240" w:lineRule="auto"/>
        <w:jc w:val="center"/>
        <w:rPr>
          <w:rFonts w:ascii="Century Gothic" w:hAnsi="Century Gothic"/>
          <w:b/>
        </w:rPr>
      </w:pPr>
    </w:p>
    <w:p w:rsidR="00AA56A1" w:rsidRDefault="00AA56A1" w:rsidP="008C7ADA">
      <w:pPr>
        <w:spacing w:line="240" w:lineRule="auto"/>
        <w:jc w:val="center"/>
        <w:rPr>
          <w:rFonts w:ascii="Century Gothic" w:hAnsi="Century Gothic"/>
          <w:b/>
        </w:rPr>
      </w:pPr>
    </w:p>
    <w:p w:rsidR="00AA56A1" w:rsidRDefault="00AA56A1" w:rsidP="008C7ADA">
      <w:pPr>
        <w:spacing w:line="240" w:lineRule="auto"/>
        <w:jc w:val="center"/>
        <w:rPr>
          <w:rFonts w:ascii="Century Gothic" w:hAnsi="Century Gothic"/>
          <w:b/>
        </w:rPr>
      </w:pPr>
    </w:p>
    <w:p w:rsidR="00AA56A1" w:rsidRDefault="00AA56A1" w:rsidP="008C7ADA">
      <w:pPr>
        <w:spacing w:line="240" w:lineRule="auto"/>
        <w:jc w:val="center"/>
        <w:rPr>
          <w:rFonts w:ascii="Century Gothic" w:hAnsi="Century Gothic"/>
          <w:b/>
        </w:rPr>
      </w:pPr>
    </w:p>
    <w:p w:rsidR="00AA56A1" w:rsidRDefault="00AA56A1" w:rsidP="008C7ADA">
      <w:pPr>
        <w:spacing w:line="240" w:lineRule="auto"/>
        <w:jc w:val="center"/>
        <w:rPr>
          <w:rFonts w:ascii="Century Gothic" w:hAnsi="Century Gothic"/>
          <w:b/>
        </w:rPr>
      </w:pPr>
    </w:p>
    <w:p w:rsidR="002B6234" w:rsidRDefault="002B6234" w:rsidP="008C7ADA">
      <w:pPr>
        <w:spacing w:line="240" w:lineRule="auto"/>
        <w:jc w:val="center"/>
        <w:rPr>
          <w:rFonts w:ascii="Century Gothic" w:hAnsi="Century Gothic"/>
          <w:b/>
        </w:rPr>
      </w:pPr>
    </w:p>
    <w:p w:rsidR="002B6234" w:rsidRDefault="002B6234" w:rsidP="008C7ADA">
      <w:pPr>
        <w:spacing w:line="240" w:lineRule="auto"/>
        <w:jc w:val="center"/>
        <w:rPr>
          <w:rFonts w:ascii="Century Gothic" w:hAnsi="Century Gothic"/>
          <w:b/>
        </w:rPr>
      </w:pPr>
    </w:p>
    <w:p w:rsidR="002B6234" w:rsidRDefault="002B6234" w:rsidP="008C7ADA">
      <w:pPr>
        <w:spacing w:line="240" w:lineRule="auto"/>
        <w:jc w:val="center"/>
        <w:rPr>
          <w:rFonts w:ascii="Century Gothic" w:hAnsi="Century Gothic"/>
          <w:b/>
        </w:rPr>
      </w:pPr>
    </w:p>
    <w:p w:rsidR="002B6234" w:rsidRDefault="002B6234" w:rsidP="008C7ADA">
      <w:pPr>
        <w:spacing w:line="240" w:lineRule="auto"/>
        <w:jc w:val="center"/>
        <w:rPr>
          <w:rFonts w:ascii="Century Gothic" w:hAnsi="Century Gothic"/>
          <w:b/>
        </w:rPr>
      </w:pPr>
    </w:p>
    <w:p w:rsidR="002B6234" w:rsidRDefault="002B6234" w:rsidP="008C7ADA">
      <w:pPr>
        <w:spacing w:line="240" w:lineRule="auto"/>
        <w:jc w:val="center"/>
        <w:rPr>
          <w:rFonts w:ascii="Century Gothic" w:hAnsi="Century Gothic"/>
          <w:b/>
        </w:rPr>
      </w:pPr>
    </w:p>
    <w:p w:rsidR="002B6234" w:rsidRDefault="002B6234" w:rsidP="008C7ADA">
      <w:pPr>
        <w:spacing w:line="240" w:lineRule="auto"/>
        <w:jc w:val="center"/>
        <w:rPr>
          <w:rFonts w:ascii="Century Gothic" w:hAnsi="Century Gothic"/>
          <w:b/>
        </w:rPr>
      </w:pPr>
    </w:p>
    <w:p w:rsidR="002B6234" w:rsidRDefault="002B6234" w:rsidP="008C7ADA">
      <w:pPr>
        <w:spacing w:line="240" w:lineRule="auto"/>
        <w:jc w:val="center"/>
        <w:rPr>
          <w:rFonts w:ascii="Century Gothic" w:hAnsi="Century Gothic"/>
          <w:b/>
        </w:rPr>
      </w:pPr>
    </w:p>
    <w:p w:rsidR="002B6234" w:rsidRDefault="002B6234" w:rsidP="008C7ADA">
      <w:pPr>
        <w:spacing w:line="240" w:lineRule="auto"/>
        <w:jc w:val="center"/>
        <w:rPr>
          <w:rFonts w:ascii="Century Gothic" w:hAnsi="Century Gothic"/>
          <w:b/>
        </w:rPr>
      </w:pPr>
    </w:p>
    <w:p w:rsidR="002B6234" w:rsidRDefault="002B6234" w:rsidP="008C7ADA">
      <w:pPr>
        <w:spacing w:line="240" w:lineRule="auto"/>
        <w:jc w:val="center"/>
        <w:rPr>
          <w:rFonts w:ascii="Century Gothic" w:hAnsi="Century Gothic"/>
          <w:b/>
        </w:rPr>
      </w:pPr>
    </w:p>
    <w:p w:rsidR="002B6234" w:rsidRDefault="002B6234" w:rsidP="008C7ADA">
      <w:pPr>
        <w:spacing w:line="240" w:lineRule="auto"/>
        <w:jc w:val="center"/>
        <w:rPr>
          <w:rFonts w:ascii="Century Gothic" w:hAnsi="Century Gothic"/>
          <w:b/>
        </w:rPr>
      </w:pPr>
    </w:p>
    <w:p w:rsidR="002B6234" w:rsidRDefault="002B6234" w:rsidP="008C7ADA">
      <w:pPr>
        <w:spacing w:line="240" w:lineRule="auto"/>
        <w:jc w:val="center"/>
        <w:rPr>
          <w:rFonts w:ascii="Century Gothic" w:hAnsi="Century Gothic"/>
          <w:b/>
        </w:rPr>
      </w:pPr>
    </w:p>
    <w:p w:rsidR="002B6234" w:rsidRDefault="002B6234" w:rsidP="008C7ADA">
      <w:pPr>
        <w:spacing w:line="240" w:lineRule="auto"/>
        <w:jc w:val="center"/>
        <w:rPr>
          <w:rFonts w:ascii="Century Gothic" w:hAnsi="Century Gothic"/>
          <w:b/>
        </w:rPr>
      </w:pPr>
    </w:p>
    <w:p w:rsidR="002B6234" w:rsidRDefault="002B6234" w:rsidP="008C7ADA">
      <w:pPr>
        <w:spacing w:line="240" w:lineRule="auto"/>
        <w:jc w:val="center"/>
        <w:rPr>
          <w:rFonts w:ascii="Century Gothic" w:hAnsi="Century Gothic"/>
          <w:b/>
        </w:rPr>
      </w:pPr>
    </w:p>
    <w:p w:rsidR="002B6234" w:rsidRDefault="002B6234" w:rsidP="008C7ADA">
      <w:pPr>
        <w:spacing w:line="240" w:lineRule="auto"/>
        <w:jc w:val="center"/>
        <w:rPr>
          <w:rFonts w:ascii="Century Gothic" w:hAnsi="Century Gothic"/>
          <w:b/>
        </w:rPr>
      </w:pPr>
    </w:p>
    <w:p w:rsidR="002B6234" w:rsidRDefault="002B6234" w:rsidP="008C7ADA">
      <w:pPr>
        <w:spacing w:line="240" w:lineRule="auto"/>
        <w:jc w:val="center"/>
        <w:rPr>
          <w:rFonts w:ascii="Century Gothic" w:hAnsi="Century Gothic"/>
          <w:b/>
        </w:rPr>
      </w:pPr>
    </w:p>
    <w:p w:rsidR="002B6234" w:rsidRDefault="002B6234" w:rsidP="008C7ADA">
      <w:pPr>
        <w:spacing w:line="240" w:lineRule="auto"/>
        <w:jc w:val="center"/>
        <w:rPr>
          <w:rFonts w:ascii="Century Gothic" w:hAnsi="Century Gothic"/>
          <w:b/>
        </w:rPr>
      </w:pPr>
    </w:p>
    <w:p w:rsidR="002B6234" w:rsidRDefault="002B6234" w:rsidP="008C7ADA">
      <w:pPr>
        <w:spacing w:line="240" w:lineRule="auto"/>
        <w:jc w:val="center"/>
        <w:rPr>
          <w:rFonts w:ascii="Century Gothic" w:hAnsi="Century Gothic"/>
          <w:b/>
        </w:rPr>
      </w:pPr>
    </w:p>
    <w:p w:rsidR="002B6234" w:rsidRDefault="002B6234" w:rsidP="008C7ADA">
      <w:pPr>
        <w:spacing w:line="240" w:lineRule="auto"/>
        <w:jc w:val="center"/>
        <w:rPr>
          <w:rFonts w:ascii="Century Gothic" w:hAnsi="Century Gothic"/>
          <w:b/>
        </w:rPr>
      </w:pPr>
    </w:p>
    <w:p w:rsidR="002B6234" w:rsidRDefault="002B6234" w:rsidP="008C7ADA">
      <w:pPr>
        <w:spacing w:line="240" w:lineRule="auto"/>
        <w:jc w:val="center"/>
        <w:rPr>
          <w:rFonts w:ascii="Century Gothic" w:hAnsi="Century Gothic"/>
          <w:b/>
        </w:rPr>
      </w:pPr>
    </w:p>
    <w:p w:rsidR="00CD38BF" w:rsidRDefault="00CD38BF" w:rsidP="008C7ADA">
      <w:pPr>
        <w:spacing w:line="240" w:lineRule="auto"/>
        <w:jc w:val="center"/>
        <w:rPr>
          <w:rFonts w:ascii="Century Gothic" w:hAnsi="Century Gothic"/>
          <w:b/>
        </w:rPr>
      </w:pPr>
    </w:p>
    <w:p w:rsidR="002B6234" w:rsidRPr="004B1036" w:rsidRDefault="002B6234" w:rsidP="008C7ADA">
      <w:pPr>
        <w:spacing w:line="240" w:lineRule="auto"/>
        <w:jc w:val="center"/>
        <w:rPr>
          <w:rFonts w:ascii="Century Gothic" w:hAnsi="Century Gothic"/>
          <w:b/>
        </w:rPr>
      </w:pPr>
    </w:p>
    <w:sdt>
      <w:sdtPr>
        <w:rPr>
          <w:rFonts w:asciiTheme="minorHAnsi" w:eastAsiaTheme="minorHAnsi" w:hAnsiTheme="minorHAnsi" w:cstheme="minorHAnsi"/>
          <w:b w:val="0"/>
          <w:bCs w:val="0"/>
          <w:color w:val="auto"/>
          <w:sz w:val="22"/>
          <w:szCs w:val="22"/>
          <w:lang w:val="es-CR" w:eastAsia="es-ES"/>
        </w:rPr>
        <w:id w:val="28532093"/>
        <w:docPartObj>
          <w:docPartGallery w:val="Table of Contents"/>
          <w:docPartUnique/>
        </w:docPartObj>
      </w:sdtPr>
      <w:sdtEndPr>
        <w:rPr>
          <w:sz w:val="24"/>
          <w:lang w:eastAsia="en-US"/>
        </w:rPr>
      </w:sdtEndPr>
      <w:sdtContent>
        <w:p w:rsidR="0046129A" w:rsidRPr="004B1036" w:rsidRDefault="0046129A" w:rsidP="008C7ADA">
          <w:pPr>
            <w:pStyle w:val="TtuloTDC"/>
            <w:spacing w:before="0" w:line="240" w:lineRule="auto"/>
            <w:rPr>
              <w:rFonts w:ascii="Century Gothic" w:hAnsi="Century Gothic" w:cstheme="minorHAnsi"/>
              <w:sz w:val="22"/>
              <w:szCs w:val="22"/>
              <w:lang w:val="es-CR"/>
            </w:rPr>
          </w:pPr>
          <w:r w:rsidRPr="004B1036">
            <w:rPr>
              <w:rFonts w:ascii="Century Gothic" w:hAnsi="Century Gothic" w:cstheme="minorHAnsi"/>
              <w:szCs w:val="22"/>
              <w:lang w:val="es-CR"/>
            </w:rPr>
            <w:t>Contenido</w:t>
          </w:r>
        </w:p>
        <w:p w:rsidR="0046129A" w:rsidRPr="004B1036" w:rsidRDefault="007403FA" w:rsidP="008C7ADA">
          <w:pPr>
            <w:tabs>
              <w:tab w:val="left" w:pos="2396"/>
            </w:tabs>
            <w:spacing w:line="240" w:lineRule="auto"/>
            <w:rPr>
              <w:rFonts w:ascii="Century Gothic" w:hAnsi="Century Gothic" w:cstheme="minorHAnsi"/>
              <w:sz w:val="22"/>
            </w:rPr>
          </w:pPr>
          <w:r w:rsidRPr="004B1036">
            <w:rPr>
              <w:rFonts w:ascii="Century Gothic" w:hAnsi="Century Gothic" w:cstheme="minorHAnsi"/>
              <w:sz w:val="22"/>
            </w:rPr>
            <w:tab/>
          </w:r>
        </w:p>
        <w:p w:rsidR="007403FA" w:rsidRPr="004B1036" w:rsidRDefault="0046129A" w:rsidP="008C7ADA">
          <w:pPr>
            <w:pStyle w:val="TDC1"/>
            <w:spacing w:after="0"/>
            <w:ind w:left="567" w:hanging="567"/>
            <w:rPr>
              <w:rFonts w:cstheme="minorHAnsi"/>
              <w:noProof/>
              <w:szCs w:val="24"/>
            </w:rPr>
          </w:pPr>
          <w:r w:rsidRPr="004B1036">
            <w:rPr>
              <w:rFonts w:cstheme="minorHAnsi"/>
              <w:sz w:val="22"/>
            </w:rPr>
            <w:fldChar w:fldCharType="begin"/>
          </w:r>
          <w:r w:rsidRPr="004B1036">
            <w:rPr>
              <w:rFonts w:cstheme="minorHAnsi"/>
              <w:sz w:val="22"/>
            </w:rPr>
            <w:instrText xml:space="preserve"> TOC \o "1-3" \h \z \u </w:instrText>
          </w:r>
          <w:r w:rsidRPr="004B1036">
            <w:rPr>
              <w:rFonts w:cstheme="minorHAnsi"/>
              <w:sz w:val="22"/>
            </w:rPr>
            <w:fldChar w:fldCharType="separate"/>
          </w:r>
          <w:hyperlink w:anchor="_Toc65452644" w:history="1">
            <w:r w:rsidR="007403FA" w:rsidRPr="004B1036">
              <w:rPr>
                <w:rStyle w:val="Hipervnculo"/>
                <w:rFonts w:eastAsiaTheme="majorEastAsia" w:cstheme="minorHAnsi"/>
                <w:noProof/>
                <w:szCs w:val="24"/>
              </w:rPr>
              <w:t>I.</w:t>
            </w:r>
            <w:r w:rsidR="007403FA" w:rsidRPr="004B1036">
              <w:rPr>
                <w:rFonts w:cstheme="minorHAnsi"/>
                <w:noProof/>
                <w:szCs w:val="24"/>
              </w:rPr>
              <w:tab/>
            </w:r>
            <w:r w:rsidR="007403FA" w:rsidRPr="004B1036">
              <w:rPr>
                <w:rStyle w:val="Hipervnculo"/>
                <w:rFonts w:eastAsiaTheme="majorEastAsia" w:cstheme="minorHAnsi"/>
                <w:noProof/>
                <w:szCs w:val="24"/>
              </w:rPr>
              <w:t>PRESENTACIÓN</w:t>
            </w:r>
            <w:r w:rsidR="007403FA" w:rsidRPr="004B1036">
              <w:rPr>
                <w:rFonts w:cstheme="minorHAnsi"/>
                <w:noProof/>
                <w:webHidden/>
                <w:szCs w:val="24"/>
              </w:rPr>
              <w:tab/>
            </w:r>
            <w:r w:rsidR="007403FA" w:rsidRPr="004B1036">
              <w:rPr>
                <w:rFonts w:cstheme="minorHAnsi"/>
                <w:noProof/>
                <w:webHidden/>
                <w:szCs w:val="24"/>
              </w:rPr>
              <w:fldChar w:fldCharType="begin"/>
            </w:r>
            <w:r w:rsidR="007403FA" w:rsidRPr="004B1036">
              <w:rPr>
                <w:rFonts w:cstheme="minorHAnsi"/>
                <w:noProof/>
                <w:webHidden/>
                <w:szCs w:val="24"/>
              </w:rPr>
              <w:instrText xml:space="preserve"> PAGEREF _Toc65452644 \h </w:instrText>
            </w:r>
            <w:r w:rsidR="007403FA" w:rsidRPr="004B1036">
              <w:rPr>
                <w:rFonts w:cstheme="minorHAnsi"/>
                <w:noProof/>
                <w:webHidden/>
                <w:szCs w:val="24"/>
              </w:rPr>
            </w:r>
            <w:r w:rsidR="007403FA" w:rsidRPr="004B1036">
              <w:rPr>
                <w:rFonts w:cstheme="minorHAnsi"/>
                <w:noProof/>
                <w:webHidden/>
                <w:szCs w:val="24"/>
              </w:rPr>
              <w:fldChar w:fldCharType="separate"/>
            </w:r>
            <w:r w:rsidR="002B6234">
              <w:rPr>
                <w:rFonts w:cstheme="minorHAnsi"/>
                <w:noProof/>
                <w:webHidden/>
                <w:szCs w:val="24"/>
              </w:rPr>
              <w:t>3</w:t>
            </w:r>
            <w:r w:rsidR="007403FA" w:rsidRPr="004B1036">
              <w:rPr>
                <w:rFonts w:cstheme="minorHAnsi"/>
                <w:noProof/>
                <w:webHidden/>
                <w:szCs w:val="24"/>
              </w:rPr>
              <w:fldChar w:fldCharType="end"/>
            </w:r>
          </w:hyperlink>
        </w:p>
        <w:p w:rsidR="007403FA" w:rsidRPr="004B1036" w:rsidRDefault="00FE0FE2" w:rsidP="008C7ADA">
          <w:pPr>
            <w:pStyle w:val="TDC1"/>
            <w:spacing w:after="0"/>
            <w:ind w:left="567" w:hanging="567"/>
            <w:rPr>
              <w:rFonts w:cstheme="minorHAnsi"/>
              <w:noProof/>
              <w:szCs w:val="24"/>
            </w:rPr>
          </w:pPr>
          <w:hyperlink w:anchor="_Toc65452645" w:history="1">
            <w:r w:rsidR="007403FA" w:rsidRPr="004B1036">
              <w:rPr>
                <w:rStyle w:val="Hipervnculo"/>
                <w:rFonts w:eastAsiaTheme="majorEastAsia" w:cstheme="minorHAnsi"/>
                <w:noProof/>
                <w:szCs w:val="24"/>
              </w:rPr>
              <w:t>II.</w:t>
            </w:r>
            <w:r w:rsidR="007403FA" w:rsidRPr="004B1036">
              <w:rPr>
                <w:rFonts w:cstheme="minorHAnsi"/>
                <w:noProof/>
                <w:szCs w:val="24"/>
              </w:rPr>
              <w:tab/>
            </w:r>
            <w:r w:rsidR="007403FA" w:rsidRPr="004B1036">
              <w:rPr>
                <w:rStyle w:val="Hipervnculo"/>
                <w:rFonts w:eastAsiaTheme="majorEastAsia" w:cstheme="minorHAnsi"/>
                <w:noProof/>
                <w:szCs w:val="24"/>
              </w:rPr>
              <w:t>OBJETIVOS LEGALES</w:t>
            </w:r>
            <w:r w:rsidR="007403FA" w:rsidRPr="004B1036">
              <w:rPr>
                <w:rFonts w:cstheme="minorHAnsi"/>
                <w:noProof/>
                <w:webHidden/>
                <w:szCs w:val="24"/>
              </w:rPr>
              <w:tab/>
            </w:r>
            <w:r w:rsidR="007403FA" w:rsidRPr="004B1036">
              <w:rPr>
                <w:rFonts w:cstheme="minorHAnsi"/>
                <w:noProof/>
                <w:webHidden/>
                <w:szCs w:val="24"/>
              </w:rPr>
              <w:fldChar w:fldCharType="begin"/>
            </w:r>
            <w:r w:rsidR="007403FA" w:rsidRPr="004B1036">
              <w:rPr>
                <w:rFonts w:cstheme="minorHAnsi"/>
                <w:noProof/>
                <w:webHidden/>
                <w:szCs w:val="24"/>
              </w:rPr>
              <w:instrText xml:space="preserve"> PAGEREF _Toc65452645 \h </w:instrText>
            </w:r>
            <w:r w:rsidR="007403FA" w:rsidRPr="004B1036">
              <w:rPr>
                <w:rFonts w:cstheme="minorHAnsi"/>
                <w:noProof/>
                <w:webHidden/>
                <w:szCs w:val="24"/>
              </w:rPr>
            </w:r>
            <w:r w:rsidR="007403FA" w:rsidRPr="004B1036">
              <w:rPr>
                <w:rFonts w:cstheme="minorHAnsi"/>
                <w:noProof/>
                <w:webHidden/>
                <w:szCs w:val="24"/>
              </w:rPr>
              <w:fldChar w:fldCharType="separate"/>
            </w:r>
            <w:r w:rsidR="002B6234">
              <w:rPr>
                <w:rFonts w:cstheme="minorHAnsi"/>
                <w:noProof/>
                <w:webHidden/>
                <w:szCs w:val="24"/>
              </w:rPr>
              <w:t>3</w:t>
            </w:r>
            <w:r w:rsidR="007403FA" w:rsidRPr="004B1036">
              <w:rPr>
                <w:rFonts w:cstheme="minorHAnsi"/>
                <w:noProof/>
                <w:webHidden/>
                <w:szCs w:val="24"/>
              </w:rPr>
              <w:fldChar w:fldCharType="end"/>
            </w:r>
          </w:hyperlink>
        </w:p>
        <w:p w:rsidR="007403FA" w:rsidRPr="004B1036" w:rsidRDefault="00FE0FE2" w:rsidP="008C7ADA">
          <w:pPr>
            <w:pStyle w:val="TDC1"/>
            <w:spacing w:after="0"/>
            <w:ind w:left="567" w:hanging="567"/>
            <w:rPr>
              <w:rFonts w:cstheme="minorHAnsi"/>
              <w:noProof/>
              <w:szCs w:val="24"/>
            </w:rPr>
          </w:pPr>
          <w:hyperlink w:anchor="_Toc65452646" w:history="1">
            <w:r w:rsidR="007403FA" w:rsidRPr="004B1036">
              <w:rPr>
                <w:rStyle w:val="Hipervnculo"/>
                <w:rFonts w:cstheme="minorHAnsi"/>
                <w:noProof/>
                <w:szCs w:val="24"/>
              </w:rPr>
              <w:t>III.</w:t>
            </w:r>
            <w:r w:rsidR="007403FA" w:rsidRPr="004B1036">
              <w:rPr>
                <w:rFonts w:cstheme="minorHAnsi"/>
                <w:noProof/>
                <w:szCs w:val="24"/>
              </w:rPr>
              <w:tab/>
            </w:r>
            <w:r w:rsidR="007403FA" w:rsidRPr="004B1036">
              <w:rPr>
                <w:rStyle w:val="Hipervnculo"/>
                <w:rFonts w:eastAsiaTheme="majorEastAsia" w:cstheme="minorHAnsi"/>
                <w:noProof/>
                <w:szCs w:val="24"/>
              </w:rPr>
              <w:t>RECURSOS INSTITUCIONALES</w:t>
            </w:r>
            <w:r w:rsidR="007403FA" w:rsidRPr="004B1036">
              <w:rPr>
                <w:rFonts w:cstheme="minorHAnsi"/>
                <w:noProof/>
                <w:webHidden/>
                <w:szCs w:val="24"/>
              </w:rPr>
              <w:tab/>
            </w:r>
            <w:r w:rsidR="007403FA" w:rsidRPr="004B1036">
              <w:rPr>
                <w:rFonts w:cstheme="minorHAnsi"/>
                <w:noProof/>
                <w:webHidden/>
                <w:szCs w:val="24"/>
              </w:rPr>
              <w:fldChar w:fldCharType="begin"/>
            </w:r>
            <w:r w:rsidR="007403FA" w:rsidRPr="004B1036">
              <w:rPr>
                <w:rFonts w:cstheme="minorHAnsi"/>
                <w:noProof/>
                <w:webHidden/>
                <w:szCs w:val="24"/>
              </w:rPr>
              <w:instrText xml:space="preserve"> PAGEREF _Toc65452646 \h </w:instrText>
            </w:r>
            <w:r w:rsidR="007403FA" w:rsidRPr="004B1036">
              <w:rPr>
                <w:rFonts w:cstheme="minorHAnsi"/>
                <w:noProof/>
                <w:webHidden/>
                <w:szCs w:val="24"/>
              </w:rPr>
            </w:r>
            <w:r w:rsidR="007403FA" w:rsidRPr="004B1036">
              <w:rPr>
                <w:rFonts w:cstheme="minorHAnsi"/>
                <w:noProof/>
                <w:webHidden/>
                <w:szCs w:val="24"/>
              </w:rPr>
              <w:fldChar w:fldCharType="separate"/>
            </w:r>
            <w:r w:rsidR="002B6234">
              <w:rPr>
                <w:rFonts w:cstheme="minorHAnsi"/>
                <w:noProof/>
                <w:webHidden/>
                <w:szCs w:val="24"/>
              </w:rPr>
              <w:t>4</w:t>
            </w:r>
            <w:r w:rsidR="007403FA" w:rsidRPr="004B1036">
              <w:rPr>
                <w:rFonts w:cstheme="minorHAnsi"/>
                <w:noProof/>
                <w:webHidden/>
                <w:szCs w:val="24"/>
              </w:rPr>
              <w:fldChar w:fldCharType="end"/>
            </w:r>
          </w:hyperlink>
        </w:p>
        <w:p w:rsidR="007403FA" w:rsidRPr="004B1036" w:rsidRDefault="00FE0FE2" w:rsidP="008C7ADA">
          <w:pPr>
            <w:pStyle w:val="TDC1"/>
            <w:tabs>
              <w:tab w:val="left" w:pos="660"/>
            </w:tabs>
            <w:spacing w:after="0"/>
            <w:ind w:left="567" w:hanging="567"/>
            <w:rPr>
              <w:rFonts w:cstheme="minorHAnsi"/>
              <w:noProof/>
              <w:szCs w:val="24"/>
            </w:rPr>
          </w:pPr>
          <w:hyperlink w:anchor="_Toc65452647" w:history="1">
            <w:r w:rsidR="007403FA" w:rsidRPr="004B1036">
              <w:rPr>
                <w:rStyle w:val="Hipervnculo"/>
                <w:rFonts w:eastAsiaTheme="majorEastAsia" w:cstheme="minorHAnsi"/>
                <w:noProof/>
                <w:szCs w:val="24"/>
              </w:rPr>
              <w:t>IV.</w:t>
            </w:r>
            <w:r w:rsidR="007403FA" w:rsidRPr="004B1036">
              <w:rPr>
                <w:rFonts w:cstheme="minorHAnsi"/>
                <w:noProof/>
                <w:szCs w:val="24"/>
              </w:rPr>
              <w:tab/>
            </w:r>
            <w:r w:rsidR="007403FA" w:rsidRPr="004B1036">
              <w:rPr>
                <w:rStyle w:val="Hipervnculo"/>
                <w:rFonts w:eastAsiaTheme="majorEastAsia" w:cstheme="minorHAnsi"/>
                <w:noProof/>
                <w:szCs w:val="24"/>
              </w:rPr>
              <w:t>ORGANIZACIÓN</w:t>
            </w:r>
            <w:r w:rsidR="007403FA" w:rsidRPr="004B1036">
              <w:rPr>
                <w:rFonts w:cstheme="minorHAnsi"/>
                <w:noProof/>
                <w:webHidden/>
                <w:szCs w:val="24"/>
              </w:rPr>
              <w:tab/>
            </w:r>
            <w:r w:rsidR="007403FA" w:rsidRPr="004B1036">
              <w:rPr>
                <w:rFonts w:cstheme="minorHAnsi"/>
                <w:noProof/>
                <w:webHidden/>
                <w:szCs w:val="24"/>
              </w:rPr>
              <w:fldChar w:fldCharType="begin"/>
            </w:r>
            <w:r w:rsidR="007403FA" w:rsidRPr="004B1036">
              <w:rPr>
                <w:rFonts w:cstheme="minorHAnsi"/>
                <w:noProof/>
                <w:webHidden/>
                <w:szCs w:val="24"/>
              </w:rPr>
              <w:instrText xml:space="preserve"> PAGEREF _Toc65452647 \h </w:instrText>
            </w:r>
            <w:r w:rsidR="007403FA" w:rsidRPr="004B1036">
              <w:rPr>
                <w:rFonts w:cstheme="minorHAnsi"/>
                <w:noProof/>
                <w:webHidden/>
                <w:szCs w:val="24"/>
              </w:rPr>
            </w:r>
            <w:r w:rsidR="007403FA" w:rsidRPr="004B1036">
              <w:rPr>
                <w:rFonts w:cstheme="minorHAnsi"/>
                <w:noProof/>
                <w:webHidden/>
                <w:szCs w:val="24"/>
              </w:rPr>
              <w:fldChar w:fldCharType="separate"/>
            </w:r>
            <w:r w:rsidR="002B6234">
              <w:rPr>
                <w:rFonts w:cstheme="minorHAnsi"/>
                <w:noProof/>
                <w:webHidden/>
                <w:szCs w:val="24"/>
              </w:rPr>
              <w:t>7</w:t>
            </w:r>
            <w:r w:rsidR="007403FA" w:rsidRPr="004B1036">
              <w:rPr>
                <w:rFonts w:cstheme="minorHAnsi"/>
                <w:noProof/>
                <w:webHidden/>
                <w:szCs w:val="24"/>
              </w:rPr>
              <w:fldChar w:fldCharType="end"/>
            </w:r>
          </w:hyperlink>
        </w:p>
        <w:p w:rsidR="007403FA" w:rsidRPr="004B1036" w:rsidRDefault="00FE0FE2" w:rsidP="008C7ADA">
          <w:pPr>
            <w:pStyle w:val="TDC1"/>
            <w:spacing w:after="0"/>
            <w:ind w:left="567" w:hanging="567"/>
            <w:rPr>
              <w:rFonts w:cstheme="minorHAnsi"/>
              <w:noProof/>
              <w:szCs w:val="24"/>
            </w:rPr>
          </w:pPr>
          <w:hyperlink w:anchor="_Toc65452651" w:history="1">
            <w:r w:rsidR="007403FA" w:rsidRPr="004B1036">
              <w:rPr>
                <w:rStyle w:val="Hipervnculo"/>
                <w:rFonts w:eastAsiaTheme="majorEastAsia" w:cstheme="minorHAnsi"/>
                <w:noProof/>
                <w:szCs w:val="24"/>
              </w:rPr>
              <w:t>V.</w:t>
            </w:r>
            <w:r w:rsidR="007403FA" w:rsidRPr="004B1036">
              <w:rPr>
                <w:rFonts w:cstheme="minorHAnsi"/>
                <w:noProof/>
                <w:szCs w:val="24"/>
              </w:rPr>
              <w:tab/>
            </w:r>
            <w:r w:rsidR="007403FA" w:rsidRPr="004B1036">
              <w:rPr>
                <w:rStyle w:val="Hipervnculo"/>
                <w:rFonts w:eastAsiaTheme="majorEastAsia" w:cstheme="minorHAnsi"/>
                <w:noProof/>
                <w:szCs w:val="24"/>
              </w:rPr>
              <w:t>CUMPLIMIENTO DE METAS</w:t>
            </w:r>
            <w:r w:rsidR="007403FA" w:rsidRPr="004B1036">
              <w:rPr>
                <w:rFonts w:cstheme="minorHAnsi"/>
                <w:noProof/>
                <w:webHidden/>
                <w:szCs w:val="24"/>
              </w:rPr>
              <w:tab/>
            </w:r>
            <w:r w:rsidR="007403FA" w:rsidRPr="004B1036">
              <w:rPr>
                <w:rFonts w:cstheme="minorHAnsi"/>
                <w:noProof/>
                <w:webHidden/>
                <w:szCs w:val="24"/>
              </w:rPr>
              <w:fldChar w:fldCharType="begin"/>
            </w:r>
            <w:r w:rsidR="007403FA" w:rsidRPr="004B1036">
              <w:rPr>
                <w:rFonts w:cstheme="minorHAnsi"/>
                <w:noProof/>
                <w:webHidden/>
                <w:szCs w:val="24"/>
              </w:rPr>
              <w:instrText xml:space="preserve"> PAGEREF _Toc65452651 \h </w:instrText>
            </w:r>
            <w:r w:rsidR="007403FA" w:rsidRPr="004B1036">
              <w:rPr>
                <w:rFonts w:cstheme="minorHAnsi"/>
                <w:noProof/>
                <w:webHidden/>
                <w:szCs w:val="24"/>
              </w:rPr>
            </w:r>
            <w:r w:rsidR="007403FA" w:rsidRPr="004B1036">
              <w:rPr>
                <w:rFonts w:cstheme="minorHAnsi"/>
                <w:noProof/>
                <w:webHidden/>
                <w:szCs w:val="24"/>
              </w:rPr>
              <w:fldChar w:fldCharType="separate"/>
            </w:r>
            <w:r w:rsidR="002B6234">
              <w:rPr>
                <w:rFonts w:cstheme="minorHAnsi"/>
                <w:noProof/>
                <w:webHidden/>
                <w:szCs w:val="24"/>
              </w:rPr>
              <w:t>10</w:t>
            </w:r>
            <w:r w:rsidR="007403FA" w:rsidRPr="004B1036">
              <w:rPr>
                <w:rFonts w:cstheme="minorHAnsi"/>
                <w:noProof/>
                <w:webHidden/>
                <w:szCs w:val="24"/>
              </w:rPr>
              <w:fldChar w:fldCharType="end"/>
            </w:r>
          </w:hyperlink>
        </w:p>
        <w:p w:rsidR="007403FA" w:rsidRPr="004B1036" w:rsidRDefault="00FE0FE2" w:rsidP="008C7ADA">
          <w:pPr>
            <w:pStyle w:val="TDC1"/>
            <w:tabs>
              <w:tab w:val="left" w:pos="660"/>
            </w:tabs>
            <w:spacing w:after="0"/>
            <w:ind w:left="567" w:hanging="567"/>
            <w:rPr>
              <w:rFonts w:cstheme="minorHAnsi"/>
              <w:noProof/>
              <w:szCs w:val="24"/>
            </w:rPr>
          </w:pPr>
          <w:hyperlink w:anchor="_Toc65452655" w:history="1">
            <w:r w:rsidR="007403FA" w:rsidRPr="004B1036">
              <w:rPr>
                <w:rStyle w:val="Hipervnculo"/>
                <w:rFonts w:eastAsiaTheme="majorEastAsia" w:cstheme="minorHAnsi"/>
                <w:noProof/>
                <w:szCs w:val="24"/>
              </w:rPr>
              <w:t>VI.</w:t>
            </w:r>
            <w:r w:rsidR="007403FA" w:rsidRPr="004B1036">
              <w:rPr>
                <w:rFonts w:cstheme="minorHAnsi"/>
                <w:noProof/>
                <w:szCs w:val="24"/>
              </w:rPr>
              <w:tab/>
            </w:r>
            <w:r w:rsidR="007403FA" w:rsidRPr="004B1036">
              <w:rPr>
                <w:rStyle w:val="Hipervnculo"/>
                <w:rFonts w:eastAsiaTheme="majorEastAsia" w:cstheme="minorHAnsi"/>
                <w:noProof/>
                <w:szCs w:val="24"/>
              </w:rPr>
              <w:t>COMPROMISOS</w:t>
            </w:r>
            <w:r w:rsidR="007403FA" w:rsidRPr="004B1036">
              <w:rPr>
                <w:rFonts w:cstheme="minorHAnsi"/>
                <w:noProof/>
                <w:webHidden/>
                <w:szCs w:val="24"/>
              </w:rPr>
              <w:tab/>
            </w:r>
            <w:r w:rsidR="007403FA" w:rsidRPr="004B1036">
              <w:rPr>
                <w:rFonts w:cstheme="minorHAnsi"/>
                <w:noProof/>
                <w:webHidden/>
                <w:szCs w:val="24"/>
              </w:rPr>
              <w:fldChar w:fldCharType="begin"/>
            </w:r>
            <w:r w:rsidR="007403FA" w:rsidRPr="004B1036">
              <w:rPr>
                <w:rFonts w:cstheme="minorHAnsi"/>
                <w:noProof/>
                <w:webHidden/>
                <w:szCs w:val="24"/>
              </w:rPr>
              <w:instrText xml:space="preserve"> PAGEREF _Toc65452655 \h </w:instrText>
            </w:r>
            <w:r w:rsidR="007403FA" w:rsidRPr="004B1036">
              <w:rPr>
                <w:rFonts w:cstheme="minorHAnsi"/>
                <w:noProof/>
                <w:webHidden/>
                <w:szCs w:val="24"/>
              </w:rPr>
            </w:r>
            <w:r w:rsidR="007403FA" w:rsidRPr="004B1036">
              <w:rPr>
                <w:rFonts w:cstheme="minorHAnsi"/>
                <w:noProof/>
                <w:webHidden/>
                <w:szCs w:val="24"/>
              </w:rPr>
              <w:fldChar w:fldCharType="separate"/>
            </w:r>
            <w:r w:rsidR="002B6234">
              <w:rPr>
                <w:rFonts w:cstheme="minorHAnsi"/>
                <w:noProof/>
                <w:webHidden/>
                <w:szCs w:val="24"/>
              </w:rPr>
              <w:t>20</w:t>
            </w:r>
            <w:r w:rsidR="007403FA" w:rsidRPr="004B1036">
              <w:rPr>
                <w:rFonts w:cstheme="minorHAnsi"/>
                <w:noProof/>
                <w:webHidden/>
                <w:szCs w:val="24"/>
              </w:rPr>
              <w:fldChar w:fldCharType="end"/>
            </w:r>
          </w:hyperlink>
        </w:p>
        <w:p w:rsidR="007403FA" w:rsidRPr="004B1036" w:rsidRDefault="00FE0FE2" w:rsidP="008C7ADA">
          <w:pPr>
            <w:pStyle w:val="TDC1"/>
            <w:tabs>
              <w:tab w:val="left" w:pos="660"/>
            </w:tabs>
            <w:spacing w:after="0"/>
            <w:ind w:left="567" w:hanging="567"/>
            <w:rPr>
              <w:rFonts w:cstheme="minorHAnsi"/>
              <w:noProof/>
              <w:szCs w:val="24"/>
            </w:rPr>
          </w:pPr>
          <w:hyperlink w:anchor="_Toc65452661" w:history="1">
            <w:r w:rsidR="007403FA" w:rsidRPr="004B1036">
              <w:rPr>
                <w:rStyle w:val="Hipervnculo"/>
                <w:rFonts w:eastAsiaTheme="majorEastAsia" w:cstheme="minorHAnsi"/>
                <w:noProof/>
                <w:szCs w:val="24"/>
              </w:rPr>
              <w:t>VII.</w:t>
            </w:r>
            <w:r w:rsidR="007403FA" w:rsidRPr="004B1036">
              <w:rPr>
                <w:rFonts w:cstheme="minorHAnsi"/>
                <w:noProof/>
                <w:szCs w:val="24"/>
              </w:rPr>
              <w:tab/>
            </w:r>
            <w:r w:rsidR="007403FA" w:rsidRPr="004B1036">
              <w:rPr>
                <w:rStyle w:val="Hipervnculo"/>
                <w:rFonts w:eastAsiaTheme="majorEastAsia" w:cstheme="minorHAnsi"/>
                <w:noProof/>
                <w:szCs w:val="24"/>
              </w:rPr>
              <w:t>LIMITACIONES Y OBSTÁCULOS</w:t>
            </w:r>
            <w:r w:rsidR="007403FA" w:rsidRPr="004B1036">
              <w:rPr>
                <w:rFonts w:cstheme="minorHAnsi"/>
                <w:noProof/>
                <w:webHidden/>
                <w:szCs w:val="24"/>
              </w:rPr>
              <w:tab/>
            </w:r>
            <w:r w:rsidR="007403FA" w:rsidRPr="004B1036">
              <w:rPr>
                <w:rFonts w:cstheme="minorHAnsi"/>
                <w:noProof/>
                <w:webHidden/>
                <w:szCs w:val="24"/>
              </w:rPr>
              <w:fldChar w:fldCharType="begin"/>
            </w:r>
            <w:r w:rsidR="007403FA" w:rsidRPr="004B1036">
              <w:rPr>
                <w:rFonts w:cstheme="minorHAnsi"/>
                <w:noProof/>
                <w:webHidden/>
                <w:szCs w:val="24"/>
              </w:rPr>
              <w:instrText xml:space="preserve"> PAGEREF _Toc65452661 \h </w:instrText>
            </w:r>
            <w:r w:rsidR="007403FA" w:rsidRPr="004B1036">
              <w:rPr>
                <w:rFonts w:cstheme="minorHAnsi"/>
                <w:noProof/>
                <w:webHidden/>
                <w:szCs w:val="24"/>
              </w:rPr>
            </w:r>
            <w:r w:rsidR="007403FA" w:rsidRPr="004B1036">
              <w:rPr>
                <w:rFonts w:cstheme="minorHAnsi"/>
                <w:noProof/>
                <w:webHidden/>
                <w:szCs w:val="24"/>
              </w:rPr>
              <w:fldChar w:fldCharType="separate"/>
            </w:r>
            <w:r w:rsidR="002B6234">
              <w:rPr>
                <w:rFonts w:cstheme="minorHAnsi"/>
                <w:noProof/>
                <w:webHidden/>
                <w:szCs w:val="24"/>
              </w:rPr>
              <w:t>24</w:t>
            </w:r>
            <w:r w:rsidR="007403FA" w:rsidRPr="004B1036">
              <w:rPr>
                <w:rFonts w:cstheme="minorHAnsi"/>
                <w:noProof/>
                <w:webHidden/>
                <w:szCs w:val="24"/>
              </w:rPr>
              <w:fldChar w:fldCharType="end"/>
            </w:r>
          </w:hyperlink>
        </w:p>
        <w:p w:rsidR="007403FA" w:rsidRPr="004B1036" w:rsidRDefault="00FE0FE2" w:rsidP="008C7ADA">
          <w:pPr>
            <w:pStyle w:val="TDC1"/>
            <w:tabs>
              <w:tab w:val="left" w:pos="660"/>
            </w:tabs>
            <w:spacing w:after="0"/>
            <w:ind w:left="567" w:hanging="567"/>
            <w:rPr>
              <w:rFonts w:cstheme="minorHAnsi"/>
              <w:noProof/>
              <w:szCs w:val="24"/>
            </w:rPr>
          </w:pPr>
          <w:hyperlink w:anchor="_Toc65452662" w:history="1">
            <w:r w:rsidR="007403FA" w:rsidRPr="004B1036">
              <w:rPr>
                <w:rStyle w:val="Hipervnculo"/>
                <w:rFonts w:eastAsiaTheme="majorEastAsia" w:cstheme="minorHAnsi"/>
                <w:noProof/>
                <w:szCs w:val="24"/>
              </w:rPr>
              <w:t>VIII.</w:t>
            </w:r>
            <w:r w:rsidR="007403FA" w:rsidRPr="004B1036">
              <w:rPr>
                <w:rFonts w:cstheme="minorHAnsi"/>
                <w:noProof/>
                <w:szCs w:val="24"/>
              </w:rPr>
              <w:tab/>
            </w:r>
            <w:r w:rsidR="007403FA" w:rsidRPr="004B1036">
              <w:rPr>
                <w:rStyle w:val="Hipervnculo"/>
                <w:rFonts w:eastAsiaTheme="majorEastAsia" w:cstheme="minorHAnsi"/>
                <w:noProof/>
                <w:szCs w:val="24"/>
              </w:rPr>
              <w:t>RETOS Y VISIÓN DE FUTURO</w:t>
            </w:r>
            <w:r w:rsidR="007403FA" w:rsidRPr="004B1036">
              <w:rPr>
                <w:rFonts w:cstheme="minorHAnsi"/>
                <w:noProof/>
                <w:webHidden/>
                <w:szCs w:val="24"/>
              </w:rPr>
              <w:tab/>
            </w:r>
            <w:r w:rsidR="007403FA" w:rsidRPr="004B1036">
              <w:rPr>
                <w:rFonts w:cstheme="minorHAnsi"/>
                <w:noProof/>
                <w:webHidden/>
                <w:szCs w:val="24"/>
              </w:rPr>
              <w:fldChar w:fldCharType="begin"/>
            </w:r>
            <w:r w:rsidR="007403FA" w:rsidRPr="004B1036">
              <w:rPr>
                <w:rFonts w:cstheme="minorHAnsi"/>
                <w:noProof/>
                <w:webHidden/>
                <w:szCs w:val="24"/>
              </w:rPr>
              <w:instrText xml:space="preserve"> PAGEREF _Toc65452662 \h </w:instrText>
            </w:r>
            <w:r w:rsidR="007403FA" w:rsidRPr="004B1036">
              <w:rPr>
                <w:rFonts w:cstheme="minorHAnsi"/>
                <w:noProof/>
                <w:webHidden/>
                <w:szCs w:val="24"/>
              </w:rPr>
            </w:r>
            <w:r w:rsidR="007403FA" w:rsidRPr="004B1036">
              <w:rPr>
                <w:rFonts w:cstheme="minorHAnsi"/>
                <w:noProof/>
                <w:webHidden/>
                <w:szCs w:val="24"/>
              </w:rPr>
              <w:fldChar w:fldCharType="separate"/>
            </w:r>
            <w:r w:rsidR="002B6234">
              <w:rPr>
                <w:rFonts w:cstheme="minorHAnsi"/>
                <w:noProof/>
                <w:webHidden/>
                <w:szCs w:val="24"/>
              </w:rPr>
              <w:t>25</w:t>
            </w:r>
            <w:r w:rsidR="007403FA" w:rsidRPr="004B1036">
              <w:rPr>
                <w:rFonts w:cstheme="minorHAnsi"/>
                <w:noProof/>
                <w:webHidden/>
                <w:szCs w:val="24"/>
              </w:rPr>
              <w:fldChar w:fldCharType="end"/>
            </w:r>
          </w:hyperlink>
        </w:p>
        <w:p w:rsidR="007403FA" w:rsidRPr="004B1036" w:rsidRDefault="00FE0FE2" w:rsidP="008C7ADA">
          <w:pPr>
            <w:pStyle w:val="TDC1"/>
            <w:spacing w:after="0"/>
            <w:ind w:left="567" w:hanging="567"/>
            <w:rPr>
              <w:rFonts w:cstheme="minorHAnsi"/>
              <w:noProof/>
              <w:szCs w:val="24"/>
            </w:rPr>
          </w:pPr>
          <w:hyperlink w:anchor="_Toc65452663" w:history="1">
            <w:r w:rsidR="007403FA" w:rsidRPr="004B1036">
              <w:rPr>
                <w:rStyle w:val="Hipervnculo"/>
                <w:rFonts w:eastAsiaTheme="majorEastAsia" w:cstheme="minorHAnsi"/>
                <w:noProof/>
                <w:szCs w:val="24"/>
              </w:rPr>
              <w:t>IX.</w:t>
            </w:r>
            <w:r w:rsidR="007403FA" w:rsidRPr="004B1036">
              <w:rPr>
                <w:rFonts w:cstheme="minorHAnsi"/>
                <w:noProof/>
                <w:szCs w:val="24"/>
              </w:rPr>
              <w:tab/>
            </w:r>
            <w:r w:rsidR="007403FA" w:rsidRPr="004B1036">
              <w:rPr>
                <w:rStyle w:val="Hipervnculo"/>
                <w:rFonts w:eastAsiaTheme="majorEastAsia" w:cstheme="minorHAnsi"/>
                <w:noProof/>
                <w:szCs w:val="24"/>
              </w:rPr>
              <w:t>ANEXOS</w:t>
            </w:r>
            <w:r w:rsidR="007403FA" w:rsidRPr="004B1036">
              <w:rPr>
                <w:rFonts w:cstheme="minorHAnsi"/>
                <w:noProof/>
                <w:webHidden/>
                <w:szCs w:val="24"/>
              </w:rPr>
              <w:tab/>
            </w:r>
            <w:r w:rsidR="007403FA" w:rsidRPr="004B1036">
              <w:rPr>
                <w:rFonts w:cstheme="minorHAnsi"/>
                <w:noProof/>
                <w:webHidden/>
                <w:szCs w:val="24"/>
              </w:rPr>
              <w:fldChar w:fldCharType="begin"/>
            </w:r>
            <w:r w:rsidR="007403FA" w:rsidRPr="004B1036">
              <w:rPr>
                <w:rFonts w:cstheme="minorHAnsi"/>
                <w:noProof/>
                <w:webHidden/>
                <w:szCs w:val="24"/>
              </w:rPr>
              <w:instrText xml:space="preserve"> PAGEREF _Toc65452663 \h </w:instrText>
            </w:r>
            <w:r w:rsidR="007403FA" w:rsidRPr="004B1036">
              <w:rPr>
                <w:rFonts w:cstheme="minorHAnsi"/>
                <w:noProof/>
                <w:webHidden/>
                <w:szCs w:val="24"/>
              </w:rPr>
            </w:r>
            <w:r w:rsidR="007403FA" w:rsidRPr="004B1036">
              <w:rPr>
                <w:rFonts w:cstheme="minorHAnsi"/>
                <w:noProof/>
                <w:webHidden/>
                <w:szCs w:val="24"/>
              </w:rPr>
              <w:fldChar w:fldCharType="separate"/>
            </w:r>
            <w:r w:rsidR="002B6234">
              <w:rPr>
                <w:rFonts w:cstheme="minorHAnsi"/>
                <w:noProof/>
                <w:webHidden/>
                <w:szCs w:val="24"/>
              </w:rPr>
              <w:t>27</w:t>
            </w:r>
            <w:r w:rsidR="007403FA" w:rsidRPr="004B1036">
              <w:rPr>
                <w:rFonts w:cstheme="minorHAnsi"/>
                <w:noProof/>
                <w:webHidden/>
                <w:szCs w:val="24"/>
              </w:rPr>
              <w:fldChar w:fldCharType="end"/>
            </w:r>
          </w:hyperlink>
        </w:p>
        <w:p w:rsidR="0046129A" w:rsidRPr="004B1036" w:rsidRDefault="0046129A" w:rsidP="008C7ADA">
          <w:pPr>
            <w:spacing w:line="240" w:lineRule="auto"/>
            <w:rPr>
              <w:rFonts w:asciiTheme="majorHAnsi" w:hAnsiTheme="majorHAnsi" w:cstheme="minorHAnsi"/>
            </w:rPr>
          </w:pPr>
          <w:r w:rsidRPr="004B1036">
            <w:rPr>
              <w:rFonts w:cstheme="minorHAnsi"/>
              <w:sz w:val="22"/>
            </w:rPr>
            <w:fldChar w:fldCharType="end"/>
          </w:r>
        </w:p>
      </w:sdtContent>
    </w:sdt>
    <w:p w:rsidR="00FF37F6" w:rsidRPr="004B1036" w:rsidRDefault="00FF37F6" w:rsidP="008C7ADA">
      <w:pPr>
        <w:spacing w:line="240" w:lineRule="auto"/>
      </w:pPr>
      <w:r w:rsidRPr="004B1036">
        <w:br w:type="page"/>
      </w:r>
    </w:p>
    <w:p w:rsidR="0046129A" w:rsidRPr="004B1036" w:rsidRDefault="005D613A" w:rsidP="00E4486A">
      <w:pPr>
        <w:pStyle w:val="Ttulo1"/>
        <w:numPr>
          <w:ilvl w:val="0"/>
          <w:numId w:val="2"/>
        </w:numPr>
        <w:spacing w:before="0" w:beforeAutospacing="0" w:after="0" w:afterAutospacing="0" w:line="276" w:lineRule="auto"/>
        <w:ind w:left="426" w:hanging="426"/>
        <w:rPr>
          <w:rFonts w:ascii="Century Gothic" w:eastAsiaTheme="majorEastAsia" w:hAnsi="Century Gothic" w:cstheme="majorBidi"/>
          <w:color w:val="365F91" w:themeColor="accent1" w:themeShade="BF"/>
          <w:sz w:val="28"/>
          <w:szCs w:val="28"/>
          <w:lang w:eastAsia="es-CR"/>
        </w:rPr>
      </w:pPr>
      <w:bookmarkStart w:id="0" w:name="_Toc65452644"/>
      <w:r w:rsidRPr="004B1036">
        <w:rPr>
          <w:rFonts w:ascii="Century Gothic" w:eastAsiaTheme="majorEastAsia" w:hAnsi="Century Gothic" w:cstheme="majorBidi"/>
          <w:color w:val="365F91" w:themeColor="accent1" w:themeShade="BF"/>
          <w:kern w:val="0"/>
          <w:sz w:val="28"/>
          <w:szCs w:val="28"/>
          <w:lang w:eastAsia="es-CR"/>
        </w:rPr>
        <w:t>PRESENTACIÓN</w:t>
      </w:r>
      <w:bookmarkEnd w:id="0"/>
    </w:p>
    <w:p w:rsidR="00FF37F6" w:rsidRPr="004B1036" w:rsidRDefault="00FF37F6" w:rsidP="00E4486A">
      <w:pPr>
        <w:rPr>
          <w:lang w:eastAsia="es-CR"/>
        </w:rPr>
      </w:pPr>
    </w:p>
    <w:p w:rsidR="00FE6C6E" w:rsidRPr="004B1036" w:rsidRDefault="00FE6C6E" w:rsidP="00E4486A">
      <w:pPr>
        <w:pStyle w:val="Encabezado"/>
        <w:spacing w:line="276" w:lineRule="auto"/>
      </w:pPr>
      <w:r w:rsidRPr="004B1036">
        <w:t xml:space="preserve">La </w:t>
      </w:r>
      <w:r w:rsidRPr="004B1036">
        <w:rPr>
          <w:i/>
        </w:rPr>
        <w:t>Ley para Perfeccionar la Rendición de Cuentas</w:t>
      </w:r>
      <w:r w:rsidRPr="004B1036">
        <w:t>, N°9398 de 28 de setiembre de 2016, en su artículo 1 dispone:</w:t>
      </w:r>
    </w:p>
    <w:p w:rsidR="00FE6C6E" w:rsidRPr="004B1036" w:rsidRDefault="00FE6C6E" w:rsidP="00E4486A">
      <w:pPr>
        <w:ind w:firstLine="708"/>
        <w:rPr>
          <w:rFonts w:ascii="Verdana" w:eastAsia="Times New Roman" w:hAnsi="Verdana" w:cs="Times New Roman"/>
          <w:color w:val="000000"/>
          <w:szCs w:val="24"/>
          <w:lang w:eastAsia="es-CR"/>
        </w:rPr>
      </w:pPr>
    </w:p>
    <w:p w:rsidR="00FE6C6E" w:rsidRPr="004B1036" w:rsidRDefault="00FE6C6E" w:rsidP="00E4486A">
      <w:pPr>
        <w:ind w:left="567" w:right="616"/>
        <w:rPr>
          <w:i/>
          <w:sz w:val="20"/>
          <w:szCs w:val="20"/>
        </w:rPr>
      </w:pPr>
      <w:r w:rsidRPr="6B89B391">
        <w:rPr>
          <w:rFonts w:eastAsia="Times New Roman" w:cs="Times New Roman"/>
          <w:i/>
          <w:color w:val="000000" w:themeColor="text1"/>
          <w:sz w:val="20"/>
          <w:szCs w:val="20"/>
          <w:lang w:eastAsia="es-CR"/>
        </w:rPr>
        <w:t>“</w:t>
      </w:r>
      <w:r w:rsidR="00016AB4" w:rsidRPr="6B89B391">
        <w:rPr>
          <w:rFonts w:eastAsia="Times New Roman" w:cs="Times New Roman"/>
          <w:b/>
          <w:i/>
          <w:color w:val="000000" w:themeColor="text1"/>
          <w:sz w:val="20"/>
          <w:szCs w:val="20"/>
          <w:lang w:eastAsia="es-CR"/>
        </w:rPr>
        <w:t>ARTÍCULO 1.-</w:t>
      </w:r>
      <w:r w:rsidRPr="6B89B391">
        <w:rPr>
          <w:rFonts w:eastAsia="Times New Roman" w:cs="Times New Roman"/>
          <w:i/>
          <w:color w:val="000000" w:themeColor="text1"/>
          <w:sz w:val="20"/>
          <w:szCs w:val="20"/>
          <w:lang w:eastAsia="es-CR"/>
        </w:rPr>
        <w:t>Como parte de la obligación constitucional que tienen los funcionarios públicos de rendir cuentas por su labor y en aras de que dicho ejercicio contribuya al mejoramiento continuo en la calidad del accionar estatal, se establece la obligación de los rectores sectoriales, jerarcas ministeriales, de entes descentralizados institucionales y de órganos de desconcentración máxima, de elaborar, publicar y divulgar un informe anual, escrito, de la labor desarrollada por la o las instituciones a su cargo”.</w:t>
      </w:r>
    </w:p>
    <w:p w:rsidR="00FE6C6E" w:rsidRPr="004B1036" w:rsidRDefault="00FE6C6E" w:rsidP="00E4486A">
      <w:pPr>
        <w:pStyle w:val="Encabezado"/>
        <w:spacing w:line="276" w:lineRule="auto"/>
      </w:pPr>
    </w:p>
    <w:p w:rsidR="00FE6C6E" w:rsidRPr="004B1036" w:rsidRDefault="00FE6C6E" w:rsidP="00E4486A">
      <w:pPr>
        <w:pStyle w:val="Encabezado"/>
        <w:spacing w:line="276" w:lineRule="auto"/>
      </w:pPr>
      <w:r w:rsidRPr="004B1036">
        <w:t xml:space="preserve">En cumplimiento de este mandato se </w:t>
      </w:r>
      <w:r w:rsidR="00116B95" w:rsidRPr="004B1036">
        <w:t xml:space="preserve">elabora el presente </w:t>
      </w:r>
      <w:r w:rsidRPr="004B1036">
        <w:t>informe de rendición de cuentas de la Superintendencia General de Seguros (</w:t>
      </w:r>
      <w:r w:rsidR="000A0042" w:rsidRPr="004B1036">
        <w:t>SUGESE</w:t>
      </w:r>
      <w:r w:rsidRPr="004B1036">
        <w:t>)</w:t>
      </w:r>
      <w:r w:rsidR="000015D2" w:rsidRPr="004B1036">
        <w:t xml:space="preserve">, </w:t>
      </w:r>
      <w:r w:rsidR="000A0042" w:rsidRPr="004B1036">
        <w:t xml:space="preserve">correspondiente al </w:t>
      </w:r>
      <w:r w:rsidR="000015D2" w:rsidRPr="004B1036">
        <w:t>periodo 20</w:t>
      </w:r>
      <w:r w:rsidR="008D5F77" w:rsidRPr="004B1036">
        <w:t>2</w:t>
      </w:r>
      <w:r w:rsidR="00621934">
        <w:t>2</w:t>
      </w:r>
      <w:r w:rsidRPr="004B1036">
        <w:t xml:space="preserve">.  </w:t>
      </w:r>
      <w:r w:rsidR="00BB4F9D">
        <w:t>El d</w:t>
      </w:r>
      <w:r w:rsidRPr="004B1036">
        <w:t xml:space="preserve">ocumento </w:t>
      </w:r>
      <w:r w:rsidR="00BB4F9D">
        <w:t>consta de</w:t>
      </w:r>
      <w:r w:rsidRPr="004B1036">
        <w:t xml:space="preserve"> seis secciones: primero se mencionan los objetivos legales y estratégicos de la </w:t>
      </w:r>
      <w:r w:rsidR="000A0042" w:rsidRPr="004B1036">
        <w:t>SUGESE</w:t>
      </w:r>
      <w:r w:rsidR="00116B95" w:rsidRPr="004B1036">
        <w:t xml:space="preserve"> y</w:t>
      </w:r>
      <w:r w:rsidRPr="004B1036">
        <w:t xml:space="preserve"> luego se detallan los recursos financieros, humanos y materiales disponibles. En la sección tercera se presenta la estructura organizacional</w:t>
      </w:r>
      <w:r w:rsidR="00BC5B2B" w:rsidRPr="004B1036">
        <w:t xml:space="preserve"> vigente para el periodo de</w:t>
      </w:r>
      <w:r w:rsidR="000A0042" w:rsidRPr="004B1036">
        <w:t xml:space="preserve"> este informe.</w:t>
      </w:r>
      <w:r w:rsidRPr="004B1036">
        <w:t xml:space="preserve">  Las metas trazadas y los resultados obtenidos se analizan en la sección cuarta. Posteriormente se presentan las limitaciones y obstáculos. Finalmente, se indican los retos</w:t>
      </w:r>
      <w:r w:rsidR="001554C2" w:rsidRPr="004B1036">
        <w:t xml:space="preserve"> y objetivos </w:t>
      </w:r>
      <w:r w:rsidRPr="004B1036">
        <w:t xml:space="preserve">visualizados para el mediano y largo plazo. </w:t>
      </w:r>
    </w:p>
    <w:p w:rsidR="00FE6C6E" w:rsidRPr="004B1036" w:rsidRDefault="00FE6C6E" w:rsidP="00E4486A"/>
    <w:p w:rsidR="00213914" w:rsidRPr="004B1036" w:rsidRDefault="00213914" w:rsidP="00E4486A">
      <w:pPr>
        <w:rPr>
          <w:rFonts w:asciiTheme="majorHAnsi" w:hAnsiTheme="majorHAnsi"/>
        </w:rPr>
      </w:pPr>
    </w:p>
    <w:p w:rsidR="0046129A" w:rsidRPr="004B1036" w:rsidRDefault="005D613A" w:rsidP="00E4486A">
      <w:pPr>
        <w:pStyle w:val="Ttulo1"/>
        <w:numPr>
          <w:ilvl w:val="0"/>
          <w:numId w:val="2"/>
        </w:numPr>
        <w:spacing w:before="0" w:beforeAutospacing="0" w:after="0" w:afterAutospacing="0" w:line="276" w:lineRule="auto"/>
        <w:ind w:left="426" w:hanging="426"/>
        <w:rPr>
          <w:rFonts w:ascii="Century Gothic" w:eastAsiaTheme="majorEastAsia" w:hAnsi="Century Gothic" w:cstheme="majorBidi"/>
          <w:color w:val="365F91" w:themeColor="accent1" w:themeShade="BF"/>
          <w:sz w:val="28"/>
          <w:szCs w:val="28"/>
          <w:lang w:eastAsia="es-CR"/>
        </w:rPr>
      </w:pPr>
      <w:bookmarkStart w:id="1" w:name="_Toc65452645"/>
      <w:r w:rsidRPr="004B1036">
        <w:rPr>
          <w:rFonts w:ascii="Century Gothic" w:eastAsiaTheme="majorEastAsia" w:hAnsi="Century Gothic" w:cstheme="majorBidi"/>
          <w:color w:val="365F91" w:themeColor="accent1" w:themeShade="BF"/>
          <w:kern w:val="0"/>
          <w:sz w:val="28"/>
          <w:szCs w:val="28"/>
          <w:lang w:eastAsia="es-CR"/>
        </w:rPr>
        <w:t>OBJETIVOS LEGALES</w:t>
      </w:r>
      <w:bookmarkEnd w:id="1"/>
    </w:p>
    <w:p w:rsidR="00FF37F6" w:rsidRPr="004B1036" w:rsidRDefault="00FF37F6" w:rsidP="00E4486A">
      <w:pPr>
        <w:rPr>
          <w:lang w:eastAsia="es-CR"/>
        </w:rPr>
      </w:pPr>
    </w:p>
    <w:p w:rsidR="00FE6C6E" w:rsidRPr="004B1036" w:rsidRDefault="00FE6C6E" w:rsidP="00E4486A">
      <w:pPr>
        <w:rPr>
          <w:szCs w:val="24"/>
        </w:rPr>
      </w:pPr>
      <w:r>
        <w:t xml:space="preserve">La </w:t>
      </w:r>
      <w:r w:rsidRPr="6B89B391">
        <w:rPr>
          <w:i/>
        </w:rPr>
        <w:t>Ley Reguladora del Mercado de Seguros</w:t>
      </w:r>
      <w:r>
        <w:t>, Ley N°8653, del 07 de agosto de 2008, dispuso la creación de la Superintendencia General de Seguros (</w:t>
      </w:r>
      <w:r w:rsidR="000A0042">
        <w:t>SUGESE</w:t>
      </w:r>
      <w:r>
        <w:t>) como órgano de máxima desconcentración adscrito al Banco Central de Costa Rica (BCCR), bajo la dirección del Consejo Nacional de Supervisión del Sistema Financiero (</w:t>
      </w:r>
      <w:r w:rsidR="000A0042">
        <w:t>CONASSIF</w:t>
      </w:r>
      <w:r>
        <w:t>).</w:t>
      </w:r>
    </w:p>
    <w:p w:rsidR="00FE6C6E" w:rsidRPr="004B1036" w:rsidRDefault="00FE6C6E" w:rsidP="00E4486A">
      <w:pPr>
        <w:rPr>
          <w:szCs w:val="24"/>
        </w:rPr>
      </w:pPr>
    </w:p>
    <w:p w:rsidR="00FE6C6E" w:rsidRPr="004B1036" w:rsidRDefault="00FE6C6E" w:rsidP="00E4486A">
      <w:pPr>
        <w:rPr>
          <w:szCs w:val="24"/>
        </w:rPr>
      </w:pPr>
      <w:r>
        <w:t xml:space="preserve">La </w:t>
      </w:r>
      <w:r w:rsidRPr="6B89B391">
        <w:rPr>
          <w:i/>
        </w:rPr>
        <w:t>Ley Reguladora del Mercado de Seguros</w:t>
      </w:r>
      <w:r>
        <w:t xml:space="preserve"> establece como objetivo general de la </w:t>
      </w:r>
      <w:r w:rsidR="000A0042">
        <w:t>SUGESE</w:t>
      </w:r>
      <w:r>
        <w:t>:</w:t>
      </w:r>
    </w:p>
    <w:p w:rsidR="00FE6C6E" w:rsidRPr="004B1036" w:rsidRDefault="00FE6C6E" w:rsidP="00E4486A">
      <w:pPr>
        <w:rPr>
          <w:i/>
          <w:iCs/>
          <w:szCs w:val="24"/>
        </w:rPr>
      </w:pPr>
    </w:p>
    <w:p w:rsidR="00FE6C6E" w:rsidRDefault="00FE6C6E" w:rsidP="00E4486A">
      <w:pPr>
        <w:ind w:left="567" w:right="616"/>
        <w:rPr>
          <w:i/>
          <w:iCs/>
          <w:sz w:val="20"/>
          <w:szCs w:val="20"/>
        </w:rPr>
      </w:pPr>
      <w:r w:rsidRPr="004B1036">
        <w:rPr>
          <w:i/>
          <w:iCs/>
          <w:sz w:val="20"/>
          <w:szCs w:val="20"/>
        </w:rPr>
        <w:t>“…velar por la estabilidad y el eficiente funcionamiento del mercado de seguros, así como entregar la más amplia información a los asegurados. Para ello, autorizará, regulará y supervisará a las personas, físicas o jurídicas, que intervengan en los actos o contratos relacionados con la actividad aseguradora, reaseguradora, la oferta pública y la realización de negocios de seguros.”</w:t>
      </w:r>
    </w:p>
    <w:p w:rsidR="00CD38BF" w:rsidRDefault="00CD38BF" w:rsidP="00E4486A">
      <w:pPr>
        <w:ind w:left="567" w:right="616"/>
        <w:rPr>
          <w:i/>
          <w:iCs/>
          <w:sz w:val="20"/>
          <w:szCs w:val="20"/>
        </w:rPr>
      </w:pPr>
    </w:p>
    <w:p w:rsidR="00FE6C6E" w:rsidRPr="004B1036" w:rsidRDefault="00FE6C6E" w:rsidP="00E4486A">
      <w:pPr>
        <w:rPr>
          <w:szCs w:val="24"/>
        </w:rPr>
      </w:pPr>
    </w:p>
    <w:p w:rsidR="0046129A" w:rsidRPr="004B1036" w:rsidRDefault="005D613A" w:rsidP="00E4486A">
      <w:pPr>
        <w:pStyle w:val="Ttulo1"/>
        <w:numPr>
          <w:ilvl w:val="0"/>
          <w:numId w:val="2"/>
        </w:numPr>
        <w:spacing w:before="0" w:beforeAutospacing="0" w:after="0" w:afterAutospacing="0" w:line="276" w:lineRule="auto"/>
        <w:ind w:left="426" w:hanging="426"/>
      </w:pPr>
      <w:bookmarkStart w:id="2" w:name="_Toc65452646"/>
      <w:r w:rsidRPr="004B1036">
        <w:rPr>
          <w:rFonts w:ascii="Century Gothic" w:eastAsiaTheme="majorEastAsia" w:hAnsi="Century Gothic" w:cstheme="majorBidi"/>
          <w:color w:val="365F91" w:themeColor="accent1" w:themeShade="BF"/>
          <w:kern w:val="0"/>
          <w:sz w:val="28"/>
          <w:szCs w:val="28"/>
          <w:lang w:eastAsia="es-CR"/>
        </w:rPr>
        <w:t>RECURSOS INSTITUCIONALES</w:t>
      </w:r>
      <w:bookmarkEnd w:id="2"/>
    </w:p>
    <w:p w:rsidR="00340424" w:rsidRPr="004B1036" w:rsidRDefault="00340424" w:rsidP="00E4486A"/>
    <w:p w:rsidR="00E37803" w:rsidRPr="00621934" w:rsidRDefault="007A2605" w:rsidP="00E4486A">
      <w:pPr>
        <w:rPr>
          <w:lang w:eastAsia="es-CR"/>
        </w:rPr>
      </w:pPr>
      <w:r w:rsidRPr="004B1036">
        <w:rPr>
          <w:lang w:eastAsia="es-CR"/>
        </w:rPr>
        <w:t xml:space="preserve">Según el </w:t>
      </w:r>
      <w:r w:rsidR="00B90599" w:rsidRPr="004B1036">
        <w:rPr>
          <w:lang w:eastAsia="es-CR"/>
        </w:rPr>
        <w:t>artículo</w:t>
      </w:r>
      <w:r w:rsidRPr="004B1036">
        <w:rPr>
          <w:lang w:eastAsia="es-CR"/>
        </w:rPr>
        <w:t xml:space="preserve"> 28 </w:t>
      </w:r>
      <w:r w:rsidRPr="00621934">
        <w:rPr>
          <w:lang w:eastAsia="es-CR"/>
        </w:rPr>
        <w:t xml:space="preserve">de la </w:t>
      </w:r>
      <w:r w:rsidR="00B90599" w:rsidRPr="00621934">
        <w:rPr>
          <w:i/>
          <w:lang w:eastAsia="es-CR"/>
        </w:rPr>
        <w:t xml:space="preserve">Ley </w:t>
      </w:r>
      <w:r w:rsidR="00682D3A" w:rsidRPr="00621934">
        <w:rPr>
          <w:i/>
          <w:lang w:eastAsia="es-CR"/>
        </w:rPr>
        <w:t>R</w:t>
      </w:r>
      <w:r w:rsidR="00B90599" w:rsidRPr="00621934">
        <w:rPr>
          <w:i/>
          <w:lang w:eastAsia="es-CR"/>
        </w:rPr>
        <w:t xml:space="preserve">eguladora del </w:t>
      </w:r>
      <w:r w:rsidR="00682D3A" w:rsidRPr="00621934">
        <w:rPr>
          <w:i/>
          <w:lang w:eastAsia="es-CR"/>
        </w:rPr>
        <w:t>M</w:t>
      </w:r>
      <w:r w:rsidR="00B90599" w:rsidRPr="00621934">
        <w:rPr>
          <w:i/>
          <w:lang w:eastAsia="es-CR"/>
        </w:rPr>
        <w:t xml:space="preserve">ercado de </w:t>
      </w:r>
      <w:r w:rsidR="00682D3A" w:rsidRPr="00621934">
        <w:rPr>
          <w:i/>
          <w:lang w:eastAsia="es-CR"/>
        </w:rPr>
        <w:t>S</w:t>
      </w:r>
      <w:r w:rsidR="00B90599" w:rsidRPr="00621934">
        <w:rPr>
          <w:i/>
          <w:lang w:eastAsia="es-CR"/>
        </w:rPr>
        <w:t>eguros</w:t>
      </w:r>
      <w:r w:rsidR="00B90599" w:rsidRPr="00621934">
        <w:rPr>
          <w:lang w:eastAsia="es-CR"/>
        </w:rPr>
        <w:t>,</w:t>
      </w:r>
      <w:r w:rsidR="00E64680" w:rsidRPr="00621934">
        <w:rPr>
          <w:lang w:eastAsia="es-CR"/>
        </w:rPr>
        <w:t xml:space="preserve"> № 8653, </w:t>
      </w:r>
      <w:r w:rsidR="00B90599" w:rsidRPr="00621934">
        <w:rPr>
          <w:lang w:eastAsia="es-CR"/>
        </w:rPr>
        <w:t>la S</w:t>
      </w:r>
      <w:r w:rsidR="00E37803" w:rsidRPr="00621934">
        <w:rPr>
          <w:lang w:eastAsia="es-CR"/>
        </w:rPr>
        <w:t>UGESE</w:t>
      </w:r>
      <w:r w:rsidR="00B90599" w:rsidRPr="00621934">
        <w:rPr>
          <w:lang w:eastAsia="es-CR"/>
        </w:rPr>
        <w:t xml:space="preserve"> </w:t>
      </w:r>
      <w:r w:rsidR="00E33345" w:rsidRPr="00621934">
        <w:rPr>
          <w:lang w:eastAsia="es-CR"/>
        </w:rPr>
        <w:t>es</w:t>
      </w:r>
      <w:r w:rsidR="00B90599" w:rsidRPr="00621934">
        <w:rPr>
          <w:lang w:eastAsia="es-CR"/>
        </w:rPr>
        <w:t xml:space="preserve"> un órgano de máxima desconcentración adscrito al B</w:t>
      </w:r>
      <w:r w:rsidR="001554C2" w:rsidRPr="00621934">
        <w:rPr>
          <w:lang w:eastAsia="es-CR"/>
        </w:rPr>
        <w:t>CCR</w:t>
      </w:r>
      <w:r w:rsidR="00B90599" w:rsidRPr="00621934">
        <w:rPr>
          <w:lang w:eastAsia="es-CR"/>
        </w:rPr>
        <w:t>, con personalidad y capacidad jurídicas instrumentales</w:t>
      </w:r>
      <w:r w:rsidR="00526A4E" w:rsidRPr="00621934">
        <w:rPr>
          <w:lang w:eastAsia="es-CR"/>
        </w:rPr>
        <w:t xml:space="preserve">. </w:t>
      </w:r>
      <w:r w:rsidR="009D2494">
        <w:rPr>
          <w:lang w:eastAsia="es-CR"/>
        </w:rPr>
        <w:t>Durante 2022, e</w:t>
      </w:r>
      <w:r w:rsidR="00E37803" w:rsidRPr="00621934">
        <w:rPr>
          <w:lang w:eastAsia="es-CR"/>
        </w:rPr>
        <w:t>l financiamiento de la Super</w:t>
      </w:r>
      <w:r w:rsidR="0057417D" w:rsidRPr="00621934">
        <w:rPr>
          <w:lang w:eastAsia="es-CR"/>
        </w:rPr>
        <w:t>in</w:t>
      </w:r>
      <w:r w:rsidR="00E37803" w:rsidRPr="00621934">
        <w:rPr>
          <w:lang w:eastAsia="es-CR"/>
        </w:rPr>
        <w:t>t</w:t>
      </w:r>
      <w:r w:rsidR="0057417D" w:rsidRPr="00621934">
        <w:rPr>
          <w:lang w:eastAsia="es-CR"/>
        </w:rPr>
        <w:t>e</w:t>
      </w:r>
      <w:r w:rsidR="00E37803" w:rsidRPr="00621934">
        <w:rPr>
          <w:lang w:eastAsia="es-CR"/>
        </w:rPr>
        <w:t>ndencia, de conformidad con el artículo cita,</w:t>
      </w:r>
      <w:r w:rsidR="009D2494">
        <w:rPr>
          <w:lang w:eastAsia="es-CR"/>
        </w:rPr>
        <w:t xml:space="preserve"> </w:t>
      </w:r>
      <w:r w:rsidR="00E37803" w:rsidRPr="00621934">
        <w:rPr>
          <w:lang w:eastAsia="es-CR"/>
        </w:rPr>
        <w:t>le correspond</w:t>
      </w:r>
      <w:r w:rsidR="009D2494">
        <w:rPr>
          <w:lang w:eastAsia="es-CR"/>
        </w:rPr>
        <w:t>ió</w:t>
      </w:r>
      <w:r w:rsidR="00E37803" w:rsidRPr="00621934">
        <w:rPr>
          <w:lang w:eastAsia="es-CR"/>
        </w:rPr>
        <w:t xml:space="preserve"> </w:t>
      </w:r>
      <w:r w:rsidR="007C4EF1" w:rsidRPr="00621934">
        <w:rPr>
          <w:lang w:eastAsia="es-CR"/>
        </w:rPr>
        <w:t xml:space="preserve">en un </w:t>
      </w:r>
      <w:r w:rsidR="009D2494">
        <w:rPr>
          <w:lang w:eastAsia="es-CR"/>
        </w:rPr>
        <w:t>90</w:t>
      </w:r>
      <w:r w:rsidR="007C4EF1" w:rsidRPr="00621934">
        <w:rPr>
          <w:lang w:eastAsia="es-CR"/>
        </w:rPr>
        <w:t xml:space="preserve">% al </w:t>
      </w:r>
      <w:r w:rsidR="00E37803" w:rsidRPr="00621934">
        <w:rPr>
          <w:lang w:eastAsia="es-CR"/>
        </w:rPr>
        <w:t>BCCR</w:t>
      </w:r>
      <w:r w:rsidR="009D2494">
        <w:rPr>
          <w:lang w:eastAsia="es-CR"/>
        </w:rPr>
        <w:t xml:space="preserve"> y el resto a las entidades supervisadas</w:t>
      </w:r>
      <w:r w:rsidR="007C4EF1" w:rsidRPr="00621934">
        <w:rPr>
          <w:rStyle w:val="Refdenotaalpie"/>
          <w:lang w:eastAsia="es-CR"/>
        </w:rPr>
        <w:footnoteReference w:id="2"/>
      </w:r>
      <w:r w:rsidR="00E37803" w:rsidRPr="00621934">
        <w:rPr>
          <w:lang w:eastAsia="es-CR"/>
        </w:rPr>
        <w:t>.</w:t>
      </w:r>
    </w:p>
    <w:p w:rsidR="00E37803" w:rsidRPr="00621934" w:rsidRDefault="00E37803" w:rsidP="00E4486A">
      <w:pPr>
        <w:rPr>
          <w:lang w:eastAsia="es-CR"/>
        </w:rPr>
      </w:pPr>
    </w:p>
    <w:p w:rsidR="00B90599" w:rsidRPr="00621934" w:rsidRDefault="00B90599" w:rsidP="00E4486A">
      <w:pPr>
        <w:autoSpaceDE w:val="0"/>
        <w:autoSpaceDN w:val="0"/>
        <w:adjustRightInd w:val="0"/>
        <w:rPr>
          <w:lang w:eastAsia="es-CR"/>
        </w:rPr>
      </w:pPr>
      <w:r w:rsidRPr="00621934">
        <w:rPr>
          <w:lang w:eastAsia="es-CR"/>
        </w:rPr>
        <w:t>La Superintendencia r</w:t>
      </w:r>
      <w:r w:rsidR="007C4EF1" w:rsidRPr="00621934">
        <w:rPr>
          <w:lang w:eastAsia="es-CR"/>
        </w:rPr>
        <w:t>i</w:t>
      </w:r>
      <w:r w:rsidRPr="00621934">
        <w:rPr>
          <w:lang w:eastAsia="es-CR"/>
        </w:rPr>
        <w:t>g</w:t>
      </w:r>
      <w:r w:rsidR="007C4EF1" w:rsidRPr="00621934">
        <w:rPr>
          <w:lang w:eastAsia="es-CR"/>
        </w:rPr>
        <w:t>e</w:t>
      </w:r>
      <w:r w:rsidRPr="00621934">
        <w:rPr>
          <w:lang w:eastAsia="es-CR"/>
        </w:rPr>
        <w:t xml:space="preserve"> sus </w:t>
      </w:r>
      <w:r w:rsidR="00E33345" w:rsidRPr="00621934">
        <w:rPr>
          <w:lang w:eastAsia="es-CR"/>
        </w:rPr>
        <w:t xml:space="preserve">actividades por lo dispuesto en </w:t>
      </w:r>
      <w:r w:rsidR="00934FF1" w:rsidRPr="00621934">
        <w:rPr>
          <w:lang w:eastAsia="es-CR"/>
        </w:rPr>
        <w:t xml:space="preserve">la </w:t>
      </w:r>
      <w:r w:rsidR="00934FF1" w:rsidRPr="00621934">
        <w:rPr>
          <w:i/>
          <w:lang w:eastAsia="es-CR"/>
        </w:rPr>
        <w:t>Ley Reguladora del Mercado de Seguros</w:t>
      </w:r>
      <w:r w:rsidR="00934FF1" w:rsidRPr="00621934">
        <w:rPr>
          <w:lang w:eastAsia="es-CR"/>
        </w:rPr>
        <w:t>, sus</w:t>
      </w:r>
      <w:r w:rsidRPr="00621934">
        <w:rPr>
          <w:lang w:eastAsia="es-CR"/>
        </w:rPr>
        <w:t xml:space="preserve"> reglamentos y las demás leyes aplicables. Las normas generales y directrices dictadas por la </w:t>
      </w:r>
      <w:r w:rsidR="008E5222" w:rsidRPr="00621934">
        <w:rPr>
          <w:lang w:eastAsia="es-CR"/>
        </w:rPr>
        <w:t>Superintendencia</w:t>
      </w:r>
      <w:r w:rsidRPr="00621934">
        <w:rPr>
          <w:lang w:eastAsia="es-CR"/>
        </w:rPr>
        <w:t xml:space="preserve"> </w:t>
      </w:r>
      <w:r w:rsidR="007C4EF1" w:rsidRPr="00621934">
        <w:rPr>
          <w:lang w:eastAsia="es-CR"/>
        </w:rPr>
        <w:t xml:space="preserve">son </w:t>
      </w:r>
      <w:r w:rsidRPr="00621934">
        <w:rPr>
          <w:lang w:eastAsia="es-CR"/>
        </w:rPr>
        <w:t>de observancia obligatoria para las entidades y personas supervisadas.</w:t>
      </w:r>
    </w:p>
    <w:p w:rsidR="00682D3A" w:rsidRPr="00621934" w:rsidRDefault="00682D3A" w:rsidP="00E4486A">
      <w:pPr>
        <w:autoSpaceDE w:val="0"/>
        <w:autoSpaceDN w:val="0"/>
        <w:adjustRightInd w:val="0"/>
        <w:rPr>
          <w:lang w:eastAsia="es-CR"/>
        </w:rPr>
      </w:pPr>
    </w:p>
    <w:p w:rsidR="00B90599" w:rsidRPr="00621934" w:rsidRDefault="00B90599" w:rsidP="00E4486A">
      <w:pPr>
        <w:autoSpaceDE w:val="0"/>
        <w:autoSpaceDN w:val="0"/>
        <w:adjustRightInd w:val="0"/>
        <w:rPr>
          <w:lang w:eastAsia="es-CR"/>
        </w:rPr>
      </w:pPr>
      <w:r w:rsidRPr="00621934">
        <w:rPr>
          <w:lang w:eastAsia="es-CR"/>
        </w:rPr>
        <w:t>La Superintendencia es un órgano operacionalmente independiente y responsable en el ejercicio de sus funciones</w:t>
      </w:r>
      <w:r w:rsidR="00E64680" w:rsidRPr="00621934">
        <w:rPr>
          <w:lang w:eastAsia="es-CR"/>
        </w:rPr>
        <w:t>,</w:t>
      </w:r>
      <w:r w:rsidRPr="00621934">
        <w:rPr>
          <w:lang w:eastAsia="es-CR"/>
        </w:rPr>
        <w:t xml:space="preserve"> tiene suficientes poderes, protección legal y recursos financieros para ejecutar </w:t>
      </w:r>
      <w:r w:rsidR="00C14664" w:rsidRPr="00621934">
        <w:rPr>
          <w:lang w:eastAsia="es-CR"/>
        </w:rPr>
        <w:t>las</w:t>
      </w:r>
      <w:r w:rsidRPr="00621934">
        <w:rPr>
          <w:lang w:eastAsia="es-CR"/>
        </w:rPr>
        <w:t xml:space="preserve"> funciones</w:t>
      </w:r>
      <w:r w:rsidR="00BC5B2B" w:rsidRPr="00621934">
        <w:rPr>
          <w:lang w:eastAsia="es-CR"/>
        </w:rPr>
        <w:t xml:space="preserve"> asignadas en la ley </w:t>
      </w:r>
      <w:r w:rsidRPr="00621934">
        <w:rPr>
          <w:lang w:eastAsia="es-CR"/>
        </w:rPr>
        <w:t xml:space="preserve">y ejercer </w:t>
      </w:r>
      <w:r w:rsidR="00BC5B2B" w:rsidRPr="00621934">
        <w:rPr>
          <w:lang w:eastAsia="es-CR"/>
        </w:rPr>
        <w:t xml:space="preserve">los </w:t>
      </w:r>
      <w:r w:rsidRPr="00621934">
        <w:rPr>
          <w:lang w:eastAsia="es-CR"/>
        </w:rPr>
        <w:t>poderes</w:t>
      </w:r>
      <w:r w:rsidR="00BC5B2B" w:rsidRPr="00621934">
        <w:rPr>
          <w:lang w:eastAsia="es-CR"/>
        </w:rPr>
        <w:t xml:space="preserve"> correspondientes</w:t>
      </w:r>
      <w:r w:rsidRPr="00621934">
        <w:rPr>
          <w:lang w:eastAsia="es-CR"/>
        </w:rPr>
        <w:t xml:space="preserve">. Asimismo, debe adoptar una clara, transparente y consistente regulación y supervisión, </w:t>
      </w:r>
      <w:r w:rsidR="007C4EF1" w:rsidRPr="00621934">
        <w:rPr>
          <w:lang w:eastAsia="es-CR"/>
        </w:rPr>
        <w:t>además</w:t>
      </w:r>
      <w:r w:rsidR="00E64680" w:rsidRPr="00621934">
        <w:rPr>
          <w:lang w:eastAsia="es-CR"/>
        </w:rPr>
        <w:t>,</w:t>
      </w:r>
      <w:r w:rsidR="007C4EF1" w:rsidRPr="00621934">
        <w:rPr>
          <w:lang w:eastAsia="es-CR"/>
        </w:rPr>
        <w:t xml:space="preserve"> </w:t>
      </w:r>
      <w:r w:rsidRPr="00621934">
        <w:rPr>
          <w:lang w:eastAsia="es-CR"/>
        </w:rPr>
        <w:t xml:space="preserve">debe emplear, </w:t>
      </w:r>
      <w:r w:rsidR="00BB4F9D">
        <w:rPr>
          <w:lang w:eastAsia="es-CR"/>
        </w:rPr>
        <w:t>capacitar</w:t>
      </w:r>
      <w:r w:rsidRPr="00621934">
        <w:rPr>
          <w:lang w:eastAsia="es-CR"/>
        </w:rPr>
        <w:t xml:space="preserve"> y mantener un equipo de trabajo suficiente </w:t>
      </w:r>
      <w:r w:rsidR="00E64680" w:rsidRPr="00621934">
        <w:rPr>
          <w:lang w:eastAsia="es-CR"/>
        </w:rPr>
        <w:t xml:space="preserve">y </w:t>
      </w:r>
      <w:r w:rsidRPr="00621934">
        <w:rPr>
          <w:lang w:eastAsia="es-CR"/>
        </w:rPr>
        <w:t>con altos es</w:t>
      </w:r>
      <w:r w:rsidR="00BC5B2B" w:rsidRPr="00621934">
        <w:rPr>
          <w:lang w:eastAsia="es-CR"/>
        </w:rPr>
        <w:t xml:space="preserve">tándares profesionales, al cual se le exige </w:t>
      </w:r>
      <w:r w:rsidRPr="00621934">
        <w:rPr>
          <w:lang w:eastAsia="es-CR"/>
        </w:rPr>
        <w:t>confidencialidad</w:t>
      </w:r>
      <w:r w:rsidR="00BC5B2B" w:rsidRPr="00621934">
        <w:rPr>
          <w:lang w:eastAsia="es-CR"/>
        </w:rPr>
        <w:t xml:space="preserve"> en el ejercicio de sus labores</w:t>
      </w:r>
      <w:r w:rsidRPr="00621934">
        <w:rPr>
          <w:lang w:eastAsia="es-CR"/>
        </w:rPr>
        <w:t>.</w:t>
      </w:r>
    </w:p>
    <w:p w:rsidR="009553C4" w:rsidRPr="00621934" w:rsidRDefault="009553C4" w:rsidP="00E4486A">
      <w:pPr>
        <w:autoSpaceDE w:val="0"/>
        <w:autoSpaceDN w:val="0"/>
        <w:adjustRightInd w:val="0"/>
        <w:rPr>
          <w:lang w:eastAsia="es-CR"/>
        </w:rPr>
      </w:pPr>
    </w:p>
    <w:p w:rsidR="00D31288" w:rsidRPr="004B1036" w:rsidRDefault="009553C4" w:rsidP="00E4486A">
      <w:r w:rsidRPr="00621934">
        <w:t>Al término de 20</w:t>
      </w:r>
      <w:r w:rsidR="00200D82" w:rsidRPr="00621934">
        <w:t>2</w:t>
      </w:r>
      <w:r w:rsidR="00871050">
        <w:t>2</w:t>
      </w:r>
      <w:r w:rsidRPr="00621934">
        <w:t>,</w:t>
      </w:r>
      <w:r w:rsidR="00803D49" w:rsidRPr="00621934">
        <w:t xml:space="preserve"> la </w:t>
      </w:r>
      <w:r w:rsidR="000A0042" w:rsidRPr="00621934">
        <w:t>SUGESE</w:t>
      </w:r>
      <w:r w:rsidR="00803D49" w:rsidRPr="00621934">
        <w:t xml:space="preserve"> tenía bajo su responsabilidad la supervisión</w:t>
      </w:r>
      <w:r w:rsidR="006D4226" w:rsidRPr="00621934">
        <w:t xml:space="preserve"> </w:t>
      </w:r>
      <w:r w:rsidR="007C4EF1" w:rsidRPr="00621934">
        <w:t xml:space="preserve">de </w:t>
      </w:r>
      <w:r w:rsidR="00803D49" w:rsidRPr="00621934">
        <w:t>1</w:t>
      </w:r>
      <w:r w:rsidR="00871050">
        <w:t>2</w:t>
      </w:r>
      <w:r w:rsidR="00CD3B8E">
        <w:rPr>
          <w:rStyle w:val="Refdenotaalpie"/>
        </w:rPr>
        <w:footnoteReference w:id="3"/>
      </w:r>
      <w:r w:rsidR="00803D49" w:rsidRPr="00621934">
        <w:t xml:space="preserve"> compañías aseguradoras, </w:t>
      </w:r>
      <w:r w:rsidR="00F76D4A" w:rsidRPr="00621934">
        <w:t>3</w:t>
      </w:r>
      <w:r w:rsidR="00096068">
        <w:t>6</w:t>
      </w:r>
      <w:r w:rsidR="00803D49" w:rsidRPr="00621934">
        <w:t xml:space="preserve"> sociedades corredoras de seguros, </w:t>
      </w:r>
      <w:r w:rsidR="00990BEF" w:rsidRPr="00621934">
        <w:t>2</w:t>
      </w:r>
      <w:r w:rsidR="00096068">
        <w:t>1</w:t>
      </w:r>
      <w:r w:rsidR="007F14B3" w:rsidRPr="00621934">
        <w:t xml:space="preserve"> s</w:t>
      </w:r>
      <w:r w:rsidR="00554B54" w:rsidRPr="00621934">
        <w:t xml:space="preserve">ociedades </w:t>
      </w:r>
      <w:r w:rsidR="00803D49" w:rsidRPr="00621934">
        <w:t xml:space="preserve">agencia de seguros y </w:t>
      </w:r>
      <w:r w:rsidR="00990BEF" w:rsidRPr="00621934">
        <w:t>9</w:t>
      </w:r>
      <w:r w:rsidR="00096068">
        <w:t>3</w:t>
      </w:r>
      <w:r w:rsidR="00803D49" w:rsidRPr="00621934">
        <w:t xml:space="preserve"> operadores de seguros autoexpedibles</w:t>
      </w:r>
      <w:r w:rsidR="00145C6D" w:rsidRPr="00621934">
        <w:t>,</w:t>
      </w:r>
      <w:r w:rsidR="006D4226" w:rsidRPr="00621934">
        <w:t xml:space="preserve"> tod</w:t>
      </w:r>
      <w:r w:rsidR="00803F45" w:rsidRPr="00621934">
        <w:t>o</w:t>
      </w:r>
      <w:r w:rsidR="006D4226" w:rsidRPr="00621934">
        <w:t>s en condición activa</w:t>
      </w:r>
      <w:r w:rsidR="006D4226" w:rsidRPr="00621934">
        <w:rPr>
          <w:rStyle w:val="Refdenotaalpie"/>
        </w:rPr>
        <w:footnoteReference w:id="4"/>
      </w:r>
      <w:r w:rsidR="007F14B3" w:rsidRPr="00621934">
        <w:t xml:space="preserve"> </w:t>
      </w:r>
      <w:r w:rsidR="006D4226" w:rsidRPr="00621934">
        <w:t>a</w:t>
      </w:r>
      <w:r w:rsidR="00145C6D" w:rsidRPr="00621934">
        <w:t xml:space="preserve"> esa fecha</w:t>
      </w:r>
      <w:r w:rsidR="00D31288" w:rsidRPr="00621934">
        <w:t xml:space="preserve">, según se presenta en el Cuadro </w:t>
      </w:r>
      <w:r w:rsidR="00990BEF" w:rsidRPr="00621934">
        <w:t>1</w:t>
      </w:r>
      <w:r w:rsidR="00803D49" w:rsidRPr="00621934">
        <w:t>.</w:t>
      </w:r>
    </w:p>
    <w:p w:rsidR="001D042A" w:rsidRPr="004B1036" w:rsidRDefault="001D042A" w:rsidP="00E4486A">
      <w:pPr>
        <w:jc w:val="left"/>
        <w:rPr>
          <w:rFonts w:ascii="Century Gothic" w:hAnsi="Century Gothic"/>
          <w:b/>
          <w:color w:val="002060"/>
          <w:sz w:val="20"/>
          <w:szCs w:val="20"/>
        </w:rPr>
      </w:pPr>
    </w:p>
    <w:p w:rsidR="00D31288" w:rsidRPr="004B1036" w:rsidRDefault="00D31288" w:rsidP="002506B8">
      <w:pPr>
        <w:spacing w:line="240" w:lineRule="auto"/>
        <w:jc w:val="center"/>
        <w:rPr>
          <w:rFonts w:ascii="Century Gothic" w:hAnsi="Century Gothic"/>
          <w:b/>
          <w:color w:val="002060"/>
          <w:sz w:val="20"/>
          <w:szCs w:val="20"/>
        </w:rPr>
      </w:pPr>
      <w:r w:rsidRPr="004B1036">
        <w:rPr>
          <w:rFonts w:ascii="Century Gothic" w:hAnsi="Century Gothic"/>
          <w:b/>
          <w:color w:val="002060"/>
          <w:sz w:val="20"/>
          <w:szCs w:val="20"/>
        </w:rPr>
        <w:t xml:space="preserve">CUADRO </w:t>
      </w:r>
      <w:r w:rsidRPr="004B1036">
        <w:fldChar w:fldCharType="begin"/>
      </w:r>
      <w:r w:rsidRPr="004B1036">
        <w:rPr>
          <w:rFonts w:ascii="Century Gothic" w:hAnsi="Century Gothic"/>
          <w:b/>
          <w:color w:val="002060"/>
          <w:sz w:val="20"/>
          <w:szCs w:val="20"/>
        </w:rPr>
        <w:instrText xml:space="preserve"> AUTONUM  \s " " </w:instrText>
      </w:r>
      <w:r w:rsidRPr="004B1036">
        <w:rPr>
          <w:rFonts w:ascii="Century Gothic" w:hAnsi="Century Gothic"/>
          <w:b/>
          <w:color w:val="002060"/>
          <w:sz w:val="20"/>
          <w:szCs w:val="20"/>
        </w:rPr>
        <w:fldChar w:fldCharType="end"/>
      </w:r>
    </w:p>
    <w:p w:rsidR="00D31288" w:rsidRPr="004B1036" w:rsidRDefault="00D31288" w:rsidP="002506B8">
      <w:pPr>
        <w:spacing w:line="240" w:lineRule="auto"/>
        <w:jc w:val="center"/>
        <w:rPr>
          <w:rFonts w:ascii="Century Gothic" w:hAnsi="Century Gothic"/>
          <w:b/>
          <w:color w:val="404040" w:themeColor="text1" w:themeTint="BF"/>
          <w:sz w:val="20"/>
          <w:szCs w:val="20"/>
        </w:rPr>
      </w:pPr>
      <w:r w:rsidRPr="004B1036">
        <w:rPr>
          <w:rFonts w:ascii="Century Gothic" w:hAnsi="Century Gothic" w:cs="Century Gothic"/>
          <w:kern w:val="24"/>
          <w:sz w:val="20"/>
          <w:szCs w:val="20"/>
        </w:rPr>
        <w:t>Superintendencia General de Seguros</w:t>
      </w:r>
      <w:r w:rsidRPr="004B1036">
        <w:rPr>
          <w:rFonts w:ascii="Century Gothic" w:hAnsi="Century Gothic"/>
          <w:b/>
          <w:color w:val="404040" w:themeColor="text1" w:themeTint="BF"/>
          <w:sz w:val="20"/>
          <w:szCs w:val="20"/>
        </w:rPr>
        <w:t xml:space="preserve"> </w:t>
      </w:r>
    </w:p>
    <w:p w:rsidR="00D31288" w:rsidRPr="004B1036" w:rsidRDefault="00D31288" w:rsidP="002506B8">
      <w:pPr>
        <w:spacing w:line="240" w:lineRule="auto"/>
        <w:jc w:val="center"/>
        <w:rPr>
          <w:rFonts w:ascii="Century Gothic" w:hAnsi="Century Gothic"/>
          <w:b/>
          <w:color w:val="404040" w:themeColor="text1" w:themeTint="BF"/>
          <w:sz w:val="20"/>
          <w:szCs w:val="20"/>
        </w:rPr>
      </w:pPr>
      <w:r w:rsidRPr="004B1036">
        <w:rPr>
          <w:rFonts w:ascii="Century Gothic" w:hAnsi="Century Gothic"/>
          <w:b/>
          <w:color w:val="404040" w:themeColor="text1" w:themeTint="BF"/>
          <w:sz w:val="20"/>
          <w:szCs w:val="20"/>
        </w:rPr>
        <w:t>Participantes Mercado de Seguros – Diciembre 20</w:t>
      </w:r>
      <w:r w:rsidR="00200D82" w:rsidRPr="004B1036">
        <w:rPr>
          <w:rFonts w:ascii="Century Gothic" w:hAnsi="Century Gothic"/>
          <w:b/>
          <w:color w:val="404040" w:themeColor="text1" w:themeTint="BF"/>
          <w:sz w:val="20"/>
          <w:szCs w:val="20"/>
        </w:rPr>
        <w:t>2</w:t>
      </w:r>
      <w:r w:rsidR="00621934">
        <w:rPr>
          <w:rFonts w:ascii="Century Gothic" w:hAnsi="Century Gothic"/>
          <w:b/>
          <w:color w:val="404040" w:themeColor="text1" w:themeTint="BF"/>
          <w:sz w:val="20"/>
          <w:szCs w:val="20"/>
        </w:rPr>
        <w:t>2</w:t>
      </w:r>
    </w:p>
    <w:tbl>
      <w:tblPr>
        <w:tblStyle w:val="Listaclara-nfasis11"/>
        <w:tblW w:w="8907" w:type="dxa"/>
        <w:jc w:val="center"/>
        <w:tblLook w:val="0420" w:firstRow="1" w:lastRow="0" w:firstColumn="0" w:lastColumn="0" w:noHBand="0" w:noVBand="1"/>
      </w:tblPr>
      <w:tblGrid>
        <w:gridCol w:w="3292"/>
        <w:gridCol w:w="864"/>
        <w:gridCol w:w="1099"/>
        <w:gridCol w:w="941"/>
        <w:gridCol w:w="1145"/>
        <w:gridCol w:w="1566"/>
      </w:tblGrid>
      <w:tr w:rsidR="00E64680" w:rsidRPr="004B1036" w:rsidTr="00760290">
        <w:trPr>
          <w:cnfStyle w:val="100000000000" w:firstRow="1" w:lastRow="0" w:firstColumn="0" w:lastColumn="0" w:oddVBand="0" w:evenVBand="0" w:oddHBand="0" w:evenHBand="0" w:firstRowFirstColumn="0" w:firstRowLastColumn="0" w:lastRowFirstColumn="0" w:lastRowLastColumn="0"/>
          <w:trHeight w:val="508"/>
          <w:jc w:val="center"/>
        </w:trPr>
        <w:tc>
          <w:tcPr>
            <w:tcW w:w="3392" w:type="dxa"/>
            <w:shd w:val="clear" w:color="auto" w:fill="365F91" w:themeFill="accent1" w:themeFillShade="BF"/>
            <w:vAlign w:val="center"/>
            <w:hideMark/>
          </w:tcPr>
          <w:p w:rsidR="00E64680" w:rsidRPr="00760290" w:rsidRDefault="00E64680" w:rsidP="002506B8">
            <w:pPr>
              <w:spacing w:line="240" w:lineRule="auto"/>
              <w:jc w:val="center"/>
              <w:rPr>
                <w:rFonts w:cstheme="minorHAnsi"/>
                <w:sz w:val="22"/>
              </w:rPr>
            </w:pPr>
            <w:r w:rsidRPr="00760290">
              <w:rPr>
                <w:rFonts w:cstheme="minorHAnsi"/>
                <w:sz w:val="22"/>
              </w:rPr>
              <w:t>Participante</w:t>
            </w:r>
          </w:p>
        </w:tc>
        <w:tc>
          <w:tcPr>
            <w:tcW w:w="867" w:type="dxa"/>
            <w:shd w:val="clear" w:color="auto" w:fill="365F91" w:themeFill="accent1" w:themeFillShade="BF"/>
            <w:vAlign w:val="center"/>
            <w:hideMark/>
          </w:tcPr>
          <w:p w:rsidR="00E64680" w:rsidRPr="00760290" w:rsidRDefault="00E64680" w:rsidP="002506B8">
            <w:pPr>
              <w:spacing w:line="240" w:lineRule="auto"/>
              <w:jc w:val="center"/>
              <w:rPr>
                <w:rFonts w:cstheme="minorHAnsi"/>
                <w:sz w:val="22"/>
              </w:rPr>
            </w:pPr>
            <w:r w:rsidRPr="00760290">
              <w:rPr>
                <w:rFonts w:cstheme="minorHAnsi"/>
                <w:sz w:val="22"/>
              </w:rPr>
              <w:t>TOTAL</w:t>
            </w:r>
          </w:p>
        </w:tc>
        <w:tc>
          <w:tcPr>
            <w:tcW w:w="1106" w:type="dxa"/>
            <w:shd w:val="clear" w:color="auto" w:fill="365F91" w:themeFill="accent1" w:themeFillShade="BF"/>
            <w:vAlign w:val="center"/>
            <w:hideMark/>
          </w:tcPr>
          <w:p w:rsidR="00E64680" w:rsidRPr="00760290" w:rsidRDefault="00E64680" w:rsidP="002506B8">
            <w:pPr>
              <w:spacing w:line="240" w:lineRule="auto"/>
              <w:jc w:val="center"/>
              <w:rPr>
                <w:rFonts w:cstheme="minorHAnsi"/>
                <w:sz w:val="22"/>
              </w:rPr>
            </w:pPr>
            <w:r w:rsidRPr="00760290">
              <w:rPr>
                <w:rFonts w:cstheme="minorHAnsi"/>
                <w:sz w:val="22"/>
              </w:rPr>
              <w:t>Inscritos</w:t>
            </w:r>
          </w:p>
        </w:tc>
        <w:tc>
          <w:tcPr>
            <w:tcW w:w="944" w:type="dxa"/>
            <w:shd w:val="clear" w:color="auto" w:fill="365F91" w:themeFill="accent1" w:themeFillShade="BF"/>
            <w:vAlign w:val="center"/>
            <w:hideMark/>
          </w:tcPr>
          <w:p w:rsidR="00E64680" w:rsidRPr="00760290" w:rsidRDefault="00E64680" w:rsidP="002506B8">
            <w:pPr>
              <w:spacing w:line="240" w:lineRule="auto"/>
              <w:jc w:val="center"/>
              <w:rPr>
                <w:rFonts w:cstheme="minorHAnsi"/>
                <w:sz w:val="22"/>
              </w:rPr>
            </w:pPr>
            <w:r w:rsidRPr="00760290">
              <w:rPr>
                <w:rFonts w:cstheme="minorHAnsi"/>
                <w:sz w:val="22"/>
              </w:rPr>
              <w:t>Activos</w:t>
            </w:r>
          </w:p>
        </w:tc>
        <w:tc>
          <w:tcPr>
            <w:tcW w:w="1152" w:type="dxa"/>
            <w:shd w:val="clear" w:color="auto" w:fill="365F91" w:themeFill="accent1" w:themeFillShade="BF"/>
            <w:vAlign w:val="center"/>
            <w:hideMark/>
          </w:tcPr>
          <w:p w:rsidR="00E64680" w:rsidRPr="00760290" w:rsidRDefault="00E64680" w:rsidP="002506B8">
            <w:pPr>
              <w:spacing w:line="240" w:lineRule="auto"/>
              <w:jc w:val="center"/>
              <w:rPr>
                <w:rFonts w:cstheme="minorHAnsi"/>
                <w:sz w:val="22"/>
              </w:rPr>
            </w:pPr>
            <w:r w:rsidRPr="00760290">
              <w:rPr>
                <w:rFonts w:cstheme="minorHAnsi"/>
                <w:sz w:val="22"/>
              </w:rPr>
              <w:t>Inactivos</w:t>
            </w:r>
          </w:p>
        </w:tc>
        <w:tc>
          <w:tcPr>
            <w:tcW w:w="1446" w:type="dxa"/>
            <w:shd w:val="clear" w:color="auto" w:fill="365F91" w:themeFill="accent1" w:themeFillShade="BF"/>
            <w:vAlign w:val="center"/>
          </w:tcPr>
          <w:p w:rsidR="00E64680" w:rsidRPr="00760290" w:rsidRDefault="00E64680" w:rsidP="002506B8">
            <w:pPr>
              <w:spacing w:line="240" w:lineRule="auto"/>
              <w:jc w:val="center"/>
              <w:rPr>
                <w:rFonts w:cstheme="minorHAnsi"/>
                <w:sz w:val="22"/>
              </w:rPr>
            </w:pPr>
            <w:r w:rsidRPr="00760290">
              <w:rPr>
                <w:rFonts w:cstheme="minorHAnsi"/>
                <w:sz w:val="22"/>
              </w:rPr>
              <w:t>Autorización condicionada</w:t>
            </w:r>
            <w:r w:rsidRPr="00760290">
              <w:rPr>
                <w:rFonts w:cstheme="minorHAnsi"/>
                <w:sz w:val="22"/>
                <w:vertAlign w:val="superscript"/>
              </w:rPr>
              <w:t>1/</w:t>
            </w:r>
          </w:p>
        </w:tc>
      </w:tr>
      <w:tr w:rsidR="00E64680" w:rsidRPr="004B1036" w:rsidTr="00E64680">
        <w:trPr>
          <w:cnfStyle w:val="000000100000" w:firstRow="0" w:lastRow="0" w:firstColumn="0" w:lastColumn="0" w:oddVBand="0" w:evenVBand="0" w:oddHBand="1" w:evenHBand="0" w:firstRowFirstColumn="0" w:firstRowLastColumn="0" w:lastRowFirstColumn="0" w:lastRowLastColumn="0"/>
          <w:trHeight w:val="20"/>
          <w:jc w:val="center"/>
        </w:trPr>
        <w:tc>
          <w:tcPr>
            <w:tcW w:w="3392" w:type="dxa"/>
            <w:hideMark/>
          </w:tcPr>
          <w:p w:rsidR="00E64680" w:rsidRPr="00760290" w:rsidRDefault="00E64680" w:rsidP="002506B8">
            <w:pPr>
              <w:spacing w:line="240" w:lineRule="auto"/>
              <w:rPr>
                <w:rFonts w:cstheme="minorHAnsi"/>
                <w:sz w:val="22"/>
              </w:rPr>
            </w:pPr>
            <w:r w:rsidRPr="00760290">
              <w:rPr>
                <w:rFonts w:cstheme="minorHAnsi"/>
                <w:sz w:val="22"/>
              </w:rPr>
              <w:t>Aseguradoras</w:t>
            </w:r>
          </w:p>
        </w:tc>
        <w:tc>
          <w:tcPr>
            <w:tcW w:w="867" w:type="dxa"/>
            <w:hideMark/>
          </w:tcPr>
          <w:p w:rsidR="00E64680" w:rsidRPr="00760290" w:rsidRDefault="00E64680" w:rsidP="002506B8">
            <w:pPr>
              <w:spacing w:line="240" w:lineRule="auto"/>
              <w:jc w:val="center"/>
              <w:rPr>
                <w:rFonts w:cstheme="minorHAnsi"/>
                <w:sz w:val="22"/>
              </w:rPr>
            </w:pPr>
            <w:r w:rsidRPr="00760290">
              <w:rPr>
                <w:rFonts w:cstheme="minorHAnsi"/>
                <w:sz w:val="22"/>
              </w:rPr>
              <w:t>13</w:t>
            </w:r>
          </w:p>
        </w:tc>
        <w:tc>
          <w:tcPr>
            <w:tcW w:w="1106" w:type="dxa"/>
            <w:hideMark/>
          </w:tcPr>
          <w:p w:rsidR="00E64680" w:rsidRPr="00760290" w:rsidRDefault="00E64680" w:rsidP="002506B8">
            <w:pPr>
              <w:spacing w:line="240" w:lineRule="auto"/>
              <w:jc w:val="center"/>
              <w:rPr>
                <w:rFonts w:cstheme="minorHAnsi"/>
                <w:sz w:val="22"/>
              </w:rPr>
            </w:pPr>
            <w:r w:rsidRPr="00760290">
              <w:rPr>
                <w:rFonts w:cstheme="minorHAnsi"/>
                <w:sz w:val="22"/>
              </w:rPr>
              <w:t>13</w:t>
            </w:r>
          </w:p>
        </w:tc>
        <w:tc>
          <w:tcPr>
            <w:tcW w:w="944" w:type="dxa"/>
            <w:hideMark/>
          </w:tcPr>
          <w:p w:rsidR="00E64680" w:rsidRPr="00760290" w:rsidRDefault="00E64680" w:rsidP="002506B8">
            <w:pPr>
              <w:spacing w:line="240" w:lineRule="auto"/>
              <w:jc w:val="center"/>
              <w:rPr>
                <w:rFonts w:cstheme="minorHAnsi"/>
                <w:sz w:val="22"/>
              </w:rPr>
            </w:pPr>
            <w:r w:rsidRPr="00760290">
              <w:rPr>
                <w:rFonts w:cstheme="minorHAnsi"/>
                <w:sz w:val="22"/>
              </w:rPr>
              <w:t>1</w:t>
            </w:r>
            <w:r w:rsidR="00871050" w:rsidRPr="00760290">
              <w:rPr>
                <w:rFonts w:cstheme="minorHAnsi"/>
                <w:sz w:val="22"/>
              </w:rPr>
              <w:t>2</w:t>
            </w:r>
          </w:p>
        </w:tc>
        <w:tc>
          <w:tcPr>
            <w:tcW w:w="1152" w:type="dxa"/>
            <w:hideMark/>
          </w:tcPr>
          <w:p w:rsidR="00E64680" w:rsidRPr="00760290" w:rsidRDefault="00E64680" w:rsidP="002506B8">
            <w:pPr>
              <w:spacing w:line="240" w:lineRule="auto"/>
              <w:jc w:val="center"/>
              <w:rPr>
                <w:rFonts w:cstheme="minorHAnsi"/>
                <w:sz w:val="22"/>
              </w:rPr>
            </w:pPr>
            <w:r w:rsidRPr="00760290">
              <w:rPr>
                <w:rFonts w:cstheme="minorHAnsi"/>
                <w:sz w:val="22"/>
              </w:rPr>
              <w:t>-</w:t>
            </w:r>
          </w:p>
        </w:tc>
        <w:tc>
          <w:tcPr>
            <w:tcW w:w="1446" w:type="dxa"/>
          </w:tcPr>
          <w:p w:rsidR="00E64680" w:rsidRPr="00760290" w:rsidRDefault="00257A6D" w:rsidP="002506B8">
            <w:pPr>
              <w:spacing w:line="240" w:lineRule="auto"/>
              <w:jc w:val="center"/>
              <w:rPr>
                <w:rFonts w:cstheme="minorHAnsi"/>
                <w:sz w:val="22"/>
              </w:rPr>
            </w:pPr>
            <w:r w:rsidRPr="00760290">
              <w:rPr>
                <w:rFonts w:cstheme="minorHAnsi"/>
                <w:sz w:val="22"/>
              </w:rPr>
              <w:t>1</w:t>
            </w:r>
            <w:r w:rsidR="00F42FB5" w:rsidRPr="00760290">
              <w:rPr>
                <w:rFonts w:cstheme="minorHAnsi"/>
                <w:sz w:val="22"/>
                <w:vertAlign w:val="superscript"/>
              </w:rPr>
              <w:t>2/</w:t>
            </w:r>
          </w:p>
        </w:tc>
      </w:tr>
      <w:tr w:rsidR="00E64680" w:rsidRPr="004B1036" w:rsidTr="00E64680">
        <w:trPr>
          <w:trHeight w:val="20"/>
          <w:jc w:val="center"/>
        </w:trPr>
        <w:tc>
          <w:tcPr>
            <w:tcW w:w="3392" w:type="dxa"/>
            <w:hideMark/>
          </w:tcPr>
          <w:p w:rsidR="00E64680" w:rsidRPr="00760290" w:rsidRDefault="00E64680" w:rsidP="002506B8">
            <w:pPr>
              <w:spacing w:line="240" w:lineRule="auto"/>
              <w:rPr>
                <w:rFonts w:cstheme="minorHAnsi"/>
                <w:sz w:val="22"/>
              </w:rPr>
            </w:pPr>
            <w:r w:rsidRPr="00760290">
              <w:rPr>
                <w:rFonts w:cstheme="minorHAnsi"/>
                <w:sz w:val="22"/>
              </w:rPr>
              <w:t>Sociedades corredoras</w:t>
            </w:r>
          </w:p>
        </w:tc>
        <w:tc>
          <w:tcPr>
            <w:tcW w:w="867" w:type="dxa"/>
            <w:hideMark/>
          </w:tcPr>
          <w:p w:rsidR="00E64680" w:rsidRPr="00760290" w:rsidRDefault="00E64680" w:rsidP="002506B8">
            <w:pPr>
              <w:spacing w:line="240" w:lineRule="auto"/>
              <w:jc w:val="center"/>
              <w:rPr>
                <w:rFonts w:cstheme="minorHAnsi"/>
                <w:sz w:val="22"/>
              </w:rPr>
            </w:pPr>
            <w:r w:rsidRPr="00760290">
              <w:rPr>
                <w:rFonts w:cstheme="minorHAnsi"/>
                <w:sz w:val="22"/>
              </w:rPr>
              <w:t>3</w:t>
            </w:r>
            <w:r w:rsidR="000E0BB6" w:rsidRPr="00760290">
              <w:rPr>
                <w:rFonts w:cstheme="minorHAnsi"/>
                <w:sz w:val="22"/>
              </w:rPr>
              <w:t>7</w:t>
            </w:r>
          </w:p>
        </w:tc>
        <w:tc>
          <w:tcPr>
            <w:tcW w:w="1106" w:type="dxa"/>
            <w:hideMark/>
          </w:tcPr>
          <w:p w:rsidR="00E64680" w:rsidRPr="00760290" w:rsidRDefault="00E64680" w:rsidP="002506B8">
            <w:pPr>
              <w:spacing w:line="240" w:lineRule="auto"/>
              <w:jc w:val="center"/>
              <w:rPr>
                <w:rFonts w:cstheme="minorHAnsi"/>
                <w:sz w:val="22"/>
              </w:rPr>
            </w:pPr>
            <w:r w:rsidRPr="00760290">
              <w:rPr>
                <w:rFonts w:cstheme="minorHAnsi"/>
                <w:sz w:val="22"/>
              </w:rPr>
              <w:t>36</w:t>
            </w:r>
          </w:p>
        </w:tc>
        <w:tc>
          <w:tcPr>
            <w:tcW w:w="944" w:type="dxa"/>
            <w:hideMark/>
          </w:tcPr>
          <w:p w:rsidR="00E64680" w:rsidRPr="00760290" w:rsidRDefault="00E64680" w:rsidP="002506B8">
            <w:pPr>
              <w:spacing w:line="240" w:lineRule="auto"/>
              <w:jc w:val="center"/>
              <w:rPr>
                <w:rFonts w:cstheme="minorHAnsi"/>
                <w:sz w:val="22"/>
              </w:rPr>
            </w:pPr>
            <w:r w:rsidRPr="00760290">
              <w:rPr>
                <w:rFonts w:cstheme="minorHAnsi"/>
                <w:sz w:val="22"/>
              </w:rPr>
              <w:t>3</w:t>
            </w:r>
            <w:r w:rsidR="000E0BB6" w:rsidRPr="00760290">
              <w:rPr>
                <w:rFonts w:cstheme="minorHAnsi"/>
                <w:sz w:val="22"/>
              </w:rPr>
              <w:t>6</w:t>
            </w:r>
          </w:p>
        </w:tc>
        <w:tc>
          <w:tcPr>
            <w:tcW w:w="1152" w:type="dxa"/>
            <w:hideMark/>
          </w:tcPr>
          <w:p w:rsidR="00E64680" w:rsidRPr="00760290" w:rsidRDefault="00E64680" w:rsidP="002506B8">
            <w:pPr>
              <w:spacing w:line="240" w:lineRule="auto"/>
              <w:jc w:val="center"/>
              <w:rPr>
                <w:rFonts w:cstheme="minorHAnsi"/>
                <w:sz w:val="22"/>
              </w:rPr>
            </w:pPr>
            <w:r w:rsidRPr="00760290">
              <w:rPr>
                <w:rFonts w:cstheme="minorHAnsi"/>
                <w:sz w:val="22"/>
              </w:rPr>
              <w:t>-</w:t>
            </w:r>
          </w:p>
        </w:tc>
        <w:tc>
          <w:tcPr>
            <w:tcW w:w="1446" w:type="dxa"/>
            <w:vAlign w:val="center"/>
          </w:tcPr>
          <w:p w:rsidR="00E64680" w:rsidRPr="00760290" w:rsidRDefault="00E64680" w:rsidP="002506B8">
            <w:pPr>
              <w:spacing w:line="240" w:lineRule="auto"/>
              <w:jc w:val="center"/>
              <w:rPr>
                <w:rFonts w:cstheme="minorHAnsi"/>
                <w:sz w:val="22"/>
              </w:rPr>
            </w:pPr>
            <w:r w:rsidRPr="00760290">
              <w:rPr>
                <w:rFonts w:cstheme="minorHAnsi"/>
                <w:sz w:val="22"/>
              </w:rPr>
              <w:t>1</w:t>
            </w:r>
          </w:p>
        </w:tc>
      </w:tr>
      <w:tr w:rsidR="00E64680" w:rsidRPr="004B1036" w:rsidTr="00E64680">
        <w:trPr>
          <w:cnfStyle w:val="000000100000" w:firstRow="0" w:lastRow="0" w:firstColumn="0" w:lastColumn="0" w:oddVBand="0" w:evenVBand="0" w:oddHBand="1" w:evenHBand="0" w:firstRowFirstColumn="0" w:firstRowLastColumn="0" w:lastRowFirstColumn="0" w:lastRowLastColumn="0"/>
          <w:trHeight w:val="20"/>
          <w:jc w:val="center"/>
        </w:trPr>
        <w:tc>
          <w:tcPr>
            <w:tcW w:w="3392" w:type="dxa"/>
            <w:hideMark/>
          </w:tcPr>
          <w:p w:rsidR="00E64680" w:rsidRPr="00760290" w:rsidRDefault="00E64680" w:rsidP="002506B8">
            <w:pPr>
              <w:spacing w:line="240" w:lineRule="auto"/>
              <w:rPr>
                <w:rFonts w:cstheme="minorHAnsi"/>
                <w:sz w:val="22"/>
              </w:rPr>
            </w:pPr>
            <w:r w:rsidRPr="00760290">
              <w:rPr>
                <w:rFonts w:cstheme="minorHAnsi"/>
                <w:sz w:val="22"/>
              </w:rPr>
              <w:t>Corredores de seguros</w:t>
            </w:r>
          </w:p>
        </w:tc>
        <w:tc>
          <w:tcPr>
            <w:tcW w:w="867" w:type="dxa"/>
            <w:hideMark/>
          </w:tcPr>
          <w:p w:rsidR="00E64680" w:rsidRPr="00760290" w:rsidRDefault="00E64680" w:rsidP="002506B8">
            <w:pPr>
              <w:spacing w:line="240" w:lineRule="auto"/>
              <w:jc w:val="center"/>
              <w:rPr>
                <w:rFonts w:cstheme="minorHAnsi"/>
                <w:sz w:val="22"/>
              </w:rPr>
            </w:pPr>
            <w:r w:rsidRPr="00760290">
              <w:rPr>
                <w:rFonts w:cstheme="minorHAnsi"/>
                <w:sz w:val="22"/>
              </w:rPr>
              <w:t>9</w:t>
            </w:r>
            <w:r w:rsidR="000E0BB6" w:rsidRPr="00760290">
              <w:rPr>
                <w:rFonts w:cstheme="minorHAnsi"/>
                <w:sz w:val="22"/>
              </w:rPr>
              <w:t>89</w:t>
            </w:r>
          </w:p>
        </w:tc>
        <w:tc>
          <w:tcPr>
            <w:tcW w:w="1106" w:type="dxa"/>
            <w:hideMark/>
          </w:tcPr>
          <w:p w:rsidR="00E64680" w:rsidRPr="00760290" w:rsidRDefault="00E64680" w:rsidP="002506B8">
            <w:pPr>
              <w:spacing w:line="240" w:lineRule="auto"/>
              <w:jc w:val="center"/>
              <w:rPr>
                <w:rFonts w:cstheme="minorHAnsi"/>
                <w:sz w:val="22"/>
              </w:rPr>
            </w:pPr>
            <w:r w:rsidRPr="00760290">
              <w:rPr>
                <w:rFonts w:cstheme="minorHAnsi"/>
                <w:sz w:val="22"/>
              </w:rPr>
              <w:t>9</w:t>
            </w:r>
            <w:r w:rsidR="000E0BB6" w:rsidRPr="00760290">
              <w:rPr>
                <w:rFonts w:cstheme="minorHAnsi"/>
                <w:sz w:val="22"/>
              </w:rPr>
              <w:t>89</w:t>
            </w:r>
          </w:p>
        </w:tc>
        <w:tc>
          <w:tcPr>
            <w:tcW w:w="944" w:type="dxa"/>
            <w:hideMark/>
          </w:tcPr>
          <w:p w:rsidR="00E64680" w:rsidRPr="00760290" w:rsidRDefault="00E64680" w:rsidP="002506B8">
            <w:pPr>
              <w:spacing w:line="240" w:lineRule="auto"/>
              <w:jc w:val="center"/>
              <w:rPr>
                <w:rFonts w:cstheme="minorHAnsi"/>
                <w:sz w:val="22"/>
              </w:rPr>
            </w:pPr>
            <w:r w:rsidRPr="00760290">
              <w:rPr>
                <w:rFonts w:cstheme="minorHAnsi"/>
                <w:sz w:val="22"/>
              </w:rPr>
              <w:t>6</w:t>
            </w:r>
            <w:r w:rsidR="000E0BB6" w:rsidRPr="00760290">
              <w:rPr>
                <w:rFonts w:cstheme="minorHAnsi"/>
                <w:sz w:val="22"/>
              </w:rPr>
              <w:t>71</w:t>
            </w:r>
          </w:p>
        </w:tc>
        <w:tc>
          <w:tcPr>
            <w:tcW w:w="1152" w:type="dxa"/>
            <w:hideMark/>
          </w:tcPr>
          <w:p w:rsidR="00E64680" w:rsidRPr="00760290" w:rsidRDefault="000E0BB6" w:rsidP="002506B8">
            <w:pPr>
              <w:spacing w:line="240" w:lineRule="auto"/>
              <w:jc w:val="center"/>
              <w:rPr>
                <w:rFonts w:cstheme="minorHAnsi"/>
                <w:sz w:val="22"/>
              </w:rPr>
            </w:pPr>
            <w:r w:rsidRPr="00760290">
              <w:rPr>
                <w:rFonts w:cstheme="minorHAnsi"/>
                <w:sz w:val="22"/>
              </w:rPr>
              <w:t>318</w:t>
            </w:r>
          </w:p>
        </w:tc>
        <w:tc>
          <w:tcPr>
            <w:tcW w:w="1446" w:type="dxa"/>
            <w:vAlign w:val="center"/>
          </w:tcPr>
          <w:p w:rsidR="00E64680" w:rsidRPr="00760290" w:rsidRDefault="00E64680" w:rsidP="002506B8">
            <w:pPr>
              <w:spacing w:line="240" w:lineRule="auto"/>
              <w:jc w:val="center"/>
              <w:rPr>
                <w:rFonts w:cstheme="minorHAnsi"/>
                <w:sz w:val="22"/>
              </w:rPr>
            </w:pPr>
            <w:r w:rsidRPr="00760290">
              <w:rPr>
                <w:rFonts w:cstheme="minorHAnsi"/>
                <w:sz w:val="22"/>
              </w:rPr>
              <w:t>N.A.</w:t>
            </w:r>
          </w:p>
        </w:tc>
      </w:tr>
      <w:tr w:rsidR="00E64680" w:rsidRPr="004B1036" w:rsidTr="00E64680">
        <w:trPr>
          <w:trHeight w:val="83"/>
          <w:jc w:val="center"/>
        </w:trPr>
        <w:tc>
          <w:tcPr>
            <w:tcW w:w="3392" w:type="dxa"/>
            <w:hideMark/>
          </w:tcPr>
          <w:p w:rsidR="00E64680" w:rsidRPr="00760290" w:rsidRDefault="00E64680" w:rsidP="002506B8">
            <w:pPr>
              <w:spacing w:line="240" w:lineRule="auto"/>
              <w:rPr>
                <w:rFonts w:cstheme="minorHAnsi"/>
                <w:sz w:val="22"/>
              </w:rPr>
            </w:pPr>
            <w:r w:rsidRPr="00760290">
              <w:rPr>
                <w:rFonts w:cstheme="minorHAnsi"/>
                <w:sz w:val="22"/>
              </w:rPr>
              <w:t>Sociedades agencia</w:t>
            </w:r>
          </w:p>
        </w:tc>
        <w:tc>
          <w:tcPr>
            <w:tcW w:w="867" w:type="dxa"/>
            <w:hideMark/>
          </w:tcPr>
          <w:p w:rsidR="00E64680" w:rsidRPr="00760290" w:rsidRDefault="00E64680" w:rsidP="002506B8">
            <w:pPr>
              <w:spacing w:line="240" w:lineRule="auto"/>
              <w:jc w:val="center"/>
              <w:rPr>
                <w:rFonts w:cstheme="minorHAnsi"/>
                <w:sz w:val="22"/>
              </w:rPr>
            </w:pPr>
            <w:r w:rsidRPr="00760290">
              <w:rPr>
                <w:rFonts w:cstheme="minorHAnsi"/>
                <w:sz w:val="22"/>
              </w:rPr>
              <w:t>5</w:t>
            </w:r>
            <w:r w:rsidR="000E0BB6" w:rsidRPr="00760290">
              <w:rPr>
                <w:rFonts w:cstheme="minorHAnsi"/>
                <w:sz w:val="22"/>
              </w:rPr>
              <w:t>1</w:t>
            </w:r>
          </w:p>
        </w:tc>
        <w:tc>
          <w:tcPr>
            <w:tcW w:w="1106" w:type="dxa"/>
            <w:hideMark/>
          </w:tcPr>
          <w:p w:rsidR="00E64680" w:rsidRPr="00760290" w:rsidRDefault="00E64680" w:rsidP="002506B8">
            <w:pPr>
              <w:spacing w:line="240" w:lineRule="auto"/>
              <w:jc w:val="center"/>
              <w:rPr>
                <w:rFonts w:cstheme="minorHAnsi"/>
                <w:sz w:val="22"/>
              </w:rPr>
            </w:pPr>
            <w:r w:rsidRPr="00760290">
              <w:rPr>
                <w:rFonts w:cstheme="minorHAnsi"/>
                <w:sz w:val="22"/>
              </w:rPr>
              <w:t>5</w:t>
            </w:r>
            <w:r w:rsidR="000E0BB6" w:rsidRPr="00760290">
              <w:rPr>
                <w:rFonts w:cstheme="minorHAnsi"/>
                <w:sz w:val="22"/>
              </w:rPr>
              <w:t>1</w:t>
            </w:r>
          </w:p>
        </w:tc>
        <w:tc>
          <w:tcPr>
            <w:tcW w:w="944" w:type="dxa"/>
            <w:hideMark/>
          </w:tcPr>
          <w:p w:rsidR="00E64680" w:rsidRPr="00760290" w:rsidRDefault="00E64680" w:rsidP="002506B8">
            <w:pPr>
              <w:spacing w:line="240" w:lineRule="auto"/>
              <w:jc w:val="center"/>
              <w:rPr>
                <w:rFonts w:cstheme="minorHAnsi"/>
                <w:sz w:val="22"/>
              </w:rPr>
            </w:pPr>
            <w:r w:rsidRPr="00760290">
              <w:rPr>
                <w:rFonts w:cstheme="minorHAnsi"/>
                <w:sz w:val="22"/>
              </w:rPr>
              <w:t>2</w:t>
            </w:r>
            <w:r w:rsidR="000E0BB6" w:rsidRPr="00760290">
              <w:rPr>
                <w:rFonts w:cstheme="minorHAnsi"/>
                <w:sz w:val="22"/>
              </w:rPr>
              <w:t>1</w:t>
            </w:r>
          </w:p>
        </w:tc>
        <w:tc>
          <w:tcPr>
            <w:tcW w:w="1152" w:type="dxa"/>
            <w:hideMark/>
          </w:tcPr>
          <w:p w:rsidR="00E64680" w:rsidRPr="00760290" w:rsidRDefault="000E0BB6" w:rsidP="002506B8">
            <w:pPr>
              <w:spacing w:line="240" w:lineRule="auto"/>
              <w:jc w:val="center"/>
              <w:rPr>
                <w:rFonts w:cstheme="minorHAnsi"/>
                <w:sz w:val="22"/>
              </w:rPr>
            </w:pPr>
            <w:r w:rsidRPr="00760290">
              <w:rPr>
                <w:rFonts w:cstheme="minorHAnsi"/>
                <w:sz w:val="22"/>
              </w:rPr>
              <w:t>30</w:t>
            </w:r>
          </w:p>
        </w:tc>
        <w:tc>
          <w:tcPr>
            <w:tcW w:w="1446" w:type="dxa"/>
            <w:vAlign w:val="center"/>
          </w:tcPr>
          <w:p w:rsidR="00E64680" w:rsidRPr="00760290" w:rsidRDefault="000E0BB6" w:rsidP="002506B8">
            <w:pPr>
              <w:spacing w:line="240" w:lineRule="auto"/>
              <w:jc w:val="center"/>
              <w:rPr>
                <w:rFonts w:cstheme="minorHAnsi"/>
                <w:sz w:val="22"/>
              </w:rPr>
            </w:pPr>
            <w:r w:rsidRPr="00760290">
              <w:rPr>
                <w:rFonts w:cstheme="minorHAnsi"/>
                <w:sz w:val="22"/>
              </w:rPr>
              <w:t>-</w:t>
            </w:r>
          </w:p>
        </w:tc>
      </w:tr>
      <w:tr w:rsidR="00E64680" w:rsidRPr="004B1036" w:rsidTr="00E64680">
        <w:trPr>
          <w:cnfStyle w:val="000000100000" w:firstRow="0" w:lastRow="0" w:firstColumn="0" w:lastColumn="0" w:oddVBand="0" w:evenVBand="0" w:oddHBand="1" w:evenHBand="0" w:firstRowFirstColumn="0" w:firstRowLastColumn="0" w:lastRowFirstColumn="0" w:lastRowLastColumn="0"/>
          <w:trHeight w:val="20"/>
          <w:jc w:val="center"/>
        </w:trPr>
        <w:tc>
          <w:tcPr>
            <w:tcW w:w="3392" w:type="dxa"/>
            <w:hideMark/>
          </w:tcPr>
          <w:p w:rsidR="00E64680" w:rsidRPr="00760290" w:rsidRDefault="00E64680" w:rsidP="002506B8">
            <w:pPr>
              <w:spacing w:line="240" w:lineRule="auto"/>
              <w:rPr>
                <w:rFonts w:cstheme="minorHAnsi"/>
                <w:sz w:val="22"/>
              </w:rPr>
            </w:pPr>
            <w:r w:rsidRPr="00760290">
              <w:rPr>
                <w:rFonts w:cstheme="minorHAnsi"/>
                <w:sz w:val="22"/>
              </w:rPr>
              <w:t>Agentes de seguros</w:t>
            </w:r>
          </w:p>
        </w:tc>
        <w:tc>
          <w:tcPr>
            <w:tcW w:w="867" w:type="dxa"/>
            <w:hideMark/>
          </w:tcPr>
          <w:p w:rsidR="00E64680" w:rsidRPr="00760290" w:rsidRDefault="00E64680" w:rsidP="002506B8">
            <w:pPr>
              <w:spacing w:line="240" w:lineRule="auto"/>
              <w:jc w:val="center"/>
              <w:rPr>
                <w:rFonts w:cstheme="minorHAnsi"/>
                <w:sz w:val="22"/>
              </w:rPr>
            </w:pPr>
            <w:r w:rsidRPr="00760290">
              <w:rPr>
                <w:rFonts w:cstheme="minorHAnsi"/>
                <w:sz w:val="22"/>
              </w:rPr>
              <w:t>2.8</w:t>
            </w:r>
            <w:r w:rsidR="000E0BB6" w:rsidRPr="00760290">
              <w:rPr>
                <w:rFonts w:cstheme="minorHAnsi"/>
                <w:sz w:val="22"/>
              </w:rPr>
              <w:t>63</w:t>
            </w:r>
          </w:p>
        </w:tc>
        <w:tc>
          <w:tcPr>
            <w:tcW w:w="1106" w:type="dxa"/>
            <w:hideMark/>
          </w:tcPr>
          <w:p w:rsidR="00E64680" w:rsidRPr="00760290" w:rsidRDefault="00E64680" w:rsidP="002506B8">
            <w:pPr>
              <w:spacing w:line="240" w:lineRule="auto"/>
              <w:jc w:val="center"/>
              <w:rPr>
                <w:rFonts w:cstheme="minorHAnsi"/>
                <w:sz w:val="22"/>
              </w:rPr>
            </w:pPr>
            <w:r w:rsidRPr="00760290">
              <w:rPr>
                <w:rFonts w:cstheme="minorHAnsi"/>
                <w:sz w:val="22"/>
              </w:rPr>
              <w:t>2.8</w:t>
            </w:r>
            <w:r w:rsidR="000E0BB6" w:rsidRPr="00760290">
              <w:rPr>
                <w:rFonts w:cstheme="minorHAnsi"/>
                <w:sz w:val="22"/>
              </w:rPr>
              <w:t>63</w:t>
            </w:r>
          </w:p>
        </w:tc>
        <w:tc>
          <w:tcPr>
            <w:tcW w:w="944" w:type="dxa"/>
            <w:hideMark/>
          </w:tcPr>
          <w:p w:rsidR="00E64680" w:rsidRPr="00760290" w:rsidRDefault="00E64680" w:rsidP="002506B8">
            <w:pPr>
              <w:spacing w:line="240" w:lineRule="auto"/>
              <w:jc w:val="center"/>
              <w:rPr>
                <w:rFonts w:cstheme="minorHAnsi"/>
                <w:sz w:val="22"/>
              </w:rPr>
            </w:pPr>
            <w:r w:rsidRPr="00760290">
              <w:rPr>
                <w:rFonts w:cstheme="minorHAnsi"/>
                <w:sz w:val="22"/>
              </w:rPr>
              <w:t>1.</w:t>
            </w:r>
            <w:r w:rsidR="000E0BB6" w:rsidRPr="00760290">
              <w:rPr>
                <w:rFonts w:cstheme="minorHAnsi"/>
                <w:sz w:val="22"/>
              </w:rPr>
              <w:t>027</w:t>
            </w:r>
          </w:p>
        </w:tc>
        <w:tc>
          <w:tcPr>
            <w:tcW w:w="1152" w:type="dxa"/>
            <w:hideMark/>
          </w:tcPr>
          <w:p w:rsidR="00E64680" w:rsidRPr="00760290" w:rsidRDefault="00E64680" w:rsidP="002506B8">
            <w:pPr>
              <w:spacing w:line="240" w:lineRule="auto"/>
              <w:jc w:val="center"/>
              <w:rPr>
                <w:rFonts w:cstheme="minorHAnsi"/>
                <w:sz w:val="22"/>
              </w:rPr>
            </w:pPr>
            <w:r w:rsidRPr="00760290">
              <w:rPr>
                <w:rFonts w:cstheme="minorHAnsi"/>
                <w:sz w:val="22"/>
              </w:rPr>
              <w:t>1.</w:t>
            </w:r>
            <w:r w:rsidR="000E0BB6" w:rsidRPr="00760290">
              <w:rPr>
                <w:rFonts w:cstheme="minorHAnsi"/>
                <w:sz w:val="22"/>
              </w:rPr>
              <w:t>836</w:t>
            </w:r>
          </w:p>
        </w:tc>
        <w:tc>
          <w:tcPr>
            <w:tcW w:w="1446" w:type="dxa"/>
            <w:vAlign w:val="center"/>
          </w:tcPr>
          <w:p w:rsidR="00E64680" w:rsidRPr="00760290" w:rsidRDefault="00E64680" w:rsidP="002506B8">
            <w:pPr>
              <w:spacing w:line="240" w:lineRule="auto"/>
              <w:jc w:val="center"/>
              <w:rPr>
                <w:rFonts w:cstheme="minorHAnsi"/>
                <w:sz w:val="22"/>
              </w:rPr>
            </w:pPr>
            <w:r w:rsidRPr="00760290">
              <w:rPr>
                <w:rFonts w:cstheme="minorHAnsi"/>
                <w:sz w:val="22"/>
              </w:rPr>
              <w:t>N.A.</w:t>
            </w:r>
          </w:p>
        </w:tc>
      </w:tr>
      <w:tr w:rsidR="00E64680" w:rsidRPr="004B1036" w:rsidTr="00E64680">
        <w:trPr>
          <w:trHeight w:val="20"/>
          <w:jc w:val="center"/>
        </w:trPr>
        <w:tc>
          <w:tcPr>
            <w:tcW w:w="3392" w:type="dxa"/>
            <w:hideMark/>
          </w:tcPr>
          <w:p w:rsidR="00E64680" w:rsidRPr="00760290" w:rsidRDefault="00E64680" w:rsidP="002506B8">
            <w:pPr>
              <w:spacing w:line="240" w:lineRule="auto"/>
              <w:rPr>
                <w:rFonts w:cstheme="minorHAnsi"/>
                <w:sz w:val="22"/>
              </w:rPr>
            </w:pPr>
            <w:r w:rsidRPr="00760290">
              <w:rPr>
                <w:rFonts w:cstheme="minorHAnsi"/>
                <w:sz w:val="22"/>
              </w:rPr>
              <w:t>Operadores Seguros Autoexpedibles</w:t>
            </w:r>
          </w:p>
        </w:tc>
        <w:tc>
          <w:tcPr>
            <w:tcW w:w="867" w:type="dxa"/>
            <w:hideMark/>
          </w:tcPr>
          <w:p w:rsidR="00E64680" w:rsidRPr="00760290" w:rsidRDefault="00E64680" w:rsidP="002506B8">
            <w:pPr>
              <w:spacing w:line="240" w:lineRule="auto"/>
              <w:jc w:val="center"/>
              <w:rPr>
                <w:rFonts w:cstheme="minorHAnsi"/>
                <w:sz w:val="22"/>
              </w:rPr>
            </w:pPr>
            <w:r w:rsidRPr="00760290">
              <w:rPr>
                <w:rFonts w:cstheme="minorHAnsi"/>
                <w:sz w:val="22"/>
              </w:rPr>
              <w:t>13</w:t>
            </w:r>
            <w:r w:rsidR="008A3FC9" w:rsidRPr="00760290">
              <w:rPr>
                <w:rFonts w:cstheme="minorHAnsi"/>
                <w:sz w:val="22"/>
              </w:rPr>
              <w:t>9</w:t>
            </w:r>
          </w:p>
        </w:tc>
        <w:tc>
          <w:tcPr>
            <w:tcW w:w="1106" w:type="dxa"/>
            <w:hideMark/>
          </w:tcPr>
          <w:p w:rsidR="00E64680" w:rsidRPr="00760290" w:rsidRDefault="00E64680" w:rsidP="002506B8">
            <w:pPr>
              <w:spacing w:line="240" w:lineRule="auto"/>
              <w:jc w:val="center"/>
              <w:rPr>
                <w:rFonts w:cstheme="minorHAnsi"/>
                <w:sz w:val="22"/>
              </w:rPr>
            </w:pPr>
            <w:r w:rsidRPr="00760290">
              <w:rPr>
                <w:rFonts w:cstheme="minorHAnsi"/>
                <w:sz w:val="22"/>
              </w:rPr>
              <w:t>13</w:t>
            </w:r>
            <w:r w:rsidR="008A3FC9" w:rsidRPr="00760290">
              <w:rPr>
                <w:rFonts w:cstheme="minorHAnsi"/>
                <w:sz w:val="22"/>
              </w:rPr>
              <w:t>9</w:t>
            </w:r>
          </w:p>
        </w:tc>
        <w:tc>
          <w:tcPr>
            <w:tcW w:w="944" w:type="dxa"/>
            <w:hideMark/>
          </w:tcPr>
          <w:p w:rsidR="00E64680" w:rsidRPr="00760290" w:rsidRDefault="00E64680" w:rsidP="002506B8">
            <w:pPr>
              <w:spacing w:line="240" w:lineRule="auto"/>
              <w:jc w:val="center"/>
              <w:rPr>
                <w:rFonts w:cstheme="minorHAnsi"/>
                <w:sz w:val="22"/>
              </w:rPr>
            </w:pPr>
            <w:r w:rsidRPr="00760290">
              <w:rPr>
                <w:rFonts w:cstheme="minorHAnsi"/>
                <w:sz w:val="22"/>
              </w:rPr>
              <w:t>9</w:t>
            </w:r>
            <w:r w:rsidR="008A3FC9" w:rsidRPr="00760290">
              <w:rPr>
                <w:rFonts w:cstheme="minorHAnsi"/>
                <w:sz w:val="22"/>
              </w:rPr>
              <w:t>3</w:t>
            </w:r>
          </w:p>
        </w:tc>
        <w:tc>
          <w:tcPr>
            <w:tcW w:w="1152" w:type="dxa"/>
            <w:hideMark/>
          </w:tcPr>
          <w:p w:rsidR="00E64680" w:rsidRPr="00760290" w:rsidRDefault="00E64680" w:rsidP="002506B8">
            <w:pPr>
              <w:spacing w:line="240" w:lineRule="auto"/>
              <w:jc w:val="center"/>
              <w:rPr>
                <w:rFonts w:cstheme="minorHAnsi"/>
                <w:sz w:val="22"/>
              </w:rPr>
            </w:pPr>
            <w:r w:rsidRPr="00760290">
              <w:rPr>
                <w:rFonts w:cstheme="minorHAnsi"/>
                <w:sz w:val="22"/>
              </w:rPr>
              <w:t>4</w:t>
            </w:r>
            <w:r w:rsidR="008A3FC9" w:rsidRPr="00760290">
              <w:rPr>
                <w:rFonts w:cstheme="minorHAnsi"/>
                <w:sz w:val="22"/>
              </w:rPr>
              <w:t>6</w:t>
            </w:r>
          </w:p>
        </w:tc>
        <w:tc>
          <w:tcPr>
            <w:tcW w:w="1446" w:type="dxa"/>
            <w:vAlign w:val="center"/>
          </w:tcPr>
          <w:p w:rsidR="00E64680" w:rsidRPr="00760290" w:rsidRDefault="00E64680" w:rsidP="002506B8">
            <w:pPr>
              <w:spacing w:line="240" w:lineRule="auto"/>
              <w:jc w:val="center"/>
              <w:rPr>
                <w:rFonts w:cstheme="minorHAnsi"/>
                <w:sz w:val="22"/>
              </w:rPr>
            </w:pPr>
            <w:r w:rsidRPr="00760290">
              <w:rPr>
                <w:rFonts w:cstheme="minorHAnsi"/>
                <w:sz w:val="22"/>
              </w:rPr>
              <w:t>N.A.</w:t>
            </w:r>
          </w:p>
        </w:tc>
      </w:tr>
    </w:tbl>
    <w:p w:rsidR="006A3A56" w:rsidRDefault="006A3A56" w:rsidP="002506B8">
      <w:pPr>
        <w:tabs>
          <w:tab w:val="left" w:pos="8789"/>
        </w:tabs>
        <w:spacing w:line="240" w:lineRule="auto"/>
        <w:ind w:right="49"/>
        <w:rPr>
          <w:sz w:val="16"/>
          <w:szCs w:val="16"/>
        </w:rPr>
      </w:pPr>
      <w:r w:rsidRPr="6B89B391">
        <w:rPr>
          <w:sz w:val="16"/>
          <w:szCs w:val="16"/>
        </w:rPr>
        <w:t>1/ Autorizados Condicionalmente: Participantes que han sido autorizados, pero cuya entrada en operación está sujeta al cumplimiento de los requisitos dispuestos en el Reglamento sobre Autorizaciones, Registros y Requisitos de Funcionamiento de Entidades Supervisadas por la Superintendencia General de Seguros. Una vez cumplido lo anterior, la entidad se inscribe en el registro correspondiente y puede operar en el mercado.</w:t>
      </w:r>
    </w:p>
    <w:p w:rsidR="00F42FB5" w:rsidRPr="006A3A56" w:rsidRDefault="00F42FB5" w:rsidP="002506B8">
      <w:pPr>
        <w:tabs>
          <w:tab w:val="left" w:pos="8789"/>
        </w:tabs>
        <w:spacing w:line="240" w:lineRule="auto"/>
        <w:ind w:right="49"/>
        <w:rPr>
          <w:sz w:val="16"/>
          <w:szCs w:val="16"/>
        </w:rPr>
      </w:pPr>
      <w:r w:rsidRPr="6B89B391">
        <w:rPr>
          <w:sz w:val="16"/>
          <w:szCs w:val="16"/>
        </w:rPr>
        <w:t>2/ Corresponde al cese voluntario de operaciones Triple-S Blue, INC. I.I. Sucursal Costa Rica, proceso que al finalizar el año se encontraba únicamente pendiente la inscripción de la disolución de la aseguradora ante el Registro Nacional.</w:t>
      </w:r>
    </w:p>
    <w:p w:rsidR="000E39EF" w:rsidRPr="004B1036" w:rsidRDefault="000E39EF" w:rsidP="002506B8">
      <w:pPr>
        <w:spacing w:line="240" w:lineRule="auto"/>
        <w:rPr>
          <w:lang w:eastAsia="es-CR"/>
        </w:rPr>
      </w:pPr>
    </w:p>
    <w:p w:rsidR="00043E29" w:rsidRPr="004B1036" w:rsidRDefault="0E324171" w:rsidP="00E4486A">
      <w:r w:rsidRPr="0E324171">
        <w:t>Para la ejecución de sus funciones, la SUGESE tiene asignadas un total de 51 plazas, de las cuales cuatro de ellas se encontraban vacantes al finalizar el 2022, como se observa en el Cuadro 2.</w:t>
      </w:r>
    </w:p>
    <w:p w:rsidR="00043E29" w:rsidRPr="004B1036" w:rsidRDefault="0E324171" w:rsidP="0E324171">
      <w:r w:rsidRPr="0E324171">
        <w:rPr>
          <w:rFonts w:ascii="Century Gothic" w:eastAsia="Century Gothic" w:hAnsi="Century Gothic" w:cs="Century Gothic"/>
          <w:b/>
          <w:bCs/>
          <w:color w:val="002060"/>
          <w:sz w:val="20"/>
          <w:szCs w:val="20"/>
        </w:rPr>
        <w:t xml:space="preserve"> </w:t>
      </w:r>
    </w:p>
    <w:p w:rsidR="00043E29" w:rsidRPr="004B1036" w:rsidRDefault="00B264B6" w:rsidP="00B264B6">
      <w:pPr>
        <w:spacing w:line="240" w:lineRule="auto"/>
        <w:jc w:val="center"/>
      </w:pPr>
      <w:r w:rsidRPr="00760290">
        <w:rPr>
          <w:rFonts w:ascii="Century Gothic" w:hAnsi="Century Gothic"/>
          <w:b/>
          <w:color w:val="002060"/>
          <w:sz w:val="20"/>
          <w:szCs w:val="20"/>
        </w:rPr>
        <w:t xml:space="preserve">CUADRO </w:t>
      </w:r>
      <w:r w:rsidRPr="00760290">
        <w:fldChar w:fldCharType="begin"/>
      </w:r>
      <w:r w:rsidRPr="00760290">
        <w:rPr>
          <w:rFonts w:ascii="Century Gothic" w:hAnsi="Century Gothic"/>
          <w:b/>
          <w:color w:val="002060"/>
          <w:sz w:val="20"/>
          <w:szCs w:val="20"/>
        </w:rPr>
        <w:instrText xml:space="preserve"> AUTONUM  \s " " </w:instrText>
      </w:r>
      <w:r w:rsidRPr="00760290">
        <w:rPr>
          <w:rFonts w:ascii="Century Gothic" w:hAnsi="Century Gothic"/>
          <w:b/>
          <w:color w:val="002060"/>
          <w:sz w:val="20"/>
          <w:szCs w:val="20"/>
        </w:rPr>
        <w:fldChar w:fldCharType="end"/>
      </w:r>
      <w:r w:rsidR="0E324171" w:rsidRPr="0E324171">
        <w:rPr>
          <w:rFonts w:ascii="Century Gothic" w:eastAsia="Century Gothic" w:hAnsi="Century Gothic" w:cs="Century Gothic"/>
          <w:b/>
          <w:bCs/>
          <w:color w:val="002060"/>
          <w:sz w:val="20"/>
          <w:szCs w:val="20"/>
        </w:rPr>
        <w:t xml:space="preserve"> </w:t>
      </w:r>
    </w:p>
    <w:p w:rsidR="00043E29" w:rsidRPr="004B1036" w:rsidRDefault="0E324171" w:rsidP="0E324171">
      <w:pPr>
        <w:jc w:val="center"/>
      </w:pPr>
      <w:r w:rsidRPr="0E324171">
        <w:rPr>
          <w:rFonts w:ascii="Century Gothic" w:eastAsia="Century Gothic" w:hAnsi="Century Gothic" w:cs="Century Gothic"/>
          <w:sz w:val="20"/>
          <w:szCs w:val="20"/>
        </w:rPr>
        <w:t>Superintendencia General de Seguros</w:t>
      </w:r>
      <w:r w:rsidRPr="0E324171">
        <w:rPr>
          <w:rFonts w:ascii="Century Gothic" w:eastAsia="Century Gothic" w:hAnsi="Century Gothic" w:cs="Century Gothic"/>
          <w:b/>
          <w:bCs/>
          <w:color w:val="404040" w:themeColor="text1" w:themeTint="BF"/>
          <w:sz w:val="20"/>
          <w:szCs w:val="20"/>
        </w:rPr>
        <w:t xml:space="preserve"> </w:t>
      </w:r>
    </w:p>
    <w:p w:rsidR="00043E29" w:rsidRPr="004B1036" w:rsidRDefault="0E324171" w:rsidP="0E324171">
      <w:pPr>
        <w:jc w:val="center"/>
      </w:pPr>
      <w:r w:rsidRPr="0E324171">
        <w:rPr>
          <w:rFonts w:ascii="Century Gothic" w:eastAsia="Century Gothic" w:hAnsi="Century Gothic" w:cs="Century Gothic"/>
          <w:b/>
          <w:bCs/>
          <w:color w:val="404040" w:themeColor="text1" w:themeTint="BF"/>
          <w:sz w:val="20"/>
          <w:szCs w:val="20"/>
        </w:rPr>
        <w:t>Plazas vacantes</w:t>
      </w:r>
    </w:p>
    <w:tbl>
      <w:tblPr>
        <w:tblStyle w:val="Tablaconcuadrcula1clara-nfasis1"/>
        <w:tblW w:w="0" w:type="auto"/>
        <w:tblLayout w:type="fixed"/>
        <w:tblLook w:val="06A0" w:firstRow="1" w:lastRow="0" w:firstColumn="1" w:lastColumn="0" w:noHBand="1" w:noVBand="1"/>
      </w:tblPr>
      <w:tblGrid>
        <w:gridCol w:w="2685"/>
        <w:gridCol w:w="1695"/>
        <w:gridCol w:w="1980"/>
        <w:gridCol w:w="2265"/>
      </w:tblGrid>
      <w:tr w:rsidR="0E324171" w:rsidTr="0E3241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5" w:type="dxa"/>
            <w:shd w:val="clear" w:color="auto" w:fill="365F91" w:themeFill="accent1" w:themeFillShade="BF"/>
            <w:vAlign w:val="center"/>
          </w:tcPr>
          <w:p w:rsidR="0E324171" w:rsidRPr="00760290" w:rsidRDefault="0E324171" w:rsidP="00421EBD">
            <w:pPr>
              <w:spacing w:line="240" w:lineRule="auto"/>
              <w:jc w:val="center"/>
              <w:rPr>
                <w:rFonts w:cstheme="minorHAnsi"/>
                <w:sz w:val="22"/>
              </w:rPr>
            </w:pPr>
            <w:r w:rsidRPr="00760290">
              <w:rPr>
                <w:rFonts w:cstheme="minorHAnsi"/>
                <w:color w:val="FFFFFF" w:themeColor="background1"/>
                <w:sz w:val="22"/>
              </w:rPr>
              <w:t>Clasificación</w:t>
            </w:r>
          </w:p>
        </w:tc>
        <w:tc>
          <w:tcPr>
            <w:tcW w:w="1695" w:type="dxa"/>
            <w:shd w:val="clear" w:color="auto" w:fill="365F91" w:themeFill="accent1" w:themeFillShade="BF"/>
            <w:vAlign w:val="center"/>
          </w:tcPr>
          <w:p w:rsidR="0E324171" w:rsidRPr="00760290" w:rsidRDefault="0E324171" w:rsidP="00421EBD">
            <w:pPr>
              <w:spacing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22"/>
              </w:rPr>
            </w:pPr>
            <w:r w:rsidRPr="00760290">
              <w:rPr>
                <w:rFonts w:cstheme="minorHAnsi"/>
                <w:color w:val="FFFFFF" w:themeColor="background1"/>
                <w:sz w:val="22"/>
              </w:rPr>
              <w:t>Código de ubicación</w:t>
            </w:r>
          </w:p>
        </w:tc>
        <w:tc>
          <w:tcPr>
            <w:tcW w:w="1980" w:type="dxa"/>
            <w:shd w:val="clear" w:color="auto" w:fill="365F91" w:themeFill="accent1" w:themeFillShade="BF"/>
            <w:vAlign w:val="center"/>
          </w:tcPr>
          <w:p w:rsidR="0E324171" w:rsidRPr="00760290" w:rsidRDefault="0E324171" w:rsidP="00421EBD">
            <w:pPr>
              <w:spacing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22"/>
              </w:rPr>
            </w:pPr>
            <w:r w:rsidRPr="00760290">
              <w:rPr>
                <w:rFonts w:cstheme="minorHAnsi"/>
                <w:color w:val="FFFFFF" w:themeColor="background1"/>
                <w:sz w:val="22"/>
              </w:rPr>
              <w:t>Dependencia</w:t>
            </w:r>
          </w:p>
        </w:tc>
        <w:tc>
          <w:tcPr>
            <w:tcW w:w="2265" w:type="dxa"/>
            <w:shd w:val="clear" w:color="auto" w:fill="365F91" w:themeFill="accent1" w:themeFillShade="BF"/>
            <w:vAlign w:val="center"/>
          </w:tcPr>
          <w:p w:rsidR="0E324171" w:rsidRPr="00760290" w:rsidRDefault="0E324171" w:rsidP="00421EBD">
            <w:pPr>
              <w:spacing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22"/>
              </w:rPr>
            </w:pPr>
            <w:r w:rsidRPr="00760290">
              <w:rPr>
                <w:rFonts w:cstheme="minorHAnsi"/>
                <w:color w:val="FFFFFF" w:themeColor="background1"/>
                <w:sz w:val="22"/>
              </w:rPr>
              <w:t>Estado</w:t>
            </w:r>
          </w:p>
        </w:tc>
      </w:tr>
      <w:tr w:rsidR="0E324171" w:rsidTr="0E324171">
        <w:tc>
          <w:tcPr>
            <w:cnfStyle w:val="001000000000" w:firstRow="0" w:lastRow="0" w:firstColumn="1" w:lastColumn="0" w:oddVBand="0" w:evenVBand="0" w:oddHBand="0" w:evenHBand="0" w:firstRowFirstColumn="0" w:firstRowLastColumn="0" w:lastRowFirstColumn="0" w:lastRowLastColumn="0"/>
            <w:tcW w:w="2685" w:type="dxa"/>
            <w:vAlign w:val="center"/>
          </w:tcPr>
          <w:p w:rsidR="0E324171" w:rsidRPr="00760290" w:rsidRDefault="0E324171" w:rsidP="00421EBD">
            <w:pPr>
              <w:spacing w:line="240" w:lineRule="auto"/>
              <w:jc w:val="left"/>
              <w:rPr>
                <w:rFonts w:cstheme="minorHAnsi"/>
                <w:sz w:val="22"/>
              </w:rPr>
            </w:pPr>
            <w:r w:rsidRPr="00760290">
              <w:rPr>
                <w:rFonts w:cstheme="minorHAnsi"/>
                <w:sz w:val="22"/>
              </w:rPr>
              <w:t>Intendente</w:t>
            </w:r>
          </w:p>
        </w:tc>
        <w:tc>
          <w:tcPr>
            <w:tcW w:w="1695" w:type="dxa"/>
            <w:vAlign w:val="center"/>
          </w:tcPr>
          <w:p w:rsidR="0E324171" w:rsidRPr="00760290" w:rsidRDefault="0E324171" w:rsidP="00421EBD">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2"/>
              </w:rPr>
            </w:pPr>
            <w:r w:rsidRPr="00760290">
              <w:rPr>
                <w:rFonts w:cstheme="minorHAnsi"/>
                <w:sz w:val="22"/>
              </w:rPr>
              <w:t>24-15-10-10-02</w:t>
            </w:r>
          </w:p>
        </w:tc>
        <w:tc>
          <w:tcPr>
            <w:tcW w:w="1980" w:type="dxa"/>
            <w:vAlign w:val="center"/>
          </w:tcPr>
          <w:p w:rsidR="0E324171" w:rsidRPr="00760290" w:rsidRDefault="0E324171" w:rsidP="00421EBD">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2"/>
              </w:rPr>
            </w:pPr>
            <w:r w:rsidRPr="00760290">
              <w:rPr>
                <w:rFonts w:cstheme="minorHAnsi"/>
                <w:sz w:val="22"/>
              </w:rPr>
              <w:t>Despacho</w:t>
            </w:r>
          </w:p>
        </w:tc>
        <w:tc>
          <w:tcPr>
            <w:tcW w:w="2265" w:type="dxa"/>
            <w:vAlign w:val="center"/>
          </w:tcPr>
          <w:p w:rsidR="0E324171" w:rsidRPr="00760290" w:rsidRDefault="0E324171" w:rsidP="00421EBD">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2"/>
              </w:rPr>
            </w:pPr>
            <w:r w:rsidRPr="00760290">
              <w:rPr>
                <w:rFonts w:cstheme="minorHAnsi"/>
                <w:sz w:val="22"/>
              </w:rPr>
              <w:t>Nombramiento por definir</w:t>
            </w:r>
          </w:p>
        </w:tc>
      </w:tr>
      <w:tr w:rsidR="0E324171" w:rsidTr="0E324171">
        <w:tc>
          <w:tcPr>
            <w:cnfStyle w:val="001000000000" w:firstRow="0" w:lastRow="0" w:firstColumn="1" w:lastColumn="0" w:oddVBand="0" w:evenVBand="0" w:oddHBand="0" w:evenHBand="0" w:firstRowFirstColumn="0" w:firstRowLastColumn="0" w:lastRowFirstColumn="0" w:lastRowLastColumn="0"/>
            <w:tcW w:w="2685" w:type="dxa"/>
            <w:vAlign w:val="center"/>
          </w:tcPr>
          <w:p w:rsidR="0E324171" w:rsidRPr="00760290" w:rsidRDefault="0E324171" w:rsidP="00421EBD">
            <w:pPr>
              <w:spacing w:line="240" w:lineRule="auto"/>
              <w:jc w:val="left"/>
              <w:rPr>
                <w:rFonts w:cstheme="minorHAnsi"/>
                <w:sz w:val="22"/>
              </w:rPr>
            </w:pPr>
            <w:r w:rsidRPr="00760290">
              <w:rPr>
                <w:rFonts w:cstheme="minorHAnsi"/>
                <w:sz w:val="22"/>
              </w:rPr>
              <w:t xml:space="preserve">Supervisor Principal </w:t>
            </w:r>
          </w:p>
        </w:tc>
        <w:tc>
          <w:tcPr>
            <w:tcW w:w="1695" w:type="dxa"/>
            <w:vAlign w:val="center"/>
          </w:tcPr>
          <w:p w:rsidR="0E324171" w:rsidRPr="00760290" w:rsidRDefault="0E324171" w:rsidP="00421EBD">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2"/>
              </w:rPr>
            </w:pPr>
            <w:r w:rsidRPr="00760290">
              <w:rPr>
                <w:rFonts w:cstheme="minorHAnsi"/>
                <w:sz w:val="22"/>
              </w:rPr>
              <w:t>24-05-10-10-04</w:t>
            </w:r>
          </w:p>
        </w:tc>
        <w:tc>
          <w:tcPr>
            <w:tcW w:w="1980" w:type="dxa"/>
            <w:vAlign w:val="center"/>
          </w:tcPr>
          <w:p w:rsidR="0E324171" w:rsidRPr="00760290" w:rsidRDefault="0E324171" w:rsidP="00421EBD">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2"/>
              </w:rPr>
            </w:pPr>
            <w:r w:rsidRPr="00760290">
              <w:rPr>
                <w:rFonts w:cstheme="minorHAnsi"/>
                <w:sz w:val="22"/>
              </w:rPr>
              <w:t>Supervisión</w:t>
            </w:r>
          </w:p>
        </w:tc>
        <w:tc>
          <w:tcPr>
            <w:tcW w:w="2265" w:type="dxa"/>
            <w:vAlign w:val="center"/>
          </w:tcPr>
          <w:p w:rsidR="0E324171" w:rsidRPr="00760290" w:rsidRDefault="0E324171" w:rsidP="00421EBD">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2"/>
              </w:rPr>
            </w:pPr>
            <w:r w:rsidRPr="00760290">
              <w:rPr>
                <w:rFonts w:cstheme="minorHAnsi"/>
                <w:sz w:val="22"/>
              </w:rPr>
              <w:t>Nombramiento interino con proceso de contratación.</w:t>
            </w:r>
          </w:p>
        </w:tc>
      </w:tr>
      <w:tr w:rsidR="0E324171" w:rsidTr="0E324171">
        <w:tc>
          <w:tcPr>
            <w:cnfStyle w:val="001000000000" w:firstRow="0" w:lastRow="0" w:firstColumn="1" w:lastColumn="0" w:oddVBand="0" w:evenVBand="0" w:oddHBand="0" w:evenHBand="0" w:firstRowFirstColumn="0" w:firstRowLastColumn="0" w:lastRowFirstColumn="0" w:lastRowLastColumn="0"/>
            <w:tcW w:w="2685" w:type="dxa"/>
            <w:vAlign w:val="center"/>
          </w:tcPr>
          <w:p w:rsidR="0E324171" w:rsidRPr="00760290" w:rsidRDefault="0E324171" w:rsidP="00421EBD">
            <w:pPr>
              <w:spacing w:line="240" w:lineRule="auto"/>
              <w:rPr>
                <w:rFonts w:cstheme="minorHAnsi"/>
                <w:sz w:val="22"/>
              </w:rPr>
            </w:pPr>
            <w:r w:rsidRPr="00760290">
              <w:rPr>
                <w:rFonts w:cstheme="minorHAnsi"/>
                <w:sz w:val="22"/>
              </w:rPr>
              <w:t>Profesional Gestión Bancaria 4</w:t>
            </w:r>
          </w:p>
        </w:tc>
        <w:tc>
          <w:tcPr>
            <w:tcW w:w="1695" w:type="dxa"/>
            <w:vAlign w:val="center"/>
          </w:tcPr>
          <w:p w:rsidR="0E324171" w:rsidRPr="00760290" w:rsidRDefault="0E324171" w:rsidP="00421EBD">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2"/>
              </w:rPr>
            </w:pPr>
            <w:r w:rsidRPr="00760290">
              <w:rPr>
                <w:rFonts w:cstheme="minorHAnsi"/>
                <w:sz w:val="22"/>
              </w:rPr>
              <w:t>24-10-10-10-09</w:t>
            </w:r>
          </w:p>
        </w:tc>
        <w:tc>
          <w:tcPr>
            <w:tcW w:w="1980" w:type="dxa"/>
            <w:vAlign w:val="center"/>
          </w:tcPr>
          <w:p w:rsidR="0E324171" w:rsidRPr="00760290" w:rsidRDefault="0E324171" w:rsidP="00421EBD">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2"/>
              </w:rPr>
            </w:pPr>
            <w:r w:rsidRPr="00760290">
              <w:rPr>
                <w:rFonts w:cstheme="minorHAnsi"/>
                <w:sz w:val="22"/>
              </w:rPr>
              <w:t>Normativa y Autorizaciones</w:t>
            </w:r>
          </w:p>
        </w:tc>
        <w:tc>
          <w:tcPr>
            <w:tcW w:w="2265" w:type="dxa"/>
            <w:vAlign w:val="center"/>
          </w:tcPr>
          <w:p w:rsidR="0E324171" w:rsidRPr="00760290" w:rsidRDefault="0E324171" w:rsidP="00421EBD">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2"/>
              </w:rPr>
            </w:pPr>
            <w:r w:rsidRPr="00760290">
              <w:rPr>
                <w:rFonts w:cstheme="minorHAnsi"/>
                <w:sz w:val="22"/>
              </w:rPr>
              <w:t>Vacante</w:t>
            </w:r>
          </w:p>
        </w:tc>
      </w:tr>
      <w:tr w:rsidR="0E324171" w:rsidTr="0E324171">
        <w:tc>
          <w:tcPr>
            <w:cnfStyle w:val="001000000000" w:firstRow="0" w:lastRow="0" w:firstColumn="1" w:lastColumn="0" w:oddVBand="0" w:evenVBand="0" w:oddHBand="0" w:evenHBand="0" w:firstRowFirstColumn="0" w:firstRowLastColumn="0" w:lastRowFirstColumn="0" w:lastRowLastColumn="0"/>
            <w:tcW w:w="2685" w:type="dxa"/>
            <w:vAlign w:val="center"/>
          </w:tcPr>
          <w:p w:rsidR="0E324171" w:rsidRPr="00760290" w:rsidRDefault="0E324171" w:rsidP="00421EBD">
            <w:pPr>
              <w:spacing w:line="240" w:lineRule="auto"/>
              <w:jc w:val="left"/>
              <w:rPr>
                <w:rFonts w:cstheme="minorHAnsi"/>
                <w:sz w:val="22"/>
              </w:rPr>
            </w:pPr>
            <w:r w:rsidRPr="00760290">
              <w:rPr>
                <w:rFonts w:cstheme="minorHAnsi"/>
                <w:sz w:val="22"/>
              </w:rPr>
              <w:t>Profesional Gestión Bancaria 4</w:t>
            </w:r>
          </w:p>
        </w:tc>
        <w:tc>
          <w:tcPr>
            <w:tcW w:w="1695" w:type="dxa"/>
            <w:vAlign w:val="center"/>
          </w:tcPr>
          <w:p w:rsidR="0E324171" w:rsidRPr="00760290" w:rsidRDefault="0E324171" w:rsidP="00421EBD">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2"/>
              </w:rPr>
            </w:pPr>
            <w:r w:rsidRPr="00760290">
              <w:rPr>
                <w:rFonts w:cstheme="minorHAnsi"/>
                <w:sz w:val="22"/>
              </w:rPr>
              <w:t>24-15-10-10-03</w:t>
            </w:r>
          </w:p>
        </w:tc>
        <w:tc>
          <w:tcPr>
            <w:tcW w:w="1980" w:type="dxa"/>
            <w:vAlign w:val="center"/>
          </w:tcPr>
          <w:p w:rsidR="0E324171" w:rsidRPr="00760290" w:rsidRDefault="0E324171" w:rsidP="00421EBD">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2"/>
              </w:rPr>
            </w:pPr>
            <w:r w:rsidRPr="00760290">
              <w:rPr>
                <w:rFonts w:cstheme="minorHAnsi"/>
                <w:sz w:val="22"/>
              </w:rPr>
              <w:t>Asesoría Jurídica</w:t>
            </w:r>
          </w:p>
        </w:tc>
        <w:tc>
          <w:tcPr>
            <w:tcW w:w="2265" w:type="dxa"/>
            <w:vAlign w:val="center"/>
          </w:tcPr>
          <w:p w:rsidR="0E324171" w:rsidRPr="00760290" w:rsidRDefault="0E324171" w:rsidP="00421EBD">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2"/>
              </w:rPr>
            </w:pPr>
            <w:r w:rsidRPr="00760290">
              <w:rPr>
                <w:rFonts w:cstheme="minorHAnsi"/>
                <w:sz w:val="22"/>
              </w:rPr>
              <w:t>Nombramiento interino con proceso de contratación.</w:t>
            </w:r>
          </w:p>
        </w:tc>
      </w:tr>
    </w:tbl>
    <w:p w:rsidR="00043E29" w:rsidRPr="004B1036" w:rsidRDefault="00043E29" w:rsidP="0E324171"/>
    <w:p w:rsidR="00043E29" w:rsidRPr="004B1036" w:rsidRDefault="0E324171" w:rsidP="0E324171">
      <w:r w:rsidRPr="0E324171">
        <w:t xml:space="preserve">Cabe mencionar que el 94% del personal es profesional, de ahí que la mayor parte del presupuesto se destina al rubro de remuneraciones y que, en conjunto con las partidas de “servicios”, en donde se incluye el pago de los servicios administrativos que recibe la SUGESE por parte del BCCR, alcanzó un 95,2% del presupuesto total ejecutado en 2022, lo que significó en términos absolutos ¢3.508,53 millones. El remanente de ¢177,12 millones obedeció a la ejecución de las otras partidas presupuestarias “materiales y suministros”, “bienes duraderos” y “Transferencias corrientes”.  </w:t>
      </w:r>
    </w:p>
    <w:p w:rsidR="00043E29" w:rsidRPr="004B1036" w:rsidRDefault="0E324171" w:rsidP="0E324171">
      <w:r w:rsidRPr="00760290">
        <w:t xml:space="preserve"> </w:t>
      </w:r>
    </w:p>
    <w:p w:rsidR="00043E29" w:rsidRPr="004B1036" w:rsidRDefault="0E324171" w:rsidP="0E324171">
      <w:r w:rsidRPr="0E324171">
        <w:t>En el Cuadro 3 se presenta el presupuesto de la Superintendencia, con su respectiva ejecución, para el periodo 2022.</w:t>
      </w:r>
    </w:p>
    <w:p w:rsidR="00043E29" w:rsidRPr="004B1036" w:rsidRDefault="0E324171" w:rsidP="0E324171">
      <w:r w:rsidRPr="0E324171">
        <w:t xml:space="preserve"> </w:t>
      </w:r>
    </w:p>
    <w:p w:rsidR="00043E29" w:rsidRPr="004B1036" w:rsidRDefault="00B264B6" w:rsidP="0E324171">
      <w:pPr>
        <w:jc w:val="center"/>
      </w:pPr>
      <w:r w:rsidRPr="00760290">
        <w:rPr>
          <w:rFonts w:ascii="Century Gothic" w:hAnsi="Century Gothic"/>
          <w:b/>
          <w:color w:val="002060"/>
          <w:sz w:val="20"/>
          <w:szCs w:val="20"/>
        </w:rPr>
        <w:t xml:space="preserve">CUADRO </w:t>
      </w:r>
      <w:r w:rsidRPr="00760290">
        <w:fldChar w:fldCharType="begin"/>
      </w:r>
      <w:r w:rsidRPr="00760290">
        <w:rPr>
          <w:rFonts w:ascii="Century Gothic" w:hAnsi="Century Gothic"/>
          <w:b/>
          <w:color w:val="002060"/>
          <w:sz w:val="20"/>
          <w:szCs w:val="20"/>
        </w:rPr>
        <w:instrText xml:space="preserve"> AUTONUM  \s " " </w:instrText>
      </w:r>
      <w:r w:rsidRPr="00760290">
        <w:rPr>
          <w:rFonts w:ascii="Century Gothic" w:hAnsi="Century Gothic"/>
          <w:b/>
          <w:color w:val="002060"/>
          <w:sz w:val="20"/>
          <w:szCs w:val="20"/>
        </w:rPr>
        <w:fldChar w:fldCharType="end"/>
      </w:r>
      <w:r w:rsidR="0E324171" w:rsidRPr="00760290">
        <w:rPr>
          <w:rFonts w:ascii="Century Gothic" w:eastAsia="Century Gothic" w:hAnsi="Century Gothic" w:cs="Century Gothic"/>
          <w:b/>
          <w:bCs/>
          <w:color w:val="002060"/>
          <w:sz w:val="20"/>
          <w:szCs w:val="20"/>
        </w:rPr>
        <w:t xml:space="preserve"> </w:t>
      </w:r>
    </w:p>
    <w:p w:rsidR="00043E29" w:rsidRPr="004B1036" w:rsidRDefault="0E324171" w:rsidP="0E324171">
      <w:pPr>
        <w:jc w:val="center"/>
      </w:pPr>
      <w:r w:rsidRPr="0E324171">
        <w:rPr>
          <w:rFonts w:ascii="Century Gothic" w:eastAsia="Century Gothic" w:hAnsi="Century Gothic" w:cs="Century Gothic"/>
          <w:sz w:val="20"/>
          <w:szCs w:val="20"/>
        </w:rPr>
        <w:t>Superintendencia General de Seguros</w:t>
      </w:r>
    </w:p>
    <w:p w:rsidR="00043E29" w:rsidRPr="004B1036" w:rsidRDefault="0E324171" w:rsidP="0E324171">
      <w:pPr>
        <w:jc w:val="center"/>
      </w:pPr>
      <w:r w:rsidRPr="0E324171">
        <w:rPr>
          <w:rFonts w:ascii="Century Gothic" w:eastAsia="Century Gothic" w:hAnsi="Century Gothic" w:cs="Century Gothic"/>
          <w:b/>
          <w:bCs/>
          <w:color w:val="404040" w:themeColor="text1" w:themeTint="BF"/>
          <w:sz w:val="20"/>
          <w:szCs w:val="20"/>
        </w:rPr>
        <w:t>Ejecución presupuestaria 2022</w:t>
      </w:r>
    </w:p>
    <w:tbl>
      <w:tblPr>
        <w:tblStyle w:val="Tablaconcuadrcula1clara-nfasis1"/>
        <w:tblW w:w="0" w:type="auto"/>
        <w:jc w:val="center"/>
        <w:tblLayout w:type="fixed"/>
        <w:tblLook w:val="06A0" w:firstRow="1" w:lastRow="0" w:firstColumn="1" w:lastColumn="0" w:noHBand="1" w:noVBand="1"/>
      </w:tblPr>
      <w:tblGrid>
        <w:gridCol w:w="2405"/>
        <w:gridCol w:w="1985"/>
        <w:gridCol w:w="1984"/>
        <w:gridCol w:w="1695"/>
      </w:tblGrid>
      <w:tr w:rsidR="00421EBD" w:rsidTr="0076029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365F91" w:themeFill="accent1" w:themeFillShade="BF"/>
            <w:vAlign w:val="center"/>
          </w:tcPr>
          <w:p w:rsidR="00421EBD" w:rsidRPr="00760290" w:rsidRDefault="00421EBD" w:rsidP="00421EBD">
            <w:pPr>
              <w:jc w:val="center"/>
              <w:rPr>
                <w:rFonts w:cstheme="minorHAnsi"/>
                <w:sz w:val="22"/>
              </w:rPr>
            </w:pPr>
            <w:r w:rsidRPr="00760290">
              <w:rPr>
                <w:rFonts w:cstheme="minorHAnsi"/>
                <w:color w:val="FFFFFF" w:themeColor="background1"/>
                <w:sz w:val="22"/>
              </w:rPr>
              <w:t>Partida presupuestaria</w:t>
            </w:r>
          </w:p>
        </w:tc>
        <w:tc>
          <w:tcPr>
            <w:tcW w:w="1985" w:type="dxa"/>
            <w:shd w:val="clear" w:color="auto" w:fill="365F91" w:themeFill="accent1" w:themeFillShade="BF"/>
            <w:vAlign w:val="center"/>
          </w:tcPr>
          <w:p w:rsidR="00421EBD" w:rsidRPr="00760290" w:rsidRDefault="00421EBD" w:rsidP="00421EBD">
            <w:pPr>
              <w:jc w:val="center"/>
              <w:cnfStyle w:val="100000000000" w:firstRow="1" w:lastRow="0" w:firstColumn="0" w:lastColumn="0" w:oddVBand="0" w:evenVBand="0" w:oddHBand="0" w:evenHBand="0" w:firstRowFirstColumn="0" w:firstRowLastColumn="0" w:lastRowFirstColumn="0" w:lastRowLastColumn="0"/>
              <w:rPr>
                <w:rFonts w:cstheme="minorHAnsi"/>
                <w:sz w:val="22"/>
              </w:rPr>
            </w:pPr>
            <w:r w:rsidRPr="00760290">
              <w:rPr>
                <w:rFonts w:cstheme="minorHAnsi"/>
                <w:color w:val="FFFFFF" w:themeColor="background1"/>
                <w:sz w:val="22"/>
              </w:rPr>
              <w:t>Presupuesto</w:t>
            </w:r>
          </w:p>
        </w:tc>
        <w:tc>
          <w:tcPr>
            <w:tcW w:w="1984" w:type="dxa"/>
            <w:shd w:val="clear" w:color="auto" w:fill="365F91" w:themeFill="accent1" w:themeFillShade="BF"/>
            <w:vAlign w:val="center"/>
          </w:tcPr>
          <w:p w:rsidR="00421EBD" w:rsidRPr="00760290" w:rsidRDefault="00421EBD" w:rsidP="00421EBD">
            <w:pPr>
              <w:jc w:val="center"/>
              <w:cnfStyle w:val="100000000000" w:firstRow="1" w:lastRow="0" w:firstColumn="0" w:lastColumn="0" w:oddVBand="0" w:evenVBand="0" w:oddHBand="0" w:evenHBand="0" w:firstRowFirstColumn="0" w:firstRowLastColumn="0" w:lastRowFirstColumn="0" w:lastRowLastColumn="0"/>
              <w:rPr>
                <w:rFonts w:cstheme="minorHAnsi"/>
                <w:sz w:val="22"/>
              </w:rPr>
            </w:pPr>
            <w:r w:rsidRPr="00760290">
              <w:rPr>
                <w:rFonts w:cstheme="minorHAnsi"/>
                <w:color w:val="FFFFFF" w:themeColor="background1"/>
                <w:sz w:val="22"/>
              </w:rPr>
              <w:t>Gasto 202</w:t>
            </w:r>
            <w:r w:rsidR="004502C9" w:rsidRPr="00760290">
              <w:rPr>
                <w:rFonts w:cstheme="minorHAnsi"/>
                <w:color w:val="FFFFFF" w:themeColor="background1"/>
                <w:sz w:val="22"/>
              </w:rPr>
              <w:t>2</w:t>
            </w:r>
          </w:p>
        </w:tc>
        <w:tc>
          <w:tcPr>
            <w:tcW w:w="1695" w:type="dxa"/>
            <w:shd w:val="clear" w:color="auto" w:fill="365F91" w:themeFill="accent1" w:themeFillShade="BF"/>
            <w:vAlign w:val="center"/>
          </w:tcPr>
          <w:p w:rsidR="00421EBD" w:rsidRPr="00760290" w:rsidRDefault="00421EBD" w:rsidP="00421EBD">
            <w:pPr>
              <w:jc w:val="center"/>
              <w:cnfStyle w:val="100000000000" w:firstRow="1" w:lastRow="0" w:firstColumn="0" w:lastColumn="0" w:oddVBand="0" w:evenVBand="0" w:oddHBand="0" w:evenHBand="0" w:firstRowFirstColumn="0" w:firstRowLastColumn="0" w:lastRowFirstColumn="0" w:lastRowLastColumn="0"/>
              <w:rPr>
                <w:rFonts w:cstheme="minorHAnsi"/>
                <w:sz w:val="22"/>
              </w:rPr>
            </w:pPr>
            <w:r w:rsidRPr="00760290">
              <w:rPr>
                <w:rFonts w:cstheme="minorHAnsi"/>
                <w:color w:val="FFFFFF" w:themeColor="background1"/>
                <w:sz w:val="22"/>
              </w:rPr>
              <w:t>Porcentaje de ejecución</w:t>
            </w:r>
          </w:p>
        </w:tc>
      </w:tr>
      <w:tr w:rsidR="00421EBD" w:rsidTr="00760290">
        <w:trPr>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rsidR="00421EBD" w:rsidRPr="00760290" w:rsidRDefault="00421EBD" w:rsidP="00421EBD">
            <w:pPr>
              <w:jc w:val="left"/>
              <w:rPr>
                <w:rFonts w:cstheme="minorHAnsi"/>
                <w:sz w:val="22"/>
              </w:rPr>
            </w:pPr>
            <w:r w:rsidRPr="00760290">
              <w:rPr>
                <w:rFonts w:cstheme="minorHAnsi"/>
                <w:sz w:val="22"/>
              </w:rPr>
              <w:t>Remuneraciones</w:t>
            </w:r>
          </w:p>
        </w:tc>
        <w:tc>
          <w:tcPr>
            <w:tcW w:w="1985" w:type="dxa"/>
            <w:vAlign w:val="center"/>
          </w:tcPr>
          <w:p w:rsidR="00421EBD" w:rsidRPr="00760290" w:rsidRDefault="00421EBD" w:rsidP="00421EBD">
            <w:pPr>
              <w:jc w:val="right"/>
              <w:cnfStyle w:val="000000000000" w:firstRow="0" w:lastRow="0" w:firstColumn="0" w:lastColumn="0" w:oddVBand="0" w:evenVBand="0" w:oddHBand="0" w:evenHBand="0" w:firstRowFirstColumn="0" w:firstRowLastColumn="0" w:lastRowFirstColumn="0" w:lastRowLastColumn="0"/>
              <w:rPr>
                <w:rFonts w:cstheme="minorHAnsi"/>
                <w:sz w:val="22"/>
              </w:rPr>
            </w:pPr>
            <w:r w:rsidRPr="00760290">
              <w:rPr>
                <w:rFonts w:cstheme="minorHAnsi"/>
                <w:sz w:val="22"/>
              </w:rPr>
              <w:t>₡2 107 561 452,00</w:t>
            </w:r>
          </w:p>
        </w:tc>
        <w:tc>
          <w:tcPr>
            <w:tcW w:w="1984" w:type="dxa"/>
            <w:vAlign w:val="center"/>
          </w:tcPr>
          <w:p w:rsidR="00421EBD" w:rsidRPr="00760290" w:rsidRDefault="00421EBD" w:rsidP="00421EBD">
            <w:pPr>
              <w:jc w:val="right"/>
              <w:cnfStyle w:val="000000000000" w:firstRow="0" w:lastRow="0" w:firstColumn="0" w:lastColumn="0" w:oddVBand="0" w:evenVBand="0" w:oddHBand="0" w:evenHBand="0" w:firstRowFirstColumn="0" w:firstRowLastColumn="0" w:lastRowFirstColumn="0" w:lastRowLastColumn="0"/>
              <w:rPr>
                <w:rFonts w:cstheme="minorHAnsi"/>
                <w:sz w:val="22"/>
              </w:rPr>
            </w:pPr>
            <w:r w:rsidRPr="00760290">
              <w:rPr>
                <w:rFonts w:cstheme="minorHAnsi"/>
                <w:sz w:val="22"/>
              </w:rPr>
              <w:t>₡1 735 862 383,33</w:t>
            </w:r>
          </w:p>
        </w:tc>
        <w:tc>
          <w:tcPr>
            <w:tcW w:w="1695" w:type="dxa"/>
            <w:vAlign w:val="center"/>
          </w:tcPr>
          <w:p w:rsidR="00421EBD" w:rsidRPr="00760290" w:rsidRDefault="00421EBD" w:rsidP="00421EBD">
            <w:pPr>
              <w:jc w:val="center"/>
              <w:cnfStyle w:val="000000000000" w:firstRow="0" w:lastRow="0" w:firstColumn="0" w:lastColumn="0" w:oddVBand="0" w:evenVBand="0" w:oddHBand="0" w:evenHBand="0" w:firstRowFirstColumn="0" w:firstRowLastColumn="0" w:lastRowFirstColumn="0" w:lastRowLastColumn="0"/>
              <w:rPr>
                <w:rFonts w:cstheme="minorHAnsi"/>
                <w:sz w:val="22"/>
              </w:rPr>
            </w:pPr>
            <w:r w:rsidRPr="00760290">
              <w:rPr>
                <w:rFonts w:cstheme="minorHAnsi"/>
                <w:b/>
                <w:sz w:val="22"/>
              </w:rPr>
              <w:t>82,4%</w:t>
            </w:r>
          </w:p>
        </w:tc>
      </w:tr>
      <w:tr w:rsidR="00421EBD" w:rsidTr="00760290">
        <w:trPr>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rsidR="00421EBD" w:rsidRPr="00760290" w:rsidRDefault="00421EBD" w:rsidP="00421EBD">
            <w:pPr>
              <w:jc w:val="left"/>
              <w:rPr>
                <w:rFonts w:cstheme="minorHAnsi"/>
                <w:sz w:val="22"/>
              </w:rPr>
            </w:pPr>
            <w:r w:rsidRPr="00760290">
              <w:rPr>
                <w:rFonts w:cstheme="minorHAnsi"/>
                <w:sz w:val="22"/>
              </w:rPr>
              <w:t>Servicios Generales</w:t>
            </w:r>
          </w:p>
        </w:tc>
        <w:tc>
          <w:tcPr>
            <w:tcW w:w="1985" w:type="dxa"/>
            <w:vAlign w:val="center"/>
          </w:tcPr>
          <w:p w:rsidR="00421EBD" w:rsidRPr="00760290" w:rsidRDefault="00421EBD" w:rsidP="00421EBD">
            <w:pPr>
              <w:jc w:val="right"/>
              <w:cnfStyle w:val="000000000000" w:firstRow="0" w:lastRow="0" w:firstColumn="0" w:lastColumn="0" w:oddVBand="0" w:evenVBand="0" w:oddHBand="0" w:evenHBand="0" w:firstRowFirstColumn="0" w:firstRowLastColumn="0" w:lastRowFirstColumn="0" w:lastRowLastColumn="0"/>
              <w:rPr>
                <w:rFonts w:cstheme="minorHAnsi"/>
                <w:sz w:val="22"/>
              </w:rPr>
            </w:pPr>
            <w:r w:rsidRPr="00760290">
              <w:rPr>
                <w:rFonts w:cstheme="minorHAnsi"/>
                <w:sz w:val="22"/>
              </w:rPr>
              <w:t>₡1 416 464 067,84</w:t>
            </w:r>
          </w:p>
        </w:tc>
        <w:tc>
          <w:tcPr>
            <w:tcW w:w="1984" w:type="dxa"/>
            <w:vAlign w:val="center"/>
          </w:tcPr>
          <w:p w:rsidR="00421EBD" w:rsidRPr="00760290" w:rsidRDefault="00421EBD" w:rsidP="00421EBD">
            <w:pPr>
              <w:jc w:val="center"/>
              <w:cnfStyle w:val="000000000000" w:firstRow="0" w:lastRow="0" w:firstColumn="0" w:lastColumn="0" w:oddVBand="0" w:evenVBand="0" w:oddHBand="0" w:evenHBand="0" w:firstRowFirstColumn="0" w:firstRowLastColumn="0" w:lastRowFirstColumn="0" w:lastRowLastColumn="0"/>
              <w:rPr>
                <w:rFonts w:cstheme="minorHAnsi"/>
                <w:sz w:val="22"/>
              </w:rPr>
            </w:pPr>
            <w:r w:rsidRPr="00760290">
              <w:rPr>
                <w:rFonts w:cstheme="minorHAnsi"/>
                <w:sz w:val="22"/>
              </w:rPr>
              <w:t>₡1 297 052 833,79</w:t>
            </w:r>
          </w:p>
        </w:tc>
        <w:tc>
          <w:tcPr>
            <w:tcW w:w="1695" w:type="dxa"/>
            <w:vAlign w:val="center"/>
          </w:tcPr>
          <w:p w:rsidR="00421EBD" w:rsidRPr="00760290" w:rsidRDefault="00421EBD" w:rsidP="00421EBD">
            <w:pPr>
              <w:jc w:val="center"/>
              <w:cnfStyle w:val="000000000000" w:firstRow="0" w:lastRow="0" w:firstColumn="0" w:lastColumn="0" w:oddVBand="0" w:evenVBand="0" w:oddHBand="0" w:evenHBand="0" w:firstRowFirstColumn="0" w:firstRowLastColumn="0" w:lastRowFirstColumn="0" w:lastRowLastColumn="0"/>
              <w:rPr>
                <w:rFonts w:cstheme="minorHAnsi"/>
                <w:sz w:val="22"/>
              </w:rPr>
            </w:pPr>
            <w:r w:rsidRPr="00760290">
              <w:rPr>
                <w:rFonts w:cstheme="minorHAnsi"/>
                <w:b/>
                <w:sz w:val="22"/>
              </w:rPr>
              <w:t>91,5%</w:t>
            </w:r>
          </w:p>
        </w:tc>
      </w:tr>
      <w:tr w:rsidR="00421EBD" w:rsidTr="00760290">
        <w:trPr>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rsidR="00421EBD" w:rsidRPr="00760290" w:rsidRDefault="00421EBD" w:rsidP="00421EBD">
            <w:pPr>
              <w:jc w:val="left"/>
              <w:rPr>
                <w:rFonts w:cstheme="minorHAnsi"/>
                <w:sz w:val="22"/>
              </w:rPr>
            </w:pPr>
            <w:r w:rsidRPr="00760290">
              <w:rPr>
                <w:rFonts w:cstheme="minorHAnsi"/>
                <w:sz w:val="22"/>
              </w:rPr>
              <w:t>Servicios Consultorías *</w:t>
            </w:r>
          </w:p>
        </w:tc>
        <w:tc>
          <w:tcPr>
            <w:tcW w:w="1985" w:type="dxa"/>
            <w:vAlign w:val="center"/>
          </w:tcPr>
          <w:p w:rsidR="00421EBD" w:rsidRPr="00760290" w:rsidRDefault="00421EBD" w:rsidP="00421EBD">
            <w:pPr>
              <w:jc w:val="right"/>
              <w:cnfStyle w:val="000000000000" w:firstRow="0" w:lastRow="0" w:firstColumn="0" w:lastColumn="0" w:oddVBand="0" w:evenVBand="0" w:oddHBand="0" w:evenHBand="0" w:firstRowFirstColumn="0" w:firstRowLastColumn="0" w:lastRowFirstColumn="0" w:lastRowLastColumn="0"/>
              <w:rPr>
                <w:rFonts w:cstheme="minorHAnsi"/>
                <w:sz w:val="22"/>
              </w:rPr>
            </w:pPr>
            <w:r w:rsidRPr="00760290">
              <w:rPr>
                <w:rFonts w:cstheme="minorHAnsi"/>
                <w:sz w:val="22"/>
              </w:rPr>
              <w:t>₡ 532 579 294,74</w:t>
            </w:r>
          </w:p>
        </w:tc>
        <w:tc>
          <w:tcPr>
            <w:tcW w:w="1984" w:type="dxa"/>
            <w:vAlign w:val="center"/>
          </w:tcPr>
          <w:p w:rsidR="00421EBD" w:rsidRPr="00760290" w:rsidRDefault="00421EBD" w:rsidP="00421EBD">
            <w:pPr>
              <w:jc w:val="right"/>
              <w:cnfStyle w:val="000000000000" w:firstRow="0" w:lastRow="0" w:firstColumn="0" w:lastColumn="0" w:oddVBand="0" w:evenVBand="0" w:oddHBand="0" w:evenHBand="0" w:firstRowFirstColumn="0" w:firstRowLastColumn="0" w:lastRowFirstColumn="0" w:lastRowLastColumn="0"/>
              <w:rPr>
                <w:rFonts w:cstheme="minorHAnsi"/>
                <w:sz w:val="22"/>
              </w:rPr>
            </w:pPr>
            <w:r w:rsidRPr="00760290">
              <w:rPr>
                <w:rFonts w:cstheme="minorHAnsi"/>
                <w:sz w:val="22"/>
              </w:rPr>
              <w:t>₡ 475 616 754,18</w:t>
            </w:r>
          </w:p>
        </w:tc>
        <w:tc>
          <w:tcPr>
            <w:tcW w:w="1695" w:type="dxa"/>
            <w:vAlign w:val="center"/>
          </w:tcPr>
          <w:p w:rsidR="00421EBD" w:rsidRPr="00760290" w:rsidRDefault="00421EBD" w:rsidP="00421EBD">
            <w:pPr>
              <w:jc w:val="center"/>
              <w:cnfStyle w:val="000000000000" w:firstRow="0" w:lastRow="0" w:firstColumn="0" w:lastColumn="0" w:oddVBand="0" w:evenVBand="0" w:oddHBand="0" w:evenHBand="0" w:firstRowFirstColumn="0" w:firstRowLastColumn="0" w:lastRowFirstColumn="0" w:lastRowLastColumn="0"/>
              <w:rPr>
                <w:rFonts w:cstheme="minorHAnsi"/>
                <w:sz w:val="22"/>
              </w:rPr>
            </w:pPr>
            <w:r w:rsidRPr="00760290">
              <w:rPr>
                <w:rFonts w:cstheme="minorHAnsi"/>
                <w:b/>
                <w:sz w:val="22"/>
              </w:rPr>
              <w:t>89,3%</w:t>
            </w:r>
          </w:p>
        </w:tc>
      </w:tr>
      <w:tr w:rsidR="00421EBD" w:rsidTr="00760290">
        <w:trPr>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rsidR="00421EBD" w:rsidRPr="00760290" w:rsidRDefault="00421EBD" w:rsidP="00421EBD">
            <w:pPr>
              <w:jc w:val="left"/>
              <w:rPr>
                <w:rFonts w:cstheme="minorHAnsi"/>
                <w:sz w:val="22"/>
              </w:rPr>
            </w:pPr>
            <w:r w:rsidRPr="00760290">
              <w:rPr>
                <w:rFonts w:cstheme="minorHAnsi"/>
                <w:sz w:val="22"/>
              </w:rPr>
              <w:t>Materiales y suministros</w:t>
            </w:r>
          </w:p>
        </w:tc>
        <w:tc>
          <w:tcPr>
            <w:tcW w:w="1985" w:type="dxa"/>
            <w:vAlign w:val="center"/>
          </w:tcPr>
          <w:p w:rsidR="00421EBD" w:rsidRPr="00760290" w:rsidRDefault="00421EBD" w:rsidP="00421EBD">
            <w:pPr>
              <w:jc w:val="right"/>
              <w:cnfStyle w:val="000000000000" w:firstRow="0" w:lastRow="0" w:firstColumn="0" w:lastColumn="0" w:oddVBand="0" w:evenVBand="0" w:oddHBand="0" w:evenHBand="0" w:firstRowFirstColumn="0" w:firstRowLastColumn="0" w:lastRowFirstColumn="0" w:lastRowLastColumn="0"/>
              <w:rPr>
                <w:rFonts w:cstheme="minorHAnsi"/>
                <w:sz w:val="22"/>
              </w:rPr>
            </w:pPr>
            <w:r w:rsidRPr="00760290">
              <w:rPr>
                <w:rFonts w:cstheme="minorHAnsi"/>
                <w:sz w:val="22"/>
              </w:rPr>
              <w:t>₡6 663 879,00</w:t>
            </w:r>
          </w:p>
        </w:tc>
        <w:tc>
          <w:tcPr>
            <w:tcW w:w="1984" w:type="dxa"/>
            <w:vAlign w:val="center"/>
          </w:tcPr>
          <w:p w:rsidR="00421EBD" w:rsidRPr="00760290" w:rsidRDefault="00421EBD" w:rsidP="00421EBD">
            <w:pPr>
              <w:jc w:val="right"/>
              <w:cnfStyle w:val="000000000000" w:firstRow="0" w:lastRow="0" w:firstColumn="0" w:lastColumn="0" w:oddVBand="0" w:evenVBand="0" w:oddHBand="0" w:evenHBand="0" w:firstRowFirstColumn="0" w:firstRowLastColumn="0" w:lastRowFirstColumn="0" w:lastRowLastColumn="0"/>
              <w:rPr>
                <w:rFonts w:cstheme="minorHAnsi"/>
                <w:sz w:val="22"/>
              </w:rPr>
            </w:pPr>
            <w:r w:rsidRPr="00760290">
              <w:rPr>
                <w:rFonts w:cstheme="minorHAnsi"/>
                <w:sz w:val="22"/>
              </w:rPr>
              <w:t>₡4 784 959,91</w:t>
            </w:r>
          </w:p>
        </w:tc>
        <w:tc>
          <w:tcPr>
            <w:tcW w:w="1695" w:type="dxa"/>
            <w:vAlign w:val="center"/>
          </w:tcPr>
          <w:p w:rsidR="00421EBD" w:rsidRPr="00760290" w:rsidRDefault="00421EBD" w:rsidP="00421EBD">
            <w:pPr>
              <w:jc w:val="center"/>
              <w:cnfStyle w:val="000000000000" w:firstRow="0" w:lastRow="0" w:firstColumn="0" w:lastColumn="0" w:oddVBand="0" w:evenVBand="0" w:oddHBand="0" w:evenHBand="0" w:firstRowFirstColumn="0" w:firstRowLastColumn="0" w:lastRowFirstColumn="0" w:lastRowLastColumn="0"/>
              <w:rPr>
                <w:rFonts w:cstheme="minorHAnsi"/>
                <w:sz w:val="22"/>
              </w:rPr>
            </w:pPr>
            <w:r w:rsidRPr="00760290">
              <w:rPr>
                <w:rFonts w:cstheme="minorHAnsi"/>
                <w:b/>
                <w:sz w:val="22"/>
              </w:rPr>
              <w:t>71,8%</w:t>
            </w:r>
          </w:p>
        </w:tc>
      </w:tr>
      <w:tr w:rsidR="00421EBD" w:rsidTr="00760290">
        <w:trPr>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rsidR="00421EBD" w:rsidRPr="00760290" w:rsidRDefault="00421EBD" w:rsidP="00421EBD">
            <w:pPr>
              <w:jc w:val="left"/>
              <w:rPr>
                <w:rFonts w:cstheme="minorHAnsi"/>
                <w:sz w:val="22"/>
              </w:rPr>
            </w:pPr>
            <w:r w:rsidRPr="00760290">
              <w:rPr>
                <w:rFonts w:cstheme="minorHAnsi"/>
                <w:sz w:val="22"/>
              </w:rPr>
              <w:t>Bienes duraderos</w:t>
            </w:r>
          </w:p>
        </w:tc>
        <w:tc>
          <w:tcPr>
            <w:tcW w:w="1985" w:type="dxa"/>
            <w:vAlign w:val="center"/>
          </w:tcPr>
          <w:p w:rsidR="00421EBD" w:rsidRPr="00760290" w:rsidRDefault="00421EBD" w:rsidP="00421EBD">
            <w:pPr>
              <w:jc w:val="right"/>
              <w:cnfStyle w:val="000000000000" w:firstRow="0" w:lastRow="0" w:firstColumn="0" w:lastColumn="0" w:oddVBand="0" w:evenVBand="0" w:oddHBand="0" w:evenHBand="0" w:firstRowFirstColumn="0" w:firstRowLastColumn="0" w:lastRowFirstColumn="0" w:lastRowLastColumn="0"/>
              <w:rPr>
                <w:rFonts w:cstheme="minorHAnsi"/>
                <w:sz w:val="22"/>
              </w:rPr>
            </w:pPr>
            <w:r w:rsidRPr="00760290">
              <w:rPr>
                <w:rFonts w:cstheme="minorHAnsi"/>
                <w:sz w:val="22"/>
              </w:rPr>
              <w:t xml:space="preserve">₡254 926 925,84  </w:t>
            </w:r>
          </w:p>
        </w:tc>
        <w:tc>
          <w:tcPr>
            <w:tcW w:w="1984" w:type="dxa"/>
            <w:vAlign w:val="center"/>
          </w:tcPr>
          <w:p w:rsidR="00421EBD" w:rsidRPr="00760290" w:rsidRDefault="00421EBD" w:rsidP="00421EBD">
            <w:pPr>
              <w:jc w:val="right"/>
              <w:cnfStyle w:val="000000000000" w:firstRow="0" w:lastRow="0" w:firstColumn="0" w:lastColumn="0" w:oddVBand="0" w:evenVBand="0" w:oddHBand="0" w:evenHBand="0" w:firstRowFirstColumn="0" w:firstRowLastColumn="0" w:lastRowFirstColumn="0" w:lastRowLastColumn="0"/>
              <w:rPr>
                <w:rFonts w:cstheme="minorHAnsi"/>
                <w:sz w:val="22"/>
              </w:rPr>
            </w:pPr>
            <w:r w:rsidRPr="00760290">
              <w:rPr>
                <w:rFonts w:cstheme="minorHAnsi"/>
                <w:sz w:val="22"/>
              </w:rPr>
              <w:t>₡143 228 978,42</w:t>
            </w:r>
          </w:p>
        </w:tc>
        <w:tc>
          <w:tcPr>
            <w:tcW w:w="1695" w:type="dxa"/>
            <w:vAlign w:val="center"/>
          </w:tcPr>
          <w:p w:rsidR="00421EBD" w:rsidRPr="00760290" w:rsidRDefault="00421EBD" w:rsidP="00421EBD">
            <w:pPr>
              <w:jc w:val="center"/>
              <w:cnfStyle w:val="000000000000" w:firstRow="0" w:lastRow="0" w:firstColumn="0" w:lastColumn="0" w:oddVBand="0" w:evenVBand="0" w:oddHBand="0" w:evenHBand="0" w:firstRowFirstColumn="0" w:firstRowLastColumn="0" w:lastRowFirstColumn="0" w:lastRowLastColumn="0"/>
              <w:rPr>
                <w:rFonts w:cstheme="minorHAnsi"/>
                <w:sz w:val="22"/>
              </w:rPr>
            </w:pPr>
            <w:r w:rsidRPr="00760290">
              <w:rPr>
                <w:rFonts w:cstheme="minorHAnsi"/>
                <w:b/>
                <w:sz w:val="22"/>
              </w:rPr>
              <w:t>56,2%</w:t>
            </w:r>
          </w:p>
        </w:tc>
      </w:tr>
      <w:tr w:rsidR="00421EBD" w:rsidTr="00760290">
        <w:trPr>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rsidR="00421EBD" w:rsidRPr="00760290" w:rsidRDefault="00421EBD" w:rsidP="00421EBD">
            <w:pPr>
              <w:jc w:val="left"/>
              <w:rPr>
                <w:rFonts w:cstheme="minorHAnsi"/>
                <w:sz w:val="22"/>
              </w:rPr>
            </w:pPr>
            <w:r w:rsidRPr="00760290">
              <w:rPr>
                <w:rFonts w:cstheme="minorHAnsi"/>
                <w:sz w:val="22"/>
              </w:rPr>
              <w:t>Transferencias corrientes</w:t>
            </w:r>
          </w:p>
        </w:tc>
        <w:tc>
          <w:tcPr>
            <w:tcW w:w="1985" w:type="dxa"/>
            <w:vAlign w:val="center"/>
          </w:tcPr>
          <w:p w:rsidR="00421EBD" w:rsidRPr="00760290" w:rsidRDefault="00421EBD" w:rsidP="00421EBD">
            <w:pPr>
              <w:jc w:val="right"/>
              <w:cnfStyle w:val="000000000000" w:firstRow="0" w:lastRow="0" w:firstColumn="0" w:lastColumn="0" w:oddVBand="0" w:evenVBand="0" w:oddHBand="0" w:evenHBand="0" w:firstRowFirstColumn="0" w:firstRowLastColumn="0" w:lastRowFirstColumn="0" w:lastRowLastColumn="0"/>
              <w:rPr>
                <w:rFonts w:cstheme="minorHAnsi"/>
                <w:sz w:val="22"/>
              </w:rPr>
            </w:pPr>
            <w:r w:rsidRPr="00760290">
              <w:rPr>
                <w:rFonts w:cstheme="minorHAnsi"/>
                <w:sz w:val="22"/>
              </w:rPr>
              <w:t>₡87 971 744,49</w:t>
            </w:r>
          </w:p>
        </w:tc>
        <w:tc>
          <w:tcPr>
            <w:tcW w:w="1984" w:type="dxa"/>
            <w:vAlign w:val="center"/>
          </w:tcPr>
          <w:p w:rsidR="00421EBD" w:rsidRPr="00760290" w:rsidRDefault="00421EBD" w:rsidP="00421EBD">
            <w:pPr>
              <w:jc w:val="right"/>
              <w:cnfStyle w:val="000000000000" w:firstRow="0" w:lastRow="0" w:firstColumn="0" w:lastColumn="0" w:oddVBand="0" w:evenVBand="0" w:oddHBand="0" w:evenHBand="0" w:firstRowFirstColumn="0" w:firstRowLastColumn="0" w:lastRowFirstColumn="0" w:lastRowLastColumn="0"/>
              <w:rPr>
                <w:rFonts w:cstheme="minorHAnsi"/>
                <w:sz w:val="22"/>
              </w:rPr>
            </w:pPr>
            <w:r w:rsidRPr="00760290">
              <w:rPr>
                <w:rFonts w:cstheme="minorHAnsi"/>
                <w:sz w:val="22"/>
              </w:rPr>
              <w:t>₡29 108 962,09</w:t>
            </w:r>
          </w:p>
        </w:tc>
        <w:tc>
          <w:tcPr>
            <w:tcW w:w="1695" w:type="dxa"/>
            <w:vAlign w:val="center"/>
          </w:tcPr>
          <w:p w:rsidR="00421EBD" w:rsidRPr="00760290" w:rsidRDefault="00421EBD" w:rsidP="00421EBD">
            <w:pPr>
              <w:jc w:val="center"/>
              <w:cnfStyle w:val="000000000000" w:firstRow="0" w:lastRow="0" w:firstColumn="0" w:lastColumn="0" w:oddVBand="0" w:evenVBand="0" w:oddHBand="0" w:evenHBand="0" w:firstRowFirstColumn="0" w:firstRowLastColumn="0" w:lastRowFirstColumn="0" w:lastRowLastColumn="0"/>
              <w:rPr>
                <w:rFonts w:cstheme="minorHAnsi"/>
                <w:sz w:val="22"/>
              </w:rPr>
            </w:pPr>
            <w:r w:rsidRPr="00760290">
              <w:rPr>
                <w:rFonts w:cstheme="minorHAnsi"/>
                <w:b/>
                <w:sz w:val="22"/>
              </w:rPr>
              <w:t>33,1%</w:t>
            </w:r>
          </w:p>
        </w:tc>
      </w:tr>
      <w:tr w:rsidR="00421EBD" w:rsidTr="00760290">
        <w:trPr>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rsidR="00421EBD" w:rsidRPr="00760290" w:rsidRDefault="00421EBD" w:rsidP="00421EBD">
            <w:pPr>
              <w:jc w:val="left"/>
              <w:rPr>
                <w:rFonts w:cstheme="minorHAnsi"/>
                <w:sz w:val="22"/>
              </w:rPr>
            </w:pPr>
            <w:r w:rsidRPr="00760290">
              <w:rPr>
                <w:rFonts w:cstheme="minorHAnsi"/>
                <w:sz w:val="22"/>
              </w:rPr>
              <w:t>Total</w:t>
            </w:r>
          </w:p>
        </w:tc>
        <w:tc>
          <w:tcPr>
            <w:tcW w:w="1985" w:type="dxa"/>
            <w:vAlign w:val="center"/>
          </w:tcPr>
          <w:p w:rsidR="00421EBD" w:rsidRPr="00760290" w:rsidRDefault="00421EBD" w:rsidP="00421EBD">
            <w:pPr>
              <w:jc w:val="right"/>
              <w:cnfStyle w:val="000000000000" w:firstRow="0" w:lastRow="0" w:firstColumn="0" w:lastColumn="0" w:oddVBand="0" w:evenVBand="0" w:oddHBand="0" w:evenHBand="0" w:firstRowFirstColumn="0" w:firstRowLastColumn="0" w:lastRowFirstColumn="0" w:lastRowLastColumn="0"/>
              <w:rPr>
                <w:rFonts w:cstheme="minorHAnsi"/>
                <w:sz w:val="22"/>
              </w:rPr>
            </w:pPr>
            <w:r w:rsidRPr="00760290">
              <w:rPr>
                <w:rFonts w:cstheme="minorHAnsi"/>
                <w:sz w:val="22"/>
              </w:rPr>
              <w:t>₡4 406 167 263,91</w:t>
            </w:r>
          </w:p>
        </w:tc>
        <w:tc>
          <w:tcPr>
            <w:tcW w:w="1984" w:type="dxa"/>
            <w:vAlign w:val="center"/>
          </w:tcPr>
          <w:p w:rsidR="00421EBD" w:rsidRPr="00760290" w:rsidRDefault="00421EBD" w:rsidP="00421EBD">
            <w:pPr>
              <w:jc w:val="right"/>
              <w:cnfStyle w:val="000000000000" w:firstRow="0" w:lastRow="0" w:firstColumn="0" w:lastColumn="0" w:oddVBand="0" w:evenVBand="0" w:oddHBand="0" w:evenHBand="0" w:firstRowFirstColumn="0" w:firstRowLastColumn="0" w:lastRowFirstColumn="0" w:lastRowLastColumn="0"/>
              <w:rPr>
                <w:rFonts w:cstheme="minorHAnsi"/>
                <w:sz w:val="22"/>
              </w:rPr>
            </w:pPr>
            <w:r w:rsidRPr="00760290">
              <w:rPr>
                <w:rFonts w:cstheme="minorHAnsi"/>
                <w:sz w:val="22"/>
              </w:rPr>
              <w:t>₡3 685 654 871,68</w:t>
            </w:r>
          </w:p>
        </w:tc>
        <w:tc>
          <w:tcPr>
            <w:tcW w:w="1695" w:type="dxa"/>
            <w:vAlign w:val="center"/>
          </w:tcPr>
          <w:p w:rsidR="00421EBD" w:rsidRPr="00760290" w:rsidRDefault="00421EBD" w:rsidP="00421EBD">
            <w:pPr>
              <w:jc w:val="center"/>
              <w:cnfStyle w:val="000000000000" w:firstRow="0" w:lastRow="0" w:firstColumn="0" w:lastColumn="0" w:oddVBand="0" w:evenVBand="0" w:oddHBand="0" w:evenHBand="0" w:firstRowFirstColumn="0" w:firstRowLastColumn="0" w:lastRowFirstColumn="0" w:lastRowLastColumn="0"/>
              <w:rPr>
                <w:rFonts w:cstheme="minorHAnsi"/>
                <w:sz w:val="22"/>
              </w:rPr>
            </w:pPr>
            <w:r w:rsidRPr="00760290">
              <w:rPr>
                <w:rFonts w:cstheme="minorHAnsi"/>
                <w:b/>
                <w:sz w:val="22"/>
              </w:rPr>
              <w:t>83,65%</w:t>
            </w:r>
          </w:p>
        </w:tc>
      </w:tr>
    </w:tbl>
    <w:p w:rsidR="00043E29" w:rsidRPr="004B1036" w:rsidRDefault="0E324171" w:rsidP="00421EBD">
      <w:pPr>
        <w:ind w:left="567" w:right="616"/>
      </w:pPr>
      <w:r w:rsidRPr="0E324171">
        <w:rPr>
          <w:sz w:val="16"/>
          <w:szCs w:val="16"/>
        </w:rPr>
        <w:t>(*) Servicios consultorías contempla los gastos administrativos cobrados por el BCCR a la SUGESE, representando un 83% de dicho rubro.</w:t>
      </w:r>
    </w:p>
    <w:p w:rsidR="00043E29" w:rsidRPr="004B1036" w:rsidRDefault="0E324171" w:rsidP="0E324171">
      <w:r w:rsidRPr="0E324171">
        <w:rPr>
          <w:highlight w:val="yellow"/>
        </w:rPr>
        <w:t xml:space="preserve"> </w:t>
      </w:r>
    </w:p>
    <w:p w:rsidR="00043E29" w:rsidRPr="004B1036" w:rsidRDefault="0E324171" w:rsidP="00421EBD">
      <w:r w:rsidRPr="0E324171">
        <w:t xml:space="preserve">Una de las partidas más relevantes del presupuesto y ejecución presupuestaria de SUGESE es la de “servicios” como se indicó de previo, la cual constituye una de las cuentas de mayor incidencia en la ejecución de las partidas presupuestarias. La partida bajo análisis, entre otros rubros, contempla recursos destinados a la contratación de los servicios comerciales y financieros, actividades de capacitación y el pago de gastos administrativos al BCCR, según el siguiente detalle: </w:t>
      </w:r>
    </w:p>
    <w:p w:rsidR="00043E29" w:rsidRPr="004B1036" w:rsidRDefault="0E324171" w:rsidP="00421EBD">
      <w:r w:rsidRPr="0E324171">
        <w:t xml:space="preserve"> </w:t>
      </w:r>
    </w:p>
    <w:p w:rsidR="00043E29" w:rsidRPr="004B1036" w:rsidRDefault="0E324171" w:rsidP="00421EBD">
      <w:pPr>
        <w:pStyle w:val="Prrafodelista"/>
        <w:numPr>
          <w:ilvl w:val="0"/>
          <w:numId w:val="1"/>
        </w:numPr>
        <w:spacing w:after="0"/>
      </w:pPr>
      <w:r w:rsidRPr="0E324171">
        <w:t xml:space="preserve">En las cuentas del subgrupo de </w:t>
      </w:r>
      <w:r w:rsidRPr="0E324171">
        <w:rPr>
          <w:i/>
          <w:iCs/>
        </w:rPr>
        <w:t>“Servicios comerciales y financieros”,</w:t>
      </w:r>
      <w:r w:rsidRPr="0E324171">
        <w:t xml:space="preserve"> se incluyen los servicios de información que corresponden a la publicación en medios escritos, así como los servicios de impresión, encuadernación y otros. Para el período en estudio, los recursos ejecutados alcanzaron un 93,69%, es decir, en términos absolutos ¢118,48 millones. </w:t>
      </w:r>
      <w:r w:rsidR="6B89B391">
        <w:t>Asimismo</w:t>
      </w:r>
      <w:r w:rsidR="00760290">
        <w:t>,</w:t>
      </w:r>
      <w:r w:rsidRPr="0E324171">
        <w:t xml:space="preserve"> se incluyen todas las erogaciones que tienen relación con los servicios de transferencia electrónica de información, como por ejemplo el acceso a Vlex y la Suscripción IFRS. </w:t>
      </w:r>
    </w:p>
    <w:p w:rsidR="00043E29" w:rsidRPr="004B1036" w:rsidRDefault="0E324171" w:rsidP="0E324171">
      <w:pPr>
        <w:ind w:left="567" w:hanging="567"/>
      </w:pPr>
      <w:r w:rsidRPr="0E324171">
        <w:t xml:space="preserve"> </w:t>
      </w:r>
    </w:p>
    <w:p w:rsidR="00043E29" w:rsidRPr="004B1036" w:rsidRDefault="0E324171" w:rsidP="00421EBD">
      <w:pPr>
        <w:pStyle w:val="Prrafodelista"/>
        <w:numPr>
          <w:ilvl w:val="0"/>
          <w:numId w:val="1"/>
        </w:numPr>
        <w:spacing w:after="0"/>
      </w:pPr>
      <w:r w:rsidRPr="0E324171">
        <w:t>Al considerar la partida de “Servicios de gestión y apoyo”, se incluyó en la subpartida de servicios en ciencias económicas y sociales (consultorías), desarrollo de sistema de información y otros servicios de gestión que corresponden al pago de los servicios de mantenimiento del edificio Tournón, ¢1.666,79 millones. Lo ejecutado alcanzó un 93,8% del monto presupuestado para todo el año, lo cual representó en términos absolutos ¢1.563,96 millones. El 94% de este monto corresponde al pago al BCCR de los gastos administrativos, servicios de desarrollo de sistemas de información y gastos del edificio Tournón.</w:t>
      </w:r>
    </w:p>
    <w:p w:rsidR="00043E29" w:rsidRPr="004B1036" w:rsidRDefault="0E324171" w:rsidP="00421EBD">
      <w:pPr>
        <w:ind w:left="567"/>
      </w:pPr>
      <w:r w:rsidRPr="0E324171">
        <w:rPr>
          <w:highlight w:val="yellow"/>
        </w:rPr>
        <w:t xml:space="preserve"> </w:t>
      </w:r>
    </w:p>
    <w:p w:rsidR="00043E29" w:rsidRPr="004B1036" w:rsidRDefault="0E324171" w:rsidP="00421EBD">
      <w:pPr>
        <w:pStyle w:val="Prrafodelista"/>
        <w:numPr>
          <w:ilvl w:val="0"/>
          <w:numId w:val="1"/>
        </w:numPr>
        <w:spacing w:after="0"/>
      </w:pPr>
      <w:r w:rsidRPr="0E324171">
        <w:t>En actividades de capacitación, la ejecución fue de 74,04%, que en términos absolutos representa ¢63,64 millones. Entre otros, se realizaron 20 cursos de capacitación en diferentes temas, la mayoría de forma virtual.</w:t>
      </w:r>
    </w:p>
    <w:p w:rsidR="00043E29" w:rsidRPr="004B1036" w:rsidRDefault="0E324171" w:rsidP="00421EBD">
      <w:r w:rsidRPr="0E324171">
        <w:t xml:space="preserve"> </w:t>
      </w:r>
    </w:p>
    <w:p w:rsidR="00043E29" w:rsidRPr="004B1036" w:rsidRDefault="0E324171" w:rsidP="00421EBD">
      <w:r w:rsidRPr="0E324171">
        <w:rPr>
          <w:rFonts w:ascii="Calibri" w:eastAsia="Calibri" w:hAnsi="Calibri" w:cs="Calibri"/>
        </w:rPr>
        <w:t xml:space="preserve">Por otra parte, la partida de materiales y suministros tuvo una ejecución general del 71,8%, correspondiendo a ¢4,78 millones, los cuales incluyen los gastos erogados por la compra de útiles, materiales, artículos y todo suministro de corta duración.  Dentro de éstos se incluyen los gastos erogados y presupuestados, como, por ejemplo, las suscripciones a periódicos y la adquisición de camisetas institucionales. </w:t>
      </w:r>
    </w:p>
    <w:p w:rsidR="00CD2613" w:rsidRPr="004B1036" w:rsidRDefault="00CD2613" w:rsidP="6B89B391">
      <w:pPr>
        <w:rPr>
          <w:rFonts w:cs="Arial"/>
          <w:highlight w:val="yellow"/>
        </w:rPr>
      </w:pPr>
      <w:bookmarkStart w:id="3" w:name="_Toc65452647"/>
    </w:p>
    <w:p w:rsidR="0046129A" w:rsidRPr="004B1036" w:rsidRDefault="005D613A" w:rsidP="00421EBD">
      <w:pPr>
        <w:jc w:val="left"/>
        <w:rPr>
          <w:rFonts w:ascii="Century Gothic" w:eastAsiaTheme="majorEastAsia" w:hAnsi="Century Gothic" w:cstheme="majorBidi"/>
          <w:color w:val="365F91" w:themeColor="accent1" w:themeShade="BF"/>
          <w:sz w:val="28"/>
          <w:szCs w:val="28"/>
          <w:lang w:eastAsia="es-CR"/>
        </w:rPr>
      </w:pPr>
      <w:r w:rsidRPr="004B1036">
        <w:rPr>
          <w:rFonts w:ascii="Century Gothic" w:eastAsiaTheme="majorEastAsia" w:hAnsi="Century Gothic" w:cstheme="majorBidi"/>
          <w:color w:val="365F91" w:themeColor="accent1" w:themeShade="BF"/>
          <w:sz w:val="28"/>
          <w:szCs w:val="28"/>
          <w:lang w:eastAsia="es-CR"/>
        </w:rPr>
        <w:t>ORGANIZACIÓN</w:t>
      </w:r>
      <w:bookmarkEnd w:id="3"/>
    </w:p>
    <w:p w:rsidR="000E2392" w:rsidRPr="004B1036" w:rsidRDefault="000E2392" w:rsidP="00421EBD"/>
    <w:p w:rsidR="006074F7" w:rsidRPr="004B1036" w:rsidRDefault="00A547D8" w:rsidP="00421EBD">
      <w:pPr>
        <w:pStyle w:val="Ttulo2"/>
        <w:numPr>
          <w:ilvl w:val="0"/>
          <w:numId w:val="3"/>
        </w:numPr>
        <w:spacing w:before="0"/>
        <w:rPr>
          <w:b/>
          <w:lang w:eastAsia="es-CR"/>
        </w:rPr>
      </w:pPr>
      <w:bookmarkStart w:id="4" w:name="_Toc65452648"/>
      <w:r w:rsidRPr="004B1036">
        <w:rPr>
          <w:b/>
          <w:lang w:eastAsia="es-CR"/>
        </w:rPr>
        <w:t>Organigrama</w:t>
      </w:r>
      <w:bookmarkEnd w:id="4"/>
    </w:p>
    <w:p w:rsidR="00AC0BAB" w:rsidRPr="004B1036" w:rsidRDefault="00AC0BAB" w:rsidP="00421EBD">
      <w:pPr>
        <w:rPr>
          <w:lang w:eastAsia="es-CR"/>
        </w:rPr>
      </w:pPr>
    </w:p>
    <w:p w:rsidR="006A531D" w:rsidRPr="00621934" w:rsidRDefault="0E324171" w:rsidP="00421EBD">
      <w:pPr>
        <w:rPr>
          <w:lang w:eastAsia="es-CR"/>
        </w:rPr>
      </w:pPr>
      <w:r w:rsidRPr="0E324171">
        <w:rPr>
          <w:lang w:eastAsia="es-CR"/>
        </w:rPr>
        <w:t xml:space="preserve"> El gráfico 1 muestra la estructura organizacional de la Superintendencia en 2022.</w:t>
      </w:r>
    </w:p>
    <w:p w:rsidR="006A531D" w:rsidRPr="00621934" w:rsidRDefault="006A531D" w:rsidP="0E324171">
      <w:pPr>
        <w:spacing w:line="240" w:lineRule="auto"/>
        <w:jc w:val="left"/>
        <w:rPr>
          <w:lang w:eastAsia="es-CR"/>
        </w:rPr>
      </w:pPr>
    </w:p>
    <w:p w:rsidR="00B12944" w:rsidRPr="00621934" w:rsidRDefault="0E324171" w:rsidP="0E324171">
      <w:pPr>
        <w:spacing w:line="240" w:lineRule="auto"/>
        <w:jc w:val="center"/>
        <w:rPr>
          <w:rFonts w:ascii="Century Gothic" w:hAnsi="Century Gothic"/>
          <w:b/>
          <w:bCs/>
          <w:color w:val="002060"/>
          <w:sz w:val="20"/>
          <w:szCs w:val="20"/>
        </w:rPr>
      </w:pPr>
      <w:r w:rsidRPr="0E324171">
        <w:rPr>
          <w:rFonts w:ascii="Century Gothic" w:hAnsi="Century Gothic"/>
          <w:b/>
          <w:bCs/>
          <w:color w:val="002060"/>
          <w:sz w:val="20"/>
          <w:szCs w:val="20"/>
        </w:rPr>
        <w:t>GRÁFICO 1</w:t>
      </w:r>
    </w:p>
    <w:p w:rsidR="00B12944" w:rsidRPr="00621934" w:rsidRDefault="0E324171" w:rsidP="0E324171">
      <w:pPr>
        <w:spacing w:line="240" w:lineRule="auto"/>
        <w:jc w:val="center"/>
        <w:rPr>
          <w:rFonts w:ascii="Century Gothic" w:hAnsi="Century Gothic"/>
          <w:b/>
          <w:bCs/>
          <w:color w:val="404040" w:themeColor="text1" w:themeTint="BF"/>
          <w:sz w:val="20"/>
          <w:szCs w:val="20"/>
        </w:rPr>
      </w:pPr>
      <w:r w:rsidRPr="0E324171">
        <w:rPr>
          <w:rFonts w:ascii="Century Gothic" w:hAnsi="Century Gothic"/>
          <w:b/>
          <w:bCs/>
          <w:color w:val="404040" w:themeColor="text1" w:themeTint="BF"/>
          <w:sz w:val="20"/>
          <w:szCs w:val="20"/>
        </w:rPr>
        <w:t>ORGANIGRAMA</w:t>
      </w:r>
    </w:p>
    <w:p w:rsidR="00B12944" w:rsidRPr="00621934" w:rsidRDefault="00B12944" w:rsidP="0E324171">
      <w:pPr>
        <w:spacing w:line="240" w:lineRule="auto"/>
        <w:jc w:val="center"/>
        <w:rPr>
          <w:rFonts w:ascii="Century Gothic" w:hAnsi="Century Gothic" w:cs="Century Gothic"/>
          <w:sz w:val="20"/>
          <w:szCs w:val="20"/>
        </w:rPr>
      </w:pPr>
      <w:r w:rsidRPr="0E324171">
        <w:rPr>
          <w:rFonts w:ascii="Century Gothic" w:hAnsi="Century Gothic" w:cs="Century Gothic"/>
          <w:kern w:val="24"/>
          <w:sz w:val="20"/>
          <w:szCs w:val="20"/>
        </w:rPr>
        <w:t>Superintendencia General de Seguros</w:t>
      </w:r>
    </w:p>
    <w:p w:rsidR="00ED2070" w:rsidRPr="00621934" w:rsidRDefault="00E74E6C" w:rsidP="008C7ADA">
      <w:pPr>
        <w:spacing w:line="240" w:lineRule="auto"/>
        <w:jc w:val="center"/>
        <w:rPr>
          <w:color w:val="0070C0"/>
          <w:highlight w:val="yellow"/>
          <w:lang w:eastAsia="es-CR"/>
        </w:rPr>
      </w:pPr>
      <w:r w:rsidRPr="00621934">
        <w:rPr>
          <w:rFonts w:ascii="Calibri" w:hAnsi="Calibri" w:cstheme="minorHAnsi"/>
          <w:noProof/>
          <w:szCs w:val="24"/>
          <w:highlight w:val="yellow"/>
          <w:lang w:eastAsia="es-CR"/>
        </w:rPr>
        <mc:AlternateContent>
          <mc:Choice Requires="wpg">
            <w:drawing>
              <wp:anchor distT="0" distB="0" distL="114300" distR="114300" simplePos="0" relativeHeight="251658242" behindDoc="0" locked="0" layoutInCell="1" allowOverlap="1" wp14:anchorId="5D508F7A" wp14:editId="64ECD29E">
                <wp:simplePos x="0" y="0"/>
                <wp:positionH relativeFrom="column">
                  <wp:posOffset>736543</wp:posOffset>
                </wp:positionH>
                <wp:positionV relativeFrom="paragraph">
                  <wp:posOffset>15239</wp:posOffset>
                </wp:positionV>
                <wp:extent cx="5167051" cy="2771775"/>
                <wp:effectExtent l="76200" t="57150" r="90805" b="123825"/>
                <wp:wrapNone/>
                <wp:docPr id="23" name="477 Grupo"/>
                <wp:cNvGraphicFramePr/>
                <a:graphic xmlns:a="http://schemas.openxmlformats.org/drawingml/2006/main">
                  <a:graphicData uri="http://schemas.microsoft.com/office/word/2010/wordprocessingGroup">
                    <wpg:wgp>
                      <wpg:cNvGrpSpPr/>
                      <wpg:grpSpPr>
                        <a:xfrm>
                          <a:off x="0" y="0"/>
                          <a:ext cx="5167051" cy="2771775"/>
                          <a:chOff x="0" y="0"/>
                          <a:chExt cx="5650230" cy="3238500"/>
                        </a:xfrm>
                      </wpg:grpSpPr>
                      <wps:wsp>
                        <wps:cNvPr id="546" name="471 Conector recto"/>
                        <wps:cNvCnPr/>
                        <wps:spPr>
                          <a:xfrm>
                            <a:off x="552450" y="933450"/>
                            <a:ext cx="4487545"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wpg:grpSp>
                        <wpg:cNvPr id="547" name="476 Grupo"/>
                        <wpg:cNvGrpSpPr/>
                        <wpg:grpSpPr>
                          <a:xfrm>
                            <a:off x="0" y="0"/>
                            <a:ext cx="5650230" cy="3238500"/>
                            <a:chOff x="0" y="0"/>
                            <a:chExt cx="5650230" cy="3238500"/>
                          </a:xfrm>
                        </wpg:grpSpPr>
                        <wpg:grpSp>
                          <wpg:cNvPr id="550" name="27 Grupo"/>
                          <wpg:cNvGrpSpPr/>
                          <wpg:grpSpPr>
                            <a:xfrm>
                              <a:off x="0" y="0"/>
                              <a:ext cx="5650230" cy="3238500"/>
                              <a:chOff x="0" y="0"/>
                              <a:chExt cx="5680582" cy="3353169"/>
                            </a:xfrm>
                            <a:scene3d>
                              <a:camera prst="orthographicFront">
                                <a:rot lat="0" lon="0" rev="0"/>
                              </a:camera>
                              <a:lightRig rig="balanced" dir="t">
                                <a:rot lat="0" lon="0" rev="8700000"/>
                              </a:lightRig>
                            </a:scene3d>
                          </wpg:grpSpPr>
                          <wps:wsp>
                            <wps:cNvPr id="551" name="22 Conector recto"/>
                            <wps:cNvCnPr/>
                            <wps:spPr>
                              <a:xfrm>
                                <a:off x="5067300" y="962025"/>
                                <a:ext cx="0" cy="1541944"/>
                              </a:xfrm>
                              <a:prstGeom prst="line">
                                <a:avLst/>
                              </a:prstGeom>
                              <a:noFill/>
                              <a:ln w="25400" cap="flat" cmpd="sng" algn="ctr">
                                <a:noFill/>
                                <a:prstDash val="solid"/>
                              </a:ln>
                              <a:effectLst>
                                <a:outerShdw blurRad="44450" dist="27940" dir="5400000" algn="ctr">
                                  <a:srgbClr val="000000">
                                    <a:alpha val="32000"/>
                                  </a:srgbClr>
                                </a:outerShdw>
                              </a:effectLst>
                              <a:sp3d>
                                <a:bevelT w="190500" h="38100"/>
                              </a:sp3d>
                            </wps:spPr>
                            <wps:bodyPr/>
                          </wps:wsp>
                          <wpg:grpSp>
                            <wpg:cNvPr id="552" name="26 Grupo"/>
                            <wpg:cNvGrpSpPr/>
                            <wpg:grpSpPr>
                              <a:xfrm>
                                <a:off x="0" y="0"/>
                                <a:ext cx="5680582" cy="3353169"/>
                                <a:chOff x="0" y="0"/>
                                <a:chExt cx="5680582" cy="3353169"/>
                              </a:xfrm>
                            </wpg:grpSpPr>
                            <wps:wsp>
                              <wps:cNvPr id="553" name="6 Forma libre"/>
                              <wps:cNvSpPr/>
                              <wps:spPr>
                                <a:xfrm>
                                  <a:off x="2400300" y="762000"/>
                                  <a:ext cx="73032" cy="356199"/>
                                </a:xfrm>
                                <a:custGeom>
                                  <a:avLst/>
                                  <a:gdLst/>
                                  <a:ahLst/>
                                  <a:cxnLst/>
                                  <a:rect l="0" t="0" r="0" b="0"/>
                                  <a:pathLst>
                                    <a:path>
                                      <a:moveTo>
                                        <a:pt x="45720" y="0"/>
                                      </a:moveTo>
                                      <a:lnTo>
                                        <a:pt x="45720" y="374265"/>
                                      </a:lnTo>
                                    </a:path>
                                  </a:pathLst>
                                </a:custGeom>
                                <a:noFill/>
                                <a:ln w="25400" cap="flat" cmpd="sng" algn="ctr">
                                  <a:noFill/>
                                  <a:prstDash val="solid"/>
                                </a:ln>
                                <a:effectLst>
                                  <a:outerShdw blurRad="44450" dist="27940" dir="5400000" algn="ctr">
                                    <a:srgbClr val="000000">
                                      <a:alpha val="32000"/>
                                    </a:srgbClr>
                                  </a:outerShdw>
                                </a:effectLst>
                                <a:sp3d>
                                  <a:bevelT w="190500" h="38100"/>
                                </a:sp3d>
                              </wps:spPr>
                              <wps:txbx>
                                <w:txbxContent>
                                  <w:p w:rsidR="0042321D" w:rsidRDefault="0042321D" w:rsidP="00ED2070">
                                    <w:pPr>
                                      <w:rPr>
                                        <w:rFonts w:eastAsia="Times New Roman"/>
                                      </w:rPr>
                                    </w:pPr>
                                  </w:p>
                                </w:txbxContent>
                              </wps:txbx>
                              <wps:bodyPr/>
                            </wps:wsp>
                            <wpg:grpSp>
                              <wpg:cNvPr id="554" name="25 Grupo"/>
                              <wpg:cNvGrpSpPr/>
                              <wpg:grpSpPr>
                                <a:xfrm>
                                  <a:off x="0" y="0"/>
                                  <a:ext cx="5680582" cy="3353169"/>
                                  <a:chOff x="0" y="0"/>
                                  <a:chExt cx="5680582" cy="3353169"/>
                                </a:xfrm>
                              </wpg:grpSpPr>
                              <wpg:grpSp>
                                <wpg:cNvPr id="555" name="24 Grupo"/>
                                <wpg:cNvGrpSpPr/>
                                <wpg:grpSpPr>
                                  <a:xfrm>
                                    <a:off x="0" y="0"/>
                                    <a:ext cx="5680582" cy="3353169"/>
                                    <a:chOff x="0" y="0"/>
                                    <a:chExt cx="5680582" cy="3353169"/>
                                  </a:xfrm>
                                </wpg:grpSpPr>
                                <wpg:grpSp>
                                  <wpg:cNvPr id="556" name="20 Grupo"/>
                                  <wpg:cNvGrpSpPr/>
                                  <wpg:grpSpPr>
                                    <a:xfrm>
                                      <a:off x="0" y="0"/>
                                      <a:ext cx="5680582" cy="3353169"/>
                                      <a:chOff x="0" y="0"/>
                                      <a:chExt cx="5680582" cy="3353169"/>
                                    </a:xfrm>
                                  </wpg:grpSpPr>
                                  <wpg:grpSp>
                                    <wpg:cNvPr id="557" name="15 Grupo"/>
                                    <wpg:cNvGrpSpPr/>
                                    <wpg:grpSpPr>
                                      <a:xfrm>
                                        <a:off x="0" y="0"/>
                                        <a:ext cx="5680582" cy="3353169"/>
                                        <a:chOff x="0" y="0"/>
                                        <a:chExt cx="5680582" cy="3353169"/>
                                      </a:xfrm>
                                    </wpg:grpSpPr>
                                    <wps:wsp>
                                      <wps:cNvPr id="558" name="8 Forma libre"/>
                                      <wps:cNvSpPr/>
                                      <wps:spPr>
                                        <a:xfrm>
                                          <a:off x="1724025" y="0"/>
                                          <a:ext cx="1325784" cy="757430"/>
                                        </a:xfrm>
                                        <a:custGeom>
                                          <a:avLst/>
                                          <a:gdLst>
                                            <a:gd name="connsiteX0" fmla="*/ 0 w 1782216"/>
                                            <a:gd name="connsiteY0" fmla="*/ 0 h 891108"/>
                                            <a:gd name="connsiteX1" fmla="*/ 1782216 w 1782216"/>
                                            <a:gd name="connsiteY1" fmla="*/ 0 h 891108"/>
                                            <a:gd name="connsiteX2" fmla="*/ 1782216 w 1782216"/>
                                            <a:gd name="connsiteY2" fmla="*/ 891108 h 891108"/>
                                            <a:gd name="connsiteX3" fmla="*/ 0 w 1782216"/>
                                            <a:gd name="connsiteY3" fmla="*/ 891108 h 891108"/>
                                            <a:gd name="connsiteX4" fmla="*/ 0 w 1782216"/>
                                            <a:gd name="connsiteY4" fmla="*/ 0 h 89110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82216" h="891108">
                                              <a:moveTo>
                                                <a:pt x="0" y="0"/>
                                              </a:moveTo>
                                              <a:lnTo>
                                                <a:pt x="1782216" y="0"/>
                                              </a:lnTo>
                                              <a:lnTo>
                                                <a:pt x="1782216" y="891108"/>
                                              </a:lnTo>
                                              <a:lnTo>
                                                <a:pt x="0" y="891108"/>
                                              </a:lnTo>
                                              <a:lnTo>
                                                <a:pt x="0" y="0"/>
                                              </a:lnTo>
                                              <a:close/>
                                            </a:path>
                                          </a:pathLst>
                                        </a:custGeom>
                                        <a:gradFill flip="none" rotWithShape="1">
                                          <a:gsLst>
                                            <a:gs pos="0">
                                              <a:srgbClr val="4F81BD">
                                                <a:hueOff val="0"/>
                                                <a:satOff val="0"/>
                                                <a:lumOff val="0"/>
                                                <a:shade val="30000"/>
                                                <a:satMod val="115000"/>
                                              </a:srgbClr>
                                            </a:gs>
                                            <a:gs pos="50000">
                                              <a:srgbClr val="4F81BD">
                                                <a:hueOff val="0"/>
                                                <a:satOff val="0"/>
                                                <a:lumOff val="0"/>
                                                <a:shade val="67500"/>
                                                <a:satMod val="115000"/>
                                              </a:srgbClr>
                                            </a:gs>
                                            <a:gs pos="100000">
                                              <a:srgbClr val="4F81BD">
                                                <a:hueOff val="0"/>
                                                <a:satOff val="0"/>
                                                <a:lumOff val="0"/>
                                                <a:shade val="100000"/>
                                                <a:satMod val="115000"/>
                                              </a:srgbClr>
                                            </a:gs>
                                          </a:gsLst>
                                          <a:lin ang="16200000" scaled="1"/>
                                          <a:tileRect/>
                                        </a:gradFill>
                                        <a:ln w="25400" cap="flat" cmpd="sng" algn="ctr">
                                          <a:noFill/>
                                          <a:prstDash val="solid"/>
                                        </a:ln>
                                        <a:effectLst>
                                          <a:outerShdw blurRad="44450" dist="27940" dir="5400000" algn="ctr">
                                            <a:srgbClr val="000000">
                                              <a:alpha val="32000"/>
                                            </a:srgbClr>
                                          </a:outerShdw>
                                        </a:effectLst>
                                        <a:sp3d>
                                          <a:bevelT w="190500" h="38100"/>
                                        </a:sp3d>
                                      </wps:spPr>
                                      <wps:txbx>
                                        <w:txbxContent>
                                          <w:p w:rsidR="0042321D" w:rsidRPr="00DA0709" w:rsidRDefault="0042321D" w:rsidP="00ED2070">
                                            <w:pPr>
                                              <w:pStyle w:val="NormalWeb"/>
                                              <w:spacing w:before="0" w:after="168" w:afterAutospacing="0" w:line="216" w:lineRule="auto"/>
                                              <w:jc w:val="center"/>
                                              <w:rPr>
                                                <w:rFonts w:asciiTheme="minorHAnsi" w:hAnsi="Calibri" w:cstheme="minorBidi"/>
                                                <w:b/>
                                                <w:bCs/>
                                                <w:color w:val="FFFFFF" w:themeColor="light1"/>
                                                <w:kern w:val="24"/>
                                                <w:sz w:val="28"/>
                                                <w:szCs w:val="40"/>
                                                <w14:shadow w14:blurRad="50800" w14:dist="38100" w14:dir="18900000" w14:sx="100000" w14:sy="100000" w14:kx="0" w14:ky="0" w14:algn="bl">
                                                  <w14:srgbClr w14:val="000000">
                                                    <w14:alpha w14:val="60000"/>
                                                  </w14:srgbClr>
                                                </w14:shadow>
                                              </w:rPr>
                                            </w:pPr>
                                            <w:r w:rsidRPr="00DA0709">
                                              <w:rPr>
                                                <w:rFonts w:asciiTheme="minorHAnsi" w:hAnsi="Calibri" w:cstheme="minorBidi"/>
                                                <w:b/>
                                                <w:bCs/>
                                                <w:color w:val="FFFFFF" w:themeColor="light1"/>
                                                <w:kern w:val="24"/>
                                                <w:sz w:val="28"/>
                                                <w:szCs w:val="40"/>
                                                <w14:shadow w14:blurRad="50800" w14:dist="38100" w14:dir="18900000" w14:sx="100000" w14:sy="100000" w14:kx="0" w14:ky="0" w14:algn="bl">
                                                  <w14:srgbClr w14:val="000000">
                                                    <w14:alpha w14:val="60000"/>
                                                  </w14:srgbClr>
                                                </w14:shadow>
                                              </w:rPr>
                                              <w:t>Despacho</w:t>
                                            </w:r>
                                          </w:p>
                                          <w:p w:rsidR="0042321D" w:rsidRPr="00DA0709" w:rsidRDefault="0042321D" w:rsidP="00ED2070">
                                            <w:pPr>
                                              <w:pStyle w:val="NormalWeb"/>
                                              <w:spacing w:before="0" w:after="168" w:afterAutospacing="0" w:line="216" w:lineRule="auto"/>
                                              <w:jc w:val="center"/>
                                              <w:rPr>
                                                <w:sz w:val="22"/>
                                                <w:szCs w:val="22"/>
                                              </w:rPr>
                                            </w:pPr>
                                            <w:r>
                                              <w:rPr>
                                                <w:rFonts w:asciiTheme="minorHAnsi" w:hAnsi="Calibri" w:cstheme="minorBidi"/>
                                                <w:bCs/>
                                                <w:color w:val="FFFFFF" w:themeColor="light1"/>
                                                <w:kern w:val="24"/>
                                                <w:sz w:val="22"/>
                                                <w:szCs w:val="22"/>
                                                <w14:shadow w14:blurRad="50800" w14:dist="38100" w14:dir="18900000" w14:sx="100000" w14:sy="100000" w14:kx="0" w14:ky="0" w14:algn="bl">
                                                  <w14:srgbClr w14:val="000000">
                                                    <w14:alpha w14:val="60000"/>
                                                  </w14:srgbClr>
                                                </w14:shadow>
                                              </w:rPr>
                                              <w:t>(3</w:t>
                                            </w:r>
                                            <w:r w:rsidRPr="00DA0709">
                                              <w:rPr>
                                                <w:rFonts w:asciiTheme="minorHAnsi" w:hAnsi="Calibri" w:cstheme="minorBidi"/>
                                                <w:bCs/>
                                                <w:color w:val="FFFFFF" w:themeColor="light1"/>
                                                <w:kern w:val="24"/>
                                                <w:sz w:val="22"/>
                                                <w:szCs w:val="22"/>
                                                <w14:shadow w14:blurRad="50800" w14:dist="38100" w14:dir="18900000" w14:sx="100000" w14:sy="100000" w14:kx="0" w14:ky="0" w14:algn="bl">
                                                  <w14:srgbClr w14:val="000000">
                                                    <w14:alpha w14:val="60000"/>
                                                  </w14:srgbClr>
                                                </w14:shadow>
                                              </w:rPr>
                                              <w:t xml:space="preserve"> funcionarios)</w:t>
                                            </w:r>
                                          </w:p>
                                        </w:txbxContent>
                                      </wps:txbx>
                                      <wps:bodyPr spcFirstLastPara="0" vert="horz" wrap="square" lIns="12700" tIns="12700" rIns="12700" bIns="12700" numCol="1" spcCol="1270" anchor="ctr" anchorCtr="0">
                                        <a:noAutofit/>
                                      </wps:bodyPr>
                                    </wps:wsp>
                                    <wps:wsp>
                                      <wps:cNvPr id="559" name="9 Forma libre"/>
                                      <wps:cNvSpPr/>
                                      <wps:spPr>
                                        <a:xfrm>
                                          <a:off x="0" y="1114425"/>
                                          <a:ext cx="1150245" cy="848094"/>
                                        </a:xfrm>
                                        <a:custGeom>
                                          <a:avLst/>
                                          <a:gdLst>
                                            <a:gd name="connsiteX0" fmla="*/ 0 w 1782216"/>
                                            <a:gd name="connsiteY0" fmla="*/ 0 h 891108"/>
                                            <a:gd name="connsiteX1" fmla="*/ 1782216 w 1782216"/>
                                            <a:gd name="connsiteY1" fmla="*/ 0 h 891108"/>
                                            <a:gd name="connsiteX2" fmla="*/ 1782216 w 1782216"/>
                                            <a:gd name="connsiteY2" fmla="*/ 891108 h 891108"/>
                                            <a:gd name="connsiteX3" fmla="*/ 0 w 1782216"/>
                                            <a:gd name="connsiteY3" fmla="*/ 891108 h 891108"/>
                                            <a:gd name="connsiteX4" fmla="*/ 0 w 1782216"/>
                                            <a:gd name="connsiteY4" fmla="*/ 0 h 89110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82216" h="891108">
                                              <a:moveTo>
                                                <a:pt x="0" y="0"/>
                                              </a:moveTo>
                                              <a:lnTo>
                                                <a:pt x="1782216" y="0"/>
                                              </a:lnTo>
                                              <a:lnTo>
                                                <a:pt x="1782216" y="891108"/>
                                              </a:lnTo>
                                              <a:lnTo>
                                                <a:pt x="0" y="891108"/>
                                              </a:lnTo>
                                              <a:lnTo>
                                                <a:pt x="0" y="0"/>
                                              </a:lnTo>
                                              <a:close/>
                                            </a:path>
                                          </a:pathLst>
                                        </a:custGeom>
                                        <a:gradFill flip="none" rotWithShape="1">
                                          <a:gsLst>
                                            <a:gs pos="0">
                                              <a:srgbClr val="4F81BD">
                                                <a:hueOff val="0"/>
                                                <a:satOff val="0"/>
                                                <a:lumOff val="0"/>
                                                <a:shade val="30000"/>
                                                <a:satMod val="115000"/>
                                              </a:srgbClr>
                                            </a:gs>
                                            <a:gs pos="50000">
                                              <a:srgbClr val="4F81BD">
                                                <a:hueOff val="0"/>
                                                <a:satOff val="0"/>
                                                <a:lumOff val="0"/>
                                                <a:shade val="67500"/>
                                                <a:satMod val="115000"/>
                                              </a:srgbClr>
                                            </a:gs>
                                            <a:gs pos="100000">
                                              <a:srgbClr val="4F81BD">
                                                <a:hueOff val="0"/>
                                                <a:satOff val="0"/>
                                                <a:lumOff val="0"/>
                                                <a:shade val="100000"/>
                                                <a:satMod val="115000"/>
                                              </a:srgbClr>
                                            </a:gs>
                                          </a:gsLst>
                                          <a:lin ang="13500000" scaled="1"/>
                                          <a:tileRect/>
                                        </a:gradFill>
                                        <a:ln w="25400" cap="flat" cmpd="sng" algn="ctr">
                                          <a:noFill/>
                                          <a:prstDash val="solid"/>
                                        </a:ln>
                                        <a:effectLst>
                                          <a:outerShdw blurRad="44450" dist="27940" dir="5400000" algn="ctr">
                                            <a:srgbClr val="000000">
                                              <a:alpha val="32000"/>
                                            </a:srgbClr>
                                          </a:outerShdw>
                                        </a:effectLst>
                                        <a:sp3d>
                                          <a:bevelT w="190500" h="38100"/>
                                        </a:sp3d>
                                      </wps:spPr>
                                      <wps:txbx>
                                        <w:txbxContent>
                                          <w:p w:rsidR="0042321D" w:rsidRPr="00DA0709" w:rsidRDefault="0042321D" w:rsidP="00ED2070">
                                            <w:pPr>
                                              <w:pStyle w:val="NormalWeb"/>
                                              <w:spacing w:before="0" w:after="134" w:afterAutospacing="0" w:line="216" w:lineRule="auto"/>
                                              <w:jc w:val="center"/>
                                              <w:rPr>
                                                <w:rFonts w:asciiTheme="minorHAnsi" w:hAnsi="Calibri" w:cstheme="minorBidi"/>
                                                <w:b/>
                                                <w:bCs/>
                                                <w:color w:val="FFFFFF" w:themeColor="light1"/>
                                                <w:kern w:val="24"/>
                                                <w:szCs w:val="32"/>
                                              </w:rPr>
                                            </w:pPr>
                                            <w:r w:rsidRPr="00DA0709">
                                              <w:rPr>
                                                <w:rFonts w:asciiTheme="minorHAnsi" w:hAnsi="Calibri" w:cstheme="minorBidi"/>
                                                <w:b/>
                                                <w:bCs/>
                                                <w:color w:val="FFFFFF" w:themeColor="light1"/>
                                                <w:kern w:val="24"/>
                                                <w:szCs w:val="32"/>
                                              </w:rPr>
                                              <w:t>División de Normativa y Autorizaciones</w:t>
                                            </w:r>
                                          </w:p>
                                          <w:p w:rsidR="0042321D" w:rsidRPr="00DA0709" w:rsidRDefault="0042321D" w:rsidP="00ED2070">
                                            <w:pPr>
                                              <w:pStyle w:val="NormalWeb"/>
                                              <w:spacing w:before="0" w:after="134" w:afterAutospacing="0" w:line="216" w:lineRule="auto"/>
                                              <w:jc w:val="center"/>
                                              <w:rPr>
                                                <w:sz w:val="20"/>
                                              </w:rPr>
                                            </w:pPr>
                                            <w:r w:rsidRPr="007E16FC">
                                              <w:rPr>
                                                <w:rFonts w:asciiTheme="minorHAnsi" w:hAnsi="Calibri" w:cstheme="minorBidi"/>
                                                <w:bCs/>
                                                <w:color w:val="FFFFFF" w:themeColor="light1"/>
                                                <w:kern w:val="24"/>
                                                <w:sz w:val="22"/>
                                                <w:szCs w:val="32"/>
                                              </w:rPr>
                                              <w:t>(</w:t>
                                            </w:r>
                                            <w:r>
                                              <w:rPr>
                                                <w:rFonts w:asciiTheme="minorHAnsi" w:hAnsi="Calibri" w:cstheme="minorBidi"/>
                                                <w:bCs/>
                                                <w:color w:val="FFFFFF" w:themeColor="light1"/>
                                                <w:kern w:val="24"/>
                                                <w:sz w:val="22"/>
                                                <w:szCs w:val="32"/>
                                              </w:rPr>
                                              <w:t>9</w:t>
                                            </w:r>
                                            <w:r w:rsidRPr="00DA0709">
                                              <w:rPr>
                                                <w:rFonts w:asciiTheme="minorHAnsi" w:hAnsi="Calibri" w:cstheme="minorBidi"/>
                                                <w:bCs/>
                                                <w:color w:val="FFFFFF" w:themeColor="light1"/>
                                                <w:kern w:val="24"/>
                                                <w:sz w:val="22"/>
                                                <w:szCs w:val="32"/>
                                              </w:rPr>
                                              <w:t xml:space="preserve"> funcionarios)</w:t>
                                            </w:r>
                                          </w:p>
                                        </w:txbxContent>
                                      </wps:txbx>
                                      <wps:bodyPr spcFirstLastPara="0" vert="horz" wrap="square" lIns="12700" tIns="12700" rIns="12700" bIns="12700" numCol="1" spcCol="1270" anchor="ctr" anchorCtr="0">
                                        <a:noAutofit/>
                                      </wps:bodyPr>
                                    </wps:wsp>
                                    <wps:wsp>
                                      <wps:cNvPr id="561" name="10 Forma libre"/>
                                      <wps:cNvSpPr/>
                                      <wps:spPr>
                                        <a:xfrm>
                                          <a:off x="1724025" y="1114425"/>
                                          <a:ext cx="1325784" cy="848094"/>
                                        </a:xfrm>
                                        <a:custGeom>
                                          <a:avLst/>
                                          <a:gdLst>
                                            <a:gd name="connsiteX0" fmla="*/ 0 w 1782216"/>
                                            <a:gd name="connsiteY0" fmla="*/ 0 h 891108"/>
                                            <a:gd name="connsiteX1" fmla="*/ 1782216 w 1782216"/>
                                            <a:gd name="connsiteY1" fmla="*/ 0 h 891108"/>
                                            <a:gd name="connsiteX2" fmla="*/ 1782216 w 1782216"/>
                                            <a:gd name="connsiteY2" fmla="*/ 891108 h 891108"/>
                                            <a:gd name="connsiteX3" fmla="*/ 0 w 1782216"/>
                                            <a:gd name="connsiteY3" fmla="*/ 891108 h 891108"/>
                                            <a:gd name="connsiteX4" fmla="*/ 0 w 1782216"/>
                                            <a:gd name="connsiteY4" fmla="*/ 0 h 89110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82216" h="891108">
                                              <a:moveTo>
                                                <a:pt x="0" y="0"/>
                                              </a:moveTo>
                                              <a:lnTo>
                                                <a:pt x="1782216" y="0"/>
                                              </a:lnTo>
                                              <a:lnTo>
                                                <a:pt x="1782216" y="891108"/>
                                              </a:lnTo>
                                              <a:lnTo>
                                                <a:pt x="0" y="891108"/>
                                              </a:lnTo>
                                              <a:lnTo>
                                                <a:pt x="0" y="0"/>
                                              </a:lnTo>
                                              <a:close/>
                                            </a:path>
                                          </a:pathLst>
                                        </a:custGeom>
                                        <a:gradFill flip="none" rotWithShape="1">
                                          <a:gsLst>
                                            <a:gs pos="0">
                                              <a:srgbClr val="4F81BD">
                                                <a:hueOff val="0"/>
                                                <a:satOff val="0"/>
                                                <a:lumOff val="0"/>
                                                <a:shade val="30000"/>
                                                <a:satMod val="115000"/>
                                              </a:srgbClr>
                                            </a:gs>
                                            <a:gs pos="50000">
                                              <a:srgbClr val="4F81BD">
                                                <a:hueOff val="0"/>
                                                <a:satOff val="0"/>
                                                <a:lumOff val="0"/>
                                                <a:shade val="67500"/>
                                                <a:satMod val="115000"/>
                                              </a:srgbClr>
                                            </a:gs>
                                            <a:gs pos="100000">
                                              <a:srgbClr val="4F81BD">
                                                <a:hueOff val="0"/>
                                                <a:satOff val="0"/>
                                                <a:lumOff val="0"/>
                                                <a:shade val="100000"/>
                                                <a:satMod val="115000"/>
                                              </a:srgbClr>
                                            </a:gs>
                                          </a:gsLst>
                                          <a:lin ang="13500000" scaled="1"/>
                                          <a:tileRect/>
                                        </a:gradFill>
                                        <a:ln w="25400" cap="flat" cmpd="sng" algn="ctr">
                                          <a:noFill/>
                                          <a:prstDash val="solid"/>
                                        </a:ln>
                                        <a:effectLst>
                                          <a:outerShdw blurRad="44450" dist="27940" dir="5400000" algn="ctr">
                                            <a:srgbClr val="000000">
                                              <a:alpha val="32000"/>
                                            </a:srgbClr>
                                          </a:outerShdw>
                                        </a:effectLst>
                                        <a:sp3d>
                                          <a:bevelT w="190500" h="38100"/>
                                        </a:sp3d>
                                      </wps:spPr>
                                      <wps:txbx>
                                        <w:txbxContent>
                                          <w:p w:rsidR="0042321D" w:rsidRPr="00DA0709" w:rsidRDefault="0042321D" w:rsidP="00ED2070">
                                            <w:pPr>
                                              <w:pStyle w:val="NormalWeb"/>
                                              <w:spacing w:before="0" w:after="134" w:afterAutospacing="0" w:line="216" w:lineRule="auto"/>
                                              <w:jc w:val="center"/>
                                              <w:rPr>
                                                <w:rFonts w:asciiTheme="minorHAnsi" w:hAnsi="Calibri" w:cstheme="minorBidi"/>
                                                <w:b/>
                                                <w:bCs/>
                                                <w:color w:val="FFFFFF" w:themeColor="light1"/>
                                                <w:kern w:val="24"/>
                                                <w:szCs w:val="32"/>
                                              </w:rPr>
                                            </w:pPr>
                                            <w:r w:rsidRPr="00DA0709">
                                              <w:rPr>
                                                <w:rFonts w:asciiTheme="minorHAnsi" w:hAnsi="Calibri" w:cstheme="minorBidi"/>
                                                <w:b/>
                                                <w:bCs/>
                                                <w:color w:val="FFFFFF" w:themeColor="light1"/>
                                                <w:kern w:val="24"/>
                                                <w:szCs w:val="32"/>
                                              </w:rPr>
                                              <w:t>División de Supervisión</w:t>
                                            </w:r>
                                          </w:p>
                                          <w:p w:rsidR="0042321D" w:rsidRPr="00DA0709" w:rsidRDefault="0042321D" w:rsidP="00ED2070">
                                            <w:pPr>
                                              <w:pStyle w:val="NormalWeb"/>
                                              <w:spacing w:before="0" w:after="0" w:afterAutospacing="0" w:line="216" w:lineRule="auto"/>
                                              <w:jc w:val="center"/>
                                              <w:rPr>
                                                <w:rFonts w:asciiTheme="minorHAnsi" w:hAnsi="Calibri" w:cstheme="minorBidi"/>
                                                <w:bCs/>
                                                <w:color w:val="FFFFFF" w:themeColor="light1"/>
                                                <w:kern w:val="24"/>
                                                <w:sz w:val="22"/>
                                                <w:szCs w:val="32"/>
                                              </w:rPr>
                                            </w:pPr>
                                            <w:r>
                                              <w:rPr>
                                                <w:rFonts w:asciiTheme="minorHAnsi" w:hAnsi="Calibri" w:cstheme="minorBidi"/>
                                                <w:bCs/>
                                                <w:color w:val="FFFFFF" w:themeColor="light1"/>
                                                <w:kern w:val="24"/>
                                                <w:sz w:val="22"/>
                                                <w:szCs w:val="32"/>
                                              </w:rPr>
                                              <w:t>(</w:t>
                                            </w:r>
                                            <w:r w:rsidRPr="007E16FC">
                                              <w:rPr>
                                                <w:rFonts w:asciiTheme="minorHAnsi" w:hAnsi="Calibri" w:cstheme="minorBidi"/>
                                                <w:bCs/>
                                                <w:color w:val="FFFFFF" w:themeColor="light1"/>
                                                <w:kern w:val="24"/>
                                                <w:sz w:val="22"/>
                                                <w:szCs w:val="32"/>
                                              </w:rPr>
                                              <w:t>21 funcionarios)</w:t>
                                            </w:r>
                                          </w:p>
                                          <w:p w:rsidR="0042321D" w:rsidRPr="00DA0709" w:rsidRDefault="0042321D" w:rsidP="00ED2070">
                                            <w:pPr>
                                              <w:pStyle w:val="NormalWeb"/>
                                              <w:spacing w:before="0" w:after="134" w:afterAutospacing="0" w:line="216" w:lineRule="auto"/>
                                              <w:jc w:val="center"/>
                                              <w:rPr>
                                                <w:sz w:val="20"/>
                                              </w:rPr>
                                            </w:pPr>
                                          </w:p>
                                        </w:txbxContent>
                                      </wps:txbx>
                                      <wps:bodyPr spcFirstLastPara="0" vert="horz" wrap="square" lIns="12700" tIns="12700" rIns="12700" bIns="12700" numCol="1" spcCol="1270" anchor="ctr" anchorCtr="0">
                                        <a:noAutofit/>
                                      </wps:bodyPr>
                                    </wps:wsp>
                                    <wps:wsp>
                                      <wps:cNvPr id="562" name="11 Forma libre"/>
                                      <wps:cNvSpPr/>
                                      <wps:spPr>
                                        <a:xfrm>
                                          <a:off x="3448050" y="1114425"/>
                                          <a:ext cx="1271273" cy="848094"/>
                                        </a:xfrm>
                                        <a:custGeom>
                                          <a:avLst/>
                                          <a:gdLst>
                                            <a:gd name="connsiteX0" fmla="*/ 0 w 1782216"/>
                                            <a:gd name="connsiteY0" fmla="*/ 0 h 891108"/>
                                            <a:gd name="connsiteX1" fmla="*/ 1782216 w 1782216"/>
                                            <a:gd name="connsiteY1" fmla="*/ 0 h 891108"/>
                                            <a:gd name="connsiteX2" fmla="*/ 1782216 w 1782216"/>
                                            <a:gd name="connsiteY2" fmla="*/ 891108 h 891108"/>
                                            <a:gd name="connsiteX3" fmla="*/ 0 w 1782216"/>
                                            <a:gd name="connsiteY3" fmla="*/ 891108 h 891108"/>
                                            <a:gd name="connsiteX4" fmla="*/ 0 w 1782216"/>
                                            <a:gd name="connsiteY4" fmla="*/ 0 h 89110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82216" h="891108">
                                              <a:moveTo>
                                                <a:pt x="0" y="0"/>
                                              </a:moveTo>
                                              <a:lnTo>
                                                <a:pt x="1782216" y="0"/>
                                              </a:lnTo>
                                              <a:lnTo>
                                                <a:pt x="1782216" y="891108"/>
                                              </a:lnTo>
                                              <a:lnTo>
                                                <a:pt x="0" y="891108"/>
                                              </a:lnTo>
                                              <a:lnTo>
                                                <a:pt x="0" y="0"/>
                                              </a:lnTo>
                                              <a:close/>
                                            </a:path>
                                          </a:pathLst>
                                        </a:custGeom>
                                        <a:gradFill flip="none" rotWithShape="1">
                                          <a:gsLst>
                                            <a:gs pos="0">
                                              <a:srgbClr val="4F81BD">
                                                <a:hueOff val="0"/>
                                                <a:satOff val="0"/>
                                                <a:lumOff val="0"/>
                                                <a:shade val="30000"/>
                                                <a:satMod val="115000"/>
                                              </a:srgbClr>
                                            </a:gs>
                                            <a:gs pos="50000">
                                              <a:srgbClr val="4F81BD">
                                                <a:hueOff val="0"/>
                                                <a:satOff val="0"/>
                                                <a:lumOff val="0"/>
                                                <a:shade val="67500"/>
                                                <a:satMod val="115000"/>
                                              </a:srgbClr>
                                            </a:gs>
                                            <a:gs pos="100000">
                                              <a:srgbClr val="4F81BD">
                                                <a:hueOff val="0"/>
                                                <a:satOff val="0"/>
                                                <a:lumOff val="0"/>
                                                <a:shade val="100000"/>
                                                <a:satMod val="115000"/>
                                              </a:srgbClr>
                                            </a:gs>
                                          </a:gsLst>
                                          <a:lin ang="13500000" scaled="1"/>
                                          <a:tileRect/>
                                        </a:gradFill>
                                        <a:ln w="25400" cap="flat" cmpd="sng" algn="ctr">
                                          <a:noFill/>
                                          <a:prstDash val="solid"/>
                                        </a:ln>
                                        <a:effectLst>
                                          <a:outerShdw blurRad="44450" dist="27940" dir="5400000" algn="ctr">
                                            <a:srgbClr val="000000">
                                              <a:alpha val="32000"/>
                                            </a:srgbClr>
                                          </a:outerShdw>
                                        </a:effectLst>
                                        <a:sp3d>
                                          <a:bevelT w="190500" h="38100"/>
                                        </a:sp3d>
                                      </wps:spPr>
                                      <wps:txbx>
                                        <w:txbxContent>
                                          <w:p w:rsidR="0042321D" w:rsidRPr="00DA0709" w:rsidRDefault="0042321D" w:rsidP="00ED2070">
                                            <w:pPr>
                                              <w:pStyle w:val="NormalWeb"/>
                                              <w:spacing w:before="0" w:after="134" w:afterAutospacing="0" w:line="216" w:lineRule="auto"/>
                                              <w:jc w:val="center"/>
                                              <w:rPr>
                                                <w:rFonts w:asciiTheme="minorHAnsi" w:hAnsi="Calibri" w:cstheme="minorBidi"/>
                                                <w:b/>
                                                <w:bCs/>
                                                <w:color w:val="FFFFFF" w:themeColor="light1"/>
                                                <w:kern w:val="24"/>
                                                <w:szCs w:val="32"/>
                                              </w:rPr>
                                            </w:pPr>
                                            <w:r w:rsidRPr="00DA0709">
                                              <w:rPr>
                                                <w:rFonts w:asciiTheme="minorHAnsi" w:hAnsi="Calibri" w:cstheme="minorBidi"/>
                                                <w:b/>
                                                <w:bCs/>
                                                <w:color w:val="FFFFFF" w:themeColor="light1"/>
                                                <w:kern w:val="24"/>
                                                <w:szCs w:val="32"/>
                                              </w:rPr>
                                              <w:t xml:space="preserve">División </w:t>
                                            </w:r>
                                          </w:p>
                                          <w:p w:rsidR="0042321D" w:rsidRPr="00DA0709" w:rsidRDefault="0042321D" w:rsidP="00ED2070">
                                            <w:pPr>
                                              <w:pStyle w:val="NormalWeb"/>
                                              <w:spacing w:before="0" w:after="134" w:afterAutospacing="0" w:line="216" w:lineRule="auto"/>
                                              <w:jc w:val="center"/>
                                              <w:rPr>
                                                <w:rFonts w:asciiTheme="minorHAnsi" w:hAnsi="Calibri" w:cstheme="minorBidi"/>
                                                <w:b/>
                                                <w:bCs/>
                                                <w:color w:val="FFFFFF" w:themeColor="light1"/>
                                                <w:kern w:val="24"/>
                                                <w:szCs w:val="32"/>
                                              </w:rPr>
                                            </w:pPr>
                                            <w:r w:rsidRPr="00DA0709">
                                              <w:rPr>
                                                <w:rFonts w:asciiTheme="minorHAnsi" w:hAnsi="Calibri" w:cstheme="minorBidi"/>
                                                <w:b/>
                                                <w:bCs/>
                                                <w:color w:val="FFFFFF" w:themeColor="light1"/>
                                                <w:kern w:val="24"/>
                                                <w:szCs w:val="32"/>
                                              </w:rPr>
                                              <w:t>Jurídica</w:t>
                                            </w:r>
                                          </w:p>
                                          <w:p w:rsidR="0042321D" w:rsidRPr="00DA0709" w:rsidRDefault="0042321D" w:rsidP="00ED2070">
                                            <w:pPr>
                                              <w:pStyle w:val="NormalWeb"/>
                                              <w:spacing w:before="0" w:after="134" w:afterAutospacing="0" w:line="216" w:lineRule="auto"/>
                                              <w:jc w:val="center"/>
                                            </w:pPr>
                                            <w:r w:rsidRPr="007E16FC">
                                              <w:rPr>
                                                <w:rFonts w:asciiTheme="minorHAnsi" w:hAnsi="Calibri" w:cstheme="minorBidi"/>
                                                <w:bCs/>
                                                <w:color w:val="FFFFFF" w:themeColor="light1"/>
                                                <w:kern w:val="24"/>
                                                <w:sz w:val="22"/>
                                                <w:szCs w:val="32"/>
                                              </w:rPr>
                                              <w:t>(</w:t>
                                            </w:r>
                                            <w:r>
                                              <w:rPr>
                                                <w:rFonts w:asciiTheme="minorHAnsi" w:hAnsi="Calibri" w:cstheme="minorBidi"/>
                                                <w:bCs/>
                                                <w:color w:val="FFFFFF" w:themeColor="light1"/>
                                                <w:kern w:val="24"/>
                                                <w:sz w:val="22"/>
                                                <w:szCs w:val="32"/>
                                              </w:rPr>
                                              <w:t>10</w:t>
                                            </w:r>
                                            <w:r w:rsidRPr="007E16FC">
                                              <w:rPr>
                                                <w:rFonts w:asciiTheme="minorHAnsi" w:hAnsi="Calibri" w:cstheme="minorBidi"/>
                                                <w:bCs/>
                                                <w:color w:val="FFFFFF" w:themeColor="light1"/>
                                                <w:kern w:val="24"/>
                                                <w:sz w:val="22"/>
                                                <w:szCs w:val="32"/>
                                              </w:rPr>
                                              <w:t xml:space="preserve"> funcionarios)</w:t>
                                            </w:r>
                                          </w:p>
                                        </w:txbxContent>
                                      </wps:txbx>
                                      <wps:bodyPr spcFirstLastPara="0" vert="horz" wrap="square" lIns="12700" tIns="12700" rIns="12700" bIns="12700" numCol="1" spcCol="1270" anchor="ctr" anchorCtr="0">
                                        <a:noAutofit/>
                                      </wps:bodyPr>
                                    </wps:wsp>
                                    <wpg:grpSp>
                                      <wpg:cNvPr id="563" name="12 Grupo"/>
                                      <wpg:cNvGrpSpPr/>
                                      <wpg:grpSpPr>
                                        <a:xfrm>
                                          <a:off x="4457700" y="2505075"/>
                                          <a:ext cx="1222882" cy="848094"/>
                                          <a:chOff x="5576635" y="2727004"/>
                                          <a:chExt cx="1782216" cy="891108"/>
                                        </a:xfrm>
                                      </wpg:grpSpPr>
                                      <wps:wsp>
                                        <wps:cNvPr id="564" name="13 Rectángulo"/>
                                        <wps:cNvSpPr/>
                                        <wps:spPr>
                                          <a:xfrm>
                                            <a:off x="5576635" y="2727004"/>
                                            <a:ext cx="1782216" cy="891108"/>
                                          </a:xfrm>
                                          <a:prstGeom prst="rect">
                                            <a:avLst/>
                                          </a:prstGeom>
                                          <a:gradFill flip="none" rotWithShape="1">
                                            <a:gsLst>
                                              <a:gs pos="0">
                                                <a:srgbClr val="4F81BD">
                                                  <a:hueOff val="0"/>
                                                  <a:satOff val="0"/>
                                                  <a:lumOff val="0"/>
                                                  <a:shade val="30000"/>
                                                  <a:satMod val="115000"/>
                                                </a:srgbClr>
                                              </a:gs>
                                              <a:gs pos="50000">
                                                <a:srgbClr val="4F81BD">
                                                  <a:hueOff val="0"/>
                                                  <a:satOff val="0"/>
                                                  <a:lumOff val="0"/>
                                                  <a:shade val="67500"/>
                                                  <a:satMod val="115000"/>
                                                </a:srgbClr>
                                              </a:gs>
                                              <a:gs pos="100000">
                                                <a:srgbClr val="4F81BD">
                                                  <a:hueOff val="0"/>
                                                  <a:satOff val="0"/>
                                                  <a:lumOff val="0"/>
                                                  <a:shade val="100000"/>
                                                  <a:satMod val="115000"/>
                                                </a:srgbClr>
                                              </a:gs>
                                            </a:gsLst>
                                            <a:lin ang="13500000" scaled="1"/>
                                            <a:tileRect/>
                                          </a:gradFill>
                                          <a:ln w="25400" cap="flat" cmpd="sng" algn="ctr">
                                            <a:noFill/>
                                            <a:prstDash val="solid"/>
                                          </a:ln>
                                          <a:effectLst>
                                            <a:outerShdw blurRad="44450" dist="27940" dir="5400000" algn="ctr">
                                              <a:srgbClr val="000000">
                                                <a:alpha val="32000"/>
                                              </a:srgbClr>
                                            </a:outerShdw>
                                          </a:effectLst>
                                          <a:sp3d>
                                            <a:bevelT w="190500" h="38100"/>
                                          </a:sp3d>
                                        </wps:spPr>
                                        <wps:txbx>
                                          <w:txbxContent>
                                            <w:p w:rsidR="0042321D" w:rsidRPr="00F23093" w:rsidRDefault="0042321D" w:rsidP="00ED2070">
                                              <w:pPr>
                                                <w:rPr>
                                                  <w:rFonts w:eastAsia="Times New Roman"/>
                                                  <w:sz w:val="16"/>
                                                </w:rPr>
                                              </w:pPr>
                                            </w:p>
                                          </w:txbxContent>
                                        </wps:txbx>
                                        <wps:bodyPr/>
                                      </wps:wsp>
                                      <wps:wsp>
                                        <wps:cNvPr id="565" name="14 Rectángulo"/>
                                        <wps:cNvSpPr/>
                                        <wps:spPr>
                                          <a:xfrm>
                                            <a:off x="5576635" y="2727004"/>
                                            <a:ext cx="1782216" cy="891108"/>
                                          </a:xfrm>
                                          <a:prstGeom prst="rect">
                                            <a:avLst/>
                                          </a:prstGeom>
                                          <a:noFill/>
                                          <a:ln>
                                            <a:noFill/>
                                          </a:ln>
                                          <a:effectLst>
                                            <a:outerShdw blurRad="44450" dist="27940" dir="5400000" algn="ctr">
                                              <a:srgbClr val="000000">
                                                <a:alpha val="32000"/>
                                              </a:srgbClr>
                                            </a:outerShdw>
                                          </a:effectLst>
                                          <a:sp3d>
                                            <a:bevelT w="190500" h="38100"/>
                                          </a:sp3d>
                                        </wps:spPr>
                                        <wps:txbx>
                                          <w:txbxContent>
                                            <w:p w:rsidR="0042321D" w:rsidRPr="00DA0709" w:rsidRDefault="0042321D" w:rsidP="00ED2070">
                                              <w:pPr>
                                                <w:pStyle w:val="NormalWeb"/>
                                                <w:spacing w:before="0" w:after="118" w:afterAutospacing="0" w:line="216" w:lineRule="auto"/>
                                                <w:jc w:val="center"/>
                                                <w:rPr>
                                                  <w:rFonts w:asciiTheme="minorHAnsi" w:hAnsi="Calibri" w:cstheme="minorBidi"/>
                                                  <w:b/>
                                                  <w:bCs/>
                                                  <w:color w:val="FFFFFF" w:themeColor="light1"/>
                                                  <w:kern w:val="24"/>
                                                  <w:szCs w:val="28"/>
                                                </w:rPr>
                                              </w:pPr>
                                              <w:r w:rsidRPr="00DA0709">
                                                <w:rPr>
                                                  <w:rFonts w:asciiTheme="minorHAnsi" w:hAnsi="Calibri" w:cstheme="minorBidi"/>
                                                  <w:b/>
                                                  <w:bCs/>
                                                  <w:color w:val="FFFFFF" w:themeColor="light1"/>
                                                  <w:kern w:val="24"/>
                                                  <w:szCs w:val="28"/>
                                                </w:rPr>
                                                <w:t>Área de Comunicación y Servicios</w:t>
                                              </w:r>
                                            </w:p>
                                            <w:p w:rsidR="0042321D" w:rsidRPr="00DA0709" w:rsidRDefault="0042321D" w:rsidP="00ED2070">
                                              <w:pPr>
                                                <w:pStyle w:val="NormalWeb"/>
                                                <w:spacing w:before="0" w:after="118" w:afterAutospacing="0" w:line="216" w:lineRule="auto"/>
                                                <w:jc w:val="center"/>
                                                <w:rPr>
                                                  <w:sz w:val="20"/>
                                                </w:rPr>
                                              </w:pPr>
                                              <w:r w:rsidRPr="007E16FC">
                                                <w:rPr>
                                                  <w:rFonts w:asciiTheme="minorHAnsi" w:hAnsi="Calibri" w:cstheme="minorBidi"/>
                                                  <w:bCs/>
                                                  <w:color w:val="FFFFFF" w:themeColor="light1"/>
                                                  <w:kern w:val="24"/>
                                                  <w:sz w:val="22"/>
                                                  <w:szCs w:val="28"/>
                                                </w:rPr>
                                                <w:t>(7 f</w:t>
                                              </w:r>
                                              <w:r w:rsidRPr="00DA0709">
                                                <w:rPr>
                                                  <w:rFonts w:asciiTheme="minorHAnsi" w:hAnsi="Calibri" w:cstheme="minorBidi"/>
                                                  <w:bCs/>
                                                  <w:color w:val="FFFFFF" w:themeColor="light1"/>
                                                  <w:kern w:val="24"/>
                                                  <w:sz w:val="22"/>
                                                  <w:szCs w:val="28"/>
                                                </w:rPr>
                                                <w:t>uncionarios)</w:t>
                                              </w:r>
                                            </w:p>
                                          </w:txbxContent>
                                        </wps:txbx>
                                        <wps:bodyPr spcFirstLastPara="0" vert="horz" wrap="square" lIns="12700" tIns="12700" rIns="12700" bIns="12700" numCol="1" spcCol="1270" anchor="ctr" anchorCtr="0">
                                          <a:noAutofit/>
                                        </wps:bodyPr>
                                      </wps:wsp>
                                    </wpg:grpSp>
                                  </wpg:grpSp>
                                  <wps:wsp>
                                    <wps:cNvPr id="566" name="20 Conector recto"/>
                                    <wps:cNvCnPr/>
                                    <wps:spPr>
                                      <a:xfrm>
                                        <a:off x="485775" y="952500"/>
                                        <a:ext cx="4581525" cy="0"/>
                                      </a:xfrm>
                                      <a:prstGeom prst="line">
                                        <a:avLst/>
                                      </a:prstGeom>
                                      <a:noFill/>
                                      <a:ln w="25400" cap="flat" cmpd="sng" algn="ctr">
                                        <a:noFill/>
                                        <a:prstDash val="solid"/>
                                      </a:ln>
                                      <a:effectLst>
                                        <a:outerShdw blurRad="44450" dist="27940" dir="5400000" algn="ctr">
                                          <a:srgbClr val="000000">
                                            <a:alpha val="32000"/>
                                          </a:srgbClr>
                                        </a:outerShdw>
                                      </a:effectLst>
                                      <a:sp3d>
                                        <a:bevelT w="190500" h="38100"/>
                                      </a:sp3d>
                                    </wps:spPr>
                                    <wps:bodyPr/>
                                  </wps:wsp>
                                </wpg:grpSp>
                                <wps:wsp>
                                  <wps:cNvPr id="567" name="20 Conector recto"/>
                                  <wps:cNvCnPr/>
                                  <wps:spPr>
                                    <a:xfrm flipV="1">
                                      <a:off x="485775" y="952500"/>
                                      <a:ext cx="0" cy="152400"/>
                                    </a:xfrm>
                                    <a:prstGeom prst="line">
                                      <a:avLst/>
                                    </a:prstGeom>
                                    <a:noFill/>
                                    <a:ln w="25400" cap="flat" cmpd="sng" algn="ctr">
                                      <a:noFill/>
                                      <a:prstDash val="solid"/>
                                    </a:ln>
                                    <a:effectLst>
                                      <a:outerShdw blurRad="44450" dist="27940" dir="5400000" algn="ctr">
                                        <a:srgbClr val="000000">
                                          <a:alpha val="32000"/>
                                        </a:srgbClr>
                                      </a:outerShdw>
                                    </a:effectLst>
                                    <a:sp3d>
                                      <a:bevelT w="190500" h="38100"/>
                                    </a:sp3d>
                                  </wps:spPr>
                                  <wps:bodyPr/>
                                </wps:wsp>
                              </wpg:grpSp>
                              <wps:wsp>
                                <wps:cNvPr id="568" name="20 Conector recto"/>
                                <wps:cNvCnPr/>
                                <wps:spPr>
                                  <a:xfrm flipV="1">
                                    <a:off x="4057650" y="962025"/>
                                    <a:ext cx="0" cy="152400"/>
                                  </a:xfrm>
                                  <a:prstGeom prst="line">
                                    <a:avLst/>
                                  </a:prstGeom>
                                  <a:noFill/>
                                  <a:ln w="25400" cap="flat" cmpd="sng" algn="ctr">
                                    <a:noFill/>
                                    <a:prstDash val="solid"/>
                                  </a:ln>
                                  <a:effectLst>
                                    <a:outerShdw blurRad="44450" dist="27940" dir="5400000" algn="ctr">
                                      <a:srgbClr val="000000">
                                        <a:alpha val="32000"/>
                                      </a:srgbClr>
                                    </a:outerShdw>
                                  </a:effectLst>
                                  <a:sp3d>
                                    <a:bevelT w="190500" h="38100"/>
                                  </a:sp3d>
                                </wps:spPr>
                                <wps:bodyPr/>
                              </wps:wsp>
                            </wpg:grpSp>
                          </wpg:grpSp>
                        </wpg:grpSp>
                        <wpg:grpSp>
                          <wpg:cNvPr id="569" name="475 Grupo"/>
                          <wpg:cNvGrpSpPr/>
                          <wpg:grpSpPr>
                            <a:xfrm>
                              <a:off x="552450" y="733425"/>
                              <a:ext cx="4486275" cy="1685925"/>
                              <a:chOff x="0" y="0"/>
                              <a:chExt cx="4486275" cy="1685925"/>
                            </a:xfrm>
                          </wpg:grpSpPr>
                          <wps:wsp>
                            <wps:cNvPr id="570" name="469 Conector recto"/>
                            <wps:cNvCnPr/>
                            <wps:spPr>
                              <a:xfrm>
                                <a:off x="1838325" y="0"/>
                                <a:ext cx="0" cy="344018"/>
                              </a:xfrm>
                              <a:prstGeom prst="line">
                                <a:avLst/>
                              </a:prstGeom>
                              <a:ln w="25400"/>
                            </wps:spPr>
                            <wps:style>
                              <a:lnRef idx="1">
                                <a:schemeClr val="accent1"/>
                              </a:lnRef>
                              <a:fillRef idx="0">
                                <a:schemeClr val="accent1"/>
                              </a:fillRef>
                              <a:effectRef idx="0">
                                <a:schemeClr val="accent1"/>
                              </a:effectRef>
                              <a:fontRef idx="minor">
                                <a:schemeClr val="tx1"/>
                              </a:fontRef>
                            </wps:style>
                            <wps:bodyPr/>
                          </wps:wsp>
                          <wps:wsp>
                            <wps:cNvPr id="571" name="472 Conector recto"/>
                            <wps:cNvCnPr/>
                            <wps:spPr>
                              <a:xfrm>
                                <a:off x="4486275" y="200025"/>
                                <a:ext cx="0" cy="1485900"/>
                              </a:xfrm>
                              <a:prstGeom prst="line">
                                <a:avLst/>
                              </a:prstGeom>
                              <a:ln w="25400"/>
                            </wps:spPr>
                            <wps:style>
                              <a:lnRef idx="1">
                                <a:schemeClr val="accent1"/>
                              </a:lnRef>
                              <a:fillRef idx="0">
                                <a:schemeClr val="accent1"/>
                              </a:fillRef>
                              <a:effectRef idx="0">
                                <a:schemeClr val="accent1"/>
                              </a:effectRef>
                              <a:fontRef idx="minor">
                                <a:schemeClr val="tx1"/>
                              </a:fontRef>
                            </wps:style>
                            <wps:bodyPr/>
                          </wps:wsp>
                          <wps:wsp>
                            <wps:cNvPr id="572" name="473 Conector recto"/>
                            <wps:cNvCnPr/>
                            <wps:spPr>
                              <a:xfrm>
                                <a:off x="0" y="200025"/>
                                <a:ext cx="0" cy="146050"/>
                              </a:xfrm>
                              <a:prstGeom prst="line">
                                <a:avLst/>
                              </a:prstGeom>
                              <a:ln w="25400"/>
                            </wps:spPr>
                            <wps:style>
                              <a:lnRef idx="1">
                                <a:schemeClr val="accent1"/>
                              </a:lnRef>
                              <a:fillRef idx="0">
                                <a:schemeClr val="accent1"/>
                              </a:fillRef>
                              <a:effectRef idx="0">
                                <a:schemeClr val="accent1"/>
                              </a:effectRef>
                              <a:fontRef idx="minor">
                                <a:schemeClr val="tx1"/>
                              </a:fontRef>
                            </wps:style>
                            <wps:bodyPr/>
                          </wps:wsp>
                          <wps:wsp>
                            <wps:cNvPr id="573" name="474 Conector recto"/>
                            <wps:cNvCnPr/>
                            <wps:spPr>
                              <a:xfrm>
                                <a:off x="3476625" y="209550"/>
                                <a:ext cx="0" cy="146050"/>
                              </a:xfrm>
                              <a:prstGeom prst="line">
                                <a:avLst/>
                              </a:prstGeom>
                              <a:noFill/>
                              <a:ln w="25400" cap="flat" cmpd="sng" algn="ctr">
                                <a:solidFill>
                                  <a:srgbClr val="4F81BD">
                                    <a:shade val="95000"/>
                                    <a:satMod val="105000"/>
                                  </a:srgbClr>
                                </a:solidFill>
                                <a:prstDash val="solid"/>
                              </a:ln>
                              <a:effectLst/>
                            </wps:spPr>
                            <wps:bodyPr/>
                          </wps:wsp>
                        </wpg:grpSp>
                      </wpg:grpSp>
                    </wpg:wgp>
                  </a:graphicData>
                </a:graphic>
                <wp14:sizeRelH relativeFrom="margin">
                  <wp14:pctWidth>0</wp14:pctWidth>
                </wp14:sizeRelH>
                <wp14:sizeRelV relativeFrom="margin">
                  <wp14:pctHeight>0</wp14:pctHeight>
                </wp14:sizeRelV>
              </wp:anchor>
            </w:drawing>
          </mc:Choice>
          <mc:Fallback>
            <w:pict>
              <v:group w14:anchorId="5D508F7A" id="477 Grupo" o:spid="_x0000_s1026" style="position:absolute;left:0;text-align:left;margin-left:58pt;margin-top:1.2pt;width:406.85pt;height:218.25pt;z-index:251658242;mso-width-relative:margin;mso-height-relative:margin" coordsize="56502,3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">
                <v:line id="471 Conector recto" o:spid="_x0000_s1027" style="position:absolute;visibility:visible;mso-wrap-style:square" from="5524,9334" to="50399,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" strokecolor="#4f81bd [3204]" strokeweight="2pt">
                  <v:stroke joinstyle="miter"/>
                </v:line>
                <v:group id="476 Grupo" o:spid="_x0000_s1028" style="position:absolute;width:56502;height:32385" coordsize="56502,32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">
                  <v:group id="27 Grupo" o:spid="_x0000_s1029" style="position:absolute;width:56502;height:32385" coordsize="56805,33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">
                    <v:line id="22 Conector recto" o:spid="_x0000_s1030" style="position:absolute;visibility:visible;mso-wrap-style:square" from="50673,9620" to="50673,25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" stroked="f" strokeweight="2pt">
                      <v:shadow on="t" color="black" opacity="20971f" offset="0,2.2pt"/>
                    </v:line>
                    <v:group id="26 Grupo" o:spid="_x0000_s1031" style="position:absolute;width:56805;height:33531" coordsize="56805,33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">
                      <v:shape id="6 Forma libre" o:spid="_x0000_s1032" style="position:absolute;left:24003;top:7620;width:730;height:3561;visibility:visible;mso-wrap-style:square;v-text-anchor:top" coordsize="73032,3561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" adj="-11796480,,5400" path="m45720,r,374265e" filled="f" stroked="f" strokeweight="2pt">
                        <v:stroke joinstyle="miter"/>
                        <v:shadow on="t" color="black" opacity="20971f" offset="0,2.2pt"/>
                        <v:formulas/>
                        <v:path arrowok="t" o:connecttype="custom" textboxrect="0,0,73032,356199"/>
                        <v:textbox>
                          <w:txbxContent>
                            <w:p w:rsidR="0042321D" w:rsidRDefault="0042321D" w:rsidP="00ED2070">
                              <w:pPr>
                                <w:rPr>
                                  <w:rFonts w:eastAsia="Times New Roman"/>
                                </w:rPr>
                              </w:pPr>
                            </w:p>
                          </w:txbxContent>
                        </v:textbox>
                      </v:shape>
                      <v:group id="25 Grupo" o:spid="_x0000_s1033" style="position:absolute;width:56805;height:33531" coordsize="56805,33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">
                        <v:group id="24 Grupo" o:spid="_x0000_s1034" style="position:absolute;width:56805;height:33531" coordsize="56805,33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">
                          <v:group id="20 Grupo" o:spid="_x0000_s1035" style="position:absolute;width:56805;height:33531" coordsize="56805,33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">
                            <v:group id="15 Grupo" o:spid="_x0000_s1036" style="position:absolute;width:56805;height:33531" coordsize="56805,33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">
                              <v:shape id="8 Forma libre" o:spid="_x0000_s1037" style="position:absolute;left:17240;width:13258;height:7574;visibility:visible;mso-wrap-style:square;v-text-anchor:middle" coordsize="1782216,8911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" adj="-11796480,,5400" path="m,l1782216,r,891108l,891108,,xe" fillcolor="#254872" stroked="f" strokeweight="2pt">
                                <v:fill color2="#4780c5" rotate="t" angle="180" colors="0 #254872;.5 #3a6ba5;1 #4780c5" focus="100%" type="gradient"/>
                                <v:stroke joinstyle="miter"/>
                                <v:shadow on="t" color="black" opacity="20971f" offset="0,2.2pt"/>
                                <v:formulas/>
                                <v:path arrowok="t" o:connecttype="custom" o:connectlocs="0,0;1325784,0;1325784,757430;0,757430;0,0" o:connectangles="0,0,0,0,0" textboxrect="0,0,1782216,891108"/>
                                <v:textbox inset="1pt,1pt,1pt,1pt">
                                  <w:txbxContent>
                                    <w:p w:rsidR="0042321D" w:rsidRPr="00DA0709" w:rsidRDefault="0042321D" w:rsidP="00ED2070">
                                      <w:pPr>
                                        <w:pStyle w:val="NormalWeb"/>
                                        <w:spacing w:before="0" w:after="168" w:afterAutospacing="0" w:line="216" w:lineRule="auto"/>
                                        <w:jc w:val="center"/>
                                        <w:rPr>
                                          <w:rFonts w:asciiTheme="minorHAnsi" w:hAnsi="Calibri" w:cstheme="minorBidi"/>
                                          <w:b/>
                                          <w:bCs/>
                                          <w:color w:val="FFFFFF" w:themeColor="light1"/>
                                          <w:kern w:val="24"/>
                                          <w:sz w:val="28"/>
                                          <w:szCs w:val="40"/>
                                          <w14:shadow w14:blurRad="50800" w14:dist="38100" w14:dir="18900000" w14:sx="100000" w14:sy="100000" w14:kx="0" w14:ky="0" w14:algn="bl">
                                            <w14:srgbClr w14:val="000000">
                                              <w14:alpha w14:val="60000"/>
                                            </w14:srgbClr>
                                          </w14:shadow>
                                        </w:rPr>
                                      </w:pPr>
                                      <w:r w:rsidRPr="00DA0709">
                                        <w:rPr>
                                          <w:rFonts w:asciiTheme="minorHAnsi" w:hAnsi="Calibri" w:cstheme="minorBidi"/>
                                          <w:b/>
                                          <w:bCs/>
                                          <w:color w:val="FFFFFF" w:themeColor="light1"/>
                                          <w:kern w:val="24"/>
                                          <w:sz w:val="28"/>
                                          <w:szCs w:val="40"/>
                                          <w14:shadow w14:blurRad="50800" w14:dist="38100" w14:dir="18900000" w14:sx="100000" w14:sy="100000" w14:kx="0" w14:ky="0" w14:algn="bl">
                                            <w14:srgbClr w14:val="000000">
                                              <w14:alpha w14:val="60000"/>
                                            </w14:srgbClr>
                                          </w14:shadow>
                                        </w:rPr>
                                        <w:t>Despacho</w:t>
                                      </w:r>
                                    </w:p>
                                    <w:p w:rsidR="0042321D" w:rsidRPr="00DA0709" w:rsidRDefault="0042321D" w:rsidP="00ED2070">
                                      <w:pPr>
                                        <w:pStyle w:val="NormalWeb"/>
                                        <w:spacing w:before="0" w:after="168" w:afterAutospacing="0" w:line="216" w:lineRule="auto"/>
                                        <w:jc w:val="center"/>
                                        <w:rPr>
                                          <w:sz w:val="22"/>
                                          <w:szCs w:val="22"/>
                                        </w:rPr>
                                      </w:pPr>
                                      <w:r>
                                        <w:rPr>
                                          <w:rFonts w:asciiTheme="minorHAnsi" w:hAnsi="Calibri" w:cstheme="minorBidi"/>
                                          <w:bCs/>
                                          <w:color w:val="FFFFFF" w:themeColor="light1"/>
                                          <w:kern w:val="24"/>
                                          <w:sz w:val="22"/>
                                          <w:szCs w:val="22"/>
                                          <w14:shadow w14:blurRad="50800" w14:dist="38100" w14:dir="18900000" w14:sx="100000" w14:sy="100000" w14:kx="0" w14:ky="0" w14:algn="bl">
                                            <w14:srgbClr w14:val="000000">
                                              <w14:alpha w14:val="60000"/>
                                            </w14:srgbClr>
                                          </w14:shadow>
                                        </w:rPr>
                                        <w:t>(3</w:t>
                                      </w:r>
                                      <w:r w:rsidRPr="00DA0709">
                                        <w:rPr>
                                          <w:rFonts w:asciiTheme="minorHAnsi" w:hAnsi="Calibri" w:cstheme="minorBidi"/>
                                          <w:bCs/>
                                          <w:color w:val="FFFFFF" w:themeColor="light1"/>
                                          <w:kern w:val="24"/>
                                          <w:sz w:val="22"/>
                                          <w:szCs w:val="22"/>
                                          <w14:shadow w14:blurRad="50800" w14:dist="38100" w14:dir="18900000" w14:sx="100000" w14:sy="100000" w14:kx="0" w14:ky="0" w14:algn="bl">
                                            <w14:srgbClr w14:val="000000">
                                              <w14:alpha w14:val="60000"/>
                                            </w14:srgbClr>
                                          </w14:shadow>
                                        </w:rPr>
                                        <w:t xml:space="preserve"> funcionarios)</w:t>
                                      </w:r>
                                    </w:p>
                                  </w:txbxContent>
                                </v:textbox>
                              </v:shape>
                              <v:shape id="9 Forma libre" o:spid="_x0000_s1038" style="position:absolute;top:11144;width:11502;height:8481;visibility:visible;mso-wrap-style:square;v-text-anchor:middle" coordsize="1782216,8911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" adj="-11796480,,5400" path="m,l1782216,r,891108l,891108,,xe" fillcolor="#254872" stroked="f" strokeweight="2pt">
                                <v:fill color2="#4780c5" rotate="t" angle="225" colors="0 #254872;.5 #3a6ba5;1 #4780c5" focus="100%" type="gradient"/>
                                <v:stroke joinstyle="miter"/>
                                <v:shadow on="t" color="black" opacity="20971f" offset="0,2.2pt"/>
                                <v:formulas/>
                                <v:path arrowok="t" o:connecttype="custom" o:connectlocs="0,0;1150245,0;1150245,848094;0,848094;0,0" o:connectangles="0,0,0,0,0" textboxrect="0,0,1782216,891108"/>
                                <v:textbox inset="1pt,1pt,1pt,1pt">
                                  <w:txbxContent>
                                    <w:p w:rsidR="0042321D" w:rsidRPr="00DA0709" w:rsidRDefault="0042321D" w:rsidP="00ED2070">
                                      <w:pPr>
                                        <w:pStyle w:val="NormalWeb"/>
                                        <w:spacing w:before="0" w:after="134" w:afterAutospacing="0" w:line="216" w:lineRule="auto"/>
                                        <w:jc w:val="center"/>
                                        <w:rPr>
                                          <w:rFonts w:asciiTheme="minorHAnsi" w:hAnsi="Calibri" w:cstheme="minorBidi"/>
                                          <w:b/>
                                          <w:bCs/>
                                          <w:color w:val="FFFFFF" w:themeColor="light1"/>
                                          <w:kern w:val="24"/>
                                          <w:szCs w:val="32"/>
                                        </w:rPr>
                                      </w:pPr>
                                      <w:r w:rsidRPr="00DA0709">
                                        <w:rPr>
                                          <w:rFonts w:asciiTheme="minorHAnsi" w:hAnsi="Calibri" w:cstheme="minorBidi"/>
                                          <w:b/>
                                          <w:bCs/>
                                          <w:color w:val="FFFFFF" w:themeColor="light1"/>
                                          <w:kern w:val="24"/>
                                          <w:szCs w:val="32"/>
                                        </w:rPr>
                                        <w:t>División de Normativa y Autorizaciones</w:t>
                                      </w:r>
                                    </w:p>
                                    <w:p w:rsidR="0042321D" w:rsidRPr="00DA0709" w:rsidRDefault="0042321D" w:rsidP="00ED2070">
                                      <w:pPr>
                                        <w:pStyle w:val="NormalWeb"/>
                                        <w:spacing w:before="0" w:after="134" w:afterAutospacing="0" w:line="216" w:lineRule="auto"/>
                                        <w:jc w:val="center"/>
                                        <w:rPr>
                                          <w:sz w:val="20"/>
                                        </w:rPr>
                                      </w:pPr>
                                      <w:r w:rsidRPr="007E16FC">
                                        <w:rPr>
                                          <w:rFonts w:asciiTheme="minorHAnsi" w:hAnsi="Calibri" w:cstheme="minorBidi"/>
                                          <w:bCs/>
                                          <w:color w:val="FFFFFF" w:themeColor="light1"/>
                                          <w:kern w:val="24"/>
                                          <w:sz w:val="22"/>
                                          <w:szCs w:val="32"/>
                                        </w:rPr>
                                        <w:t>(</w:t>
                                      </w:r>
                                      <w:r>
                                        <w:rPr>
                                          <w:rFonts w:asciiTheme="minorHAnsi" w:hAnsi="Calibri" w:cstheme="minorBidi"/>
                                          <w:bCs/>
                                          <w:color w:val="FFFFFF" w:themeColor="light1"/>
                                          <w:kern w:val="24"/>
                                          <w:sz w:val="22"/>
                                          <w:szCs w:val="32"/>
                                        </w:rPr>
                                        <w:t>9</w:t>
                                      </w:r>
                                      <w:r w:rsidRPr="00DA0709">
                                        <w:rPr>
                                          <w:rFonts w:asciiTheme="minorHAnsi" w:hAnsi="Calibri" w:cstheme="minorBidi"/>
                                          <w:bCs/>
                                          <w:color w:val="FFFFFF" w:themeColor="light1"/>
                                          <w:kern w:val="24"/>
                                          <w:sz w:val="22"/>
                                          <w:szCs w:val="32"/>
                                        </w:rPr>
                                        <w:t xml:space="preserve"> funcionarios)</w:t>
                                      </w:r>
                                    </w:p>
                                  </w:txbxContent>
                                </v:textbox>
                              </v:shape>
                              <v:shape id="10 Forma libre" o:spid="_x0000_s1039" style="position:absolute;left:17240;top:11144;width:13258;height:8481;visibility:visible;mso-wrap-style:square;v-text-anchor:middle" coordsize="1782216,8911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" adj="-11796480,,5400" path="m,l1782216,r,891108l,891108,,xe" fillcolor="#254872" stroked="f" strokeweight="2pt">
                                <v:fill color2="#4780c5" rotate="t" angle="225" colors="0 #254872;.5 #3a6ba5;1 #4780c5" focus="100%" type="gradient"/>
                                <v:stroke joinstyle="miter"/>
                                <v:shadow on="t" color="black" opacity="20971f" offset="0,2.2pt"/>
                                <v:formulas/>
                                <v:path arrowok="t" o:connecttype="custom" o:connectlocs="0,0;1325784,0;1325784,848094;0,848094;0,0" o:connectangles="0,0,0,0,0" textboxrect="0,0,1782216,891108"/>
                                <v:textbox inset="1pt,1pt,1pt,1pt">
                                  <w:txbxContent>
                                    <w:p w:rsidR="0042321D" w:rsidRPr="00DA0709" w:rsidRDefault="0042321D" w:rsidP="00ED2070">
                                      <w:pPr>
                                        <w:pStyle w:val="NormalWeb"/>
                                        <w:spacing w:before="0" w:after="134" w:afterAutospacing="0" w:line="216" w:lineRule="auto"/>
                                        <w:jc w:val="center"/>
                                        <w:rPr>
                                          <w:rFonts w:asciiTheme="minorHAnsi" w:hAnsi="Calibri" w:cstheme="minorBidi"/>
                                          <w:b/>
                                          <w:bCs/>
                                          <w:color w:val="FFFFFF" w:themeColor="light1"/>
                                          <w:kern w:val="24"/>
                                          <w:szCs w:val="32"/>
                                        </w:rPr>
                                      </w:pPr>
                                      <w:r w:rsidRPr="00DA0709">
                                        <w:rPr>
                                          <w:rFonts w:asciiTheme="minorHAnsi" w:hAnsi="Calibri" w:cstheme="minorBidi"/>
                                          <w:b/>
                                          <w:bCs/>
                                          <w:color w:val="FFFFFF" w:themeColor="light1"/>
                                          <w:kern w:val="24"/>
                                          <w:szCs w:val="32"/>
                                        </w:rPr>
                                        <w:t>División de Supervisión</w:t>
                                      </w:r>
                                    </w:p>
                                    <w:p w:rsidR="0042321D" w:rsidRPr="00DA0709" w:rsidRDefault="0042321D" w:rsidP="00ED2070">
                                      <w:pPr>
                                        <w:pStyle w:val="NormalWeb"/>
                                        <w:spacing w:before="0" w:after="0" w:afterAutospacing="0" w:line="216" w:lineRule="auto"/>
                                        <w:jc w:val="center"/>
                                        <w:rPr>
                                          <w:rFonts w:asciiTheme="minorHAnsi" w:hAnsi="Calibri" w:cstheme="minorBidi"/>
                                          <w:bCs/>
                                          <w:color w:val="FFFFFF" w:themeColor="light1"/>
                                          <w:kern w:val="24"/>
                                          <w:sz w:val="22"/>
                                          <w:szCs w:val="32"/>
                                        </w:rPr>
                                      </w:pPr>
                                      <w:r>
                                        <w:rPr>
                                          <w:rFonts w:asciiTheme="minorHAnsi" w:hAnsi="Calibri" w:cstheme="minorBidi"/>
                                          <w:bCs/>
                                          <w:color w:val="FFFFFF" w:themeColor="light1"/>
                                          <w:kern w:val="24"/>
                                          <w:sz w:val="22"/>
                                          <w:szCs w:val="32"/>
                                        </w:rPr>
                                        <w:t>(</w:t>
                                      </w:r>
                                      <w:r w:rsidRPr="007E16FC">
                                        <w:rPr>
                                          <w:rFonts w:asciiTheme="minorHAnsi" w:hAnsi="Calibri" w:cstheme="minorBidi"/>
                                          <w:bCs/>
                                          <w:color w:val="FFFFFF" w:themeColor="light1"/>
                                          <w:kern w:val="24"/>
                                          <w:sz w:val="22"/>
                                          <w:szCs w:val="32"/>
                                        </w:rPr>
                                        <w:t>21 funcionarios)</w:t>
                                      </w:r>
                                    </w:p>
                                    <w:p w:rsidR="0042321D" w:rsidRPr="00DA0709" w:rsidRDefault="0042321D" w:rsidP="00ED2070">
                                      <w:pPr>
                                        <w:pStyle w:val="NormalWeb"/>
                                        <w:spacing w:before="0" w:after="134" w:afterAutospacing="0" w:line="216" w:lineRule="auto"/>
                                        <w:jc w:val="center"/>
                                        <w:rPr>
                                          <w:sz w:val="20"/>
                                        </w:rPr>
                                      </w:pPr>
                                    </w:p>
                                  </w:txbxContent>
                                </v:textbox>
                              </v:shape>
                              <v:shape id="11 Forma libre" o:spid="_x0000_s1040" style="position:absolute;left:34480;top:11144;width:12713;height:8481;visibility:visible;mso-wrap-style:square;v-text-anchor:middle" coordsize="1782216,8911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" adj="-11796480,,5400" path="m,l1782216,r,891108l,891108,,xe" fillcolor="#254872" stroked="f" strokeweight="2pt">
                                <v:fill color2="#4780c5" rotate="t" angle="225" colors="0 #254872;.5 #3a6ba5;1 #4780c5" focus="100%" type="gradient"/>
                                <v:stroke joinstyle="miter"/>
                                <v:shadow on="t" color="black" opacity="20971f" offset="0,2.2pt"/>
                                <v:formulas/>
                                <v:path arrowok="t" o:connecttype="custom" o:connectlocs="0,0;1271273,0;1271273,848094;0,848094;0,0" o:connectangles="0,0,0,0,0" textboxrect="0,0,1782216,891108"/>
                                <v:textbox inset="1pt,1pt,1pt,1pt">
                                  <w:txbxContent>
                                    <w:p w:rsidR="0042321D" w:rsidRPr="00DA0709" w:rsidRDefault="0042321D" w:rsidP="00ED2070">
                                      <w:pPr>
                                        <w:pStyle w:val="NormalWeb"/>
                                        <w:spacing w:before="0" w:after="134" w:afterAutospacing="0" w:line="216" w:lineRule="auto"/>
                                        <w:jc w:val="center"/>
                                        <w:rPr>
                                          <w:rFonts w:asciiTheme="minorHAnsi" w:hAnsi="Calibri" w:cstheme="minorBidi"/>
                                          <w:b/>
                                          <w:bCs/>
                                          <w:color w:val="FFFFFF" w:themeColor="light1"/>
                                          <w:kern w:val="24"/>
                                          <w:szCs w:val="32"/>
                                        </w:rPr>
                                      </w:pPr>
                                      <w:r w:rsidRPr="00DA0709">
                                        <w:rPr>
                                          <w:rFonts w:asciiTheme="minorHAnsi" w:hAnsi="Calibri" w:cstheme="minorBidi"/>
                                          <w:b/>
                                          <w:bCs/>
                                          <w:color w:val="FFFFFF" w:themeColor="light1"/>
                                          <w:kern w:val="24"/>
                                          <w:szCs w:val="32"/>
                                        </w:rPr>
                                        <w:t xml:space="preserve">División </w:t>
                                      </w:r>
                                    </w:p>
                                    <w:p w:rsidR="0042321D" w:rsidRPr="00DA0709" w:rsidRDefault="0042321D" w:rsidP="00ED2070">
                                      <w:pPr>
                                        <w:pStyle w:val="NormalWeb"/>
                                        <w:spacing w:before="0" w:after="134" w:afterAutospacing="0" w:line="216" w:lineRule="auto"/>
                                        <w:jc w:val="center"/>
                                        <w:rPr>
                                          <w:rFonts w:asciiTheme="minorHAnsi" w:hAnsi="Calibri" w:cstheme="minorBidi"/>
                                          <w:b/>
                                          <w:bCs/>
                                          <w:color w:val="FFFFFF" w:themeColor="light1"/>
                                          <w:kern w:val="24"/>
                                          <w:szCs w:val="32"/>
                                        </w:rPr>
                                      </w:pPr>
                                      <w:r w:rsidRPr="00DA0709">
                                        <w:rPr>
                                          <w:rFonts w:asciiTheme="minorHAnsi" w:hAnsi="Calibri" w:cstheme="minorBidi"/>
                                          <w:b/>
                                          <w:bCs/>
                                          <w:color w:val="FFFFFF" w:themeColor="light1"/>
                                          <w:kern w:val="24"/>
                                          <w:szCs w:val="32"/>
                                        </w:rPr>
                                        <w:t>Jurídica</w:t>
                                      </w:r>
                                    </w:p>
                                    <w:p w:rsidR="0042321D" w:rsidRPr="00DA0709" w:rsidRDefault="0042321D" w:rsidP="00ED2070">
                                      <w:pPr>
                                        <w:pStyle w:val="NormalWeb"/>
                                        <w:spacing w:before="0" w:after="134" w:afterAutospacing="0" w:line="216" w:lineRule="auto"/>
                                        <w:jc w:val="center"/>
                                      </w:pPr>
                                      <w:r w:rsidRPr="007E16FC">
                                        <w:rPr>
                                          <w:rFonts w:asciiTheme="minorHAnsi" w:hAnsi="Calibri" w:cstheme="minorBidi"/>
                                          <w:bCs/>
                                          <w:color w:val="FFFFFF" w:themeColor="light1"/>
                                          <w:kern w:val="24"/>
                                          <w:sz w:val="22"/>
                                          <w:szCs w:val="32"/>
                                        </w:rPr>
                                        <w:t>(</w:t>
                                      </w:r>
                                      <w:r>
                                        <w:rPr>
                                          <w:rFonts w:asciiTheme="minorHAnsi" w:hAnsi="Calibri" w:cstheme="minorBidi"/>
                                          <w:bCs/>
                                          <w:color w:val="FFFFFF" w:themeColor="light1"/>
                                          <w:kern w:val="24"/>
                                          <w:sz w:val="22"/>
                                          <w:szCs w:val="32"/>
                                        </w:rPr>
                                        <w:t>10</w:t>
                                      </w:r>
                                      <w:r w:rsidRPr="007E16FC">
                                        <w:rPr>
                                          <w:rFonts w:asciiTheme="minorHAnsi" w:hAnsi="Calibri" w:cstheme="minorBidi"/>
                                          <w:bCs/>
                                          <w:color w:val="FFFFFF" w:themeColor="light1"/>
                                          <w:kern w:val="24"/>
                                          <w:sz w:val="22"/>
                                          <w:szCs w:val="32"/>
                                        </w:rPr>
                                        <w:t xml:space="preserve"> funcionarios)</w:t>
                                      </w:r>
                                    </w:p>
                                  </w:txbxContent>
                                </v:textbox>
                              </v:shape>
                              <v:group id="12 Grupo" o:spid="_x0000_s1041" style="position:absolute;left:44577;top:25050;width:12228;height:8481" coordorigin="55766,27270" coordsize="17822,8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">
                                <v:rect id="13 Rectángulo" o:spid="_x0000_s1042" style="position:absolute;left:55766;top:27270;width:17822;height:8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" fillcolor="#254872" stroked="f" strokeweight="2pt">
                                  <v:fill color2="#4780c5" rotate="t" angle="225" colors="0 #254872;.5 #3a6ba5;1 #4780c5" focus="100%" type="gradient"/>
                                  <v:shadow on="t" color="black" opacity="20971f" offset="0,2.2pt"/>
                                  <v:textbox>
                                    <w:txbxContent>
                                      <w:p w:rsidR="0042321D" w:rsidRPr="00F23093" w:rsidRDefault="0042321D" w:rsidP="00ED2070">
                                        <w:pPr>
                                          <w:rPr>
                                            <w:rFonts w:eastAsia="Times New Roman"/>
                                            <w:sz w:val="16"/>
                                          </w:rPr>
                                        </w:pPr>
                                      </w:p>
                                    </w:txbxContent>
                                  </v:textbox>
                                </v:rect>
                                <v:rect id="14 Rectángulo" o:spid="_x0000_s1043" style="position:absolute;left:55766;top:27270;width:17822;height:8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" filled="f" stroked="f">
                                  <v:shadow on="t" color="black" opacity="20971f" offset="0,2.2pt"/>
                                  <v:textbox inset="1pt,1pt,1pt,1pt">
                                    <w:txbxContent>
                                      <w:p w:rsidR="0042321D" w:rsidRPr="00DA0709" w:rsidRDefault="0042321D" w:rsidP="00ED2070">
                                        <w:pPr>
                                          <w:pStyle w:val="NormalWeb"/>
                                          <w:spacing w:before="0" w:after="118" w:afterAutospacing="0" w:line="216" w:lineRule="auto"/>
                                          <w:jc w:val="center"/>
                                          <w:rPr>
                                            <w:rFonts w:asciiTheme="minorHAnsi" w:hAnsi="Calibri" w:cstheme="minorBidi"/>
                                            <w:b/>
                                            <w:bCs/>
                                            <w:color w:val="FFFFFF" w:themeColor="light1"/>
                                            <w:kern w:val="24"/>
                                            <w:szCs w:val="28"/>
                                          </w:rPr>
                                        </w:pPr>
                                        <w:r w:rsidRPr="00DA0709">
                                          <w:rPr>
                                            <w:rFonts w:asciiTheme="minorHAnsi" w:hAnsi="Calibri" w:cstheme="minorBidi"/>
                                            <w:b/>
                                            <w:bCs/>
                                            <w:color w:val="FFFFFF" w:themeColor="light1"/>
                                            <w:kern w:val="24"/>
                                            <w:szCs w:val="28"/>
                                          </w:rPr>
                                          <w:t>Área de Comunicación y Servicios</w:t>
                                        </w:r>
                                      </w:p>
                                      <w:p w:rsidR="0042321D" w:rsidRPr="00DA0709" w:rsidRDefault="0042321D" w:rsidP="00ED2070">
                                        <w:pPr>
                                          <w:pStyle w:val="NormalWeb"/>
                                          <w:spacing w:before="0" w:after="118" w:afterAutospacing="0" w:line="216" w:lineRule="auto"/>
                                          <w:jc w:val="center"/>
                                          <w:rPr>
                                            <w:sz w:val="20"/>
                                          </w:rPr>
                                        </w:pPr>
                                        <w:r w:rsidRPr="007E16FC">
                                          <w:rPr>
                                            <w:rFonts w:asciiTheme="minorHAnsi" w:hAnsi="Calibri" w:cstheme="minorBidi"/>
                                            <w:bCs/>
                                            <w:color w:val="FFFFFF" w:themeColor="light1"/>
                                            <w:kern w:val="24"/>
                                            <w:sz w:val="22"/>
                                            <w:szCs w:val="28"/>
                                          </w:rPr>
                                          <w:t>(7 f</w:t>
                                        </w:r>
                                        <w:r w:rsidRPr="00DA0709">
                                          <w:rPr>
                                            <w:rFonts w:asciiTheme="minorHAnsi" w:hAnsi="Calibri" w:cstheme="minorBidi"/>
                                            <w:bCs/>
                                            <w:color w:val="FFFFFF" w:themeColor="light1"/>
                                            <w:kern w:val="24"/>
                                            <w:sz w:val="22"/>
                                            <w:szCs w:val="28"/>
                                          </w:rPr>
                                          <w:t>uncionarios)</w:t>
                                        </w:r>
                                      </w:p>
                                    </w:txbxContent>
                                  </v:textbox>
                                </v:rect>
                              </v:group>
                            </v:group>
                            <v:line id="20 Conector recto" o:spid="_x0000_s1044" style="position:absolute;visibility:visible;mso-wrap-style:square" from="4857,9525" to="50673,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" stroked="f" strokeweight="2pt">
                              <v:shadow on="t" color="black" opacity="20971f" offset="0,2.2pt"/>
                            </v:line>
                          </v:group>
                          <v:line id="20 Conector recto" o:spid="_x0000_s1045" style="position:absolute;flip:y;visibility:visible;mso-wrap-style:square" from="4857,9525" to="4857,11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" stroked="f" strokeweight="2pt">
                            <v:shadow on="t" color="black" opacity="20971f" offset="0,2.2pt"/>
                          </v:line>
                        </v:group>
                        <v:line id="20 Conector recto" o:spid="_x0000_s1046" style="position:absolute;flip:y;visibility:visible;mso-wrap-style:square" from="40576,9620" to="40576,1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" stroked="f" strokeweight="2pt">
                          <v:shadow on="t" color="black" opacity="20971f" offset="0,2.2pt"/>
                        </v:line>
                      </v:group>
                    </v:group>
                  </v:group>
                  <v:group id="475 Grupo" o:spid="_x0000_s1047" style="position:absolute;left:5524;top:7334;width:44863;height:16859" coordsize="44862,16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">
                    <v:line id="469 Conector recto" o:spid="_x0000_s1048" style="position:absolute;visibility:visible;mso-wrap-style:square" from="18383,0" to="18383,3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" strokecolor="#4f81bd [3204]" strokeweight="2pt">
                      <v:stroke joinstyle="miter"/>
                    </v:line>
                    <v:line id="472 Conector recto" o:spid="_x0000_s1049" style="position:absolute;visibility:visible;mso-wrap-style:square" from="44862,2000" to="44862,1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" strokecolor="#4f81bd [3204]" strokeweight="2pt">
                      <v:stroke joinstyle="miter"/>
                    </v:line>
                    <v:line id="473 Conector recto" o:spid="_x0000_s1050" style="position:absolute;visibility:visible;mso-wrap-style:square" from="0,2000" to="0,3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" strokecolor="#4f81bd [3204]" strokeweight="2pt">
                      <v:stroke joinstyle="miter"/>
                    </v:line>
                    <v:line id="474 Conector recto" o:spid="_x0000_s1051" style="position:absolute;visibility:visible;mso-wrap-style:square" from="34766,2095" to="34766,3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" strokecolor="#4a7ebb" strokeweight="2pt"/>
                  </v:group>
                </v:group>
              </v:group>
            </w:pict>
          </mc:Fallback>
        </mc:AlternateContent>
      </w:r>
    </w:p>
    <w:p w:rsidR="00ED2070" w:rsidRPr="00621934" w:rsidRDefault="00ED2070" w:rsidP="008C7ADA">
      <w:pPr>
        <w:spacing w:line="240" w:lineRule="auto"/>
        <w:jc w:val="center"/>
        <w:rPr>
          <w:color w:val="0070C0"/>
          <w:highlight w:val="yellow"/>
          <w:lang w:eastAsia="es-CR"/>
        </w:rPr>
      </w:pPr>
    </w:p>
    <w:p w:rsidR="00ED2070" w:rsidRPr="00621934" w:rsidRDefault="00ED2070" w:rsidP="008C7ADA">
      <w:pPr>
        <w:spacing w:line="240" w:lineRule="auto"/>
        <w:rPr>
          <w:highlight w:val="yellow"/>
        </w:rPr>
      </w:pPr>
    </w:p>
    <w:p w:rsidR="00B12944" w:rsidRPr="00621934" w:rsidRDefault="00B12944" w:rsidP="008C7ADA">
      <w:pPr>
        <w:spacing w:line="240" w:lineRule="auto"/>
        <w:jc w:val="center"/>
        <w:rPr>
          <w:highlight w:val="yellow"/>
        </w:rPr>
      </w:pPr>
    </w:p>
    <w:p w:rsidR="00C123F3" w:rsidRDefault="00C123F3" w:rsidP="008C7ADA">
      <w:pPr>
        <w:spacing w:line="240" w:lineRule="auto"/>
        <w:rPr>
          <w:highlight w:val="yellow"/>
        </w:rPr>
      </w:pPr>
    </w:p>
    <w:p w:rsidR="00297ABF" w:rsidRDefault="00297ABF" w:rsidP="008C7ADA">
      <w:pPr>
        <w:spacing w:line="240" w:lineRule="auto"/>
        <w:rPr>
          <w:highlight w:val="yellow"/>
        </w:rPr>
      </w:pPr>
    </w:p>
    <w:p w:rsidR="00297ABF" w:rsidRDefault="00297ABF" w:rsidP="008C7ADA">
      <w:pPr>
        <w:spacing w:line="240" w:lineRule="auto"/>
        <w:rPr>
          <w:highlight w:val="yellow"/>
        </w:rPr>
      </w:pPr>
    </w:p>
    <w:p w:rsidR="00297ABF" w:rsidRDefault="00297ABF" w:rsidP="008C7ADA">
      <w:pPr>
        <w:spacing w:line="240" w:lineRule="auto"/>
        <w:rPr>
          <w:highlight w:val="yellow"/>
        </w:rPr>
      </w:pPr>
    </w:p>
    <w:p w:rsidR="00297ABF" w:rsidRDefault="00297ABF" w:rsidP="008C7ADA">
      <w:pPr>
        <w:spacing w:line="240" w:lineRule="auto"/>
        <w:rPr>
          <w:highlight w:val="yellow"/>
        </w:rPr>
      </w:pPr>
    </w:p>
    <w:p w:rsidR="00CD38BF" w:rsidRDefault="00CD38BF">
      <w:pPr>
        <w:spacing w:line="360" w:lineRule="auto"/>
        <w:jc w:val="left"/>
        <w:rPr>
          <w:highlight w:val="yellow"/>
        </w:rPr>
      </w:pPr>
    </w:p>
    <w:p w:rsidR="00A547D8" w:rsidRPr="004B1036" w:rsidRDefault="00A547D8" w:rsidP="008C7ADA">
      <w:pPr>
        <w:pStyle w:val="Ttulo2"/>
        <w:numPr>
          <w:ilvl w:val="0"/>
          <w:numId w:val="3"/>
        </w:numPr>
        <w:spacing w:before="0" w:line="240" w:lineRule="auto"/>
        <w:rPr>
          <w:b/>
        </w:rPr>
      </w:pPr>
      <w:bookmarkStart w:id="5" w:name="_Toc65452649"/>
      <w:r w:rsidRPr="004B1036">
        <w:rPr>
          <w:b/>
        </w:rPr>
        <w:t>Descripción de las diferentes áreas de trabajo</w:t>
      </w:r>
      <w:bookmarkEnd w:id="5"/>
    </w:p>
    <w:p w:rsidR="00213D81" w:rsidRPr="004B1036" w:rsidRDefault="00213D81" w:rsidP="00421EBD"/>
    <w:p w:rsidR="00213D81" w:rsidRPr="004B1036" w:rsidRDefault="00213D81" w:rsidP="00421EBD">
      <w:pPr>
        <w:rPr>
          <w:szCs w:val="24"/>
        </w:rPr>
      </w:pPr>
      <w:r>
        <w:t>A continuación</w:t>
      </w:r>
      <w:r w:rsidR="00E74E6C">
        <w:t>,</w:t>
      </w:r>
      <w:r>
        <w:t xml:space="preserve"> se presenta una breve descripción de las funciones y responsabilidades de cada una de las dependencias que conforman la estructura organizacional de la </w:t>
      </w:r>
      <w:r w:rsidR="000A0042">
        <w:t>SUGESE</w:t>
      </w:r>
      <w:r>
        <w:t>.</w:t>
      </w:r>
    </w:p>
    <w:p w:rsidR="00A547D8" w:rsidRPr="004B1036" w:rsidRDefault="00A547D8" w:rsidP="00421EBD">
      <w:pPr>
        <w:pStyle w:val="Default"/>
        <w:spacing w:line="276" w:lineRule="auto"/>
        <w:rPr>
          <w:rFonts w:ascii="Cambria" w:hAnsi="Cambria"/>
          <w:color w:val="auto"/>
        </w:rPr>
      </w:pPr>
    </w:p>
    <w:p w:rsidR="00A547D8" w:rsidRPr="004B1036" w:rsidRDefault="00A547D8" w:rsidP="00421EBD">
      <w:pPr>
        <w:pStyle w:val="Default"/>
        <w:spacing w:line="276" w:lineRule="auto"/>
        <w:jc w:val="both"/>
        <w:rPr>
          <w:rFonts w:asciiTheme="minorHAnsi" w:hAnsiTheme="minorHAnsi" w:cstheme="minorBidi"/>
          <w:b/>
          <w:color w:val="auto"/>
        </w:rPr>
      </w:pPr>
      <w:r w:rsidRPr="004B1036">
        <w:rPr>
          <w:rFonts w:asciiTheme="minorHAnsi" w:hAnsiTheme="minorHAnsi" w:cstheme="minorBidi"/>
          <w:b/>
          <w:color w:val="auto"/>
        </w:rPr>
        <w:t>Despacho de</w:t>
      </w:r>
      <w:r w:rsidR="00213D81" w:rsidRPr="004B1036">
        <w:rPr>
          <w:rFonts w:asciiTheme="minorHAnsi" w:hAnsiTheme="minorHAnsi" w:cstheme="minorBidi"/>
          <w:b/>
          <w:color w:val="auto"/>
        </w:rPr>
        <w:t xml:space="preserve"> la Superintendencia</w:t>
      </w:r>
      <w:r w:rsidRPr="004B1036">
        <w:rPr>
          <w:rFonts w:asciiTheme="minorHAnsi" w:hAnsiTheme="minorHAnsi" w:cstheme="minorBidi"/>
          <w:b/>
          <w:color w:val="auto"/>
        </w:rPr>
        <w:t xml:space="preserve"> </w:t>
      </w:r>
    </w:p>
    <w:p w:rsidR="00A547D8" w:rsidRPr="004B1036" w:rsidRDefault="00A547D8" w:rsidP="00421EBD">
      <w:pPr>
        <w:pStyle w:val="Default"/>
        <w:spacing w:line="276" w:lineRule="auto"/>
        <w:jc w:val="both"/>
        <w:rPr>
          <w:rFonts w:ascii="Cambria" w:hAnsi="Cambria"/>
          <w:color w:val="auto"/>
        </w:rPr>
      </w:pPr>
    </w:p>
    <w:p w:rsidR="00213D81" w:rsidRPr="004B1036" w:rsidRDefault="00A547D8" w:rsidP="00421EBD">
      <w:pPr>
        <w:pStyle w:val="Default"/>
        <w:tabs>
          <w:tab w:val="left" w:pos="1843"/>
        </w:tabs>
        <w:spacing w:line="276" w:lineRule="auto"/>
        <w:jc w:val="both"/>
        <w:rPr>
          <w:rFonts w:asciiTheme="minorHAnsi" w:hAnsiTheme="minorHAnsi" w:cstheme="minorBidi"/>
          <w:color w:val="auto"/>
        </w:rPr>
      </w:pPr>
      <w:r w:rsidRPr="004B1036">
        <w:rPr>
          <w:rFonts w:asciiTheme="minorHAnsi" w:hAnsiTheme="minorHAnsi" w:cstheme="minorBidi"/>
          <w:b/>
          <w:color w:val="auto"/>
        </w:rPr>
        <w:t>Objetivo:</w:t>
      </w:r>
      <w:r w:rsidR="00213D81" w:rsidRPr="004B1036">
        <w:rPr>
          <w:rFonts w:asciiTheme="minorHAnsi" w:hAnsiTheme="minorHAnsi" w:cstheme="minorBidi"/>
          <w:color w:val="auto"/>
        </w:rPr>
        <w:t xml:space="preserve"> tiene a su cargo planificar, dirigir y coordinar todas aquellas actividades relacionadas con la organización, funcionamiento y coordinación de las dependencias de la Institución, con apoyo de las leyes, r</w:t>
      </w:r>
      <w:r w:rsidR="00EC1F2C" w:rsidRPr="004B1036">
        <w:rPr>
          <w:rFonts w:asciiTheme="minorHAnsi" w:hAnsiTheme="minorHAnsi" w:cstheme="minorBidi"/>
          <w:color w:val="auto"/>
        </w:rPr>
        <w:t xml:space="preserve">eglamentos y resoluciones del </w:t>
      </w:r>
      <w:r w:rsidR="000A0042" w:rsidRPr="004B1036">
        <w:rPr>
          <w:rFonts w:asciiTheme="minorHAnsi" w:hAnsiTheme="minorHAnsi" w:cstheme="minorBidi"/>
          <w:color w:val="auto"/>
        </w:rPr>
        <w:t>CONASSIF</w:t>
      </w:r>
      <w:r w:rsidR="00213D81" w:rsidRPr="004B1036">
        <w:rPr>
          <w:rFonts w:asciiTheme="minorHAnsi" w:hAnsiTheme="minorHAnsi" w:cstheme="minorBidi"/>
          <w:color w:val="auto"/>
        </w:rPr>
        <w:t>.</w:t>
      </w:r>
    </w:p>
    <w:p w:rsidR="00213D81" w:rsidRPr="004B1036" w:rsidRDefault="00213D81" w:rsidP="00421EBD">
      <w:pPr>
        <w:pStyle w:val="Default"/>
        <w:spacing w:line="276" w:lineRule="auto"/>
        <w:jc w:val="both"/>
        <w:rPr>
          <w:rFonts w:asciiTheme="minorHAnsi" w:hAnsiTheme="minorHAnsi" w:cstheme="minorBidi"/>
          <w:color w:val="auto"/>
        </w:rPr>
      </w:pPr>
    </w:p>
    <w:p w:rsidR="00A547D8" w:rsidRPr="004B1036" w:rsidRDefault="00A547D8" w:rsidP="00421EBD">
      <w:pPr>
        <w:pStyle w:val="Default"/>
        <w:spacing w:line="276" w:lineRule="auto"/>
        <w:jc w:val="both"/>
        <w:rPr>
          <w:rFonts w:asciiTheme="minorHAnsi" w:hAnsiTheme="minorHAnsi" w:cstheme="minorBidi"/>
          <w:b/>
          <w:color w:val="auto"/>
        </w:rPr>
      </w:pPr>
      <w:r w:rsidRPr="004B1036">
        <w:rPr>
          <w:rFonts w:asciiTheme="minorHAnsi" w:hAnsiTheme="minorHAnsi" w:cstheme="minorBidi"/>
          <w:b/>
          <w:color w:val="auto"/>
        </w:rPr>
        <w:t xml:space="preserve">Dependencias adscritas: </w:t>
      </w:r>
    </w:p>
    <w:p w:rsidR="00A547D8" w:rsidRPr="004B1036" w:rsidRDefault="00A547D8" w:rsidP="00421EBD">
      <w:pPr>
        <w:pStyle w:val="Default"/>
        <w:spacing w:line="276" w:lineRule="auto"/>
        <w:jc w:val="both"/>
        <w:rPr>
          <w:rFonts w:ascii="Cambria" w:hAnsi="Cambria"/>
          <w:color w:val="auto"/>
        </w:rPr>
      </w:pPr>
    </w:p>
    <w:p w:rsidR="00A547D8" w:rsidRPr="004B1036" w:rsidRDefault="00A547D8" w:rsidP="00421EBD">
      <w:pPr>
        <w:pStyle w:val="Default"/>
        <w:spacing w:line="276" w:lineRule="auto"/>
        <w:jc w:val="both"/>
        <w:rPr>
          <w:rFonts w:asciiTheme="minorHAnsi" w:hAnsiTheme="minorHAnsi" w:cstheme="minorBidi"/>
          <w:b/>
          <w:color w:val="auto"/>
        </w:rPr>
      </w:pPr>
      <w:r w:rsidRPr="004B1036">
        <w:rPr>
          <w:rFonts w:asciiTheme="minorHAnsi" w:hAnsiTheme="minorHAnsi" w:cstheme="minorBidi"/>
          <w:b/>
          <w:color w:val="auto"/>
        </w:rPr>
        <w:t xml:space="preserve">Áreas de </w:t>
      </w:r>
      <w:r w:rsidRPr="004B1036">
        <w:rPr>
          <w:rFonts w:asciiTheme="minorHAnsi" w:hAnsiTheme="minorHAnsi" w:cstheme="minorBidi"/>
          <w:b/>
          <w:i/>
          <w:color w:val="auto"/>
        </w:rPr>
        <w:t>staff</w:t>
      </w:r>
      <w:r w:rsidRPr="004B1036">
        <w:rPr>
          <w:rFonts w:asciiTheme="minorHAnsi" w:hAnsiTheme="minorHAnsi" w:cstheme="minorBidi"/>
          <w:b/>
          <w:color w:val="auto"/>
        </w:rPr>
        <w:t xml:space="preserve">: </w:t>
      </w:r>
    </w:p>
    <w:p w:rsidR="00213D81" w:rsidRPr="004B1036" w:rsidRDefault="00213D81" w:rsidP="00421EBD">
      <w:pPr>
        <w:pStyle w:val="Default"/>
        <w:spacing w:line="276" w:lineRule="auto"/>
        <w:ind w:left="720"/>
        <w:jc w:val="both"/>
        <w:rPr>
          <w:rFonts w:ascii="Cambria" w:hAnsi="Cambria"/>
          <w:color w:val="auto"/>
        </w:rPr>
      </w:pPr>
    </w:p>
    <w:p w:rsidR="00B773D0" w:rsidRPr="004B1036" w:rsidRDefault="00B773D0" w:rsidP="00421EBD">
      <w:pPr>
        <w:pStyle w:val="Default"/>
        <w:spacing w:line="276" w:lineRule="auto"/>
        <w:ind w:left="426"/>
        <w:jc w:val="both"/>
        <w:rPr>
          <w:rFonts w:asciiTheme="minorHAnsi" w:hAnsiTheme="minorHAnsi" w:cstheme="minorBidi"/>
          <w:b/>
          <w:color w:val="auto"/>
        </w:rPr>
      </w:pPr>
      <w:r w:rsidRPr="004B1036">
        <w:rPr>
          <w:rFonts w:asciiTheme="minorHAnsi" w:hAnsiTheme="minorHAnsi" w:cstheme="minorBidi"/>
          <w:b/>
          <w:i/>
          <w:color w:val="auto"/>
        </w:rPr>
        <w:t>Aseguramiento de la Calidad</w:t>
      </w:r>
    </w:p>
    <w:p w:rsidR="00A547D8" w:rsidRPr="004B1036" w:rsidRDefault="00A547D8" w:rsidP="00421EBD">
      <w:pPr>
        <w:pStyle w:val="Default"/>
        <w:spacing w:line="276" w:lineRule="auto"/>
        <w:ind w:left="426"/>
        <w:jc w:val="both"/>
        <w:rPr>
          <w:rFonts w:asciiTheme="minorHAnsi" w:hAnsiTheme="minorHAnsi" w:cstheme="minorBidi"/>
          <w:color w:val="auto"/>
        </w:rPr>
      </w:pPr>
      <w:r w:rsidRPr="004B1036">
        <w:rPr>
          <w:rFonts w:asciiTheme="minorHAnsi" w:hAnsiTheme="minorHAnsi" w:cstheme="minorBidi"/>
          <w:color w:val="auto"/>
          <w:u w:val="single"/>
        </w:rPr>
        <w:t>Objetivo</w:t>
      </w:r>
      <w:r w:rsidRPr="004B1036">
        <w:rPr>
          <w:rFonts w:asciiTheme="minorHAnsi" w:hAnsiTheme="minorHAnsi" w:cstheme="minorBidi"/>
          <w:b/>
          <w:color w:val="auto"/>
        </w:rPr>
        <w:t>:</w:t>
      </w:r>
      <w:r w:rsidRPr="004B1036">
        <w:rPr>
          <w:rFonts w:asciiTheme="minorHAnsi" w:hAnsiTheme="minorHAnsi" w:cstheme="minorBidi"/>
          <w:color w:val="auto"/>
        </w:rPr>
        <w:t xml:space="preserve"> </w:t>
      </w:r>
      <w:r w:rsidR="00B773D0" w:rsidRPr="004B1036">
        <w:rPr>
          <w:rFonts w:asciiTheme="minorHAnsi" w:hAnsiTheme="minorHAnsi" w:cstheme="minorBidi"/>
          <w:color w:val="auto"/>
        </w:rPr>
        <w:t>asegurar que el Sistema de Gestión de Calidad</w:t>
      </w:r>
      <w:r w:rsidR="00E6667E" w:rsidRPr="004B1036">
        <w:rPr>
          <w:rFonts w:asciiTheme="minorHAnsi" w:hAnsiTheme="minorHAnsi" w:cstheme="minorBidi"/>
          <w:color w:val="auto"/>
        </w:rPr>
        <w:t xml:space="preserve"> (SGC)</w:t>
      </w:r>
      <w:r w:rsidR="00B773D0" w:rsidRPr="004B1036">
        <w:rPr>
          <w:rFonts w:asciiTheme="minorHAnsi" w:hAnsiTheme="minorHAnsi" w:cstheme="minorBidi"/>
          <w:color w:val="auto"/>
        </w:rPr>
        <w:t xml:space="preserve"> de la </w:t>
      </w:r>
      <w:r w:rsidR="000A0042" w:rsidRPr="004B1036">
        <w:rPr>
          <w:rFonts w:asciiTheme="minorHAnsi" w:hAnsiTheme="minorHAnsi" w:cstheme="minorBidi"/>
          <w:color w:val="auto"/>
        </w:rPr>
        <w:t>SUGESE</w:t>
      </w:r>
      <w:r w:rsidR="00B773D0" w:rsidRPr="004B1036">
        <w:rPr>
          <w:rFonts w:asciiTheme="minorHAnsi" w:hAnsiTheme="minorHAnsi" w:cstheme="minorBidi"/>
          <w:color w:val="auto"/>
        </w:rPr>
        <w:t xml:space="preserve"> promueva la mejora continua de los procesos, la</w:t>
      </w:r>
      <w:r w:rsidR="00C14664" w:rsidRPr="004B1036">
        <w:rPr>
          <w:rFonts w:asciiTheme="minorHAnsi" w:hAnsiTheme="minorHAnsi" w:cstheme="minorBidi"/>
          <w:color w:val="auto"/>
        </w:rPr>
        <w:t xml:space="preserve"> satisfacción del cliente y esté</w:t>
      </w:r>
      <w:r w:rsidR="00B773D0" w:rsidRPr="004B1036">
        <w:rPr>
          <w:rFonts w:asciiTheme="minorHAnsi" w:hAnsiTheme="minorHAnsi" w:cstheme="minorBidi"/>
          <w:color w:val="auto"/>
        </w:rPr>
        <w:t xml:space="preserve"> soportado por un sistema documental confiable.</w:t>
      </w:r>
    </w:p>
    <w:p w:rsidR="00B773D0" w:rsidRPr="004B1036" w:rsidRDefault="00B773D0" w:rsidP="00421EBD">
      <w:pPr>
        <w:pStyle w:val="Default"/>
        <w:spacing w:line="276" w:lineRule="auto"/>
        <w:ind w:left="720"/>
        <w:jc w:val="both"/>
        <w:rPr>
          <w:rFonts w:ascii="Cambria" w:hAnsi="Cambria"/>
          <w:color w:val="auto"/>
        </w:rPr>
      </w:pPr>
    </w:p>
    <w:p w:rsidR="00A547D8" w:rsidRPr="004B1036" w:rsidRDefault="00B773D0" w:rsidP="00421EBD">
      <w:pPr>
        <w:pStyle w:val="Default"/>
        <w:spacing w:line="276" w:lineRule="auto"/>
        <w:jc w:val="both"/>
        <w:rPr>
          <w:rFonts w:asciiTheme="minorHAnsi" w:hAnsiTheme="minorHAnsi" w:cstheme="minorBidi"/>
          <w:b/>
          <w:color w:val="auto"/>
        </w:rPr>
      </w:pPr>
      <w:r w:rsidRPr="004B1036">
        <w:rPr>
          <w:rFonts w:asciiTheme="minorHAnsi" w:hAnsiTheme="minorHAnsi" w:cstheme="minorBidi"/>
          <w:b/>
          <w:color w:val="auto"/>
        </w:rPr>
        <w:t>Divisiones</w:t>
      </w:r>
      <w:r w:rsidR="00A547D8" w:rsidRPr="004B1036">
        <w:rPr>
          <w:rFonts w:asciiTheme="minorHAnsi" w:hAnsiTheme="minorHAnsi" w:cstheme="minorBidi"/>
          <w:b/>
          <w:color w:val="auto"/>
        </w:rPr>
        <w:t xml:space="preserve">: </w:t>
      </w:r>
    </w:p>
    <w:p w:rsidR="00B773D0" w:rsidRPr="004B1036" w:rsidRDefault="00B773D0" w:rsidP="00421EBD">
      <w:pPr>
        <w:pStyle w:val="Default"/>
        <w:spacing w:line="276" w:lineRule="auto"/>
        <w:jc w:val="both"/>
        <w:rPr>
          <w:rFonts w:asciiTheme="minorHAnsi" w:hAnsiTheme="minorHAnsi" w:cstheme="minorBidi"/>
          <w:b/>
          <w:color w:val="auto"/>
        </w:rPr>
      </w:pPr>
    </w:p>
    <w:p w:rsidR="00B773D0" w:rsidRPr="004B1036" w:rsidRDefault="00B773D0" w:rsidP="00421EBD">
      <w:pPr>
        <w:pStyle w:val="Default"/>
        <w:spacing w:line="276" w:lineRule="auto"/>
        <w:ind w:left="360"/>
        <w:jc w:val="both"/>
        <w:rPr>
          <w:rFonts w:asciiTheme="minorHAnsi" w:hAnsiTheme="minorHAnsi" w:cstheme="minorBidi"/>
          <w:b/>
          <w:i/>
          <w:color w:val="auto"/>
        </w:rPr>
      </w:pPr>
      <w:r w:rsidRPr="004B1036">
        <w:rPr>
          <w:rFonts w:asciiTheme="minorHAnsi" w:hAnsiTheme="minorHAnsi" w:cstheme="minorBidi"/>
          <w:b/>
          <w:i/>
          <w:color w:val="auto"/>
        </w:rPr>
        <w:t>División Asesoría Jurídica</w:t>
      </w:r>
    </w:p>
    <w:p w:rsidR="00B773D0" w:rsidRPr="004B1036" w:rsidRDefault="00B773D0" w:rsidP="00421EBD">
      <w:pPr>
        <w:autoSpaceDE w:val="0"/>
        <w:autoSpaceDN w:val="0"/>
        <w:adjustRightInd w:val="0"/>
        <w:ind w:left="360"/>
      </w:pPr>
      <w:r w:rsidRPr="6B89B391">
        <w:rPr>
          <w:u w:val="single"/>
        </w:rPr>
        <w:t>Objetivo</w:t>
      </w:r>
      <w:r w:rsidRPr="6B89B391">
        <w:rPr>
          <w:b/>
        </w:rPr>
        <w:t xml:space="preserve">: </w:t>
      </w:r>
      <w:r>
        <w:t xml:space="preserve">asesorar en materia jurídica a la </w:t>
      </w:r>
      <w:r w:rsidR="000A0042">
        <w:t>SUGESE</w:t>
      </w:r>
      <w:r>
        <w:t xml:space="preserve"> en el ejercicio de sus labores, de forma oportuna, con los atributos establecidos para cada producto. </w:t>
      </w:r>
      <w:r w:rsidRPr="004B1036">
        <w:t>Resolver las denuncias y consultas presentadas ante la Superintendencia por consumidores de seguros, de forma oportuna, con los atributos establecidos para cada producto. Igualmente, supervisar la conducta de los participantes en el mercado, en materia de protección de los derechos de los consumidores, de conformidad con las competencias otorgadas por ley a la Superintendencia. Lo anterior, mediante la aplicación de las acciones administrativas correspondientes, con los atributos establecidos para cada producto.</w:t>
      </w:r>
    </w:p>
    <w:p w:rsidR="00B773D0" w:rsidRPr="004B1036" w:rsidRDefault="00B773D0" w:rsidP="00421EBD">
      <w:pPr>
        <w:pStyle w:val="Default"/>
        <w:spacing w:line="276" w:lineRule="auto"/>
        <w:ind w:left="360"/>
        <w:jc w:val="both"/>
        <w:rPr>
          <w:rFonts w:asciiTheme="minorHAnsi" w:hAnsiTheme="minorHAnsi" w:cstheme="minorBidi"/>
          <w:color w:val="auto"/>
        </w:rPr>
      </w:pPr>
    </w:p>
    <w:p w:rsidR="00B773D0" w:rsidRPr="004B1036" w:rsidRDefault="00B773D0" w:rsidP="00421EBD">
      <w:pPr>
        <w:pStyle w:val="Default"/>
        <w:spacing w:line="276" w:lineRule="auto"/>
        <w:ind w:left="360"/>
        <w:jc w:val="both"/>
        <w:rPr>
          <w:rFonts w:asciiTheme="minorHAnsi" w:hAnsiTheme="minorHAnsi" w:cstheme="minorBidi"/>
          <w:b/>
          <w:i/>
          <w:color w:val="auto"/>
        </w:rPr>
      </w:pPr>
      <w:r w:rsidRPr="004B1036">
        <w:rPr>
          <w:rFonts w:asciiTheme="minorHAnsi" w:hAnsiTheme="minorHAnsi" w:cstheme="minorBidi"/>
          <w:b/>
          <w:i/>
          <w:color w:val="auto"/>
        </w:rPr>
        <w:t>División de Normativa y Autorizaciones</w:t>
      </w:r>
    </w:p>
    <w:p w:rsidR="00B773D0" w:rsidRPr="004B1036" w:rsidRDefault="00B773D0" w:rsidP="00421EBD">
      <w:pPr>
        <w:pStyle w:val="Default"/>
        <w:spacing w:line="276" w:lineRule="auto"/>
        <w:ind w:left="357"/>
        <w:jc w:val="both"/>
        <w:rPr>
          <w:rFonts w:asciiTheme="minorHAnsi" w:hAnsiTheme="minorHAnsi" w:cstheme="minorBidi"/>
          <w:color w:val="auto"/>
        </w:rPr>
      </w:pPr>
      <w:r w:rsidRPr="004B1036">
        <w:rPr>
          <w:rFonts w:asciiTheme="minorHAnsi" w:hAnsiTheme="minorHAnsi" w:cstheme="minorBidi"/>
          <w:color w:val="auto"/>
          <w:u w:val="single"/>
        </w:rPr>
        <w:t>Objetivo</w:t>
      </w:r>
      <w:r w:rsidRPr="004B1036">
        <w:rPr>
          <w:rFonts w:asciiTheme="minorHAnsi" w:hAnsiTheme="minorHAnsi" w:cstheme="minorBidi"/>
          <w:b/>
          <w:color w:val="auto"/>
        </w:rPr>
        <w:t>:</w:t>
      </w:r>
      <w:r w:rsidR="00184A50" w:rsidRPr="004B1036">
        <w:rPr>
          <w:rFonts w:asciiTheme="minorHAnsi" w:hAnsiTheme="minorHAnsi" w:cstheme="minorBidi"/>
          <w:b/>
          <w:color w:val="auto"/>
        </w:rPr>
        <w:t xml:space="preserve"> </w:t>
      </w:r>
      <w:r w:rsidR="00184A50" w:rsidRPr="004B1036">
        <w:rPr>
          <w:rFonts w:asciiTheme="minorHAnsi" w:hAnsiTheme="minorHAnsi" w:cstheme="minorBidi"/>
          <w:color w:val="auto"/>
        </w:rPr>
        <w:t>p</w:t>
      </w:r>
      <w:r w:rsidRPr="004B1036">
        <w:rPr>
          <w:rFonts w:asciiTheme="minorHAnsi" w:hAnsiTheme="minorHAnsi" w:cstheme="minorBidi"/>
          <w:color w:val="auto"/>
        </w:rPr>
        <w:t xml:space="preserve">roponer las normas y disposiciones legales que regulan la organización, funcionamiento y operación del mercado de seguros, así como valorar y recomendar las resoluciones de autorización y registro que se soliciten para la operación y funcionamiento por parte de los participantes del </w:t>
      </w:r>
      <w:r w:rsidR="004711C3">
        <w:rPr>
          <w:rFonts w:asciiTheme="minorHAnsi" w:hAnsiTheme="minorHAnsi" w:cstheme="minorBidi"/>
          <w:color w:val="auto"/>
        </w:rPr>
        <w:t>m</w:t>
      </w:r>
      <w:r w:rsidRPr="004B1036">
        <w:rPr>
          <w:rFonts w:asciiTheme="minorHAnsi" w:hAnsiTheme="minorHAnsi" w:cstheme="minorBidi"/>
          <w:color w:val="auto"/>
        </w:rPr>
        <w:t xml:space="preserve">ercado de </w:t>
      </w:r>
      <w:r w:rsidR="004711C3">
        <w:rPr>
          <w:rFonts w:asciiTheme="minorHAnsi" w:hAnsiTheme="minorHAnsi" w:cstheme="minorBidi"/>
          <w:color w:val="auto"/>
        </w:rPr>
        <w:t>s</w:t>
      </w:r>
      <w:r w:rsidRPr="004B1036">
        <w:rPr>
          <w:rFonts w:asciiTheme="minorHAnsi" w:hAnsiTheme="minorHAnsi" w:cstheme="minorBidi"/>
          <w:color w:val="auto"/>
        </w:rPr>
        <w:t xml:space="preserve">eguros. </w:t>
      </w:r>
      <w:r w:rsidR="00EC1F2C" w:rsidRPr="004B1036">
        <w:rPr>
          <w:rFonts w:asciiTheme="minorHAnsi" w:hAnsiTheme="minorHAnsi" w:cstheme="minorBidi"/>
          <w:color w:val="auto"/>
        </w:rPr>
        <w:t>Además</w:t>
      </w:r>
      <w:r w:rsidRPr="004B1036">
        <w:rPr>
          <w:rFonts w:asciiTheme="minorHAnsi" w:hAnsiTheme="minorHAnsi" w:cstheme="minorBidi"/>
          <w:color w:val="auto"/>
        </w:rPr>
        <w:t>, coadyuva al Despacho de la Superintendencia a planificar, dirigir, coordinar y controlar la planificación estratégica de la Institución, en particular la actualización permanente del modelo de supervisión del mercado de seguro.</w:t>
      </w:r>
    </w:p>
    <w:p w:rsidR="00B773D0" w:rsidRPr="004B1036" w:rsidRDefault="00B773D0" w:rsidP="00421EBD">
      <w:pPr>
        <w:pStyle w:val="Default"/>
        <w:spacing w:line="276" w:lineRule="auto"/>
        <w:ind w:left="360"/>
        <w:jc w:val="both"/>
        <w:rPr>
          <w:rFonts w:asciiTheme="minorHAnsi" w:hAnsiTheme="minorHAnsi" w:cstheme="minorBidi"/>
          <w:color w:val="auto"/>
        </w:rPr>
      </w:pPr>
    </w:p>
    <w:p w:rsidR="00B773D0" w:rsidRPr="004B1036" w:rsidRDefault="00B773D0" w:rsidP="00421EBD">
      <w:pPr>
        <w:pStyle w:val="Default"/>
        <w:spacing w:line="276" w:lineRule="auto"/>
        <w:ind w:left="360"/>
        <w:jc w:val="both"/>
        <w:rPr>
          <w:rFonts w:asciiTheme="minorHAnsi" w:hAnsiTheme="minorHAnsi" w:cstheme="minorBidi"/>
          <w:b/>
          <w:i/>
          <w:color w:val="auto"/>
        </w:rPr>
      </w:pPr>
      <w:r w:rsidRPr="004B1036">
        <w:rPr>
          <w:rFonts w:asciiTheme="minorHAnsi" w:hAnsiTheme="minorHAnsi" w:cstheme="minorBidi"/>
          <w:b/>
          <w:i/>
          <w:color w:val="auto"/>
        </w:rPr>
        <w:t>División de Supervisión</w:t>
      </w:r>
    </w:p>
    <w:p w:rsidR="00B773D0" w:rsidRPr="004B1036" w:rsidRDefault="00B773D0" w:rsidP="00421EBD">
      <w:pPr>
        <w:pStyle w:val="Default"/>
        <w:spacing w:line="276" w:lineRule="auto"/>
        <w:ind w:left="360"/>
        <w:jc w:val="both"/>
        <w:rPr>
          <w:rFonts w:asciiTheme="minorHAnsi" w:hAnsiTheme="minorHAnsi" w:cstheme="minorBidi"/>
          <w:color w:val="auto"/>
        </w:rPr>
      </w:pPr>
      <w:r w:rsidRPr="004B1036">
        <w:rPr>
          <w:rFonts w:asciiTheme="minorHAnsi" w:hAnsiTheme="minorHAnsi" w:cstheme="minorBidi"/>
          <w:color w:val="auto"/>
          <w:u w:val="single"/>
        </w:rPr>
        <w:t>Objetivo</w:t>
      </w:r>
      <w:r w:rsidRPr="004B1036">
        <w:rPr>
          <w:rFonts w:asciiTheme="minorHAnsi" w:hAnsiTheme="minorHAnsi" w:cstheme="minorBidi"/>
          <w:b/>
          <w:color w:val="auto"/>
        </w:rPr>
        <w:t xml:space="preserve">: </w:t>
      </w:r>
      <w:r w:rsidR="00184A50" w:rsidRPr="004B1036">
        <w:rPr>
          <w:rFonts w:asciiTheme="minorHAnsi" w:hAnsiTheme="minorHAnsi" w:cstheme="minorBidi"/>
          <w:b/>
          <w:color w:val="auto"/>
        </w:rPr>
        <w:t>s</w:t>
      </w:r>
      <w:r w:rsidRPr="004B1036">
        <w:rPr>
          <w:rFonts w:asciiTheme="minorHAnsi" w:hAnsiTheme="minorHAnsi" w:cstheme="minorBidi"/>
          <w:color w:val="auto"/>
        </w:rPr>
        <w:t>upervisar de manera eficaz y eficiente el mercado de seguros, apegados a los mejores estándares y prácticas internacionales.</w:t>
      </w:r>
    </w:p>
    <w:p w:rsidR="00A547D8" w:rsidRPr="004B1036" w:rsidRDefault="00A547D8" w:rsidP="00421EBD">
      <w:pPr>
        <w:pStyle w:val="Default"/>
        <w:spacing w:line="276" w:lineRule="auto"/>
        <w:jc w:val="both"/>
        <w:rPr>
          <w:rFonts w:ascii="Cambria" w:hAnsi="Cambria"/>
          <w:color w:val="auto"/>
        </w:rPr>
      </w:pPr>
    </w:p>
    <w:p w:rsidR="00A547D8" w:rsidRPr="004B1036" w:rsidRDefault="00A547D8" w:rsidP="00421EBD">
      <w:pPr>
        <w:pStyle w:val="Default"/>
        <w:spacing w:line="276" w:lineRule="auto"/>
        <w:jc w:val="both"/>
        <w:rPr>
          <w:rFonts w:asciiTheme="minorHAnsi" w:hAnsiTheme="minorHAnsi" w:cstheme="minorBidi"/>
          <w:b/>
          <w:color w:val="auto"/>
        </w:rPr>
      </w:pPr>
      <w:r w:rsidRPr="004B1036">
        <w:rPr>
          <w:rFonts w:asciiTheme="minorHAnsi" w:hAnsiTheme="minorHAnsi" w:cstheme="minorBidi"/>
          <w:b/>
          <w:color w:val="auto"/>
        </w:rPr>
        <w:t xml:space="preserve">Áreas de apoyo: </w:t>
      </w:r>
    </w:p>
    <w:p w:rsidR="002B24E6" w:rsidRPr="004B1036" w:rsidRDefault="002B24E6" w:rsidP="00421EBD">
      <w:pPr>
        <w:pStyle w:val="Default"/>
        <w:spacing w:line="276" w:lineRule="auto"/>
        <w:ind w:left="360"/>
        <w:jc w:val="both"/>
        <w:rPr>
          <w:rFonts w:ascii="Cambria" w:hAnsi="Cambria"/>
          <w:color w:val="auto"/>
        </w:rPr>
      </w:pPr>
    </w:p>
    <w:p w:rsidR="002B24E6" w:rsidRPr="004B1036" w:rsidRDefault="002B24E6" w:rsidP="00421EBD">
      <w:pPr>
        <w:pStyle w:val="Default"/>
        <w:spacing w:line="276" w:lineRule="auto"/>
        <w:ind w:left="360"/>
        <w:jc w:val="both"/>
        <w:rPr>
          <w:rFonts w:asciiTheme="minorHAnsi" w:hAnsiTheme="minorHAnsi" w:cstheme="minorBidi"/>
          <w:b/>
          <w:i/>
          <w:color w:val="auto"/>
        </w:rPr>
      </w:pPr>
      <w:r w:rsidRPr="004B1036">
        <w:rPr>
          <w:rFonts w:asciiTheme="minorHAnsi" w:hAnsiTheme="minorHAnsi" w:cstheme="minorBidi"/>
          <w:b/>
          <w:i/>
          <w:color w:val="auto"/>
        </w:rPr>
        <w:t>Área de Comunicación y Servicios</w:t>
      </w:r>
    </w:p>
    <w:p w:rsidR="002B24E6" w:rsidRPr="004B1036" w:rsidRDefault="002B24E6" w:rsidP="00421EBD">
      <w:pPr>
        <w:pStyle w:val="Default"/>
        <w:spacing w:line="276" w:lineRule="auto"/>
        <w:ind w:left="360"/>
        <w:jc w:val="both"/>
        <w:rPr>
          <w:rFonts w:asciiTheme="minorHAnsi" w:hAnsiTheme="minorHAnsi" w:cstheme="minorBidi"/>
          <w:color w:val="auto"/>
        </w:rPr>
      </w:pPr>
      <w:r w:rsidRPr="004B1036">
        <w:rPr>
          <w:rFonts w:asciiTheme="minorHAnsi" w:hAnsiTheme="minorHAnsi" w:cstheme="minorBidi"/>
          <w:color w:val="auto"/>
          <w:u w:val="single"/>
        </w:rPr>
        <w:t>Objetivo</w:t>
      </w:r>
      <w:r w:rsidRPr="004B1036">
        <w:rPr>
          <w:rFonts w:asciiTheme="minorHAnsi" w:hAnsiTheme="minorHAnsi" w:cstheme="minorBidi"/>
          <w:color w:val="auto"/>
        </w:rPr>
        <w:t>:</w:t>
      </w:r>
      <w:r w:rsidRPr="004B1036">
        <w:t xml:space="preserve"> </w:t>
      </w:r>
      <w:r w:rsidRPr="004B1036">
        <w:rPr>
          <w:rFonts w:asciiTheme="minorHAnsi" w:hAnsiTheme="minorHAnsi" w:cstheme="minorBidi"/>
          <w:color w:val="auto"/>
        </w:rPr>
        <w:t>proveer bienes y servicios, de forma eficiente en apego a los requerimientos y normas que rigen los procesos internos de compras, necesarios para el desarrollo de la institución y el fortalecimiento de la comunicación con los consumidores de seguros y la sociedad.</w:t>
      </w:r>
      <w:r w:rsidR="003A5DE3" w:rsidRPr="004B1036">
        <w:rPr>
          <w:rFonts w:asciiTheme="minorHAnsi" w:hAnsiTheme="minorHAnsi" w:cstheme="minorBidi"/>
          <w:color w:val="auto"/>
        </w:rPr>
        <w:t xml:space="preserve">   </w:t>
      </w:r>
      <w:r w:rsidRPr="004B1036">
        <w:rPr>
          <w:rFonts w:asciiTheme="minorHAnsi" w:hAnsiTheme="minorHAnsi" w:cstheme="minorBidi"/>
          <w:color w:val="auto"/>
        </w:rPr>
        <w:t>Asimismo, tiene a su cargo la formulación de planes y presupuestos institucionales, así como su ejecución, seguimiento y evaluación.</w:t>
      </w:r>
    </w:p>
    <w:p w:rsidR="002B24E6" w:rsidRPr="004B1036" w:rsidRDefault="002B24E6" w:rsidP="008C7ADA">
      <w:pPr>
        <w:pStyle w:val="Default"/>
        <w:ind w:left="360"/>
        <w:jc w:val="both"/>
        <w:rPr>
          <w:rFonts w:ascii="Cambria" w:hAnsi="Cambria"/>
          <w:color w:val="auto"/>
          <w:sz w:val="20"/>
          <w:szCs w:val="20"/>
          <w:highlight w:val="yellow"/>
        </w:rPr>
      </w:pPr>
    </w:p>
    <w:p w:rsidR="0092090A" w:rsidRPr="004B1036" w:rsidRDefault="0092090A" w:rsidP="008C7ADA">
      <w:pPr>
        <w:pStyle w:val="Default"/>
        <w:ind w:left="360"/>
        <w:jc w:val="both"/>
        <w:rPr>
          <w:rFonts w:ascii="Cambria" w:hAnsi="Cambria"/>
          <w:color w:val="auto"/>
          <w:sz w:val="20"/>
          <w:szCs w:val="20"/>
          <w:highlight w:val="yellow"/>
        </w:rPr>
      </w:pPr>
    </w:p>
    <w:p w:rsidR="00A547D8" w:rsidRPr="004502C9" w:rsidRDefault="00A547D8" w:rsidP="008C7ADA">
      <w:pPr>
        <w:pStyle w:val="Ttulo2"/>
        <w:numPr>
          <w:ilvl w:val="0"/>
          <w:numId w:val="3"/>
        </w:numPr>
        <w:spacing w:before="0" w:line="240" w:lineRule="auto"/>
        <w:rPr>
          <w:b/>
        </w:rPr>
      </w:pPr>
      <w:bookmarkStart w:id="6" w:name="_Toc65452650"/>
      <w:r w:rsidRPr="004502C9">
        <w:rPr>
          <w:b/>
        </w:rPr>
        <w:t>Plazas por tipo de puesto</w:t>
      </w:r>
      <w:bookmarkEnd w:id="6"/>
    </w:p>
    <w:p w:rsidR="006074F7" w:rsidRPr="004502C9" w:rsidRDefault="006074F7" w:rsidP="008C7ADA">
      <w:pPr>
        <w:spacing w:line="240" w:lineRule="auto"/>
        <w:rPr>
          <w:color w:val="0070C0"/>
          <w:lang w:eastAsia="es-CR"/>
        </w:rPr>
      </w:pPr>
    </w:p>
    <w:p w:rsidR="00C248BF" w:rsidRPr="004502C9" w:rsidRDefault="0E324171" w:rsidP="0E324171">
      <w:pPr>
        <w:spacing w:line="240" w:lineRule="auto"/>
        <w:rPr>
          <w:lang w:eastAsia="es-CR"/>
        </w:rPr>
      </w:pPr>
      <w:r w:rsidRPr="004502C9">
        <w:rPr>
          <w:lang w:eastAsia="es-CR"/>
        </w:rPr>
        <w:t xml:space="preserve">En el Cuadro 4 se indican los recursos humanos con que cuenta la SUGESE, donde se detalla la composición por actividad ocupacional de las 51 plazas, con el salario promedio anual al 31 de diciembre de 2022. </w:t>
      </w:r>
    </w:p>
    <w:p w:rsidR="00775B98" w:rsidRDefault="00775B98" w:rsidP="0E324171">
      <w:pPr>
        <w:spacing w:line="240" w:lineRule="auto"/>
        <w:rPr>
          <w:lang w:eastAsia="es-CR"/>
        </w:rPr>
      </w:pPr>
    </w:p>
    <w:p w:rsidR="00775B98" w:rsidRDefault="00775B98" w:rsidP="0E324171">
      <w:pPr>
        <w:spacing w:line="240" w:lineRule="auto"/>
        <w:rPr>
          <w:lang w:eastAsia="es-CR"/>
        </w:rPr>
      </w:pPr>
    </w:p>
    <w:p w:rsidR="00775B98" w:rsidRDefault="00775B98" w:rsidP="0E324171">
      <w:pPr>
        <w:spacing w:line="240" w:lineRule="auto"/>
        <w:rPr>
          <w:lang w:eastAsia="es-CR"/>
        </w:rPr>
      </w:pPr>
    </w:p>
    <w:p w:rsidR="00775B98" w:rsidRDefault="00775B98" w:rsidP="0E324171">
      <w:pPr>
        <w:spacing w:line="240" w:lineRule="auto"/>
        <w:rPr>
          <w:lang w:eastAsia="es-CR"/>
        </w:rPr>
      </w:pPr>
    </w:p>
    <w:p w:rsidR="00775B98" w:rsidRDefault="00775B98" w:rsidP="0E324171">
      <w:pPr>
        <w:spacing w:line="240" w:lineRule="auto"/>
        <w:rPr>
          <w:lang w:eastAsia="es-CR"/>
        </w:rPr>
      </w:pPr>
    </w:p>
    <w:p w:rsidR="00775B98" w:rsidRDefault="00775B98" w:rsidP="0E324171">
      <w:pPr>
        <w:spacing w:line="240" w:lineRule="auto"/>
        <w:rPr>
          <w:lang w:eastAsia="es-CR"/>
        </w:rPr>
      </w:pPr>
    </w:p>
    <w:p w:rsidR="00775B98" w:rsidRDefault="00775B98" w:rsidP="0E324171">
      <w:pPr>
        <w:spacing w:line="240" w:lineRule="auto"/>
        <w:rPr>
          <w:lang w:eastAsia="es-CR"/>
        </w:rPr>
      </w:pPr>
    </w:p>
    <w:p w:rsidR="00775B98" w:rsidRDefault="00775B98" w:rsidP="0E324171">
      <w:pPr>
        <w:spacing w:line="240" w:lineRule="auto"/>
        <w:rPr>
          <w:lang w:eastAsia="es-CR"/>
        </w:rPr>
      </w:pPr>
    </w:p>
    <w:p w:rsidR="00775B98" w:rsidRDefault="00775B98" w:rsidP="0E324171">
      <w:pPr>
        <w:spacing w:line="240" w:lineRule="auto"/>
        <w:rPr>
          <w:lang w:eastAsia="es-CR"/>
        </w:rPr>
      </w:pPr>
    </w:p>
    <w:p w:rsidR="00775B98" w:rsidRDefault="00775B98" w:rsidP="0E324171">
      <w:pPr>
        <w:spacing w:line="240" w:lineRule="auto"/>
        <w:rPr>
          <w:lang w:eastAsia="es-CR"/>
        </w:rPr>
      </w:pPr>
    </w:p>
    <w:p w:rsidR="00775B98" w:rsidRDefault="00775B98" w:rsidP="0E324171">
      <w:pPr>
        <w:spacing w:line="240" w:lineRule="auto"/>
        <w:rPr>
          <w:lang w:eastAsia="es-CR"/>
        </w:rPr>
      </w:pPr>
    </w:p>
    <w:p w:rsidR="00CD38BF" w:rsidRDefault="00CD38BF" w:rsidP="0E324171">
      <w:pPr>
        <w:spacing w:line="240" w:lineRule="auto"/>
        <w:rPr>
          <w:lang w:eastAsia="es-CR"/>
        </w:rPr>
      </w:pPr>
    </w:p>
    <w:p w:rsidR="00CD38BF" w:rsidRDefault="00CD38BF" w:rsidP="0E324171">
      <w:pPr>
        <w:spacing w:line="240" w:lineRule="auto"/>
        <w:rPr>
          <w:lang w:eastAsia="es-CR"/>
        </w:rPr>
      </w:pPr>
    </w:p>
    <w:p w:rsidR="006A531D" w:rsidRPr="00775B98" w:rsidRDefault="006A531D" w:rsidP="008C7ADA">
      <w:pPr>
        <w:spacing w:line="240" w:lineRule="auto"/>
        <w:rPr>
          <w:lang w:eastAsia="es-CR"/>
        </w:rPr>
      </w:pPr>
    </w:p>
    <w:p w:rsidR="0E324171" w:rsidRDefault="00B264B6" w:rsidP="0E324171">
      <w:pPr>
        <w:jc w:val="center"/>
      </w:pPr>
      <w:r w:rsidRPr="00775B98">
        <w:rPr>
          <w:rFonts w:ascii="Century Gothic" w:hAnsi="Century Gothic"/>
          <w:b/>
          <w:color w:val="002060"/>
          <w:sz w:val="20"/>
          <w:szCs w:val="20"/>
        </w:rPr>
        <w:t xml:space="preserve">CUADRO </w:t>
      </w:r>
      <w:r w:rsidRPr="00775B98">
        <w:fldChar w:fldCharType="begin"/>
      </w:r>
      <w:r w:rsidRPr="00775B98">
        <w:rPr>
          <w:rFonts w:ascii="Century Gothic" w:hAnsi="Century Gothic"/>
          <w:b/>
          <w:color w:val="002060"/>
          <w:sz w:val="20"/>
          <w:szCs w:val="20"/>
        </w:rPr>
        <w:instrText xml:space="preserve"> AUTONUM  \s " " </w:instrText>
      </w:r>
      <w:r w:rsidRPr="00775B98">
        <w:rPr>
          <w:rFonts w:ascii="Century Gothic" w:hAnsi="Century Gothic"/>
          <w:b/>
          <w:color w:val="002060"/>
          <w:sz w:val="20"/>
          <w:szCs w:val="20"/>
        </w:rPr>
        <w:fldChar w:fldCharType="end"/>
      </w:r>
      <w:r w:rsidR="0E324171" w:rsidRPr="00775B98">
        <w:rPr>
          <w:rFonts w:ascii="Century Gothic" w:eastAsia="Century Gothic" w:hAnsi="Century Gothic" w:cs="Century Gothic"/>
          <w:sz w:val="20"/>
          <w:szCs w:val="20"/>
        </w:rPr>
        <w:t xml:space="preserve"> </w:t>
      </w:r>
    </w:p>
    <w:p w:rsidR="0E324171" w:rsidRDefault="0E324171" w:rsidP="0E324171">
      <w:pPr>
        <w:jc w:val="center"/>
      </w:pPr>
      <w:r w:rsidRPr="0E324171">
        <w:rPr>
          <w:rFonts w:ascii="Century Gothic" w:eastAsia="Century Gothic" w:hAnsi="Century Gothic" w:cs="Century Gothic"/>
          <w:sz w:val="20"/>
          <w:szCs w:val="20"/>
        </w:rPr>
        <w:t>Superintendencia General de Seguros</w:t>
      </w:r>
    </w:p>
    <w:p w:rsidR="0E324171" w:rsidRDefault="0E324171" w:rsidP="0E324171">
      <w:pPr>
        <w:jc w:val="center"/>
      </w:pPr>
      <w:r w:rsidRPr="0E324171">
        <w:rPr>
          <w:rFonts w:ascii="Century Gothic" w:eastAsia="Century Gothic" w:hAnsi="Century Gothic" w:cs="Century Gothic"/>
          <w:b/>
          <w:bCs/>
          <w:color w:val="404040" w:themeColor="text1" w:themeTint="BF"/>
          <w:sz w:val="20"/>
          <w:szCs w:val="20"/>
        </w:rPr>
        <w:t>Recursos humanos</w:t>
      </w:r>
    </w:p>
    <w:p w:rsidR="0E324171" w:rsidRDefault="0E324171" w:rsidP="0E324171">
      <w:pPr>
        <w:jc w:val="center"/>
      </w:pPr>
      <w:r w:rsidRPr="0E324171">
        <w:rPr>
          <w:rFonts w:ascii="Century Gothic" w:eastAsia="Century Gothic" w:hAnsi="Century Gothic" w:cs="Century Gothic"/>
          <w:sz w:val="20"/>
          <w:szCs w:val="20"/>
        </w:rPr>
        <w:t>Al 31 de diciembre de 2022</w:t>
      </w:r>
    </w:p>
    <w:tbl>
      <w:tblPr>
        <w:tblW w:w="10220" w:type="dxa"/>
        <w:tblCellMar>
          <w:left w:w="70" w:type="dxa"/>
          <w:right w:w="70" w:type="dxa"/>
        </w:tblCellMar>
        <w:tblLook w:val="04A0" w:firstRow="1" w:lastRow="0" w:firstColumn="1" w:lastColumn="0" w:noHBand="0" w:noVBand="1"/>
      </w:tblPr>
      <w:tblGrid>
        <w:gridCol w:w="1540"/>
        <w:gridCol w:w="3660"/>
        <w:gridCol w:w="1800"/>
        <w:gridCol w:w="1480"/>
        <w:gridCol w:w="1740"/>
      </w:tblGrid>
      <w:tr w:rsidR="008B0CD3" w:rsidRPr="008B0CD3" w:rsidTr="008B0CD3">
        <w:trPr>
          <w:trHeight w:val="870"/>
        </w:trPr>
        <w:tc>
          <w:tcPr>
            <w:tcW w:w="1540" w:type="dxa"/>
            <w:tcBorders>
              <w:top w:val="nil"/>
              <w:left w:val="nil"/>
              <w:bottom w:val="single" w:sz="4" w:space="0" w:color="8EA9DB"/>
              <w:right w:val="nil"/>
            </w:tcBorders>
            <w:shd w:val="clear" w:color="000000" w:fill="002060"/>
            <w:vAlign w:val="center"/>
            <w:hideMark/>
          </w:tcPr>
          <w:p w:rsidR="008B0CD3" w:rsidRPr="008B0CD3" w:rsidRDefault="008B0CD3" w:rsidP="008B0CD3">
            <w:pPr>
              <w:spacing w:line="240" w:lineRule="auto"/>
              <w:jc w:val="center"/>
              <w:rPr>
                <w:rFonts w:ascii="Calibri" w:eastAsia="Times New Roman" w:hAnsi="Calibri" w:cs="Calibri"/>
                <w:b/>
                <w:bCs/>
                <w:color w:val="FFFFFF"/>
                <w:sz w:val="22"/>
                <w:lang w:eastAsia="es-CR"/>
              </w:rPr>
            </w:pPr>
            <w:r w:rsidRPr="008B0CD3">
              <w:rPr>
                <w:rFonts w:ascii="Calibri" w:eastAsia="Times New Roman" w:hAnsi="Calibri" w:cs="Calibri"/>
                <w:b/>
                <w:bCs/>
                <w:color w:val="FFFFFF"/>
                <w:sz w:val="22"/>
                <w:lang w:eastAsia="es-CR"/>
              </w:rPr>
              <w:t>Categoría</w:t>
            </w:r>
          </w:p>
        </w:tc>
        <w:tc>
          <w:tcPr>
            <w:tcW w:w="3660" w:type="dxa"/>
            <w:tcBorders>
              <w:top w:val="nil"/>
              <w:left w:val="nil"/>
              <w:bottom w:val="single" w:sz="4" w:space="0" w:color="8EA9DB"/>
              <w:right w:val="nil"/>
            </w:tcBorders>
            <w:shd w:val="clear" w:color="000000" w:fill="002060"/>
            <w:vAlign w:val="center"/>
            <w:hideMark/>
          </w:tcPr>
          <w:p w:rsidR="008B0CD3" w:rsidRPr="008B0CD3" w:rsidRDefault="008B0CD3" w:rsidP="008B0CD3">
            <w:pPr>
              <w:spacing w:line="240" w:lineRule="auto"/>
              <w:jc w:val="center"/>
              <w:rPr>
                <w:rFonts w:ascii="Calibri" w:eastAsia="Times New Roman" w:hAnsi="Calibri" w:cs="Calibri"/>
                <w:b/>
                <w:bCs/>
                <w:color w:val="FFFFFF"/>
                <w:sz w:val="22"/>
                <w:lang w:eastAsia="es-CR"/>
              </w:rPr>
            </w:pPr>
            <w:r w:rsidRPr="008B0CD3">
              <w:rPr>
                <w:rFonts w:ascii="Calibri" w:eastAsia="Times New Roman" w:hAnsi="Calibri" w:cs="Calibri"/>
                <w:b/>
                <w:bCs/>
                <w:color w:val="FFFFFF"/>
                <w:sz w:val="22"/>
                <w:lang w:eastAsia="es-CR"/>
              </w:rPr>
              <w:t>Clase de puesto</w:t>
            </w:r>
          </w:p>
        </w:tc>
        <w:tc>
          <w:tcPr>
            <w:tcW w:w="1800" w:type="dxa"/>
            <w:tcBorders>
              <w:top w:val="nil"/>
              <w:left w:val="nil"/>
              <w:bottom w:val="single" w:sz="4" w:space="0" w:color="8EA9DB"/>
              <w:right w:val="nil"/>
            </w:tcBorders>
            <w:shd w:val="clear" w:color="000000" w:fill="002060"/>
            <w:vAlign w:val="center"/>
            <w:hideMark/>
          </w:tcPr>
          <w:p w:rsidR="008B0CD3" w:rsidRPr="008B0CD3" w:rsidRDefault="008B0CD3" w:rsidP="008B0CD3">
            <w:pPr>
              <w:spacing w:line="240" w:lineRule="auto"/>
              <w:jc w:val="center"/>
              <w:rPr>
                <w:rFonts w:ascii="Calibri" w:eastAsia="Times New Roman" w:hAnsi="Calibri" w:cs="Calibri"/>
                <w:b/>
                <w:bCs/>
                <w:color w:val="FFFFFF"/>
                <w:sz w:val="22"/>
                <w:lang w:eastAsia="es-CR"/>
              </w:rPr>
            </w:pPr>
            <w:r w:rsidRPr="008B0CD3">
              <w:rPr>
                <w:rFonts w:ascii="Calibri" w:eastAsia="Times New Roman" w:hAnsi="Calibri" w:cs="Calibri"/>
                <w:b/>
                <w:bCs/>
                <w:color w:val="FFFFFF"/>
                <w:sz w:val="22"/>
                <w:lang w:eastAsia="es-CR"/>
              </w:rPr>
              <w:t>Salario base/global 2023</w:t>
            </w:r>
          </w:p>
        </w:tc>
        <w:tc>
          <w:tcPr>
            <w:tcW w:w="1480" w:type="dxa"/>
            <w:tcBorders>
              <w:top w:val="nil"/>
              <w:left w:val="nil"/>
              <w:bottom w:val="single" w:sz="4" w:space="0" w:color="8EA9DB"/>
              <w:right w:val="nil"/>
            </w:tcBorders>
            <w:shd w:val="clear" w:color="000000" w:fill="002060"/>
            <w:vAlign w:val="center"/>
            <w:hideMark/>
          </w:tcPr>
          <w:p w:rsidR="008B0CD3" w:rsidRPr="008B0CD3" w:rsidRDefault="008B0CD3" w:rsidP="008B0CD3">
            <w:pPr>
              <w:spacing w:line="240" w:lineRule="auto"/>
              <w:jc w:val="center"/>
              <w:rPr>
                <w:rFonts w:ascii="Calibri" w:eastAsia="Times New Roman" w:hAnsi="Calibri" w:cs="Calibri"/>
                <w:b/>
                <w:bCs/>
                <w:color w:val="FFFFFF"/>
                <w:sz w:val="22"/>
                <w:lang w:eastAsia="es-CR"/>
              </w:rPr>
            </w:pPr>
            <w:r w:rsidRPr="008B0CD3">
              <w:rPr>
                <w:rFonts w:ascii="Calibri" w:eastAsia="Times New Roman" w:hAnsi="Calibri" w:cs="Calibri"/>
                <w:b/>
                <w:bCs/>
                <w:color w:val="FFFFFF"/>
                <w:sz w:val="22"/>
                <w:lang w:eastAsia="es-CR"/>
              </w:rPr>
              <w:t>Número de puestos</w:t>
            </w:r>
          </w:p>
        </w:tc>
        <w:tc>
          <w:tcPr>
            <w:tcW w:w="1740" w:type="dxa"/>
            <w:tcBorders>
              <w:top w:val="nil"/>
              <w:left w:val="nil"/>
              <w:bottom w:val="nil"/>
              <w:right w:val="nil"/>
            </w:tcBorders>
            <w:shd w:val="clear" w:color="000000" w:fill="002060"/>
            <w:vAlign w:val="center"/>
            <w:hideMark/>
          </w:tcPr>
          <w:p w:rsidR="008B0CD3" w:rsidRPr="008B0CD3" w:rsidRDefault="008B0CD3" w:rsidP="008B0CD3">
            <w:pPr>
              <w:spacing w:line="240" w:lineRule="auto"/>
              <w:jc w:val="center"/>
              <w:rPr>
                <w:rFonts w:ascii="Calibri" w:eastAsia="Times New Roman" w:hAnsi="Calibri" w:cs="Calibri"/>
                <w:b/>
                <w:bCs/>
                <w:color w:val="FFFFFF"/>
                <w:sz w:val="22"/>
                <w:lang w:eastAsia="es-CR"/>
              </w:rPr>
            </w:pPr>
            <w:r w:rsidRPr="008B0CD3">
              <w:rPr>
                <w:rFonts w:ascii="Calibri" w:eastAsia="Times New Roman" w:hAnsi="Calibri" w:cs="Calibri"/>
                <w:b/>
                <w:bCs/>
                <w:color w:val="FFFFFF"/>
                <w:sz w:val="22"/>
                <w:lang w:eastAsia="es-CR"/>
              </w:rPr>
              <w:t>Remuneración anual (miles)</w:t>
            </w:r>
          </w:p>
        </w:tc>
      </w:tr>
      <w:tr w:rsidR="008B0CD3" w:rsidRPr="008B0CD3" w:rsidTr="008B0CD3">
        <w:trPr>
          <w:trHeight w:val="290"/>
        </w:trPr>
        <w:tc>
          <w:tcPr>
            <w:tcW w:w="154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center"/>
              <w:rPr>
                <w:rFonts w:ascii="Calibri" w:eastAsia="Times New Roman" w:hAnsi="Calibri" w:cs="Calibri"/>
                <w:b/>
                <w:bCs/>
                <w:color w:val="000000"/>
                <w:sz w:val="22"/>
                <w:lang w:eastAsia="es-CR"/>
              </w:rPr>
            </w:pPr>
            <w:r w:rsidRPr="008B0CD3">
              <w:rPr>
                <w:rFonts w:ascii="Calibri" w:eastAsia="Times New Roman" w:hAnsi="Calibri" w:cs="Calibri"/>
                <w:b/>
                <w:bCs/>
                <w:color w:val="000000"/>
                <w:sz w:val="22"/>
                <w:lang w:eastAsia="es-CR"/>
              </w:rPr>
              <w:t>3</w:t>
            </w:r>
          </w:p>
        </w:tc>
        <w:tc>
          <w:tcPr>
            <w:tcW w:w="366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lef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Intendente</w:t>
            </w:r>
          </w:p>
        </w:tc>
        <w:tc>
          <w:tcPr>
            <w:tcW w:w="180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righ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5 453 000</w:t>
            </w:r>
          </w:p>
        </w:tc>
        <w:tc>
          <w:tcPr>
            <w:tcW w:w="148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center"/>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1</w:t>
            </w:r>
          </w:p>
        </w:tc>
        <w:tc>
          <w:tcPr>
            <w:tcW w:w="174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righ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65 436</w:t>
            </w:r>
          </w:p>
        </w:tc>
      </w:tr>
      <w:tr w:rsidR="008B0CD3" w:rsidRPr="008B0CD3" w:rsidTr="008B0CD3">
        <w:trPr>
          <w:trHeight w:val="290"/>
        </w:trPr>
        <w:tc>
          <w:tcPr>
            <w:tcW w:w="154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center"/>
              <w:rPr>
                <w:rFonts w:ascii="Calibri" w:eastAsia="Times New Roman" w:hAnsi="Calibri" w:cs="Calibri"/>
                <w:b/>
                <w:bCs/>
                <w:color w:val="000000"/>
                <w:sz w:val="22"/>
                <w:lang w:eastAsia="es-CR"/>
              </w:rPr>
            </w:pPr>
            <w:r w:rsidRPr="008B0CD3">
              <w:rPr>
                <w:rFonts w:ascii="Calibri" w:eastAsia="Times New Roman" w:hAnsi="Calibri" w:cs="Calibri"/>
                <w:b/>
                <w:bCs/>
                <w:color w:val="000000"/>
                <w:sz w:val="22"/>
                <w:lang w:eastAsia="es-CR"/>
              </w:rPr>
              <w:t>4</w:t>
            </w:r>
          </w:p>
        </w:tc>
        <w:tc>
          <w:tcPr>
            <w:tcW w:w="366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lef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Superintendente</w:t>
            </w:r>
          </w:p>
        </w:tc>
        <w:tc>
          <w:tcPr>
            <w:tcW w:w="180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righ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5 596 500</w:t>
            </w:r>
          </w:p>
        </w:tc>
        <w:tc>
          <w:tcPr>
            <w:tcW w:w="148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center"/>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1</w:t>
            </w:r>
          </w:p>
        </w:tc>
        <w:tc>
          <w:tcPr>
            <w:tcW w:w="174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righ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67 158</w:t>
            </w:r>
          </w:p>
        </w:tc>
      </w:tr>
      <w:tr w:rsidR="008B0CD3" w:rsidRPr="008B0CD3" w:rsidTr="008B0CD3">
        <w:trPr>
          <w:trHeight w:val="290"/>
        </w:trPr>
        <w:tc>
          <w:tcPr>
            <w:tcW w:w="154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center"/>
              <w:rPr>
                <w:rFonts w:ascii="Calibri" w:eastAsia="Times New Roman" w:hAnsi="Calibri" w:cs="Calibri"/>
                <w:b/>
                <w:bCs/>
                <w:color w:val="000000"/>
                <w:sz w:val="22"/>
                <w:lang w:eastAsia="es-CR"/>
              </w:rPr>
            </w:pPr>
            <w:r w:rsidRPr="008B0CD3">
              <w:rPr>
                <w:rFonts w:ascii="Calibri" w:eastAsia="Times New Roman" w:hAnsi="Calibri" w:cs="Calibri"/>
                <w:b/>
                <w:bCs/>
                <w:color w:val="000000"/>
                <w:sz w:val="22"/>
                <w:lang w:eastAsia="es-CR"/>
              </w:rPr>
              <w:t>3</w:t>
            </w:r>
          </w:p>
        </w:tc>
        <w:tc>
          <w:tcPr>
            <w:tcW w:w="366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lef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Asistente Servicios Institucionales 2</w:t>
            </w:r>
          </w:p>
        </w:tc>
        <w:tc>
          <w:tcPr>
            <w:tcW w:w="180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righ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667 166</w:t>
            </w:r>
          </w:p>
        </w:tc>
        <w:tc>
          <w:tcPr>
            <w:tcW w:w="148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center"/>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1</w:t>
            </w:r>
          </w:p>
        </w:tc>
        <w:tc>
          <w:tcPr>
            <w:tcW w:w="174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righ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8 006</w:t>
            </w:r>
          </w:p>
        </w:tc>
      </w:tr>
      <w:tr w:rsidR="008B0CD3" w:rsidRPr="008B0CD3" w:rsidTr="008B0CD3">
        <w:trPr>
          <w:trHeight w:val="290"/>
        </w:trPr>
        <w:tc>
          <w:tcPr>
            <w:tcW w:w="154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center"/>
              <w:rPr>
                <w:rFonts w:ascii="Calibri" w:eastAsia="Times New Roman" w:hAnsi="Calibri" w:cs="Calibri"/>
                <w:b/>
                <w:bCs/>
                <w:color w:val="000000"/>
                <w:sz w:val="22"/>
                <w:lang w:eastAsia="es-CR"/>
              </w:rPr>
            </w:pPr>
            <w:r w:rsidRPr="008B0CD3">
              <w:rPr>
                <w:rFonts w:ascii="Calibri" w:eastAsia="Times New Roman" w:hAnsi="Calibri" w:cs="Calibri"/>
                <w:b/>
                <w:bCs/>
                <w:color w:val="000000"/>
                <w:sz w:val="22"/>
                <w:lang w:eastAsia="es-CR"/>
              </w:rPr>
              <w:t>6</w:t>
            </w:r>
          </w:p>
        </w:tc>
        <w:tc>
          <w:tcPr>
            <w:tcW w:w="366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lef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Profesional Gestión Bancaria 1</w:t>
            </w:r>
          </w:p>
        </w:tc>
        <w:tc>
          <w:tcPr>
            <w:tcW w:w="180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righ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1 115 207</w:t>
            </w:r>
          </w:p>
        </w:tc>
        <w:tc>
          <w:tcPr>
            <w:tcW w:w="148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center"/>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1</w:t>
            </w:r>
          </w:p>
        </w:tc>
        <w:tc>
          <w:tcPr>
            <w:tcW w:w="174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righ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13 382</w:t>
            </w:r>
          </w:p>
        </w:tc>
      </w:tr>
      <w:tr w:rsidR="008B0CD3" w:rsidRPr="008B0CD3" w:rsidTr="008B0CD3">
        <w:trPr>
          <w:trHeight w:val="290"/>
        </w:trPr>
        <w:tc>
          <w:tcPr>
            <w:tcW w:w="154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center"/>
              <w:rPr>
                <w:rFonts w:ascii="Calibri" w:eastAsia="Times New Roman" w:hAnsi="Calibri" w:cs="Calibri"/>
                <w:b/>
                <w:bCs/>
                <w:color w:val="000000"/>
                <w:sz w:val="22"/>
                <w:lang w:eastAsia="es-CR"/>
              </w:rPr>
            </w:pPr>
            <w:r w:rsidRPr="008B0CD3">
              <w:rPr>
                <w:rFonts w:ascii="Calibri" w:eastAsia="Times New Roman" w:hAnsi="Calibri" w:cs="Calibri"/>
                <w:b/>
                <w:bCs/>
                <w:color w:val="000000"/>
                <w:sz w:val="22"/>
                <w:lang w:eastAsia="es-CR"/>
              </w:rPr>
              <w:t>8</w:t>
            </w:r>
          </w:p>
        </w:tc>
        <w:tc>
          <w:tcPr>
            <w:tcW w:w="366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lef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Profesional Gestión Bancaria 3</w:t>
            </w:r>
          </w:p>
        </w:tc>
        <w:tc>
          <w:tcPr>
            <w:tcW w:w="180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righ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1 748 719</w:t>
            </w:r>
          </w:p>
        </w:tc>
        <w:tc>
          <w:tcPr>
            <w:tcW w:w="148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center"/>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15</w:t>
            </w:r>
          </w:p>
        </w:tc>
        <w:tc>
          <w:tcPr>
            <w:tcW w:w="174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righ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314 769</w:t>
            </w:r>
          </w:p>
        </w:tc>
      </w:tr>
      <w:tr w:rsidR="008B0CD3" w:rsidRPr="008B0CD3" w:rsidTr="008B0CD3">
        <w:trPr>
          <w:trHeight w:val="290"/>
        </w:trPr>
        <w:tc>
          <w:tcPr>
            <w:tcW w:w="154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center"/>
              <w:rPr>
                <w:rFonts w:ascii="Calibri" w:eastAsia="Times New Roman" w:hAnsi="Calibri" w:cs="Calibri"/>
                <w:b/>
                <w:bCs/>
                <w:color w:val="000000"/>
                <w:sz w:val="22"/>
                <w:lang w:eastAsia="es-CR"/>
              </w:rPr>
            </w:pPr>
            <w:r w:rsidRPr="008B0CD3">
              <w:rPr>
                <w:rFonts w:ascii="Calibri" w:eastAsia="Times New Roman" w:hAnsi="Calibri" w:cs="Calibri"/>
                <w:b/>
                <w:bCs/>
                <w:color w:val="000000"/>
                <w:sz w:val="22"/>
                <w:lang w:eastAsia="es-CR"/>
              </w:rPr>
              <w:t>8</w:t>
            </w:r>
          </w:p>
        </w:tc>
        <w:tc>
          <w:tcPr>
            <w:tcW w:w="366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lef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Supervisor 2</w:t>
            </w:r>
          </w:p>
        </w:tc>
        <w:tc>
          <w:tcPr>
            <w:tcW w:w="180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righ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1 748 719</w:t>
            </w:r>
          </w:p>
        </w:tc>
        <w:tc>
          <w:tcPr>
            <w:tcW w:w="148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center"/>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13</w:t>
            </w:r>
          </w:p>
        </w:tc>
        <w:tc>
          <w:tcPr>
            <w:tcW w:w="174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righ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272 800</w:t>
            </w:r>
          </w:p>
        </w:tc>
      </w:tr>
      <w:tr w:rsidR="008B0CD3" w:rsidRPr="008B0CD3" w:rsidTr="008B0CD3">
        <w:trPr>
          <w:trHeight w:val="290"/>
        </w:trPr>
        <w:tc>
          <w:tcPr>
            <w:tcW w:w="154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center"/>
              <w:rPr>
                <w:rFonts w:ascii="Calibri" w:eastAsia="Times New Roman" w:hAnsi="Calibri" w:cs="Calibri"/>
                <w:b/>
                <w:bCs/>
                <w:color w:val="000000"/>
                <w:sz w:val="22"/>
                <w:lang w:eastAsia="es-CR"/>
              </w:rPr>
            </w:pPr>
            <w:r w:rsidRPr="008B0CD3">
              <w:rPr>
                <w:rFonts w:ascii="Calibri" w:eastAsia="Times New Roman" w:hAnsi="Calibri" w:cs="Calibri"/>
                <w:b/>
                <w:bCs/>
                <w:color w:val="000000"/>
                <w:sz w:val="22"/>
                <w:lang w:eastAsia="es-CR"/>
              </w:rPr>
              <w:t>8</w:t>
            </w:r>
          </w:p>
        </w:tc>
        <w:tc>
          <w:tcPr>
            <w:tcW w:w="366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lef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Supervisor TI</w:t>
            </w:r>
          </w:p>
        </w:tc>
        <w:tc>
          <w:tcPr>
            <w:tcW w:w="180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righ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1 748 719</w:t>
            </w:r>
          </w:p>
        </w:tc>
        <w:tc>
          <w:tcPr>
            <w:tcW w:w="148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center"/>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1</w:t>
            </w:r>
          </w:p>
        </w:tc>
        <w:tc>
          <w:tcPr>
            <w:tcW w:w="174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righ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20 985</w:t>
            </w:r>
          </w:p>
        </w:tc>
      </w:tr>
      <w:tr w:rsidR="008B0CD3" w:rsidRPr="008B0CD3" w:rsidTr="008B0CD3">
        <w:trPr>
          <w:trHeight w:val="290"/>
        </w:trPr>
        <w:tc>
          <w:tcPr>
            <w:tcW w:w="154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center"/>
              <w:rPr>
                <w:rFonts w:ascii="Calibri" w:eastAsia="Times New Roman" w:hAnsi="Calibri" w:cs="Calibri"/>
                <w:b/>
                <w:bCs/>
                <w:color w:val="000000"/>
                <w:sz w:val="22"/>
                <w:lang w:eastAsia="es-CR"/>
              </w:rPr>
            </w:pPr>
            <w:r w:rsidRPr="008B0CD3">
              <w:rPr>
                <w:rFonts w:ascii="Calibri" w:eastAsia="Times New Roman" w:hAnsi="Calibri" w:cs="Calibri"/>
                <w:b/>
                <w:bCs/>
                <w:color w:val="000000"/>
                <w:sz w:val="22"/>
                <w:lang w:eastAsia="es-CR"/>
              </w:rPr>
              <w:t>9</w:t>
            </w:r>
          </w:p>
        </w:tc>
        <w:tc>
          <w:tcPr>
            <w:tcW w:w="366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lef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Ejecutivo</w:t>
            </w:r>
          </w:p>
        </w:tc>
        <w:tc>
          <w:tcPr>
            <w:tcW w:w="180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righ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2 196 215</w:t>
            </w:r>
          </w:p>
        </w:tc>
        <w:tc>
          <w:tcPr>
            <w:tcW w:w="148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center"/>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4</w:t>
            </w:r>
          </w:p>
        </w:tc>
        <w:tc>
          <w:tcPr>
            <w:tcW w:w="174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righ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105 418</w:t>
            </w:r>
          </w:p>
        </w:tc>
      </w:tr>
      <w:tr w:rsidR="008B0CD3" w:rsidRPr="008B0CD3" w:rsidTr="008B0CD3">
        <w:trPr>
          <w:trHeight w:val="290"/>
        </w:trPr>
        <w:tc>
          <w:tcPr>
            <w:tcW w:w="154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center"/>
              <w:rPr>
                <w:rFonts w:ascii="Calibri" w:eastAsia="Times New Roman" w:hAnsi="Calibri" w:cs="Calibri"/>
                <w:b/>
                <w:bCs/>
                <w:color w:val="000000"/>
                <w:sz w:val="22"/>
                <w:lang w:eastAsia="es-CR"/>
              </w:rPr>
            </w:pPr>
            <w:r w:rsidRPr="008B0CD3">
              <w:rPr>
                <w:rFonts w:ascii="Calibri" w:eastAsia="Times New Roman" w:hAnsi="Calibri" w:cs="Calibri"/>
                <w:b/>
                <w:bCs/>
                <w:color w:val="000000"/>
                <w:sz w:val="22"/>
                <w:lang w:eastAsia="es-CR"/>
              </w:rPr>
              <w:t>9</w:t>
            </w:r>
          </w:p>
        </w:tc>
        <w:tc>
          <w:tcPr>
            <w:tcW w:w="366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lef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Profesional Gestión Bancaria 4</w:t>
            </w:r>
          </w:p>
        </w:tc>
        <w:tc>
          <w:tcPr>
            <w:tcW w:w="180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righ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2 196 215</w:t>
            </w:r>
          </w:p>
        </w:tc>
        <w:tc>
          <w:tcPr>
            <w:tcW w:w="148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center"/>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2</w:t>
            </w:r>
          </w:p>
        </w:tc>
        <w:tc>
          <w:tcPr>
            <w:tcW w:w="174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righ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52 709</w:t>
            </w:r>
          </w:p>
        </w:tc>
      </w:tr>
      <w:tr w:rsidR="008B0CD3" w:rsidRPr="008B0CD3" w:rsidTr="008B0CD3">
        <w:trPr>
          <w:trHeight w:val="290"/>
        </w:trPr>
        <w:tc>
          <w:tcPr>
            <w:tcW w:w="154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center"/>
              <w:rPr>
                <w:rFonts w:ascii="Calibri" w:eastAsia="Times New Roman" w:hAnsi="Calibri" w:cs="Calibri"/>
                <w:b/>
                <w:bCs/>
                <w:color w:val="000000"/>
                <w:sz w:val="22"/>
                <w:lang w:eastAsia="es-CR"/>
              </w:rPr>
            </w:pPr>
            <w:r w:rsidRPr="008B0CD3">
              <w:rPr>
                <w:rFonts w:ascii="Calibri" w:eastAsia="Times New Roman" w:hAnsi="Calibri" w:cs="Calibri"/>
                <w:b/>
                <w:bCs/>
                <w:color w:val="000000"/>
                <w:sz w:val="22"/>
                <w:lang w:eastAsia="es-CR"/>
              </w:rPr>
              <w:t>9</w:t>
            </w:r>
          </w:p>
        </w:tc>
        <w:tc>
          <w:tcPr>
            <w:tcW w:w="366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lef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Supervisor Principal</w:t>
            </w:r>
          </w:p>
        </w:tc>
        <w:tc>
          <w:tcPr>
            <w:tcW w:w="180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righ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2 196 215</w:t>
            </w:r>
          </w:p>
        </w:tc>
        <w:tc>
          <w:tcPr>
            <w:tcW w:w="148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center"/>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3</w:t>
            </w:r>
          </w:p>
        </w:tc>
        <w:tc>
          <w:tcPr>
            <w:tcW w:w="174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righ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79 064</w:t>
            </w:r>
          </w:p>
        </w:tc>
      </w:tr>
      <w:tr w:rsidR="008B0CD3" w:rsidRPr="008B0CD3" w:rsidTr="008B0CD3">
        <w:trPr>
          <w:trHeight w:val="290"/>
        </w:trPr>
        <w:tc>
          <w:tcPr>
            <w:tcW w:w="154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center"/>
              <w:rPr>
                <w:rFonts w:ascii="Calibri" w:eastAsia="Times New Roman" w:hAnsi="Calibri" w:cs="Calibri"/>
                <w:b/>
                <w:bCs/>
                <w:color w:val="000000"/>
                <w:sz w:val="22"/>
                <w:lang w:eastAsia="es-CR"/>
              </w:rPr>
            </w:pPr>
            <w:r w:rsidRPr="008B0CD3">
              <w:rPr>
                <w:rFonts w:ascii="Calibri" w:eastAsia="Times New Roman" w:hAnsi="Calibri" w:cs="Calibri"/>
                <w:b/>
                <w:bCs/>
                <w:color w:val="000000"/>
                <w:sz w:val="22"/>
                <w:lang w:eastAsia="es-CR"/>
              </w:rPr>
              <w:t>12</w:t>
            </w:r>
          </w:p>
        </w:tc>
        <w:tc>
          <w:tcPr>
            <w:tcW w:w="366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lef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Director de División</w:t>
            </w:r>
          </w:p>
        </w:tc>
        <w:tc>
          <w:tcPr>
            <w:tcW w:w="180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righ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5 965 482</w:t>
            </w:r>
          </w:p>
        </w:tc>
        <w:tc>
          <w:tcPr>
            <w:tcW w:w="148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center"/>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1</w:t>
            </w:r>
          </w:p>
        </w:tc>
        <w:tc>
          <w:tcPr>
            <w:tcW w:w="174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righ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71 586</w:t>
            </w:r>
          </w:p>
        </w:tc>
      </w:tr>
      <w:tr w:rsidR="008B0CD3" w:rsidRPr="008B0CD3" w:rsidTr="008B0CD3">
        <w:trPr>
          <w:trHeight w:val="290"/>
        </w:trPr>
        <w:tc>
          <w:tcPr>
            <w:tcW w:w="154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center"/>
              <w:rPr>
                <w:rFonts w:ascii="Calibri" w:eastAsia="Times New Roman" w:hAnsi="Calibri" w:cs="Calibri"/>
                <w:b/>
                <w:bCs/>
                <w:color w:val="000000"/>
                <w:sz w:val="22"/>
                <w:lang w:eastAsia="es-CR"/>
              </w:rPr>
            </w:pPr>
            <w:r w:rsidRPr="008B0CD3">
              <w:rPr>
                <w:rFonts w:ascii="Calibri" w:eastAsia="Times New Roman" w:hAnsi="Calibri" w:cs="Calibri"/>
                <w:b/>
                <w:bCs/>
                <w:color w:val="000000"/>
                <w:sz w:val="22"/>
                <w:lang w:eastAsia="es-CR"/>
              </w:rPr>
              <w:t>9</w:t>
            </w:r>
          </w:p>
        </w:tc>
        <w:tc>
          <w:tcPr>
            <w:tcW w:w="366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lef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Asistente Servicios Institucionales 2</w:t>
            </w:r>
          </w:p>
        </w:tc>
        <w:tc>
          <w:tcPr>
            <w:tcW w:w="180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righ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271 056</w:t>
            </w:r>
          </w:p>
        </w:tc>
        <w:tc>
          <w:tcPr>
            <w:tcW w:w="148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center"/>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2</w:t>
            </w:r>
          </w:p>
        </w:tc>
        <w:tc>
          <w:tcPr>
            <w:tcW w:w="174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righ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6 505</w:t>
            </w:r>
          </w:p>
        </w:tc>
      </w:tr>
      <w:tr w:rsidR="008B0CD3" w:rsidRPr="008B0CD3" w:rsidTr="008B0CD3">
        <w:trPr>
          <w:trHeight w:val="290"/>
        </w:trPr>
        <w:tc>
          <w:tcPr>
            <w:tcW w:w="154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center"/>
              <w:rPr>
                <w:rFonts w:ascii="Calibri" w:eastAsia="Times New Roman" w:hAnsi="Calibri" w:cs="Calibri"/>
                <w:b/>
                <w:bCs/>
                <w:color w:val="000000"/>
                <w:sz w:val="22"/>
                <w:lang w:eastAsia="es-CR"/>
              </w:rPr>
            </w:pPr>
            <w:r w:rsidRPr="008B0CD3">
              <w:rPr>
                <w:rFonts w:ascii="Calibri" w:eastAsia="Times New Roman" w:hAnsi="Calibri" w:cs="Calibri"/>
                <w:b/>
                <w:bCs/>
                <w:color w:val="000000"/>
                <w:sz w:val="22"/>
                <w:lang w:eastAsia="es-CR"/>
              </w:rPr>
              <w:t>21</w:t>
            </w:r>
          </w:p>
        </w:tc>
        <w:tc>
          <w:tcPr>
            <w:tcW w:w="366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lef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Profesional Gestión Bancaria 2</w:t>
            </w:r>
          </w:p>
        </w:tc>
        <w:tc>
          <w:tcPr>
            <w:tcW w:w="180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righ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610 473</w:t>
            </w:r>
          </w:p>
        </w:tc>
        <w:tc>
          <w:tcPr>
            <w:tcW w:w="148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center"/>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1</w:t>
            </w:r>
          </w:p>
        </w:tc>
        <w:tc>
          <w:tcPr>
            <w:tcW w:w="174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righ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7 326</w:t>
            </w:r>
          </w:p>
        </w:tc>
      </w:tr>
      <w:tr w:rsidR="008B0CD3" w:rsidRPr="008B0CD3" w:rsidTr="008B0CD3">
        <w:trPr>
          <w:trHeight w:val="290"/>
        </w:trPr>
        <w:tc>
          <w:tcPr>
            <w:tcW w:w="154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center"/>
              <w:rPr>
                <w:rFonts w:ascii="Calibri" w:eastAsia="Times New Roman" w:hAnsi="Calibri" w:cs="Calibri"/>
                <w:b/>
                <w:bCs/>
                <w:color w:val="000000"/>
                <w:sz w:val="22"/>
                <w:lang w:eastAsia="es-CR"/>
              </w:rPr>
            </w:pPr>
            <w:r w:rsidRPr="008B0CD3">
              <w:rPr>
                <w:rFonts w:ascii="Calibri" w:eastAsia="Times New Roman" w:hAnsi="Calibri" w:cs="Calibri"/>
                <w:b/>
                <w:bCs/>
                <w:color w:val="000000"/>
                <w:sz w:val="22"/>
                <w:lang w:eastAsia="es-CR"/>
              </w:rPr>
              <w:t>22</w:t>
            </w:r>
          </w:p>
        </w:tc>
        <w:tc>
          <w:tcPr>
            <w:tcW w:w="366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lef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Supervisor 2</w:t>
            </w:r>
          </w:p>
        </w:tc>
        <w:tc>
          <w:tcPr>
            <w:tcW w:w="180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righ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679 886</w:t>
            </w:r>
          </w:p>
        </w:tc>
        <w:tc>
          <w:tcPr>
            <w:tcW w:w="148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center"/>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1</w:t>
            </w:r>
          </w:p>
        </w:tc>
        <w:tc>
          <w:tcPr>
            <w:tcW w:w="174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righ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8 159</w:t>
            </w:r>
          </w:p>
        </w:tc>
      </w:tr>
      <w:tr w:rsidR="008B0CD3" w:rsidRPr="008B0CD3" w:rsidTr="008B0CD3">
        <w:trPr>
          <w:trHeight w:val="290"/>
        </w:trPr>
        <w:tc>
          <w:tcPr>
            <w:tcW w:w="154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center"/>
              <w:rPr>
                <w:rFonts w:ascii="Calibri" w:eastAsia="Times New Roman" w:hAnsi="Calibri" w:cs="Calibri"/>
                <w:b/>
                <w:bCs/>
                <w:color w:val="000000"/>
                <w:sz w:val="22"/>
                <w:lang w:eastAsia="es-CR"/>
              </w:rPr>
            </w:pPr>
            <w:r w:rsidRPr="008B0CD3">
              <w:rPr>
                <w:rFonts w:ascii="Calibri" w:eastAsia="Times New Roman" w:hAnsi="Calibri" w:cs="Calibri"/>
                <w:b/>
                <w:bCs/>
                <w:color w:val="000000"/>
                <w:sz w:val="22"/>
                <w:lang w:eastAsia="es-CR"/>
              </w:rPr>
              <w:t>25</w:t>
            </w:r>
          </w:p>
        </w:tc>
        <w:tc>
          <w:tcPr>
            <w:tcW w:w="366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lef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Supervisor Principal</w:t>
            </w:r>
          </w:p>
        </w:tc>
        <w:tc>
          <w:tcPr>
            <w:tcW w:w="180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righ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850 125</w:t>
            </w:r>
          </w:p>
        </w:tc>
        <w:tc>
          <w:tcPr>
            <w:tcW w:w="148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center"/>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1</w:t>
            </w:r>
          </w:p>
        </w:tc>
        <w:tc>
          <w:tcPr>
            <w:tcW w:w="174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righ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10 202</w:t>
            </w:r>
          </w:p>
        </w:tc>
      </w:tr>
      <w:tr w:rsidR="008B0CD3" w:rsidRPr="008B0CD3" w:rsidTr="008B0CD3">
        <w:trPr>
          <w:trHeight w:val="290"/>
        </w:trPr>
        <w:tc>
          <w:tcPr>
            <w:tcW w:w="154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center"/>
              <w:rPr>
                <w:rFonts w:ascii="Calibri" w:eastAsia="Times New Roman" w:hAnsi="Calibri" w:cs="Calibri"/>
                <w:b/>
                <w:bCs/>
                <w:color w:val="000000"/>
                <w:sz w:val="22"/>
                <w:lang w:eastAsia="es-CR"/>
              </w:rPr>
            </w:pPr>
            <w:r w:rsidRPr="008B0CD3">
              <w:rPr>
                <w:rFonts w:ascii="Calibri" w:eastAsia="Times New Roman" w:hAnsi="Calibri" w:cs="Calibri"/>
                <w:b/>
                <w:bCs/>
                <w:color w:val="000000"/>
                <w:sz w:val="22"/>
                <w:lang w:eastAsia="es-CR"/>
              </w:rPr>
              <w:t>31</w:t>
            </w:r>
          </w:p>
        </w:tc>
        <w:tc>
          <w:tcPr>
            <w:tcW w:w="366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lef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Líder de Supervisión</w:t>
            </w:r>
          </w:p>
        </w:tc>
        <w:tc>
          <w:tcPr>
            <w:tcW w:w="180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righ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1 203 903</w:t>
            </w:r>
          </w:p>
        </w:tc>
        <w:tc>
          <w:tcPr>
            <w:tcW w:w="148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center"/>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1</w:t>
            </w:r>
          </w:p>
        </w:tc>
        <w:tc>
          <w:tcPr>
            <w:tcW w:w="174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righ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14 447</w:t>
            </w:r>
          </w:p>
        </w:tc>
      </w:tr>
      <w:tr w:rsidR="008B0CD3" w:rsidRPr="008B0CD3" w:rsidTr="008B0CD3">
        <w:trPr>
          <w:trHeight w:val="290"/>
        </w:trPr>
        <w:tc>
          <w:tcPr>
            <w:tcW w:w="154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center"/>
              <w:rPr>
                <w:rFonts w:ascii="Calibri" w:eastAsia="Times New Roman" w:hAnsi="Calibri" w:cs="Calibri"/>
                <w:b/>
                <w:bCs/>
                <w:color w:val="000000"/>
                <w:sz w:val="22"/>
                <w:lang w:eastAsia="es-CR"/>
              </w:rPr>
            </w:pPr>
            <w:r w:rsidRPr="008B0CD3">
              <w:rPr>
                <w:rFonts w:ascii="Calibri" w:eastAsia="Times New Roman" w:hAnsi="Calibri" w:cs="Calibri"/>
                <w:b/>
                <w:bCs/>
                <w:color w:val="000000"/>
                <w:sz w:val="22"/>
                <w:lang w:eastAsia="es-CR"/>
              </w:rPr>
              <w:t>36</w:t>
            </w:r>
          </w:p>
        </w:tc>
        <w:tc>
          <w:tcPr>
            <w:tcW w:w="366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lef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Director de División</w:t>
            </w:r>
          </w:p>
        </w:tc>
        <w:tc>
          <w:tcPr>
            <w:tcW w:w="180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righ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1 730 855</w:t>
            </w:r>
          </w:p>
        </w:tc>
        <w:tc>
          <w:tcPr>
            <w:tcW w:w="148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center"/>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1</w:t>
            </w:r>
          </w:p>
        </w:tc>
        <w:tc>
          <w:tcPr>
            <w:tcW w:w="174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righ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20 770</w:t>
            </w:r>
          </w:p>
        </w:tc>
      </w:tr>
      <w:tr w:rsidR="008B0CD3" w:rsidRPr="008B0CD3" w:rsidTr="008B0CD3">
        <w:trPr>
          <w:trHeight w:val="290"/>
        </w:trPr>
        <w:tc>
          <w:tcPr>
            <w:tcW w:w="154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center"/>
              <w:rPr>
                <w:rFonts w:ascii="Calibri" w:eastAsia="Times New Roman" w:hAnsi="Calibri" w:cs="Calibri"/>
                <w:b/>
                <w:bCs/>
                <w:color w:val="000000"/>
                <w:sz w:val="22"/>
                <w:lang w:eastAsia="es-CR"/>
              </w:rPr>
            </w:pPr>
            <w:r w:rsidRPr="008B0CD3">
              <w:rPr>
                <w:rFonts w:ascii="Calibri" w:eastAsia="Times New Roman" w:hAnsi="Calibri" w:cs="Calibri"/>
                <w:b/>
                <w:bCs/>
                <w:color w:val="000000"/>
                <w:sz w:val="22"/>
                <w:lang w:eastAsia="es-CR"/>
              </w:rPr>
              <w:t>36</w:t>
            </w:r>
          </w:p>
        </w:tc>
        <w:tc>
          <w:tcPr>
            <w:tcW w:w="366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lef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Director de Supervisión</w:t>
            </w:r>
          </w:p>
        </w:tc>
        <w:tc>
          <w:tcPr>
            <w:tcW w:w="180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righ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1 751 942</w:t>
            </w:r>
          </w:p>
        </w:tc>
        <w:tc>
          <w:tcPr>
            <w:tcW w:w="148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center"/>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1</w:t>
            </w:r>
          </w:p>
        </w:tc>
        <w:tc>
          <w:tcPr>
            <w:tcW w:w="1740" w:type="dxa"/>
            <w:tcBorders>
              <w:top w:val="nil"/>
              <w:left w:val="nil"/>
              <w:bottom w:val="nil"/>
              <w:right w:val="nil"/>
            </w:tcBorders>
            <w:shd w:val="clear" w:color="auto" w:fill="auto"/>
            <w:noWrap/>
            <w:vAlign w:val="bottom"/>
            <w:hideMark/>
          </w:tcPr>
          <w:p w:rsidR="008B0CD3" w:rsidRPr="008B0CD3" w:rsidRDefault="008B0CD3" w:rsidP="008B0CD3">
            <w:pPr>
              <w:spacing w:line="240" w:lineRule="auto"/>
              <w:jc w:val="right"/>
              <w:rPr>
                <w:rFonts w:ascii="Calibri" w:eastAsia="Times New Roman" w:hAnsi="Calibri" w:cs="Calibri"/>
                <w:color w:val="000000"/>
                <w:sz w:val="22"/>
                <w:lang w:eastAsia="es-CR"/>
              </w:rPr>
            </w:pPr>
            <w:r w:rsidRPr="008B0CD3">
              <w:rPr>
                <w:rFonts w:ascii="Calibri" w:eastAsia="Times New Roman" w:hAnsi="Calibri" w:cs="Calibri"/>
                <w:color w:val="000000"/>
                <w:sz w:val="22"/>
                <w:lang w:eastAsia="es-CR"/>
              </w:rPr>
              <w:t>21 023</w:t>
            </w:r>
          </w:p>
        </w:tc>
      </w:tr>
      <w:tr w:rsidR="008B0CD3" w:rsidRPr="008B0CD3" w:rsidTr="008B0CD3">
        <w:trPr>
          <w:trHeight w:val="290"/>
        </w:trPr>
        <w:tc>
          <w:tcPr>
            <w:tcW w:w="1540" w:type="dxa"/>
            <w:tcBorders>
              <w:top w:val="single" w:sz="4" w:space="0" w:color="8EA9DB"/>
              <w:left w:val="nil"/>
              <w:bottom w:val="nil"/>
              <w:right w:val="nil"/>
            </w:tcBorders>
            <w:shd w:val="clear" w:color="000000" w:fill="002060"/>
            <w:noWrap/>
            <w:vAlign w:val="bottom"/>
            <w:hideMark/>
          </w:tcPr>
          <w:p w:rsidR="008B0CD3" w:rsidRPr="008B0CD3" w:rsidRDefault="008B0CD3" w:rsidP="008B0CD3">
            <w:pPr>
              <w:spacing w:line="240" w:lineRule="auto"/>
              <w:jc w:val="center"/>
              <w:rPr>
                <w:rFonts w:ascii="Calibri" w:eastAsia="Times New Roman" w:hAnsi="Calibri" w:cs="Calibri"/>
                <w:b/>
                <w:bCs/>
                <w:color w:val="FFFFFF"/>
                <w:sz w:val="22"/>
                <w:lang w:eastAsia="es-CR"/>
              </w:rPr>
            </w:pPr>
            <w:r w:rsidRPr="008B0CD3">
              <w:rPr>
                <w:rFonts w:ascii="Calibri" w:eastAsia="Times New Roman" w:hAnsi="Calibri" w:cs="Calibri"/>
                <w:b/>
                <w:bCs/>
                <w:color w:val="FFFFFF"/>
                <w:sz w:val="22"/>
                <w:lang w:eastAsia="es-CR"/>
              </w:rPr>
              <w:t> </w:t>
            </w:r>
          </w:p>
        </w:tc>
        <w:tc>
          <w:tcPr>
            <w:tcW w:w="3660" w:type="dxa"/>
            <w:tcBorders>
              <w:top w:val="single" w:sz="4" w:space="0" w:color="8EA9DB"/>
              <w:left w:val="nil"/>
              <w:bottom w:val="nil"/>
              <w:right w:val="nil"/>
            </w:tcBorders>
            <w:shd w:val="clear" w:color="000000" w:fill="002060"/>
            <w:noWrap/>
            <w:vAlign w:val="bottom"/>
            <w:hideMark/>
          </w:tcPr>
          <w:p w:rsidR="008B0CD3" w:rsidRPr="008B0CD3" w:rsidRDefault="008B0CD3" w:rsidP="008B0CD3">
            <w:pPr>
              <w:spacing w:line="240" w:lineRule="auto"/>
              <w:jc w:val="left"/>
              <w:rPr>
                <w:rFonts w:ascii="Calibri" w:eastAsia="Times New Roman" w:hAnsi="Calibri" w:cs="Calibri"/>
                <w:b/>
                <w:bCs/>
                <w:color w:val="FFFFFF"/>
                <w:sz w:val="22"/>
                <w:lang w:eastAsia="es-CR"/>
              </w:rPr>
            </w:pPr>
            <w:r w:rsidRPr="008B0CD3">
              <w:rPr>
                <w:rFonts w:ascii="Calibri" w:eastAsia="Times New Roman" w:hAnsi="Calibri" w:cs="Calibri"/>
                <w:b/>
                <w:bCs/>
                <w:color w:val="FFFFFF"/>
                <w:sz w:val="22"/>
                <w:lang w:eastAsia="es-CR"/>
              </w:rPr>
              <w:t> </w:t>
            </w:r>
          </w:p>
        </w:tc>
        <w:tc>
          <w:tcPr>
            <w:tcW w:w="1800" w:type="dxa"/>
            <w:tcBorders>
              <w:top w:val="single" w:sz="4" w:space="0" w:color="8EA9DB"/>
              <w:left w:val="nil"/>
              <w:bottom w:val="nil"/>
              <w:right w:val="nil"/>
            </w:tcBorders>
            <w:shd w:val="clear" w:color="000000" w:fill="002060"/>
            <w:noWrap/>
            <w:vAlign w:val="bottom"/>
            <w:hideMark/>
          </w:tcPr>
          <w:p w:rsidR="008B0CD3" w:rsidRPr="008B0CD3" w:rsidRDefault="008B0CD3" w:rsidP="008B0CD3">
            <w:pPr>
              <w:spacing w:line="240" w:lineRule="auto"/>
              <w:jc w:val="right"/>
              <w:rPr>
                <w:rFonts w:ascii="Calibri" w:eastAsia="Times New Roman" w:hAnsi="Calibri" w:cs="Calibri"/>
                <w:b/>
                <w:bCs/>
                <w:color w:val="FFFFFF"/>
                <w:sz w:val="22"/>
                <w:lang w:eastAsia="es-CR"/>
              </w:rPr>
            </w:pPr>
            <w:r w:rsidRPr="008B0CD3">
              <w:rPr>
                <w:rFonts w:ascii="Calibri" w:eastAsia="Times New Roman" w:hAnsi="Calibri" w:cs="Calibri"/>
                <w:b/>
                <w:bCs/>
                <w:color w:val="FFFFFF"/>
                <w:sz w:val="22"/>
                <w:lang w:eastAsia="es-CR"/>
              </w:rPr>
              <w:t>5 965 482</w:t>
            </w:r>
          </w:p>
        </w:tc>
        <w:tc>
          <w:tcPr>
            <w:tcW w:w="1480" w:type="dxa"/>
            <w:tcBorders>
              <w:top w:val="single" w:sz="4" w:space="0" w:color="8EA9DB"/>
              <w:left w:val="nil"/>
              <w:bottom w:val="nil"/>
              <w:right w:val="nil"/>
            </w:tcBorders>
            <w:shd w:val="clear" w:color="000000" w:fill="002060"/>
            <w:noWrap/>
            <w:vAlign w:val="bottom"/>
            <w:hideMark/>
          </w:tcPr>
          <w:p w:rsidR="008B0CD3" w:rsidRPr="008B0CD3" w:rsidRDefault="008B0CD3" w:rsidP="008B0CD3">
            <w:pPr>
              <w:spacing w:line="240" w:lineRule="auto"/>
              <w:jc w:val="center"/>
              <w:rPr>
                <w:rFonts w:ascii="Calibri" w:eastAsia="Times New Roman" w:hAnsi="Calibri" w:cs="Calibri"/>
                <w:b/>
                <w:bCs/>
                <w:color w:val="FFFFFF"/>
                <w:sz w:val="22"/>
                <w:lang w:eastAsia="es-CR"/>
              </w:rPr>
            </w:pPr>
            <w:r w:rsidRPr="008B0CD3">
              <w:rPr>
                <w:rFonts w:ascii="Calibri" w:eastAsia="Times New Roman" w:hAnsi="Calibri" w:cs="Calibri"/>
                <w:b/>
                <w:bCs/>
                <w:color w:val="FFFFFF"/>
                <w:sz w:val="22"/>
                <w:lang w:eastAsia="es-CR"/>
              </w:rPr>
              <w:t>51</w:t>
            </w:r>
          </w:p>
        </w:tc>
        <w:tc>
          <w:tcPr>
            <w:tcW w:w="1740" w:type="dxa"/>
            <w:tcBorders>
              <w:top w:val="nil"/>
              <w:left w:val="nil"/>
              <w:bottom w:val="nil"/>
              <w:right w:val="nil"/>
            </w:tcBorders>
            <w:shd w:val="clear" w:color="000000" w:fill="002060"/>
            <w:noWrap/>
            <w:vAlign w:val="bottom"/>
            <w:hideMark/>
          </w:tcPr>
          <w:p w:rsidR="008B0CD3" w:rsidRPr="008B0CD3" w:rsidRDefault="008B0CD3" w:rsidP="008B0CD3">
            <w:pPr>
              <w:spacing w:line="240" w:lineRule="auto"/>
              <w:jc w:val="right"/>
              <w:rPr>
                <w:rFonts w:ascii="Calibri" w:eastAsia="Times New Roman" w:hAnsi="Calibri" w:cs="Calibri"/>
                <w:b/>
                <w:bCs/>
                <w:color w:val="FFFFFF"/>
                <w:sz w:val="22"/>
                <w:lang w:eastAsia="es-CR"/>
              </w:rPr>
            </w:pPr>
            <w:r w:rsidRPr="008B0CD3">
              <w:rPr>
                <w:rFonts w:ascii="Calibri" w:eastAsia="Times New Roman" w:hAnsi="Calibri" w:cs="Calibri"/>
                <w:b/>
                <w:bCs/>
                <w:color w:val="FFFFFF"/>
                <w:sz w:val="22"/>
                <w:lang w:eastAsia="es-CR"/>
              </w:rPr>
              <w:t>1 159 745</w:t>
            </w:r>
          </w:p>
        </w:tc>
      </w:tr>
    </w:tbl>
    <w:p w:rsidR="0E324171" w:rsidRDefault="0E324171" w:rsidP="00F658FC">
      <w:pPr>
        <w:jc w:val="left"/>
      </w:pPr>
      <w:r w:rsidRPr="0E324171">
        <w:rPr>
          <w:rFonts w:ascii="Calibri" w:eastAsia="Calibri" w:hAnsi="Calibri" w:cs="Calibri"/>
          <w:color w:val="0070C0"/>
          <w:szCs w:val="24"/>
        </w:rPr>
        <w:t xml:space="preserve"> </w:t>
      </w:r>
    </w:p>
    <w:p w:rsidR="0E324171" w:rsidRDefault="0E324171" w:rsidP="00F658FC">
      <w:pPr>
        <w:jc w:val="left"/>
        <w:rPr>
          <w:color w:val="0070C0"/>
          <w:lang w:eastAsia="es-CR"/>
        </w:rPr>
      </w:pPr>
    </w:p>
    <w:p w:rsidR="003D1C4F" w:rsidRPr="004B1036" w:rsidRDefault="003D1C4F" w:rsidP="00F658FC">
      <w:pPr>
        <w:jc w:val="left"/>
        <w:rPr>
          <w:color w:val="0070C0"/>
          <w:lang w:eastAsia="es-CR"/>
        </w:rPr>
      </w:pPr>
    </w:p>
    <w:p w:rsidR="005D613A" w:rsidRPr="004B1036" w:rsidRDefault="005D613A" w:rsidP="00F658FC">
      <w:pPr>
        <w:pStyle w:val="Ttulo1"/>
        <w:numPr>
          <w:ilvl w:val="0"/>
          <w:numId w:val="2"/>
        </w:numPr>
        <w:spacing w:before="0" w:beforeAutospacing="0" w:after="0" w:afterAutospacing="0" w:line="276" w:lineRule="auto"/>
        <w:ind w:left="426" w:hanging="426"/>
        <w:rPr>
          <w:rFonts w:ascii="Century Gothic" w:eastAsiaTheme="majorEastAsia" w:hAnsi="Century Gothic" w:cstheme="majorBidi"/>
          <w:color w:val="365F91" w:themeColor="accent1" w:themeShade="BF"/>
          <w:sz w:val="28"/>
          <w:szCs w:val="28"/>
          <w:lang w:eastAsia="es-CR"/>
        </w:rPr>
      </w:pPr>
      <w:bookmarkStart w:id="7" w:name="_Toc65452651"/>
      <w:r w:rsidRPr="004B1036">
        <w:rPr>
          <w:rFonts w:ascii="Century Gothic" w:eastAsiaTheme="majorEastAsia" w:hAnsi="Century Gothic" w:cstheme="majorBidi"/>
          <w:color w:val="365F91" w:themeColor="accent1" w:themeShade="BF"/>
          <w:kern w:val="0"/>
          <w:sz w:val="28"/>
          <w:szCs w:val="28"/>
          <w:lang w:eastAsia="es-CR"/>
        </w:rPr>
        <w:t>CUMPLIMIENTO DE METAS</w:t>
      </w:r>
      <w:bookmarkEnd w:id="7"/>
    </w:p>
    <w:p w:rsidR="00016AB4" w:rsidRPr="004B1036" w:rsidRDefault="00016AB4" w:rsidP="00F658FC">
      <w:pPr>
        <w:rPr>
          <w:rFonts w:ascii="Century Gothic" w:eastAsiaTheme="majorEastAsia" w:hAnsi="Century Gothic" w:cstheme="majorBidi"/>
          <w:color w:val="365F91" w:themeColor="accent1" w:themeShade="BF"/>
          <w:szCs w:val="24"/>
          <w:lang w:eastAsia="es-CR"/>
        </w:rPr>
      </w:pPr>
    </w:p>
    <w:p w:rsidR="00AC0BAB" w:rsidRPr="004B1036" w:rsidRDefault="00AC0BAB" w:rsidP="00F658FC">
      <w:pPr>
        <w:pStyle w:val="Ttulo2"/>
        <w:numPr>
          <w:ilvl w:val="0"/>
          <w:numId w:val="4"/>
        </w:numPr>
        <w:spacing w:before="0"/>
        <w:rPr>
          <w:rFonts w:asciiTheme="minorHAnsi" w:hAnsiTheme="minorHAnsi" w:cstheme="minorBidi"/>
          <w:b/>
        </w:rPr>
      </w:pPr>
      <w:bookmarkStart w:id="8" w:name="_Toc65452652"/>
      <w:r w:rsidRPr="6B89B391">
        <w:rPr>
          <w:rFonts w:asciiTheme="minorHAnsi" w:hAnsiTheme="minorHAnsi" w:cstheme="minorBidi"/>
          <w:b/>
        </w:rPr>
        <w:t>Plan Nacional de Desarrollo</w:t>
      </w:r>
      <w:bookmarkEnd w:id="8"/>
    </w:p>
    <w:p w:rsidR="003B3012" w:rsidRPr="004B1036" w:rsidRDefault="003B3012" w:rsidP="00F658FC">
      <w:pPr>
        <w:rPr>
          <w:rFonts w:cstheme="minorHAnsi"/>
        </w:rPr>
      </w:pPr>
    </w:p>
    <w:p w:rsidR="00A20921" w:rsidRDefault="00A20921" w:rsidP="00F658FC">
      <w:pPr>
        <w:rPr>
          <w:color w:val="000000" w:themeColor="text1"/>
        </w:rPr>
      </w:pPr>
      <w:r w:rsidRPr="6B89B391">
        <w:rPr>
          <w:color w:val="000000" w:themeColor="text1"/>
        </w:rPr>
        <w:t xml:space="preserve">Para el </w:t>
      </w:r>
      <w:r w:rsidR="005118AF" w:rsidRPr="6B89B391">
        <w:t xml:space="preserve">Plan Nacional de Desarrollo e Inversión Pública </w:t>
      </w:r>
      <w:r w:rsidR="00EE57B3" w:rsidRPr="6B89B391">
        <w:t>2019-2022</w:t>
      </w:r>
      <w:r w:rsidR="005118AF" w:rsidRPr="6B89B391">
        <w:t xml:space="preserve"> (PNDIP),</w:t>
      </w:r>
      <w:r w:rsidRPr="6B89B391">
        <w:rPr>
          <w:color w:val="000000" w:themeColor="text1"/>
        </w:rPr>
        <w:t xml:space="preserve"> la Superintendencia planteó como meta, que el 100% del activo supervisado del sector estaría supervisado bajo un enfoque de Supervisión basado en riesgos (SBR), de conformidad con el Marco Integrado de Supervisión de Seguros (MISS)</w:t>
      </w:r>
      <w:r w:rsidR="00A679D1" w:rsidRPr="6B89B391">
        <w:rPr>
          <w:color w:val="000000" w:themeColor="text1"/>
        </w:rPr>
        <w:t>. La meta establecida para diciembre de 202</w:t>
      </w:r>
      <w:r w:rsidR="001E2CF3" w:rsidRPr="6B89B391">
        <w:rPr>
          <w:color w:val="000000" w:themeColor="text1"/>
        </w:rPr>
        <w:t>2</w:t>
      </w:r>
      <w:r w:rsidR="00A679D1" w:rsidRPr="6B89B391">
        <w:rPr>
          <w:color w:val="000000" w:themeColor="text1"/>
        </w:rPr>
        <w:t xml:space="preserve"> fue de un 100%</w:t>
      </w:r>
      <w:r w:rsidR="008C7ADA" w:rsidRPr="6B89B391">
        <w:rPr>
          <w:color w:val="000000" w:themeColor="text1"/>
        </w:rPr>
        <w:t>, la cual se logró</w:t>
      </w:r>
      <w:r w:rsidR="00A679D1" w:rsidRPr="6B89B391">
        <w:rPr>
          <w:color w:val="000000" w:themeColor="text1"/>
        </w:rPr>
        <w:t xml:space="preserve">, por lo que el cumplimiento </w:t>
      </w:r>
      <w:r w:rsidR="009E5F8F" w:rsidRPr="6B89B391">
        <w:rPr>
          <w:color w:val="000000" w:themeColor="text1"/>
        </w:rPr>
        <w:t>fue</w:t>
      </w:r>
      <w:r w:rsidR="00A679D1" w:rsidRPr="6B89B391">
        <w:rPr>
          <w:color w:val="000000" w:themeColor="text1"/>
        </w:rPr>
        <w:t xml:space="preserve"> </w:t>
      </w:r>
      <w:r w:rsidR="00B364F9" w:rsidRPr="6B89B391">
        <w:rPr>
          <w:color w:val="000000" w:themeColor="text1"/>
        </w:rPr>
        <w:t>clasificado</w:t>
      </w:r>
      <w:r w:rsidR="00A679D1" w:rsidRPr="6B89B391">
        <w:rPr>
          <w:color w:val="000000" w:themeColor="text1"/>
        </w:rPr>
        <w:t xml:space="preserve"> como “Cumplimiento </w:t>
      </w:r>
      <w:r w:rsidR="00EE57B3" w:rsidRPr="6B89B391">
        <w:rPr>
          <w:color w:val="000000" w:themeColor="text1"/>
        </w:rPr>
        <w:t>A</w:t>
      </w:r>
      <w:r w:rsidR="00A679D1" w:rsidRPr="6B89B391">
        <w:rPr>
          <w:color w:val="000000" w:themeColor="text1"/>
        </w:rPr>
        <w:t>lto”,</w:t>
      </w:r>
      <w:r w:rsidRPr="6B89B391">
        <w:rPr>
          <w:color w:val="000000" w:themeColor="text1"/>
        </w:rPr>
        <w:t xml:space="preserve"> </w:t>
      </w:r>
      <w:r w:rsidR="008C7ADA" w:rsidRPr="6B89B391">
        <w:rPr>
          <w:color w:val="000000" w:themeColor="text1"/>
        </w:rPr>
        <w:t xml:space="preserve">de acuerdo con los criterios establecidos por </w:t>
      </w:r>
      <w:r w:rsidRPr="6B89B391">
        <w:rPr>
          <w:color w:val="000000" w:themeColor="text1"/>
        </w:rPr>
        <w:t>M</w:t>
      </w:r>
      <w:r w:rsidR="005118AF" w:rsidRPr="6B89B391">
        <w:rPr>
          <w:color w:val="000000" w:themeColor="text1"/>
        </w:rPr>
        <w:t>IDEPLAN</w:t>
      </w:r>
      <w:r w:rsidRPr="6B89B391">
        <w:rPr>
          <w:color w:val="000000" w:themeColor="text1"/>
        </w:rPr>
        <w:t xml:space="preserve">.  </w:t>
      </w:r>
    </w:p>
    <w:p w:rsidR="001E2CF3" w:rsidRDefault="001E2CF3" w:rsidP="00F658FC">
      <w:pPr>
        <w:rPr>
          <w:rFonts w:cstheme="minorHAnsi"/>
          <w:color w:val="000000"/>
        </w:rPr>
      </w:pPr>
    </w:p>
    <w:p w:rsidR="00AC0BAB" w:rsidRPr="004B1036" w:rsidRDefault="00373405" w:rsidP="00F658FC">
      <w:pPr>
        <w:pStyle w:val="Ttulo2"/>
        <w:numPr>
          <w:ilvl w:val="0"/>
          <w:numId w:val="4"/>
        </w:numPr>
        <w:spacing w:before="0"/>
        <w:rPr>
          <w:rFonts w:asciiTheme="minorHAnsi" w:hAnsiTheme="minorHAnsi" w:cstheme="minorBidi"/>
          <w:b/>
        </w:rPr>
      </w:pPr>
      <w:bookmarkStart w:id="9" w:name="_Toc65452653"/>
      <w:r w:rsidRPr="6B89B391">
        <w:rPr>
          <w:rFonts w:asciiTheme="minorHAnsi" w:hAnsiTheme="minorHAnsi" w:cstheme="minorBidi"/>
          <w:b/>
        </w:rPr>
        <w:t>P</w:t>
      </w:r>
      <w:r w:rsidR="00AC0BAB" w:rsidRPr="6B89B391">
        <w:rPr>
          <w:rFonts w:asciiTheme="minorHAnsi" w:hAnsiTheme="minorHAnsi" w:cstheme="minorBidi"/>
          <w:b/>
        </w:rPr>
        <w:t>lan Estratégico</w:t>
      </w:r>
      <w:bookmarkEnd w:id="9"/>
      <w:r w:rsidR="00975807" w:rsidRPr="6B89B391">
        <w:rPr>
          <w:rFonts w:asciiTheme="minorHAnsi" w:hAnsiTheme="minorHAnsi" w:cstheme="minorBidi"/>
          <w:b/>
        </w:rPr>
        <w:t xml:space="preserve"> Institucional</w:t>
      </w:r>
      <w:r w:rsidR="00AC0BAB" w:rsidRPr="6B89B391">
        <w:rPr>
          <w:rFonts w:asciiTheme="minorHAnsi" w:hAnsiTheme="minorHAnsi" w:cstheme="minorBidi"/>
          <w:b/>
        </w:rPr>
        <w:t xml:space="preserve"> </w:t>
      </w:r>
    </w:p>
    <w:p w:rsidR="00BD4424" w:rsidRPr="004B1036" w:rsidRDefault="00BD4424" w:rsidP="00F658FC">
      <w:pPr>
        <w:rPr>
          <w:rFonts w:cstheme="minorHAnsi"/>
          <w:szCs w:val="24"/>
        </w:rPr>
      </w:pPr>
    </w:p>
    <w:p w:rsidR="00A65950" w:rsidRPr="00A429C8" w:rsidRDefault="00A65950" w:rsidP="00F658FC">
      <w:pPr>
        <w:rPr>
          <w:bCs/>
        </w:rPr>
      </w:pPr>
      <w:bookmarkStart w:id="10" w:name="_Toc65452654"/>
      <w:r w:rsidRPr="6B89B391">
        <w:t>En junio de 2022 concluyó el ejercicio anual de alineamiento estratégico y ajuste táctico, que forma parte de los procedimientos regulares de gestión estratégica de la institución.  Este ejercicio permite alcanzar las metas propuestas en un entorno en constante cambio, de forma tal que la Institución continúe avanzando en las mejores prácticas de regulación y supervisión con la ayuda de la tecnología, tal como está propuesto en el Plan Estratégico Institucional 2019-2023</w:t>
      </w:r>
      <w:r w:rsidRPr="00A429C8">
        <w:rPr>
          <w:bCs/>
        </w:rPr>
        <w:t>.</w:t>
      </w:r>
    </w:p>
    <w:p w:rsidR="00A65950" w:rsidRPr="00A429C8" w:rsidRDefault="00A65950" w:rsidP="00F658FC">
      <w:pPr>
        <w:rPr>
          <w:bCs/>
        </w:rPr>
      </w:pPr>
    </w:p>
    <w:p w:rsidR="00A65950" w:rsidRPr="00E24749" w:rsidRDefault="00A65950" w:rsidP="00F658FC">
      <w:r w:rsidRPr="6B89B391">
        <w:t xml:space="preserve">Como resultado de la revisión anual del Plan Estratégico, se mantuvo la visión, misión y estrategias de la versión original del plan. En esta oportunidad, el ejercicio se concentró en la revisión del portafolio de normativa, las acciones estratégicas, a saber; Sostenibilidad y </w:t>
      </w:r>
      <w:r w:rsidRPr="6B89B391">
        <w:rPr>
          <w:i/>
        </w:rPr>
        <w:t>FinTech</w:t>
      </w:r>
      <w:r w:rsidRPr="6B89B391">
        <w:t xml:space="preserve"> (particularmente lo relacionado con </w:t>
      </w:r>
      <w:r w:rsidRPr="6B89B391">
        <w:rPr>
          <w:i/>
        </w:rPr>
        <w:t>RegTech</w:t>
      </w:r>
      <w:r w:rsidRPr="6B89B391">
        <w:t xml:space="preserve"> y </w:t>
      </w:r>
      <w:r w:rsidRPr="6B89B391">
        <w:rPr>
          <w:i/>
        </w:rPr>
        <w:t>SupTech</w:t>
      </w:r>
      <w:r w:rsidRPr="6B89B391">
        <w:t xml:space="preserve">), el portafolio institucional de proyectos, así como la evaluación de los riesgos asociados con éstos y los objetivos estratégicos. </w:t>
      </w:r>
    </w:p>
    <w:p w:rsidR="00A65950" w:rsidRPr="00E24749" w:rsidRDefault="00A65950" w:rsidP="00F658FC">
      <w:pPr>
        <w:rPr>
          <w:rFonts w:cstheme="minorHAnsi"/>
          <w:szCs w:val="24"/>
        </w:rPr>
      </w:pPr>
    </w:p>
    <w:p w:rsidR="00A65950" w:rsidRPr="0067290B" w:rsidRDefault="00A65950" w:rsidP="00F658FC">
      <w:r w:rsidRPr="6B89B391">
        <w:t>La revisión permitió evaluar y ajustar el portafolio institucional de proyectos, para determinar las prioridades o los ajustes necesarios para su logro, así como las necesidades de recursos, para incorporarlas en la formulación presupuestaria del periodo 2023.</w:t>
      </w:r>
    </w:p>
    <w:p w:rsidR="00A65950" w:rsidRPr="0067290B" w:rsidRDefault="00A65950" w:rsidP="00F658FC">
      <w:pPr>
        <w:rPr>
          <w:rFonts w:cstheme="minorHAnsi"/>
          <w:bCs/>
          <w:szCs w:val="24"/>
        </w:rPr>
      </w:pPr>
    </w:p>
    <w:p w:rsidR="00A65950" w:rsidRPr="0067290B" w:rsidRDefault="00A65950" w:rsidP="00F658FC">
      <w:pPr>
        <w:pStyle w:val="Prrafodelista"/>
        <w:numPr>
          <w:ilvl w:val="0"/>
          <w:numId w:val="21"/>
        </w:numPr>
        <w:spacing w:after="0"/>
        <w:rPr>
          <w:b/>
        </w:rPr>
      </w:pPr>
      <w:r w:rsidRPr="6B89B391">
        <w:rPr>
          <w:b/>
        </w:rPr>
        <w:t>Proyectos institucionales</w:t>
      </w:r>
    </w:p>
    <w:p w:rsidR="00A65950" w:rsidRPr="0067290B" w:rsidRDefault="00A65950" w:rsidP="00F658FC">
      <w:pPr>
        <w:rPr>
          <w:strike/>
          <w:highlight w:val="yellow"/>
        </w:rPr>
      </w:pPr>
      <w:r w:rsidRPr="6B89B391">
        <w:t>Durante 2022, la Superintendencia trabajó en los siguientes proyectos, cuya finalización está prevista para los próximos años:</w:t>
      </w:r>
    </w:p>
    <w:p w:rsidR="00A65950" w:rsidRPr="0067290B" w:rsidRDefault="00A65950" w:rsidP="00F658FC">
      <w:pPr>
        <w:pStyle w:val="Prrafodelista"/>
        <w:spacing w:after="0"/>
        <w:rPr>
          <w:rFonts w:cstheme="minorHAnsi"/>
          <w:bCs/>
          <w:strike/>
          <w:szCs w:val="24"/>
          <w:highlight w:val="yellow"/>
        </w:rPr>
      </w:pPr>
    </w:p>
    <w:p w:rsidR="0067290B" w:rsidRPr="0067290B" w:rsidRDefault="0067290B" w:rsidP="00F658FC">
      <w:pPr>
        <w:pStyle w:val="Prrafodelista"/>
        <w:numPr>
          <w:ilvl w:val="0"/>
          <w:numId w:val="22"/>
        </w:numPr>
        <w:spacing w:after="0"/>
      </w:pPr>
      <w:r w:rsidRPr="6B89B391">
        <w:rPr>
          <w:b/>
        </w:rPr>
        <w:t xml:space="preserve">Modelo de Capital Basado en Riesgo Tipo Solvencia II:  </w:t>
      </w:r>
      <w:r w:rsidRPr="6B89B391">
        <w:t>en la primera fase de este proyecto se elaboró un diagnóstico de la brecha de cumplimiento de los estándares internaciones y mejores prácticas para la regulación y supervisión de la solvencia de las entidades de seguros, e implementación de una reforma integral del régimen de solvencia de las aseguradoras, para avanzar hacia un modelo tipo Solvencia II</w:t>
      </w:r>
      <w:r w:rsidRPr="6B89B391">
        <w:rPr>
          <w:rStyle w:val="Refdenotaalpie"/>
        </w:rPr>
        <w:footnoteReference w:id="5"/>
      </w:r>
      <w:r w:rsidRPr="6B89B391">
        <w:t>. Posteriormente, en el 2020-2021, en la realización de este proyecto, se contó con la Asistencia Técnica del Fondo Monetario Internacional (FMI), que recomendó que la SUGESE desarrolle primero el proyecto de implementación de NIIF 17 y luego desarrolle un modelo tipo Solvencia II. Durante 2022, se dio seguimiento, mediante informes trimestrales, a la Hoja de Ruta que contiene las recomendaciones de la Asistencia técnica del FMI, específicamente para la implementación de aquellos cambios que se pueden llevar en forma paralela o independiente del proyecto NIIF 17.</w:t>
      </w:r>
    </w:p>
    <w:p w:rsidR="0067290B" w:rsidRDefault="0067290B" w:rsidP="00F658FC">
      <w:pPr>
        <w:ind w:left="708"/>
      </w:pPr>
      <w:r w:rsidRPr="6B89B391">
        <w:t>Estas fases previas permitirán que una vez implementada la NIIF 17, se cuente con la información contable requerida para la modificación del régimen de solvencia de las entidades supervisadas.</w:t>
      </w:r>
    </w:p>
    <w:p w:rsidR="006A4E42" w:rsidRPr="0067290B" w:rsidRDefault="006A4E42" w:rsidP="00F658FC">
      <w:pPr>
        <w:ind w:left="708"/>
        <w:rPr>
          <w:rFonts w:cstheme="minorHAnsi"/>
          <w:bCs/>
          <w:szCs w:val="24"/>
        </w:rPr>
      </w:pPr>
    </w:p>
    <w:p w:rsidR="0067290B" w:rsidRPr="0067290B" w:rsidRDefault="0067290B" w:rsidP="00F658FC">
      <w:pPr>
        <w:pStyle w:val="Prrafodelista"/>
        <w:numPr>
          <w:ilvl w:val="0"/>
          <w:numId w:val="22"/>
        </w:numPr>
        <w:spacing w:after="0"/>
      </w:pPr>
      <w:r w:rsidRPr="6B89B391">
        <w:rPr>
          <w:b/>
        </w:rPr>
        <w:t>Adopción de la Norma Internacional de NIIF 17:</w:t>
      </w:r>
      <w:r w:rsidRPr="6B89B391">
        <w:t xml:space="preserve"> el Plan Estratégico 2019-2023, como parte de la estrategia orientada a profundizar en la aplicación de las buenas prácticas internacionales de regulación y supervisión, incorporó al portafolio de proyectos la Adopción de la Norma Internacional de Información Financiera 17 (NIIF 17), relativa al contrato de seguro. La iniciativa de proyecto planteada tiene como objetivo la revisión y ajuste a la normativa contable y financiera definida en el </w:t>
      </w:r>
      <w:r w:rsidRPr="6B89B391">
        <w:rPr>
          <w:i/>
        </w:rPr>
        <w:t>Reglamento de Información Financiera</w:t>
      </w:r>
      <w:r w:rsidRPr="6B89B391">
        <w:t>; así como la relacionada con la remisión de información periódica para efectos de supervisión, entrega que concluyó en 2021, con la aprobación de parte del CONASSIF de las reformas a las normas contables y del superintendente los acuerdos de remisión de información financiera y lineamientos para aplicar el Reglamento sobre la Solvencia de Entidades de Seguros y Reaseguros. Adicionalmente, el proyecto incluye los ajustes al Sistema de Supervisión de Seguros (SSS), para la remisión, procesamiento y almacenamiento de información financiera por parte de las entidades supervisadas, de acuerdo con las nuevas normas contables, etapa que también concluyó en 2021. Durante 2022 se dio seguimiento a la preparación de las entidades aseguradoras para la implementación de la nueva normativa a partir de enero del 2024.  En 2023 se realizarán los ejercicios de impacto, lo cuales permitirán determinar si es necesario ajustes adicionales de las normas mencionadas.</w:t>
      </w:r>
    </w:p>
    <w:p w:rsidR="0067290B" w:rsidRPr="0067290B" w:rsidRDefault="0067290B" w:rsidP="00F658FC">
      <w:pPr>
        <w:pStyle w:val="Prrafodelista"/>
        <w:spacing w:after="0"/>
        <w:rPr>
          <w:rFonts w:cstheme="minorHAnsi"/>
          <w:strike/>
          <w:szCs w:val="24"/>
        </w:rPr>
      </w:pPr>
    </w:p>
    <w:p w:rsidR="0067290B" w:rsidRPr="0067290B" w:rsidRDefault="0067290B" w:rsidP="00F658FC">
      <w:pPr>
        <w:pStyle w:val="Prrafodelista"/>
        <w:numPr>
          <w:ilvl w:val="0"/>
          <w:numId w:val="22"/>
        </w:numPr>
        <w:spacing w:after="0"/>
        <w:rPr>
          <w:rFonts w:eastAsia="Times New Roman"/>
        </w:rPr>
      </w:pPr>
      <w:r w:rsidRPr="6B89B391">
        <w:rPr>
          <w:rFonts w:eastAsia="Times New Roman"/>
          <w:b/>
        </w:rPr>
        <w:t>Modelo de supervisión de conducta de negocio</w:t>
      </w:r>
      <w:r w:rsidRPr="6B89B391">
        <w:rPr>
          <w:rFonts w:eastAsia="Times New Roman"/>
        </w:rPr>
        <w:t>: pretende el desarrollo de un modelo de supervisión de conducta de mercado bajo un enfoque de supervisión basada en riesgos; con la finalidad de procurar que el consumidor reciba un trato justo hacia él y de facilitar el mercado a partir de la confianza que genere en el consumidor la relación con su aseguradora e intermediario. Durante el periodo 2022 se recibieron las respuestas de la guía de autoevaluación de conducta de negocio remitida a entidades aseguradoras y sociedades corredoras de seguros con perfil de alto riesgo previamente identificadas por la superintendencia, se ejecutó un plan piloto inicial con una entidad aseguradora previamente seleccionada y se avanzó en el diseño de la propuesta que permitirá la implementación del modelo de supervisión, misma que será presentada ante el C</w:t>
      </w:r>
      <w:r w:rsidR="00775B98">
        <w:rPr>
          <w:rFonts w:eastAsia="Times New Roman"/>
        </w:rPr>
        <w:t>ONASSIF</w:t>
      </w:r>
      <w:r w:rsidRPr="6B89B391">
        <w:rPr>
          <w:rFonts w:eastAsia="Times New Roman"/>
        </w:rPr>
        <w:t xml:space="preserve"> en el primer trimestre del 2023.</w:t>
      </w:r>
    </w:p>
    <w:p w:rsidR="0067290B" w:rsidRPr="0067290B" w:rsidRDefault="0067290B" w:rsidP="00F658FC">
      <w:pPr>
        <w:pStyle w:val="Prrafodelista"/>
        <w:spacing w:after="0"/>
        <w:rPr>
          <w:rFonts w:cstheme="minorHAnsi"/>
          <w:strike/>
          <w:szCs w:val="24"/>
        </w:rPr>
      </w:pPr>
    </w:p>
    <w:p w:rsidR="009D1AF8" w:rsidRPr="00F07386" w:rsidRDefault="009D1AF8" w:rsidP="00F658FC">
      <w:pPr>
        <w:pStyle w:val="Prrafodelista"/>
        <w:numPr>
          <w:ilvl w:val="0"/>
          <w:numId w:val="22"/>
        </w:numPr>
        <w:spacing w:after="0"/>
        <w:ind w:left="714" w:hanging="357"/>
      </w:pPr>
      <w:bookmarkStart w:id="11" w:name="_Hlk128148268"/>
      <w:bookmarkStart w:id="12" w:name="_Hlk125119675"/>
      <w:r w:rsidRPr="6B89B391">
        <w:rPr>
          <w:b/>
        </w:rPr>
        <w:t>Modelo de gestión de talento humano:</w:t>
      </w:r>
      <w:r>
        <w:t xml:space="preserve"> el propósito del proyecto es disponer de un modelo de gestión del talento humano que permita a la SUGESE cumplir sus objetivos. Este modelo se propone como respuesta a necesidades identificadas en las diferentes áreas en materia de cierre de brechas y desarrollo del talento. Para cumplir con el objetivo se establecerá un nuevo proceso es facilitar la identificación de necesidades y competencias técnicas para un satisfactorio desempeño de los colaboradores, además de mantenerlos actualizados en las tendencias requeridas por el mercado de seguros y los nuevos objetivos organizacionales planteados en el Plan Estratégico Institucional.</w:t>
      </w:r>
    </w:p>
    <w:p w:rsidR="009D1AF8" w:rsidRPr="00F07386" w:rsidRDefault="009D1AF8" w:rsidP="00F658FC">
      <w:pPr>
        <w:pStyle w:val="PrrafoListaconLetras"/>
        <w:spacing w:before="0" w:after="0" w:line="276" w:lineRule="auto"/>
        <w:ind w:left="720"/>
        <w:rPr>
          <w:rFonts w:ascii="Calibri" w:eastAsia="Times New Roman" w:hAnsi="Calibri" w:cs="Calibri"/>
          <w:sz w:val="24"/>
          <w:szCs w:val="24"/>
        </w:rPr>
      </w:pPr>
    </w:p>
    <w:p w:rsidR="009D1AF8" w:rsidRPr="00F07386" w:rsidRDefault="009D1AF8" w:rsidP="00F658FC">
      <w:pPr>
        <w:pStyle w:val="PrrafoListaconLetras"/>
        <w:numPr>
          <w:ilvl w:val="0"/>
          <w:numId w:val="28"/>
        </w:numPr>
        <w:spacing w:before="0" w:after="0" w:line="276" w:lineRule="auto"/>
        <w:rPr>
          <w:rFonts w:ascii="Calibri" w:eastAsia="Times New Roman" w:hAnsi="Calibri" w:cs="Calibri"/>
          <w:sz w:val="24"/>
          <w:szCs w:val="24"/>
        </w:rPr>
      </w:pPr>
      <w:r w:rsidRPr="00F07386">
        <w:rPr>
          <w:rFonts w:ascii="Calibri" w:eastAsia="Times New Roman" w:hAnsi="Calibri" w:cs="Calibri"/>
          <w:b/>
          <w:bCs/>
          <w:sz w:val="24"/>
          <w:szCs w:val="24"/>
        </w:rPr>
        <w:t>Revisión y actualización del sistema de gestión de procesos de la SUGESE:</w:t>
      </w:r>
      <w:r w:rsidRPr="00F07386">
        <w:rPr>
          <w:rFonts w:ascii="Calibri" w:eastAsia="Times New Roman" w:hAnsi="Calibri" w:cs="Calibri"/>
          <w:sz w:val="24"/>
          <w:szCs w:val="24"/>
        </w:rPr>
        <w:t xml:space="preserve"> durante 2022 dio inicio este proyecto que pretende la actualización del sistema de gestión de procesos de la SUGESE de acuerdo con las características de la institución. / El sistema de gestión de procesos de la SUGESE debe mantenerse actualizado en concordancia con la visión actualizada de la institución y de acuerdo con los ejes principales establecidos en el Plan Estratégico. De esta forma se sigue la línea de buscar mejora continua en la institución. Así, este proyecto institucional pretende actualizar el sistema de gestión de procesos de la Superintendencia para garantizar que está atendiendo de forma idónea los requerimientos de las partes interesadas: clientes, asegurados, regulados y clientes internos. </w:t>
      </w:r>
    </w:p>
    <w:p w:rsidR="009D1AF8" w:rsidRPr="00F07386" w:rsidRDefault="009D1AF8" w:rsidP="00F658FC">
      <w:pPr>
        <w:pStyle w:val="Prrafodelista"/>
        <w:spacing w:after="0"/>
        <w:rPr>
          <w:rFonts w:eastAsia="Times New Roman"/>
          <w:b/>
          <w:bCs/>
          <w:szCs w:val="24"/>
        </w:rPr>
      </w:pPr>
    </w:p>
    <w:p w:rsidR="009D1AF8" w:rsidRPr="00F07386" w:rsidRDefault="009D1AF8" w:rsidP="00F658FC">
      <w:pPr>
        <w:pStyle w:val="Prrafodelista"/>
        <w:numPr>
          <w:ilvl w:val="0"/>
          <w:numId w:val="28"/>
        </w:numPr>
        <w:spacing w:after="0"/>
      </w:pPr>
      <w:r w:rsidRPr="6B89B391">
        <w:rPr>
          <w:rFonts w:eastAsia="Times New Roman"/>
          <w:b/>
        </w:rPr>
        <w:t>Instrumento de comunicación interna entre procesos</w:t>
      </w:r>
      <w:r w:rsidRPr="6B89B391">
        <w:rPr>
          <w:rFonts w:eastAsia="Times New Roman"/>
        </w:rPr>
        <w:t>:  Consiste en la incorporación en cada ficha de proceso, de indicadores de seguimiento para aquellas labores institucionales que deben de tener alguna acción de comunicación, que contribuirá a mejorar los canales y mecanismos de información que existen dentro de la Superintendencia y lograr una comunicación eficaz a lo interno de la institución.  El proyecto fue desarrollado y concluido en el 2022, quedando pendiente para el 2023 la aprobación de parte de los documentos del Sistema de Gestión de la Calidad reformados.</w:t>
      </w:r>
    </w:p>
    <w:bookmarkEnd w:id="11"/>
    <w:p w:rsidR="0067290B" w:rsidRPr="0067290B" w:rsidRDefault="0067290B" w:rsidP="00F658FC">
      <w:pPr>
        <w:pStyle w:val="Prrafodelista"/>
        <w:spacing w:after="0"/>
        <w:rPr>
          <w:rFonts w:cstheme="minorHAnsi"/>
          <w:bCs/>
          <w:szCs w:val="24"/>
        </w:rPr>
      </w:pPr>
    </w:p>
    <w:bookmarkEnd w:id="12"/>
    <w:p w:rsidR="0067290B" w:rsidRDefault="0067290B" w:rsidP="00F658FC">
      <w:pPr>
        <w:pStyle w:val="Prrafodelista"/>
        <w:numPr>
          <w:ilvl w:val="0"/>
          <w:numId w:val="27"/>
        </w:numPr>
        <w:spacing w:after="0"/>
      </w:pPr>
      <w:r w:rsidRPr="6B89B391">
        <w:rPr>
          <w:b/>
        </w:rPr>
        <w:t>Definición de implementación de sistema de estadísticas de seguros para el público:</w:t>
      </w:r>
      <w:r w:rsidRPr="6B89B391">
        <w:t xml:space="preserve"> el proyecto incluye la revisión de la información estadística que actualmente está a disposición del público, para así ampliar la oferta de información y disponer de un motor de generación de estadísticas para el público, disponible en sitio web de la Superintendencia e interconectado con los sistemas de información de la institución. Durante el 2022 se automatizó la generación de información a partir de los sistemas de información de la Superintendencia y se puso a disposición del público mediante el sitio web de SUGESE.</w:t>
      </w:r>
      <w:r w:rsidRPr="6B89B391">
        <w:rPr>
          <w:b/>
        </w:rPr>
        <w:t xml:space="preserve"> </w:t>
      </w:r>
      <w:r w:rsidRPr="6B89B391">
        <w:t>El resto de proyecto consiste en mejoras al contenido de la información disponible para el público con el fin de mejorar el cumplimiento de los estándares internacionales en materia de divulgación de información.</w:t>
      </w:r>
    </w:p>
    <w:p w:rsidR="008E0485" w:rsidRDefault="008E0485" w:rsidP="00F658FC">
      <w:pPr>
        <w:rPr>
          <w:rFonts w:eastAsia="Times New Roman"/>
          <w:szCs w:val="24"/>
        </w:rPr>
      </w:pPr>
    </w:p>
    <w:p w:rsidR="006A4E42" w:rsidRPr="0067290B" w:rsidRDefault="006A4E42" w:rsidP="00F658FC">
      <w:r w:rsidRPr="6B89B391">
        <w:rPr>
          <w:rFonts w:eastAsia="Times New Roman"/>
        </w:rPr>
        <w:t xml:space="preserve">Adicionalmente, el proyecto denominado Instrumento de comunicación interna entre procesos, fue desarrollado y concluido en el 2022, quedando pendiente para el 2023 la aprobación de parte de los documentos del Sistema de Gestión de la Calidad reformados. Esta iniciativa consistió en la incorporación en cada ficha de proceso, de indicadores de seguimiento para aquellas labores institucionales que deben de tener alguna acción de comunicación y se espera que contribuya a mejorar los canales y mecanismos de información que existen dentro de la Superintendencia y lograr una comunicación eficaz a lo interno de la institución.  </w:t>
      </w:r>
    </w:p>
    <w:p w:rsidR="00A65950" w:rsidRPr="00EA3000" w:rsidRDefault="00A65950" w:rsidP="00F658FC">
      <w:pPr>
        <w:pStyle w:val="Prrafodelista"/>
        <w:spacing w:after="0"/>
        <w:rPr>
          <w:rFonts w:cstheme="minorHAnsi"/>
          <w:b/>
          <w:bCs/>
          <w:szCs w:val="24"/>
          <w:highlight w:val="yellow"/>
        </w:rPr>
      </w:pPr>
    </w:p>
    <w:p w:rsidR="00A65950" w:rsidRDefault="00A65950" w:rsidP="00F658FC">
      <w:pPr>
        <w:pStyle w:val="Prrafodelista"/>
        <w:numPr>
          <w:ilvl w:val="0"/>
          <w:numId w:val="21"/>
        </w:numPr>
        <w:spacing w:after="0"/>
        <w:rPr>
          <w:b/>
        </w:rPr>
      </w:pPr>
      <w:r w:rsidRPr="6B89B391">
        <w:rPr>
          <w:b/>
        </w:rPr>
        <w:t>Proyectos transversales</w:t>
      </w:r>
    </w:p>
    <w:p w:rsidR="00F658FC" w:rsidRDefault="00F658FC" w:rsidP="00F658FC">
      <w:pPr>
        <w:rPr>
          <w:rFonts w:cstheme="minorHAnsi"/>
          <w:szCs w:val="24"/>
        </w:rPr>
      </w:pPr>
    </w:p>
    <w:p w:rsidR="008E0485" w:rsidRPr="008E0485" w:rsidRDefault="008E0485" w:rsidP="00F658FC">
      <w:r w:rsidRPr="6B89B391">
        <w:t>Durante el periodo 2022, se avanzó en el “Proyecto de Transformación Digital CQD”.  Este proyecto tiene como objetivo el diseño y desarrollo de una herramienta tecnológica para automatizar, estandarizar y mejorar el proceso de atención de consultas, quejas y denuncias del consumidor financiero, recibidas por todas las superintendencias financieras. Constituye una iniciativa y esfuerzo conjunto de las cuatro superintendencias financieras, coordinada a través del Comité Estratégico de Tecnología de Información para la Supervisión (CETIS).</w:t>
      </w:r>
      <w:r w:rsidRPr="6B89B391">
        <w:rPr>
          <w:rFonts w:eastAsia="Times New Roman"/>
          <w:lang w:eastAsia="es-CR"/>
        </w:rPr>
        <w:t xml:space="preserve"> Durante el periodo 2023, se tiene programado continuar con la implementación de la solución tecnológica del “Proyecto de Transformación Digital CQD”, que al finalizar 2022 tenía un porcentaje de avance del 67%.</w:t>
      </w:r>
    </w:p>
    <w:p w:rsidR="008E0485" w:rsidRDefault="008E0485" w:rsidP="00F658FC">
      <w:pPr>
        <w:rPr>
          <w:rFonts w:cstheme="minorHAnsi"/>
          <w:szCs w:val="24"/>
        </w:rPr>
      </w:pPr>
    </w:p>
    <w:p w:rsidR="008E0485" w:rsidRPr="008E0485" w:rsidRDefault="008E0485" w:rsidP="00F658FC">
      <w:r w:rsidRPr="6B89B391">
        <w:t>Asimismo, se participó activamente en las labores del equipo que desarrolló el Manual de Supervisión Consolidada, en coordinación con SUGEF, SUGEVAL y SUPEN para la determinación de los niveles de riesgo de los Conglomerados y Grupos Financieros, suministro de información, participación en capacitaciones, entre otros.  Esta entrega forma parte del Proyecto de Supervisión Consolidada y complementa la normativa emitida en el 2022 sobre el tema.  Adicionalmente y como parte de la supervisión consolidada se brindó colaboración para el proyecto de automatización del cálculo de la suficiencia patrimonial de grupos y conglomerados financiero, para una mejor supervisión de estos.</w:t>
      </w:r>
    </w:p>
    <w:p w:rsidR="008E0485" w:rsidRDefault="008E0485" w:rsidP="00F658FC">
      <w:pPr>
        <w:rPr>
          <w:rFonts w:cstheme="minorHAnsi"/>
          <w:szCs w:val="24"/>
        </w:rPr>
      </w:pPr>
    </w:p>
    <w:p w:rsidR="008E0485" w:rsidRPr="008E0485" w:rsidRDefault="008E0485" w:rsidP="00F658FC">
      <w:r w:rsidRPr="6B89B391">
        <w:t>Durante el 2022 inició el proyecto transversal de nominado ciberseguridad, cuyo objetivo es revisar y actualizar la normativa vigente sobre la gestión de la tecnología de la información, con el fin de mejorar su supervisión bajo el modelo de supervisión basado en riesgos vigente, incorporando de forma explícita los temas de ciberseguridad, así como ampliar los elementos de seguros y criterios al respecto que deben ser considerados por los auditores externos.</w:t>
      </w:r>
    </w:p>
    <w:p w:rsidR="00A65950" w:rsidRPr="00720410" w:rsidRDefault="00A65950" w:rsidP="00F658FC">
      <w:pPr>
        <w:rPr>
          <w:rFonts w:cstheme="minorHAnsi"/>
          <w:szCs w:val="24"/>
        </w:rPr>
      </w:pPr>
    </w:p>
    <w:p w:rsidR="00A65950" w:rsidRPr="00720410" w:rsidRDefault="00A65950" w:rsidP="00F658FC">
      <w:pPr>
        <w:pStyle w:val="Prrafodelista"/>
        <w:numPr>
          <w:ilvl w:val="0"/>
          <w:numId w:val="21"/>
        </w:numPr>
        <w:spacing w:after="0"/>
        <w:rPr>
          <w:b/>
        </w:rPr>
      </w:pPr>
      <w:r w:rsidRPr="6B89B391">
        <w:rPr>
          <w:b/>
        </w:rPr>
        <w:t>Acciones estratégicas</w:t>
      </w:r>
    </w:p>
    <w:p w:rsidR="00A65950" w:rsidRDefault="00A65950" w:rsidP="00F658FC">
      <w:r w:rsidRPr="6B89B391">
        <w:t xml:space="preserve">En la revisión anual del Plan Estratégico correspondiente a 2022 se mantienen como acciones estratégicas las actividades que se realizan en el tema de </w:t>
      </w:r>
      <w:r w:rsidRPr="6B89B391">
        <w:rPr>
          <w:i/>
        </w:rPr>
        <w:t xml:space="preserve">FinTech y </w:t>
      </w:r>
      <w:r w:rsidRPr="6B89B391">
        <w:t>Sostenibilidad</w:t>
      </w:r>
      <w:r w:rsidRPr="6B89B391">
        <w:rPr>
          <w:rStyle w:val="Refdenotaalpie"/>
        </w:rPr>
        <w:footnoteReference w:id="6"/>
      </w:r>
      <w:r w:rsidRPr="6B89B391">
        <w:t xml:space="preserve">.  </w:t>
      </w:r>
    </w:p>
    <w:p w:rsidR="00A65950" w:rsidRDefault="00A65950" w:rsidP="00F658FC">
      <w:pPr>
        <w:rPr>
          <w:rFonts w:cstheme="minorHAnsi"/>
          <w:bCs/>
          <w:szCs w:val="24"/>
          <w:highlight w:val="yellow"/>
        </w:rPr>
      </w:pPr>
    </w:p>
    <w:p w:rsidR="00A65950" w:rsidRPr="00641897" w:rsidRDefault="00A65950" w:rsidP="00F658FC">
      <w:pPr>
        <w:pStyle w:val="Prrafodelista"/>
        <w:numPr>
          <w:ilvl w:val="1"/>
          <w:numId w:val="21"/>
        </w:numPr>
        <w:spacing w:after="0"/>
        <w:ind w:left="1134" w:hanging="567"/>
        <w:rPr>
          <w:b/>
        </w:rPr>
      </w:pPr>
      <w:r w:rsidRPr="6B89B391">
        <w:rPr>
          <w:b/>
        </w:rPr>
        <w:t>Sostenibilidad</w:t>
      </w:r>
    </w:p>
    <w:p w:rsidR="00F658FC" w:rsidRDefault="00F658FC" w:rsidP="00F658FC">
      <w:pPr>
        <w:rPr>
          <w:rFonts w:cstheme="minorHAnsi"/>
          <w:bCs/>
          <w:szCs w:val="24"/>
        </w:rPr>
      </w:pPr>
    </w:p>
    <w:p w:rsidR="0067290B" w:rsidRPr="009151A5" w:rsidRDefault="0067290B" w:rsidP="00F658FC">
      <w:r w:rsidRPr="6B89B391">
        <w:t>En el tema de la sostenibilidad se llevaron a cabo acciones que permitirán a SUGESE alcanzar las metas definidas en el Plan Estratégico Nacional (PEN) 2030-2050 y el Plan Nacional de Adaptación (PNA) 2022-2026 para promover en el sector aseguradora la gestión y divulgación de los riesgos relacionados con el clima</w:t>
      </w:r>
      <w:r w:rsidRPr="6B89B391">
        <w:rPr>
          <w:rStyle w:val="Refdenotaalpie"/>
        </w:rPr>
        <w:footnoteReference w:id="7"/>
      </w:r>
      <w:r w:rsidRPr="6B89B391">
        <w:t>.</w:t>
      </w:r>
    </w:p>
    <w:p w:rsidR="0067290B" w:rsidRPr="009151A5" w:rsidRDefault="0067290B" w:rsidP="00F658FC">
      <w:pPr>
        <w:rPr>
          <w:rFonts w:cstheme="minorHAnsi"/>
          <w:szCs w:val="24"/>
        </w:rPr>
      </w:pPr>
    </w:p>
    <w:p w:rsidR="0067290B" w:rsidRPr="009151A5" w:rsidRDefault="0067290B" w:rsidP="00F658FC">
      <w:r w:rsidRPr="6B89B391">
        <w:t>A continuación, se numeran las acciones llevadas a cabo durante 2022:</w:t>
      </w:r>
    </w:p>
    <w:p w:rsidR="0067290B" w:rsidRPr="009151A5" w:rsidRDefault="0067290B" w:rsidP="00F658FC">
      <w:pPr>
        <w:rPr>
          <w:rFonts w:cstheme="minorHAnsi"/>
          <w:szCs w:val="24"/>
        </w:rPr>
      </w:pPr>
    </w:p>
    <w:p w:rsidR="0067290B" w:rsidRPr="00665197" w:rsidRDefault="0067290B" w:rsidP="00F658FC">
      <w:pPr>
        <w:pStyle w:val="Prrafodelista"/>
        <w:numPr>
          <w:ilvl w:val="2"/>
          <w:numId w:val="21"/>
        </w:numPr>
        <w:spacing w:after="0"/>
        <w:ind w:left="1134" w:firstLine="0"/>
      </w:pPr>
      <w:r w:rsidRPr="6B89B391">
        <w:t xml:space="preserve">El CONASSIF aprobó reformas a varios reglamentos, incluidos los del sector de seguros, para que las entidades supervisadas incluyan dentro de sus políticas estrategias de inversión sostenible, en cumplimiento del artículo 5 de la Ley N° 10051 </w:t>
      </w:r>
      <w:r w:rsidRPr="6B89B391">
        <w:rPr>
          <w:i/>
        </w:rPr>
        <w:t>“Ley para promover el financiamiento y la inversión para el desarrollo sostenible, mediante el uso de valores de oferta pública temáticos”</w:t>
      </w:r>
      <w:r w:rsidRPr="6B89B391">
        <w:t>, según se comentó en la sección de normativa.</w:t>
      </w:r>
      <w:r w:rsidRPr="6B89B391">
        <w:rPr>
          <w:i/>
        </w:rPr>
        <w:t xml:space="preserve"> </w:t>
      </w:r>
    </w:p>
    <w:p w:rsidR="0067290B" w:rsidRPr="00665197" w:rsidRDefault="0067290B" w:rsidP="00F658FC">
      <w:pPr>
        <w:pStyle w:val="Prrafodelista"/>
        <w:tabs>
          <w:tab w:val="left" w:pos="180"/>
        </w:tabs>
        <w:spacing w:after="0"/>
        <w:ind w:left="1134"/>
        <w:rPr>
          <w:rFonts w:cstheme="minorHAnsi"/>
          <w:szCs w:val="24"/>
        </w:rPr>
      </w:pPr>
    </w:p>
    <w:p w:rsidR="0067290B" w:rsidRDefault="0067290B" w:rsidP="00F658FC">
      <w:pPr>
        <w:pStyle w:val="Prrafodelista"/>
        <w:numPr>
          <w:ilvl w:val="2"/>
          <w:numId w:val="21"/>
        </w:numPr>
        <w:spacing w:after="0"/>
        <w:ind w:left="1134" w:firstLine="0"/>
      </w:pPr>
      <w:r w:rsidRPr="6B89B391">
        <w:t>Apoyo del Plan Acción Clima de la Oficina de Cooperación del Gobierno de Alemania (GIZ por sus siglas en alemán), para la contratación de una consultoría para la definición de una hoja de ruta para la SUGESE en temas de sostenibilidad, a desarrollar en  2022 y 2023, que considerará un diagnóstico de los temas ASG en las entidades supervisadas, el desarrollo de un mecanismo de monitoreo y reporte de los avances de las entidades en la gestión de los riesgos climáticos y el fortalecimiento de capacidades de los supervisados y del supervisor en temas de cambio climático.</w:t>
      </w:r>
    </w:p>
    <w:p w:rsidR="0067290B" w:rsidRPr="006A0B86" w:rsidRDefault="0067290B" w:rsidP="00F658FC">
      <w:pPr>
        <w:pStyle w:val="Prrafodelista"/>
        <w:spacing w:after="0"/>
        <w:ind w:left="1134"/>
        <w:rPr>
          <w:rFonts w:cstheme="minorHAnsi"/>
          <w:szCs w:val="24"/>
        </w:rPr>
      </w:pPr>
    </w:p>
    <w:p w:rsidR="0067290B" w:rsidRDefault="0067290B" w:rsidP="00F658FC">
      <w:pPr>
        <w:pStyle w:val="Prrafodelista"/>
        <w:numPr>
          <w:ilvl w:val="2"/>
          <w:numId w:val="21"/>
        </w:numPr>
        <w:spacing w:after="0"/>
        <w:ind w:left="1134" w:firstLine="0"/>
      </w:pPr>
      <w:r w:rsidRPr="6B89B391">
        <w:t>En conjunto con la Comisión Nacional de Emergencias (CNE), se atendió la evaluación de la OCDE sobre la implementación de las recomendaciones de la organización sobre la Estrategias de Financiamiento de Riesgo de Desastres.  El informe de los resultados de ese estudio se presentó en junio 2022 en el Comité de Seguros y Pensiones Privadas de la OCDE y posteriormente fue publicado por la organización.</w:t>
      </w:r>
    </w:p>
    <w:p w:rsidR="0067290B" w:rsidRPr="006A0B86" w:rsidRDefault="0067290B" w:rsidP="00F658FC">
      <w:pPr>
        <w:pStyle w:val="Prrafodelista"/>
        <w:spacing w:after="0"/>
        <w:ind w:left="1134"/>
        <w:rPr>
          <w:rFonts w:cstheme="minorHAnsi"/>
          <w:szCs w:val="24"/>
        </w:rPr>
      </w:pPr>
    </w:p>
    <w:p w:rsidR="0067290B" w:rsidRPr="009151A5" w:rsidRDefault="0067290B" w:rsidP="00F658FC">
      <w:pPr>
        <w:pStyle w:val="Prrafodelista"/>
        <w:numPr>
          <w:ilvl w:val="2"/>
          <w:numId w:val="21"/>
        </w:numPr>
        <w:spacing w:after="0"/>
        <w:ind w:left="1134" w:firstLine="0"/>
      </w:pPr>
      <w:r w:rsidRPr="6B89B391">
        <w:t xml:space="preserve">Costa Rica, por iniciativa de SUGESE, participó en la tercera versión del </w:t>
      </w:r>
      <w:r w:rsidRPr="6B89B391">
        <w:rPr>
          <w:i/>
        </w:rPr>
        <w:t>Inclusive Insurance Innovation Lab</w:t>
      </w:r>
      <w:r w:rsidRPr="6B89B391">
        <w:t xml:space="preserve">, programa internacional de construcción de capacidades desarrollado por A2ii, en colaboración con </w:t>
      </w:r>
      <w:r w:rsidRPr="6B89B391">
        <w:rPr>
          <w:i/>
        </w:rPr>
        <w:t>InsuResilience Global Partnership</w:t>
      </w:r>
      <w:r w:rsidRPr="6B89B391">
        <w:t xml:space="preserve"> y </w:t>
      </w:r>
      <w:r w:rsidRPr="6B89B391">
        <w:rPr>
          <w:i/>
        </w:rPr>
        <w:t xml:space="preserve">Reos Partners, </w:t>
      </w:r>
      <w:r w:rsidRPr="6B89B391">
        <w:t>en conjunto con representaciones de Granada, Zambia y Zimbabue. Esta tercera versión del programa se concentró en buscar soluciones del sector asegurador, para aumentar la resiliencia de sectores vulnerables ante los impactos del cambio climático. En el caso de Costa Rica, se escogió dirigir la solución al sector turismo. En el equipo país de Costa Rica participan representantes SUGESE, de las aseguradoras, de los intermediarios de seguros y del Instituto Costarricense de Turismo. Como resultado del laboratorio, en junio de 2022, se presentó la iniciativa "Fu-Turismo" a diferentes partes interesadas, que consiste en un sitio  web cuyo principal objetivo es servir de canal de comunicación directa entre expertos en seguros y en gestión de riesgos con propietarios y gerentes de hoteles pequeños y medianos, con miras a promover en ellos una mayor resiliencia mediante soporte y asesoría en tres ejes: (a) concientización de sus riesgos particulares ante el cambio climático mediante herramientas de geolocalización, (b) educación y (b) acciones posibles de mitigación preventivas y correctivas.</w:t>
      </w:r>
    </w:p>
    <w:p w:rsidR="0067290B" w:rsidRPr="009151A5" w:rsidRDefault="0067290B" w:rsidP="00F658FC">
      <w:pPr>
        <w:pStyle w:val="Prrafodelista"/>
        <w:spacing w:after="0"/>
        <w:ind w:left="1134"/>
        <w:rPr>
          <w:rFonts w:cstheme="minorHAnsi"/>
          <w:szCs w:val="24"/>
        </w:rPr>
      </w:pPr>
    </w:p>
    <w:p w:rsidR="0067290B" w:rsidRPr="009151A5" w:rsidRDefault="0067290B" w:rsidP="00F658FC">
      <w:pPr>
        <w:pStyle w:val="Prrafodelista"/>
        <w:numPr>
          <w:ilvl w:val="2"/>
          <w:numId w:val="21"/>
        </w:numPr>
        <w:spacing w:after="0"/>
        <w:ind w:left="1134" w:firstLine="0"/>
      </w:pPr>
      <w:r w:rsidRPr="6B89B391">
        <w:t xml:space="preserve">Participación de SUGESE en las siguientes instancias relacionadas con el tema: </w:t>
      </w:r>
    </w:p>
    <w:p w:rsidR="0067290B" w:rsidRPr="009151A5" w:rsidRDefault="0067290B" w:rsidP="00F658FC">
      <w:pPr>
        <w:tabs>
          <w:tab w:val="left" w:pos="1960"/>
        </w:tabs>
        <w:ind w:left="424"/>
        <w:rPr>
          <w:rFonts w:cstheme="minorHAnsi"/>
          <w:szCs w:val="24"/>
        </w:rPr>
      </w:pPr>
      <w:r w:rsidRPr="009151A5">
        <w:rPr>
          <w:rFonts w:cstheme="minorHAnsi"/>
          <w:szCs w:val="24"/>
        </w:rPr>
        <w:tab/>
      </w:r>
    </w:p>
    <w:p w:rsidR="0067290B" w:rsidRPr="009151A5" w:rsidRDefault="0067290B" w:rsidP="00F658FC">
      <w:pPr>
        <w:ind w:left="1134"/>
      </w:pPr>
      <w:r w:rsidRPr="6B89B391">
        <w:rPr>
          <w:b/>
          <w:i/>
        </w:rPr>
        <w:t>Grupo de Trabajo de Cambio Climático y Sostenibilidad</w:t>
      </w:r>
      <w:r w:rsidRPr="6B89B391">
        <w:rPr>
          <w:b/>
        </w:rPr>
        <w:t xml:space="preserve"> </w:t>
      </w:r>
      <w:r w:rsidRPr="6B89B391">
        <w:t>de la</w:t>
      </w:r>
      <w:r w:rsidRPr="6B89B391">
        <w:rPr>
          <w:b/>
        </w:rPr>
        <w:t xml:space="preserve"> </w:t>
      </w:r>
      <w:r w:rsidRPr="6B89B391">
        <w:t>Asociación de Supervisores de Seguros de América Latina (ASSAL)</w:t>
      </w:r>
      <w:r w:rsidRPr="6B89B391">
        <w:rPr>
          <w:b/>
        </w:rPr>
        <w:t xml:space="preserve">: </w:t>
      </w:r>
      <w:r w:rsidRPr="6B89B391">
        <w:t>SUGESE participa y colabora en la coordinación del grupo señalado, cuyo objetivo es promover la capacitación y divulgación de las buenas prácticas de regulación y supervisión en la materia, así como el conocimiento y análisis del cambio climático en el sector asegurador.</w:t>
      </w:r>
    </w:p>
    <w:p w:rsidR="0067290B" w:rsidRPr="009151A5" w:rsidRDefault="0067290B" w:rsidP="00F658FC">
      <w:pPr>
        <w:ind w:left="1134"/>
        <w:rPr>
          <w:rFonts w:cstheme="minorHAnsi"/>
          <w:szCs w:val="24"/>
        </w:rPr>
      </w:pPr>
    </w:p>
    <w:p w:rsidR="0067290B" w:rsidRPr="009151A5" w:rsidRDefault="0067290B" w:rsidP="00F658FC">
      <w:pPr>
        <w:ind w:left="1134"/>
      </w:pPr>
      <w:r w:rsidRPr="6B89B391">
        <w:rPr>
          <w:b/>
          <w:i/>
        </w:rPr>
        <w:t>Protocolo Sectorial para la Conducta Empresarial Responsable en el Sector de Seguros en Costa Rica y Panamá</w:t>
      </w:r>
      <w:r w:rsidRPr="6B89B391">
        <w:rPr>
          <w:i/>
        </w:rPr>
        <w:t xml:space="preserve">: </w:t>
      </w:r>
      <w:r w:rsidRPr="6B89B391">
        <w:t>La SUGESE apoya y da seguimiento a la implementación del protocolo firmado por las entidades del sector asegurador en febrero de 2022.</w:t>
      </w:r>
    </w:p>
    <w:p w:rsidR="0067290B" w:rsidRPr="009151A5" w:rsidRDefault="0067290B" w:rsidP="00F658FC">
      <w:pPr>
        <w:ind w:left="1134"/>
        <w:rPr>
          <w:rFonts w:cstheme="minorHAnsi"/>
          <w:b/>
          <w:bCs/>
          <w:szCs w:val="24"/>
        </w:rPr>
      </w:pPr>
    </w:p>
    <w:p w:rsidR="0067290B" w:rsidRPr="009151A5" w:rsidRDefault="0067290B" w:rsidP="00F658FC">
      <w:pPr>
        <w:ind w:left="1134"/>
      </w:pPr>
      <w:r w:rsidRPr="6B89B391">
        <w:rPr>
          <w:b/>
          <w:i/>
        </w:rPr>
        <w:t>Comité Sectorial Aseguramiento y Finanzas en CNE:</w:t>
      </w:r>
      <w:r w:rsidRPr="6B89B391">
        <w:t xml:space="preserve"> La SUGESE participa en la comisión que, entre otras busca identificar la disponibilidad de información climática, así como medir o cuantificar las pérdidas económicas de los desastres naturales (Proyecto piloto del Marco Global para la Evaluación del Riesgo-GRAF</w:t>
      </w:r>
      <w:r w:rsidRPr="6B89B391">
        <w:rPr>
          <w:rStyle w:val="Refdenotaalpie"/>
        </w:rPr>
        <w:footnoteReference w:id="8"/>
      </w:r>
      <w:r w:rsidRPr="6B89B391">
        <w:t>, de las Naciones Unidas).  Esta iniciativa está en línea con el trabajo de la SUGESE en la modelación de escenarios de estrés que se lleva en forma conjunta con el Departamento de Estabilidad Financiera del Banco Central.</w:t>
      </w:r>
    </w:p>
    <w:p w:rsidR="0067290B" w:rsidRPr="009151A5" w:rsidRDefault="0067290B" w:rsidP="00F658FC">
      <w:pPr>
        <w:ind w:left="1134"/>
        <w:rPr>
          <w:rFonts w:cstheme="minorHAnsi"/>
          <w:szCs w:val="24"/>
        </w:rPr>
      </w:pPr>
    </w:p>
    <w:p w:rsidR="0067290B" w:rsidRPr="009151A5" w:rsidRDefault="0067290B" w:rsidP="00F658FC">
      <w:pPr>
        <w:ind w:left="1134"/>
      </w:pPr>
      <w:r w:rsidRPr="6B89B391">
        <w:rPr>
          <w:b/>
        </w:rPr>
        <w:t>Comité de Coordinación de Sostenibilidad y Cambio Climático de las Superintendencia:</w:t>
      </w:r>
      <w:r w:rsidRPr="6B89B391">
        <w:t xml:space="preserve">  La SUGESE en conjunto con las otras superintendencias, coordinará la constitución de un comité que coordinara lo relacionado con sostenibilidad y cambio climático, para lo cual se definió una gobernanza para el grupo que fue aprobado por los superintendentes y se elaboró una primera hoja de ruta de trabajo, que contempla las acciones que están en desarrollo, tanto de forma transversal (dos o más superintendencias) o de manera individual.  La hoja de ruta se espera permita trabajar de forma coordinada el tema, aunar esfuerzos y apoyos externos, identificar aspectos que deben ser tratados transversalmente, así como vacíos que no se estén abordando desde la perspectiva del regulador.  De igual forma el comité debe coordinar su trabajo el Grupo de Análisis Estratégico de Cambio Climático (GAECC) del Banco Central.  En 2022, el grupo trabajó también en la atención de requerimientos de información sobre sostenibilidad y cambio climático para las misiones de evaluación del Fondo Monetario Internacional y del Banco Mundial y recibió asesoría del Banco Mundial sobre desarrollo de una taxonomía verde para el país.</w:t>
      </w:r>
    </w:p>
    <w:p w:rsidR="00F90416" w:rsidRPr="00C14B5E" w:rsidRDefault="00F90416" w:rsidP="00F658FC">
      <w:pPr>
        <w:ind w:left="567"/>
        <w:rPr>
          <w:rFonts w:cstheme="minorHAnsi"/>
          <w:szCs w:val="24"/>
        </w:rPr>
      </w:pPr>
    </w:p>
    <w:p w:rsidR="00A65950" w:rsidRDefault="00A65950" w:rsidP="00F658FC">
      <w:pPr>
        <w:pStyle w:val="Prrafodelista"/>
        <w:numPr>
          <w:ilvl w:val="1"/>
          <w:numId w:val="21"/>
        </w:numPr>
        <w:spacing w:after="0"/>
        <w:ind w:left="1134" w:hanging="567"/>
        <w:rPr>
          <w:b/>
          <w:i/>
        </w:rPr>
      </w:pPr>
      <w:r w:rsidRPr="6B89B391">
        <w:rPr>
          <w:b/>
          <w:i/>
        </w:rPr>
        <w:t>FinTech</w:t>
      </w:r>
    </w:p>
    <w:p w:rsidR="00F658FC" w:rsidRPr="009A6036" w:rsidRDefault="00F658FC" w:rsidP="00F658FC">
      <w:pPr>
        <w:pStyle w:val="Prrafodelista"/>
        <w:spacing w:after="0"/>
        <w:ind w:left="792"/>
        <w:rPr>
          <w:rFonts w:cstheme="minorHAnsi"/>
          <w:b/>
          <w:i/>
          <w:iCs/>
          <w:szCs w:val="24"/>
        </w:rPr>
      </w:pPr>
    </w:p>
    <w:p w:rsidR="00A65950" w:rsidRDefault="00A65950" w:rsidP="00F658FC">
      <w:r w:rsidRPr="6B89B391">
        <w:t>En cuanto a la acción estratégica de investigación y formación en los ecosistemas de innovación financiera (</w:t>
      </w:r>
      <w:r w:rsidRPr="6B89B391">
        <w:rPr>
          <w:i/>
        </w:rPr>
        <w:t>FinTech</w:t>
      </w:r>
      <w:r w:rsidRPr="6B89B391">
        <w:t xml:space="preserve">), aplicados al modelo de negocios de seguros </w:t>
      </w:r>
      <w:r w:rsidRPr="6B89B391">
        <w:rPr>
          <w:i/>
        </w:rPr>
        <w:t>(InsurTech</w:t>
      </w:r>
      <w:r w:rsidRPr="6B89B391">
        <w:t xml:space="preserve">), durante 2022, se trabajó en lo siguiente: </w:t>
      </w:r>
    </w:p>
    <w:p w:rsidR="00A65950" w:rsidRDefault="00A65950" w:rsidP="00F658FC">
      <w:pPr>
        <w:rPr>
          <w:rFonts w:cstheme="minorHAnsi"/>
          <w:bCs/>
          <w:szCs w:val="24"/>
        </w:rPr>
      </w:pPr>
    </w:p>
    <w:p w:rsidR="0067290B" w:rsidRPr="009151A5" w:rsidRDefault="0067290B" w:rsidP="00F658FC">
      <w:pPr>
        <w:pStyle w:val="Prrafodelista"/>
        <w:numPr>
          <w:ilvl w:val="2"/>
          <w:numId w:val="21"/>
        </w:numPr>
        <w:spacing w:after="0"/>
        <w:ind w:left="1134" w:firstLine="0"/>
      </w:pPr>
      <w:r w:rsidRPr="6B89B391">
        <w:t>Participación de SUGESE en el Centro de Innovación Financiera (CIF), formalizado por el CONASSIF en abril 2022 y que tiene como objetivo “</w:t>
      </w:r>
      <w:r w:rsidRPr="6B89B391">
        <w:rPr>
          <w:i/>
        </w:rPr>
        <w:t>facilitar el diálogo, la consulta y el intercambio de información entre las entidades de regulación y supervisión financiera y las iniciativas de innovaciones tecnológicas en productos o servicios financieros”.</w:t>
      </w:r>
      <w:r w:rsidRPr="6B89B391">
        <w:rPr>
          <w:rFonts w:ascii="Segoe UI" w:eastAsia="Times New Roman" w:hAnsi="Segoe UI" w:cs="Segoe UI"/>
        </w:rPr>
        <w:t xml:space="preserve"> </w:t>
      </w:r>
      <w:r w:rsidRPr="6B89B391">
        <w:t>Espacio en el que la superintendencia participa activamente con un colaborador asignado</w:t>
      </w:r>
      <w:r w:rsidRPr="00832803">
        <w:t xml:space="preserve"> </w:t>
      </w:r>
      <w:r w:rsidRPr="6B89B391">
        <w:t>tiempo parcial en la atención y coordinación de las iniciativas y temas conocidos por el CIF.</w:t>
      </w:r>
    </w:p>
    <w:p w:rsidR="0067290B" w:rsidRDefault="0067290B" w:rsidP="00F658FC">
      <w:pPr>
        <w:pStyle w:val="Prrafodelista"/>
        <w:spacing w:after="0"/>
        <w:ind w:left="1134"/>
        <w:rPr>
          <w:rFonts w:cstheme="minorHAnsi"/>
          <w:szCs w:val="24"/>
        </w:rPr>
      </w:pPr>
    </w:p>
    <w:p w:rsidR="0067290B" w:rsidRPr="0067290B" w:rsidRDefault="0067290B" w:rsidP="00F658FC">
      <w:pPr>
        <w:pStyle w:val="Prrafodelista"/>
        <w:numPr>
          <w:ilvl w:val="2"/>
          <w:numId w:val="21"/>
        </w:numPr>
        <w:spacing w:after="0"/>
        <w:ind w:left="1134" w:firstLine="0"/>
      </w:pPr>
      <w:r w:rsidRPr="6B89B391">
        <w:t xml:space="preserve">Se continuó con la participación en el Grupo FinTech BCCR-CONASSIF-Superintendencias, que se conformó en agosto de 2019 con el fin de mantener un espacio de coordinación y cooperación institucional para un abordaje integral de los temas de innovación tecnológica, en el cual se amplían los conocimientos y desarrollan las capacidades sobre el tema a nivel de las superintendencias.  </w:t>
      </w:r>
    </w:p>
    <w:p w:rsidR="0067290B" w:rsidRPr="0067290B" w:rsidRDefault="0067290B" w:rsidP="00F658FC">
      <w:pPr>
        <w:pStyle w:val="Prrafodelista"/>
        <w:spacing w:after="0"/>
        <w:ind w:left="1134"/>
        <w:rPr>
          <w:rFonts w:cstheme="minorHAnsi"/>
          <w:bCs/>
          <w:szCs w:val="24"/>
        </w:rPr>
      </w:pPr>
    </w:p>
    <w:p w:rsidR="0067290B" w:rsidRPr="009151A5" w:rsidRDefault="0067290B" w:rsidP="00F658FC">
      <w:pPr>
        <w:pStyle w:val="Prrafodelista"/>
        <w:numPr>
          <w:ilvl w:val="2"/>
          <w:numId w:val="21"/>
        </w:numPr>
        <w:spacing w:after="0"/>
        <w:ind w:left="1134" w:firstLine="0"/>
      </w:pPr>
      <w:r w:rsidRPr="6B89B391">
        <w:t xml:space="preserve">Adicionalmente, se inició la investigación y estudio de experiencias internacionales sobre el tema </w:t>
      </w:r>
      <w:r w:rsidRPr="6B89B391">
        <w:rPr>
          <w:i/>
        </w:rPr>
        <w:t>RegTech y SupTech</w:t>
      </w:r>
      <w:r w:rsidRPr="6B89B391">
        <w:t xml:space="preserve"> para la industria aseguradora; así como la identificación de iniciativas que permitan aprovechar la información generada de los procesos automatizados e información digitalizada con que cuenta la SUGESE en la actualidad.</w:t>
      </w:r>
    </w:p>
    <w:p w:rsidR="00C123F3" w:rsidRPr="004B1036" w:rsidRDefault="00C123F3" w:rsidP="00F658FC">
      <w:pPr>
        <w:pStyle w:val="Prrafodelista"/>
        <w:spacing w:after="0"/>
        <w:ind w:left="1134"/>
      </w:pPr>
    </w:p>
    <w:p w:rsidR="00786F5C" w:rsidRPr="007D3896" w:rsidRDefault="00786F5C" w:rsidP="00F658FC">
      <w:pPr>
        <w:pStyle w:val="Ttulo2"/>
        <w:numPr>
          <w:ilvl w:val="0"/>
          <w:numId w:val="4"/>
        </w:numPr>
        <w:spacing w:before="0"/>
        <w:rPr>
          <w:b/>
          <w:i/>
          <w:sz w:val="20"/>
          <w:szCs w:val="20"/>
        </w:rPr>
      </w:pPr>
      <w:r w:rsidRPr="007D3896">
        <w:rPr>
          <w:b/>
        </w:rPr>
        <w:t>Plan Operativo</w:t>
      </w:r>
      <w:r w:rsidR="003338E9" w:rsidRPr="007D3896">
        <w:rPr>
          <w:b/>
        </w:rPr>
        <w:t xml:space="preserve"> Institucional (POI)</w:t>
      </w:r>
      <w:bookmarkEnd w:id="10"/>
    </w:p>
    <w:p w:rsidR="00786F5C" w:rsidRPr="00A01C92" w:rsidRDefault="00786F5C" w:rsidP="00F658FC">
      <w:pPr>
        <w:pStyle w:val="Ttulo2"/>
        <w:spacing w:before="0"/>
        <w:rPr>
          <w:rFonts w:asciiTheme="minorHAnsi" w:hAnsiTheme="minorHAnsi" w:cstheme="minorHAnsi"/>
          <w:i/>
          <w:sz w:val="24"/>
          <w:szCs w:val="24"/>
          <w:highlight w:val="yellow"/>
        </w:rPr>
      </w:pPr>
    </w:p>
    <w:p w:rsidR="003338E9" w:rsidRPr="00A01C92" w:rsidRDefault="0E324171" w:rsidP="00F658FC">
      <w:r w:rsidRPr="6B89B391">
        <w:rPr>
          <w:rFonts w:eastAsia="Arial"/>
        </w:rPr>
        <w:t>El desempeño de la gestión institucional se mide mediante la utilización del siguiente indicador:</w:t>
      </w:r>
    </w:p>
    <w:p w:rsidR="003338E9" w:rsidRDefault="0E324171" w:rsidP="00F658FC">
      <w:pPr>
        <w:jc w:val="left"/>
        <w:rPr>
          <w:rFonts w:eastAsia="Century Gothic"/>
          <w:b/>
          <w:color w:val="002060"/>
        </w:rPr>
      </w:pPr>
      <w:r w:rsidRPr="6B89B391">
        <w:rPr>
          <w:rFonts w:eastAsia="Century Gothic"/>
          <w:b/>
          <w:color w:val="002060"/>
        </w:rPr>
        <w:t xml:space="preserve"> </w:t>
      </w:r>
    </w:p>
    <w:p w:rsidR="00CD38BF" w:rsidRDefault="00CD38BF" w:rsidP="00F658FC">
      <w:pPr>
        <w:jc w:val="left"/>
        <w:rPr>
          <w:rFonts w:eastAsia="Century Gothic"/>
          <w:b/>
          <w:color w:val="002060"/>
        </w:rPr>
      </w:pPr>
    </w:p>
    <w:p w:rsidR="00CD38BF" w:rsidRDefault="00CD38BF" w:rsidP="00F658FC">
      <w:pPr>
        <w:jc w:val="left"/>
        <w:rPr>
          <w:rFonts w:eastAsia="Century Gothic"/>
          <w:b/>
          <w:color w:val="002060"/>
        </w:rPr>
      </w:pPr>
    </w:p>
    <w:p w:rsidR="00CD38BF" w:rsidRDefault="00CD38BF" w:rsidP="00F658FC">
      <w:pPr>
        <w:jc w:val="left"/>
        <w:rPr>
          <w:rFonts w:eastAsia="Century Gothic"/>
          <w:b/>
          <w:color w:val="002060"/>
        </w:rPr>
      </w:pPr>
    </w:p>
    <w:p w:rsidR="00CD38BF" w:rsidRDefault="00CD38BF" w:rsidP="00F658FC">
      <w:pPr>
        <w:jc w:val="left"/>
        <w:rPr>
          <w:rFonts w:eastAsia="Century Gothic"/>
          <w:b/>
          <w:color w:val="002060"/>
        </w:rPr>
      </w:pPr>
    </w:p>
    <w:p w:rsidR="00CD38BF" w:rsidRPr="00A01C92" w:rsidRDefault="00CD38BF" w:rsidP="00F658FC">
      <w:pPr>
        <w:jc w:val="left"/>
      </w:pPr>
    </w:p>
    <w:p w:rsidR="003338E9" w:rsidRPr="00A01C92" w:rsidRDefault="00B264B6" w:rsidP="00F658FC">
      <w:pPr>
        <w:jc w:val="center"/>
      </w:pPr>
      <w:r w:rsidRPr="00775B98">
        <w:rPr>
          <w:rFonts w:ascii="Century Gothic" w:hAnsi="Century Gothic"/>
          <w:b/>
          <w:color w:val="002060"/>
          <w:sz w:val="20"/>
          <w:szCs w:val="20"/>
        </w:rPr>
        <w:t xml:space="preserve">CUADRO </w:t>
      </w:r>
      <w:r w:rsidRPr="00775B98">
        <w:fldChar w:fldCharType="begin"/>
      </w:r>
      <w:r w:rsidRPr="00775B98">
        <w:rPr>
          <w:rFonts w:ascii="Century Gothic" w:hAnsi="Century Gothic"/>
          <w:b/>
          <w:color w:val="002060"/>
          <w:sz w:val="20"/>
          <w:szCs w:val="20"/>
        </w:rPr>
        <w:instrText xml:space="preserve"> AUTONUM  \s " " </w:instrText>
      </w:r>
      <w:r w:rsidRPr="00775B98">
        <w:rPr>
          <w:rFonts w:ascii="Century Gothic" w:hAnsi="Century Gothic"/>
          <w:b/>
          <w:color w:val="002060"/>
          <w:sz w:val="20"/>
          <w:szCs w:val="20"/>
        </w:rPr>
        <w:fldChar w:fldCharType="end"/>
      </w:r>
      <w:r w:rsidR="0E324171" w:rsidRPr="6B89B391">
        <w:rPr>
          <w:rFonts w:eastAsia="Century Gothic"/>
          <w:b/>
          <w:color w:val="002060"/>
        </w:rPr>
        <w:t xml:space="preserve"> </w:t>
      </w:r>
    </w:p>
    <w:p w:rsidR="003338E9" w:rsidRPr="00A01C92" w:rsidRDefault="0E324171" w:rsidP="00F658FC">
      <w:pPr>
        <w:jc w:val="center"/>
      </w:pPr>
      <w:r w:rsidRPr="6B89B391">
        <w:rPr>
          <w:rFonts w:eastAsia="Century Gothic"/>
        </w:rPr>
        <w:t>Superintendencia General de Seguros</w:t>
      </w:r>
      <w:r w:rsidRPr="6B89B391">
        <w:rPr>
          <w:rFonts w:eastAsia="Century Gothic"/>
          <w:b/>
          <w:color w:val="404040" w:themeColor="text1" w:themeTint="BF"/>
        </w:rPr>
        <w:t xml:space="preserve"> </w:t>
      </w:r>
    </w:p>
    <w:p w:rsidR="003338E9" w:rsidRPr="00A01C92" w:rsidRDefault="0E324171" w:rsidP="00F658FC">
      <w:pPr>
        <w:jc w:val="center"/>
      </w:pPr>
      <w:r w:rsidRPr="6B89B391">
        <w:rPr>
          <w:rFonts w:eastAsia="Century Gothic"/>
          <w:b/>
          <w:color w:val="404040" w:themeColor="text1" w:themeTint="BF"/>
        </w:rPr>
        <w:t>Indicador de Desempeño</w:t>
      </w:r>
    </w:p>
    <w:p w:rsidR="6B89B391" w:rsidRDefault="6B89B391" w:rsidP="6B89B391">
      <w:r>
        <w:rPr>
          <w:noProof/>
        </w:rPr>
        <w:drawing>
          <wp:inline distT="0" distB="0" distL="0" distR="0" wp14:anchorId="18ADA182" wp14:editId="59482277">
            <wp:extent cx="5610224" cy="1590675"/>
            <wp:effectExtent l="0" t="0" r="0" b="0"/>
            <wp:docPr id="104109435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5610224" cy="1590675"/>
                    </a:xfrm>
                    <a:prstGeom prst="rect">
                      <a:avLst/>
                    </a:prstGeom>
                  </pic:spPr>
                </pic:pic>
              </a:graphicData>
            </a:graphic>
          </wp:inline>
        </w:drawing>
      </w:r>
    </w:p>
    <w:p w:rsidR="6B89B391" w:rsidRDefault="6B89B391" w:rsidP="6B89B391"/>
    <w:p w:rsidR="003338E9" w:rsidRPr="00A01C92" w:rsidRDefault="0E324171" w:rsidP="00F658FC">
      <w:r w:rsidRPr="6B89B391">
        <w:rPr>
          <w:rFonts w:eastAsia="Arial"/>
        </w:rPr>
        <w:t>El resultado de la gestión desarrollada por la SUGESE se mide, en términos genéricos, por medio de la ejecución de los trabajos programables (planificación agregada) y labores no programables.  La planificación agregada considera los trabajos programados inicialmente en el Plan Operativo Institucional (POI), para cada una de las dependencias de la SUGESE, según se estima en el periodo de formulación presupuestaria. Posteriormente, para la evaluación del cumplimiento del POI, se consideran, además de la “Planificación Agregada”, aquellos trabajos tipo “no programado” que tuvieron que desarrollarse durante el año y responden a la atención de solicitudes o requerimientos que no son previsibles, de clientes internos o externos de la SUGESE.</w:t>
      </w:r>
    </w:p>
    <w:p w:rsidR="003338E9" w:rsidRPr="00A01C92" w:rsidRDefault="0E324171" w:rsidP="00F658FC">
      <w:pPr>
        <w:rPr>
          <w:rFonts w:cstheme="minorHAnsi"/>
          <w:szCs w:val="24"/>
        </w:rPr>
      </w:pPr>
      <w:r w:rsidRPr="00A01C92">
        <w:rPr>
          <w:rFonts w:eastAsia="Cambria" w:cstheme="minorHAnsi"/>
          <w:szCs w:val="24"/>
        </w:rPr>
        <w:t xml:space="preserve"> </w:t>
      </w:r>
    </w:p>
    <w:p w:rsidR="003338E9" w:rsidRPr="00A01C92" w:rsidRDefault="0E324171" w:rsidP="00F658FC">
      <w:r w:rsidRPr="6B89B391">
        <w:rPr>
          <w:rFonts w:eastAsia="Arial"/>
        </w:rPr>
        <w:t xml:space="preserve">En relación con el cumplimiento de los trabajos planificados para desarrollar durante el año, el anterior indicador demuestra que se realizaron 31 trabajos de los 40 inicialmente programados, lo cual arroja un nivel de eficacia de </w:t>
      </w:r>
      <w:r w:rsidRPr="6B89B391">
        <w:rPr>
          <w:rFonts w:eastAsia="Arial"/>
          <w:b/>
        </w:rPr>
        <w:t xml:space="preserve">88% </w:t>
      </w:r>
      <w:r w:rsidRPr="6B89B391">
        <w:rPr>
          <w:rFonts w:eastAsia="Arial"/>
        </w:rPr>
        <w:t xml:space="preserve">que se cataloga como </w:t>
      </w:r>
      <w:r w:rsidRPr="6B89B391">
        <w:rPr>
          <w:rFonts w:eastAsia="Arial"/>
          <w:b/>
        </w:rPr>
        <w:t xml:space="preserve">Muy bueno. </w:t>
      </w:r>
    </w:p>
    <w:p w:rsidR="003338E9" w:rsidRPr="00A01C92" w:rsidRDefault="0E324171" w:rsidP="00F658FC">
      <w:pPr>
        <w:rPr>
          <w:rFonts w:cstheme="minorHAnsi"/>
          <w:szCs w:val="24"/>
        </w:rPr>
      </w:pPr>
      <w:r w:rsidRPr="00A01C92">
        <w:rPr>
          <w:rFonts w:eastAsia="Arial" w:cstheme="minorHAnsi"/>
          <w:szCs w:val="24"/>
        </w:rPr>
        <w:t xml:space="preserve"> </w:t>
      </w:r>
    </w:p>
    <w:p w:rsidR="003338E9" w:rsidRPr="00A01C92" w:rsidRDefault="0E324171" w:rsidP="00F658FC">
      <w:pPr>
        <w:rPr>
          <w:rFonts w:eastAsia="Arial"/>
        </w:rPr>
      </w:pPr>
      <w:r w:rsidRPr="6B89B391">
        <w:rPr>
          <w:rFonts w:eastAsia="Arial"/>
        </w:rPr>
        <w:t xml:space="preserve">Al finalizar el 2022, la institución logró cumplir su POI, obteniendo resultados favorables de acuerdo con los indicadores de la Contraloría General de la República (CGR). En términos globales, se registró un gasto total de ¢¢3,685.65 millones dando como resultado una ejecución del </w:t>
      </w:r>
      <w:r w:rsidRPr="6B89B391">
        <w:rPr>
          <w:rFonts w:eastAsia="Arial"/>
          <w:b/>
        </w:rPr>
        <w:t>83,65%.</w:t>
      </w:r>
      <w:r w:rsidRPr="6B89B391">
        <w:rPr>
          <w:rFonts w:eastAsia="Arial"/>
        </w:rPr>
        <w:t xml:space="preserve"> En relación con los recursos destinados para el año, lo cual se cataloga como “Bueno”. </w:t>
      </w:r>
    </w:p>
    <w:p w:rsidR="003338E9" w:rsidRPr="004B1036" w:rsidRDefault="003338E9" w:rsidP="00F658FC">
      <w:pPr>
        <w:rPr>
          <w:rFonts w:cs="Arial"/>
          <w:szCs w:val="24"/>
        </w:rPr>
      </w:pPr>
    </w:p>
    <w:p w:rsidR="0092090A" w:rsidRPr="004B1036" w:rsidRDefault="0092090A" w:rsidP="008C7ADA">
      <w:pPr>
        <w:pStyle w:val="Ttulo1"/>
        <w:spacing w:before="0" w:beforeAutospacing="0" w:after="0" w:afterAutospacing="0"/>
        <w:rPr>
          <w:rFonts w:asciiTheme="minorHAnsi" w:eastAsiaTheme="majorEastAsia" w:hAnsiTheme="minorHAnsi" w:cstheme="majorBidi"/>
          <w:b w:val="0"/>
          <w:color w:val="365F91" w:themeColor="accent1" w:themeShade="BF"/>
          <w:kern w:val="0"/>
          <w:sz w:val="24"/>
          <w:szCs w:val="24"/>
          <w:lang w:eastAsia="es-CR"/>
        </w:rPr>
      </w:pPr>
    </w:p>
    <w:p w:rsidR="005D613A" w:rsidRPr="004B1036" w:rsidRDefault="005D613A" w:rsidP="003D0F81">
      <w:pPr>
        <w:pStyle w:val="Ttulo1"/>
        <w:numPr>
          <w:ilvl w:val="0"/>
          <w:numId w:val="2"/>
        </w:numPr>
        <w:spacing w:before="0" w:beforeAutospacing="0" w:after="0" w:afterAutospacing="0" w:line="276" w:lineRule="auto"/>
        <w:ind w:left="426" w:hanging="426"/>
        <w:rPr>
          <w:rFonts w:ascii="Century Gothic" w:eastAsiaTheme="majorEastAsia" w:hAnsi="Century Gothic" w:cstheme="majorBidi"/>
          <w:color w:val="365F91" w:themeColor="accent1" w:themeShade="BF"/>
          <w:sz w:val="28"/>
          <w:szCs w:val="28"/>
          <w:lang w:eastAsia="es-CR"/>
        </w:rPr>
      </w:pPr>
      <w:bookmarkStart w:id="13" w:name="_Toc65452655"/>
      <w:r w:rsidRPr="004B1036">
        <w:rPr>
          <w:rFonts w:ascii="Century Gothic" w:eastAsiaTheme="majorEastAsia" w:hAnsi="Century Gothic" w:cstheme="majorBidi"/>
          <w:color w:val="365F91" w:themeColor="accent1" w:themeShade="BF"/>
          <w:kern w:val="0"/>
          <w:sz w:val="28"/>
          <w:szCs w:val="28"/>
          <w:lang w:eastAsia="es-CR"/>
        </w:rPr>
        <w:t>COMPROMISOS</w:t>
      </w:r>
      <w:bookmarkEnd w:id="13"/>
    </w:p>
    <w:p w:rsidR="0092090A" w:rsidRPr="004B1036" w:rsidRDefault="0092090A" w:rsidP="003D0F81">
      <w:pPr>
        <w:pStyle w:val="Ttulo1"/>
        <w:spacing w:before="0" w:beforeAutospacing="0" w:after="0" w:afterAutospacing="0" w:line="276" w:lineRule="auto"/>
        <w:ind w:left="426"/>
        <w:rPr>
          <w:rFonts w:asciiTheme="minorHAnsi" w:eastAsiaTheme="majorEastAsia" w:hAnsiTheme="minorHAnsi" w:cstheme="majorBidi"/>
          <w:color w:val="365F91" w:themeColor="accent1" w:themeShade="BF"/>
          <w:kern w:val="0"/>
          <w:sz w:val="24"/>
          <w:szCs w:val="24"/>
          <w:lang w:eastAsia="es-CR"/>
        </w:rPr>
      </w:pPr>
    </w:p>
    <w:p w:rsidR="009C7982" w:rsidRPr="00A01C92" w:rsidRDefault="009C7982" w:rsidP="003D0F81">
      <w:pPr>
        <w:pStyle w:val="Ttulo2"/>
        <w:numPr>
          <w:ilvl w:val="0"/>
          <w:numId w:val="5"/>
        </w:numPr>
        <w:spacing w:before="0"/>
        <w:rPr>
          <w:rFonts w:asciiTheme="minorHAnsi" w:hAnsiTheme="minorHAnsi" w:cstheme="minorBidi"/>
          <w:b/>
          <w:sz w:val="24"/>
          <w:szCs w:val="24"/>
        </w:rPr>
      </w:pPr>
      <w:bookmarkStart w:id="14" w:name="_Toc65452656"/>
      <w:r w:rsidRPr="6B89B391">
        <w:rPr>
          <w:rFonts w:asciiTheme="minorHAnsi" w:hAnsiTheme="minorHAnsi" w:cstheme="minorBidi"/>
          <w:b/>
          <w:sz w:val="24"/>
          <w:szCs w:val="24"/>
        </w:rPr>
        <w:t>Créditos asumidos</w:t>
      </w:r>
      <w:bookmarkEnd w:id="14"/>
      <w:r w:rsidRPr="6B89B391">
        <w:rPr>
          <w:rFonts w:asciiTheme="minorHAnsi" w:hAnsiTheme="minorHAnsi" w:cstheme="minorBidi"/>
          <w:b/>
          <w:sz w:val="24"/>
          <w:szCs w:val="24"/>
        </w:rPr>
        <w:t xml:space="preserve">  </w:t>
      </w:r>
    </w:p>
    <w:p w:rsidR="009C7982" w:rsidRPr="00A01C92" w:rsidRDefault="009C7982" w:rsidP="003D0F81">
      <w:pPr>
        <w:pStyle w:val="Prrafodelista"/>
        <w:spacing w:after="0"/>
        <w:rPr>
          <w:rFonts w:cstheme="minorHAnsi"/>
          <w:b/>
          <w:szCs w:val="24"/>
        </w:rPr>
      </w:pPr>
    </w:p>
    <w:p w:rsidR="009C7982" w:rsidRPr="00A01C92" w:rsidRDefault="009C7982" w:rsidP="003D0F81">
      <w:pPr>
        <w:pStyle w:val="Prrafodelista"/>
        <w:spacing w:after="0"/>
        <w:ind w:left="709"/>
        <w:rPr>
          <w:lang w:eastAsia="en-US"/>
        </w:rPr>
      </w:pPr>
      <w:r w:rsidRPr="6B89B391">
        <w:rPr>
          <w:lang w:eastAsia="en-US"/>
        </w:rPr>
        <w:t xml:space="preserve">No aplica para la </w:t>
      </w:r>
      <w:r w:rsidR="000A0042" w:rsidRPr="6B89B391">
        <w:rPr>
          <w:lang w:eastAsia="en-US"/>
        </w:rPr>
        <w:t>SUGESE</w:t>
      </w:r>
      <w:r w:rsidRPr="6B89B391">
        <w:rPr>
          <w:lang w:eastAsia="en-US"/>
        </w:rPr>
        <w:t>.</w:t>
      </w:r>
    </w:p>
    <w:p w:rsidR="009C7982" w:rsidRPr="00A01C92" w:rsidRDefault="009C7982" w:rsidP="003D0F81">
      <w:pPr>
        <w:pStyle w:val="Prrafodelista"/>
        <w:spacing w:after="0"/>
        <w:rPr>
          <w:rFonts w:cstheme="minorHAnsi"/>
          <w:szCs w:val="24"/>
        </w:rPr>
      </w:pPr>
    </w:p>
    <w:p w:rsidR="009C7982" w:rsidRPr="00A01C92" w:rsidRDefault="009C7982" w:rsidP="003D0F81">
      <w:pPr>
        <w:pStyle w:val="Ttulo2"/>
        <w:numPr>
          <w:ilvl w:val="0"/>
          <w:numId w:val="5"/>
        </w:numPr>
        <w:spacing w:before="0"/>
        <w:rPr>
          <w:rFonts w:asciiTheme="minorHAnsi" w:hAnsiTheme="minorHAnsi" w:cstheme="minorBidi"/>
          <w:b/>
          <w:sz w:val="24"/>
          <w:szCs w:val="24"/>
        </w:rPr>
      </w:pPr>
      <w:bookmarkStart w:id="15" w:name="_Toc65452657"/>
      <w:r w:rsidRPr="6B89B391">
        <w:rPr>
          <w:rFonts w:asciiTheme="minorHAnsi" w:hAnsiTheme="minorHAnsi" w:cstheme="minorBidi"/>
          <w:b/>
          <w:sz w:val="24"/>
          <w:szCs w:val="24"/>
        </w:rPr>
        <w:t xml:space="preserve">Modificaciones </w:t>
      </w:r>
      <w:r w:rsidR="007D38D2" w:rsidRPr="6B89B391">
        <w:rPr>
          <w:rFonts w:asciiTheme="minorHAnsi" w:hAnsiTheme="minorHAnsi" w:cstheme="minorBidi"/>
          <w:b/>
          <w:sz w:val="24"/>
          <w:szCs w:val="24"/>
        </w:rPr>
        <w:t>presupuestarias</w:t>
      </w:r>
      <w:bookmarkEnd w:id="15"/>
    </w:p>
    <w:p w:rsidR="00A6704A" w:rsidRPr="00A01C92" w:rsidRDefault="00A6704A" w:rsidP="003D0F81">
      <w:pPr>
        <w:rPr>
          <w:rFonts w:cstheme="minorHAnsi"/>
          <w:szCs w:val="24"/>
        </w:rPr>
      </w:pPr>
    </w:p>
    <w:p w:rsidR="0E324171" w:rsidRPr="00A01C92" w:rsidRDefault="0E324171" w:rsidP="003D0F81">
      <w:r w:rsidRPr="6B89B391">
        <w:rPr>
          <w:rFonts w:eastAsia="Arial"/>
        </w:rPr>
        <w:t>Durante el 2022 no existieron modificaciones presupuestarias.</w:t>
      </w:r>
    </w:p>
    <w:p w:rsidR="0E324171" w:rsidRPr="00A01C92" w:rsidRDefault="0E324171" w:rsidP="003D0F81">
      <w:pPr>
        <w:rPr>
          <w:rFonts w:cstheme="minorHAnsi"/>
        </w:rPr>
      </w:pPr>
      <w:r w:rsidRPr="00A01C92">
        <w:rPr>
          <w:rFonts w:eastAsia="Arial" w:cstheme="minorHAnsi"/>
          <w:szCs w:val="24"/>
        </w:rPr>
        <w:t xml:space="preserve"> </w:t>
      </w:r>
    </w:p>
    <w:p w:rsidR="0E324171" w:rsidRPr="00A01C92" w:rsidRDefault="0E324171" w:rsidP="00A01C92">
      <w:pPr>
        <w:pStyle w:val="Ttulo2"/>
        <w:numPr>
          <w:ilvl w:val="0"/>
          <w:numId w:val="5"/>
        </w:numPr>
        <w:spacing w:before="0"/>
        <w:rPr>
          <w:rFonts w:asciiTheme="minorHAnsi" w:hAnsiTheme="minorHAnsi" w:cstheme="minorBidi"/>
          <w:b/>
          <w:sz w:val="24"/>
          <w:szCs w:val="24"/>
        </w:rPr>
      </w:pPr>
      <w:r w:rsidRPr="6B89B391">
        <w:rPr>
          <w:rFonts w:asciiTheme="minorHAnsi" w:hAnsiTheme="minorHAnsi" w:cstheme="minorBidi"/>
          <w:b/>
          <w:sz w:val="24"/>
          <w:szCs w:val="24"/>
        </w:rPr>
        <w:t>Procesos de contratación iniciados y adjudicados</w:t>
      </w:r>
    </w:p>
    <w:p w:rsidR="0E324171" w:rsidRPr="00A01C92" w:rsidRDefault="0E324171" w:rsidP="003D0F81">
      <w:pPr>
        <w:rPr>
          <w:rFonts w:cstheme="minorHAnsi"/>
        </w:rPr>
      </w:pPr>
    </w:p>
    <w:p w:rsidR="00775B98" w:rsidRPr="00CD38BF" w:rsidRDefault="0E324171" w:rsidP="00CD38BF">
      <w:r w:rsidRPr="6B89B391">
        <w:rPr>
          <w:rFonts w:eastAsia="Arial"/>
        </w:rPr>
        <w:t xml:space="preserve">En el cuadro 6 se presentan las principales contrataciones iniciadas y adjudicadas en el 2022: </w:t>
      </w:r>
    </w:p>
    <w:p w:rsidR="00775B98" w:rsidRPr="00775B98" w:rsidRDefault="00775B98" w:rsidP="0E324171">
      <w:pPr>
        <w:spacing w:line="240" w:lineRule="auto"/>
        <w:rPr>
          <w:rFonts w:cs="Arial"/>
        </w:rPr>
      </w:pPr>
    </w:p>
    <w:p w:rsidR="00EA2FC9" w:rsidRPr="00621934" w:rsidRDefault="00B264B6" w:rsidP="008C7ADA">
      <w:pPr>
        <w:spacing w:line="240" w:lineRule="auto"/>
        <w:jc w:val="center"/>
        <w:rPr>
          <w:rFonts w:ascii="Century Gothic" w:hAnsi="Century Gothic"/>
          <w:b/>
          <w:color w:val="002060"/>
          <w:sz w:val="20"/>
          <w:szCs w:val="20"/>
        </w:rPr>
      </w:pPr>
      <w:r w:rsidRPr="00775B98">
        <w:rPr>
          <w:rFonts w:ascii="Century Gothic" w:hAnsi="Century Gothic"/>
          <w:b/>
          <w:color w:val="002060"/>
          <w:sz w:val="20"/>
          <w:szCs w:val="20"/>
        </w:rPr>
        <w:t xml:space="preserve">CUADRO </w:t>
      </w:r>
      <w:r w:rsidRPr="00775B98">
        <w:fldChar w:fldCharType="begin"/>
      </w:r>
      <w:r w:rsidRPr="00775B98">
        <w:rPr>
          <w:rFonts w:ascii="Century Gothic" w:hAnsi="Century Gothic"/>
          <w:b/>
          <w:color w:val="002060"/>
          <w:sz w:val="20"/>
          <w:szCs w:val="20"/>
        </w:rPr>
        <w:instrText xml:space="preserve"> AUTONUM  \s " " </w:instrText>
      </w:r>
      <w:r w:rsidRPr="00775B98">
        <w:rPr>
          <w:rFonts w:ascii="Century Gothic" w:hAnsi="Century Gothic"/>
          <w:b/>
          <w:color w:val="002060"/>
          <w:sz w:val="20"/>
          <w:szCs w:val="20"/>
        </w:rPr>
        <w:fldChar w:fldCharType="end"/>
      </w:r>
      <w:r w:rsidR="00EA2FC9" w:rsidRPr="6B89B391">
        <w:rPr>
          <w:rFonts w:ascii="Century Gothic" w:hAnsi="Century Gothic"/>
          <w:b/>
          <w:color w:val="002060"/>
          <w:sz w:val="20"/>
          <w:szCs w:val="20"/>
        </w:rPr>
        <w:t xml:space="preserve"> </w:t>
      </w:r>
    </w:p>
    <w:p w:rsidR="0016640B" w:rsidRPr="00621934" w:rsidRDefault="0016640B" w:rsidP="008C7ADA">
      <w:pPr>
        <w:spacing w:line="240" w:lineRule="auto"/>
        <w:jc w:val="center"/>
        <w:rPr>
          <w:rFonts w:ascii="Century Gothic" w:hAnsi="Century Gothic"/>
          <w:b/>
          <w:color w:val="404040" w:themeColor="text1" w:themeTint="BF"/>
          <w:sz w:val="20"/>
          <w:szCs w:val="20"/>
        </w:rPr>
      </w:pPr>
      <w:r w:rsidRPr="6B89B391">
        <w:rPr>
          <w:rFonts w:ascii="Century Gothic" w:hAnsi="Century Gothic" w:cs="Century Gothic"/>
          <w:kern w:val="24"/>
          <w:sz w:val="20"/>
          <w:szCs w:val="20"/>
        </w:rPr>
        <w:t>Superintendencia General de Seguros</w:t>
      </w:r>
      <w:r w:rsidRPr="6B89B391">
        <w:rPr>
          <w:rFonts w:ascii="Century Gothic" w:hAnsi="Century Gothic"/>
          <w:b/>
          <w:color w:val="404040" w:themeColor="text1" w:themeTint="BF"/>
          <w:sz w:val="20"/>
          <w:szCs w:val="20"/>
        </w:rPr>
        <w:t xml:space="preserve"> </w:t>
      </w:r>
    </w:p>
    <w:p w:rsidR="00EA2FC9" w:rsidRPr="00621934" w:rsidRDefault="00D42285" w:rsidP="008C7ADA">
      <w:pPr>
        <w:spacing w:line="240" w:lineRule="auto"/>
        <w:jc w:val="center"/>
        <w:rPr>
          <w:rFonts w:ascii="Century Gothic" w:hAnsi="Century Gothic"/>
          <w:b/>
          <w:color w:val="404040" w:themeColor="text1" w:themeTint="BF"/>
          <w:sz w:val="20"/>
          <w:szCs w:val="20"/>
        </w:rPr>
      </w:pPr>
      <w:r w:rsidRPr="6B89B391">
        <w:rPr>
          <w:rFonts w:ascii="Century Gothic" w:hAnsi="Century Gothic"/>
          <w:b/>
          <w:color w:val="404040" w:themeColor="text1" w:themeTint="BF"/>
          <w:sz w:val="20"/>
          <w:szCs w:val="20"/>
        </w:rPr>
        <w:t xml:space="preserve">Contrataciones Iniciadas y </w:t>
      </w:r>
      <w:r w:rsidR="00393E26" w:rsidRPr="6B89B391">
        <w:rPr>
          <w:rFonts w:ascii="Century Gothic" w:hAnsi="Century Gothic"/>
          <w:b/>
          <w:color w:val="404040" w:themeColor="text1" w:themeTint="BF"/>
          <w:sz w:val="20"/>
          <w:szCs w:val="20"/>
        </w:rPr>
        <w:t>a</w:t>
      </w:r>
      <w:r w:rsidRPr="6B89B391">
        <w:rPr>
          <w:rFonts w:ascii="Century Gothic" w:hAnsi="Century Gothic"/>
          <w:b/>
          <w:color w:val="404040" w:themeColor="text1" w:themeTint="BF"/>
          <w:sz w:val="20"/>
          <w:szCs w:val="20"/>
        </w:rPr>
        <w:t>djudicadas</w:t>
      </w:r>
    </w:p>
    <w:p w:rsidR="00EA2FC9" w:rsidRPr="00621934" w:rsidRDefault="0016640B" w:rsidP="0E324171">
      <w:pPr>
        <w:spacing w:line="240" w:lineRule="auto"/>
        <w:jc w:val="center"/>
        <w:rPr>
          <w:rFonts w:ascii="Century Gothic" w:hAnsi="Century Gothic" w:cs="Century Gothic"/>
          <w:sz w:val="20"/>
          <w:szCs w:val="20"/>
        </w:rPr>
      </w:pPr>
      <w:r w:rsidRPr="6B89B391">
        <w:rPr>
          <w:rFonts w:ascii="Century Gothic" w:hAnsi="Century Gothic" w:cs="Century Gothic"/>
          <w:kern w:val="24"/>
          <w:sz w:val="20"/>
          <w:szCs w:val="20"/>
        </w:rPr>
        <w:t>20</w:t>
      </w:r>
      <w:r w:rsidR="00FD1828" w:rsidRPr="6B89B391">
        <w:rPr>
          <w:rFonts w:ascii="Century Gothic" w:hAnsi="Century Gothic" w:cs="Century Gothic"/>
          <w:kern w:val="24"/>
          <w:sz w:val="20"/>
          <w:szCs w:val="20"/>
        </w:rPr>
        <w:t>22</w:t>
      </w:r>
    </w:p>
    <w:tbl>
      <w:tblPr>
        <w:tblStyle w:val="Tablaconcuadrcula1clara-nfasis1"/>
        <w:tblW w:w="8866" w:type="dxa"/>
        <w:tblLayout w:type="fixed"/>
        <w:tblLook w:val="06A0" w:firstRow="1" w:lastRow="0" w:firstColumn="1" w:lastColumn="0" w:noHBand="1" w:noVBand="1"/>
      </w:tblPr>
      <w:tblGrid>
        <w:gridCol w:w="840"/>
        <w:gridCol w:w="2274"/>
        <w:gridCol w:w="4252"/>
        <w:gridCol w:w="1500"/>
      </w:tblGrid>
      <w:tr w:rsidR="0E324171" w:rsidRPr="003D0F81" w:rsidTr="003D0F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0" w:type="dxa"/>
            <w:shd w:val="clear" w:color="auto" w:fill="365F91" w:themeFill="accent1" w:themeFillShade="BF"/>
            <w:vAlign w:val="center"/>
          </w:tcPr>
          <w:p w:rsidR="0E324171" w:rsidRPr="00193908" w:rsidRDefault="0E324171" w:rsidP="003D0F81">
            <w:pPr>
              <w:spacing w:line="240" w:lineRule="auto"/>
              <w:jc w:val="center"/>
              <w:rPr>
                <w:rFonts w:cstheme="minorHAnsi"/>
                <w:sz w:val="20"/>
                <w:szCs w:val="20"/>
              </w:rPr>
            </w:pPr>
            <w:r w:rsidRPr="00193908">
              <w:rPr>
                <w:rFonts w:cstheme="minorHAnsi"/>
                <w:color w:val="FFFFFF" w:themeColor="background1"/>
                <w:sz w:val="20"/>
                <w:szCs w:val="20"/>
              </w:rPr>
              <w:t>Cuenta</w:t>
            </w:r>
          </w:p>
        </w:tc>
        <w:tc>
          <w:tcPr>
            <w:tcW w:w="2274" w:type="dxa"/>
            <w:shd w:val="clear" w:color="auto" w:fill="365F91" w:themeFill="accent1" w:themeFillShade="BF"/>
            <w:vAlign w:val="center"/>
          </w:tcPr>
          <w:p w:rsidR="0E324171" w:rsidRPr="00193908" w:rsidRDefault="0E324171" w:rsidP="003D0F81">
            <w:pPr>
              <w:spacing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93908">
              <w:rPr>
                <w:rFonts w:cstheme="minorHAnsi"/>
                <w:color w:val="FFFFFF" w:themeColor="background1"/>
                <w:sz w:val="20"/>
                <w:szCs w:val="20"/>
              </w:rPr>
              <w:t>Nombre</w:t>
            </w:r>
          </w:p>
        </w:tc>
        <w:tc>
          <w:tcPr>
            <w:tcW w:w="4252" w:type="dxa"/>
            <w:shd w:val="clear" w:color="auto" w:fill="365F91" w:themeFill="accent1" w:themeFillShade="BF"/>
            <w:vAlign w:val="center"/>
          </w:tcPr>
          <w:p w:rsidR="0E324171" w:rsidRPr="00193908" w:rsidRDefault="0E324171" w:rsidP="003D0F81">
            <w:pPr>
              <w:spacing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93908">
              <w:rPr>
                <w:rFonts w:cstheme="minorHAnsi"/>
                <w:color w:val="FFFFFF" w:themeColor="background1"/>
                <w:sz w:val="20"/>
                <w:szCs w:val="20"/>
              </w:rPr>
              <w:t>Artículo</w:t>
            </w:r>
          </w:p>
        </w:tc>
        <w:tc>
          <w:tcPr>
            <w:tcW w:w="1500" w:type="dxa"/>
            <w:shd w:val="clear" w:color="auto" w:fill="365F91" w:themeFill="accent1" w:themeFillShade="BF"/>
            <w:vAlign w:val="center"/>
          </w:tcPr>
          <w:p w:rsidR="0E324171" w:rsidRPr="00193908" w:rsidRDefault="0E324171" w:rsidP="003D0F81">
            <w:pPr>
              <w:spacing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93908">
              <w:rPr>
                <w:rFonts w:cstheme="minorHAnsi"/>
                <w:color w:val="FFFFFF" w:themeColor="background1"/>
                <w:sz w:val="20"/>
                <w:szCs w:val="20"/>
              </w:rPr>
              <w:t>Costo en colones</w:t>
            </w:r>
          </w:p>
        </w:tc>
      </w:tr>
      <w:tr w:rsidR="0E324171" w:rsidRPr="003D0F81" w:rsidTr="003D0F81">
        <w:tc>
          <w:tcPr>
            <w:cnfStyle w:val="001000000000" w:firstRow="0" w:lastRow="0" w:firstColumn="1" w:lastColumn="0" w:oddVBand="0" w:evenVBand="0" w:oddHBand="0" w:evenHBand="0" w:firstRowFirstColumn="0" w:firstRowLastColumn="0" w:lastRowFirstColumn="0" w:lastRowLastColumn="0"/>
            <w:tcW w:w="840" w:type="dxa"/>
            <w:vAlign w:val="center"/>
          </w:tcPr>
          <w:p w:rsidR="0E324171" w:rsidRPr="00193908" w:rsidRDefault="0E324171" w:rsidP="003D0F81">
            <w:pPr>
              <w:spacing w:line="240" w:lineRule="auto"/>
              <w:jc w:val="center"/>
              <w:rPr>
                <w:rFonts w:cstheme="minorHAnsi"/>
                <w:sz w:val="20"/>
                <w:szCs w:val="20"/>
              </w:rPr>
            </w:pPr>
            <w:r w:rsidRPr="00193908">
              <w:rPr>
                <w:rFonts w:cstheme="minorHAnsi"/>
                <w:sz w:val="20"/>
                <w:szCs w:val="20"/>
              </w:rPr>
              <w:t>1 03 01</w:t>
            </w:r>
          </w:p>
          <w:p w:rsidR="0E324171" w:rsidRPr="003D0F81" w:rsidRDefault="0E324171" w:rsidP="003D0F81">
            <w:pPr>
              <w:spacing w:line="240" w:lineRule="auto"/>
              <w:jc w:val="center"/>
              <w:rPr>
                <w:rFonts w:cstheme="minorHAnsi"/>
                <w:sz w:val="20"/>
                <w:szCs w:val="20"/>
              </w:rPr>
            </w:pPr>
            <w:r w:rsidRPr="003D0F81">
              <w:rPr>
                <w:rFonts w:cstheme="minorHAnsi"/>
                <w:sz w:val="20"/>
                <w:szCs w:val="20"/>
              </w:rPr>
              <w:t xml:space="preserve"> </w:t>
            </w:r>
          </w:p>
        </w:tc>
        <w:tc>
          <w:tcPr>
            <w:tcW w:w="2274" w:type="dxa"/>
            <w:vAlign w:val="center"/>
          </w:tcPr>
          <w:p w:rsidR="0E324171" w:rsidRPr="00193908" w:rsidRDefault="0E324171" w:rsidP="003D0F81">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93908">
              <w:rPr>
                <w:rFonts w:cstheme="minorHAnsi"/>
                <w:sz w:val="20"/>
                <w:szCs w:val="20"/>
              </w:rPr>
              <w:t>Servicios comerciales y financieros</w:t>
            </w:r>
          </w:p>
        </w:tc>
        <w:tc>
          <w:tcPr>
            <w:tcW w:w="4252" w:type="dxa"/>
            <w:vAlign w:val="center"/>
          </w:tcPr>
          <w:p w:rsidR="0E324171" w:rsidRPr="00193908" w:rsidRDefault="0E324171" w:rsidP="003D0F81">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93908">
              <w:rPr>
                <w:rFonts w:cstheme="minorHAnsi"/>
                <w:sz w:val="20"/>
                <w:szCs w:val="20"/>
              </w:rPr>
              <w:t>Campañas publicitarias</w:t>
            </w:r>
          </w:p>
        </w:tc>
        <w:tc>
          <w:tcPr>
            <w:tcW w:w="1500" w:type="dxa"/>
            <w:vAlign w:val="center"/>
          </w:tcPr>
          <w:p w:rsidR="0E324171" w:rsidRPr="00193908" w:rsidRDefault="0E324171" w:rsidP="003D0F81">
            <w:pPr>
              <w:spacing w:line="240" w:lineRule="auto"/>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93908">
              <w:rPr>
                <w:rFonts w:cstheme="minorHAnsi"/>
                <w:sz w:val="20"/>
                <w:szCs w:val="20"/>
              </w:rPr>
              <w:t>¢59.372 720,40</w:t>
            </w:r>
          </w:p>
        </w:tc>
      </w:tr>
      <w:tr w:rsidR="0E324171" w:rsidRPr="003D0F81" w:rsidTr="003D0F81">
        <w:tc>
          <w:tcPr>
            <w:cnfStyle w:val="001000000000" w:firstRow="0" w:lastRow="0" w:firstColumn="1" w:lastColumn="0" w:oddVBand="0" w:evenVBand="0" w:oddHBand="0" w:evenHBand="0" w:firstRowFirstColumn="0" w:firstRowLastColumn="0" w:lastRowFirstColumn="0" w:lastRowLastColumn="0"/>
            <w:tcW w:w="840" w:type="dxa"/>
            <w:vAlign w:val="center"/>
          </w:tcPr>
          <w:p w:rsidR="0E324171" w:rsidRPr="003D0F81" w:rsidRDefault="0E324171" w:rsidP="003D0F81">
            <w:pPr>
              <w:spacing w:line="240" w:lineRule="auto"/>
              <w:rPr>
                <w:rFonts w:cstheme="minorHAnsi"/>
                <w:sz w:val="20"/>
                <w:szCs w:val="20"/>
              </w:rPr>
            </w:pPr>
          </w:p>
        </w:tc>
        <w:tc>
          <w:tcPr>
            <w:tcW w:w="2274" w:type="dxa"/>
            <w:vAlign w:val="center"/>
          </w:tcPr>
          <w:p w:rsidR="0E324171" w:rsidRPr="003D0F81" w:rsidRDefault="0E324171" w:rsidP="003D0F81">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252" w:type="dxa"/>
            <w:vAlign w:val="center"/>
          </w:tcPr>
          <w:p w:rsidR="0E324171" w:rsidRPr="00193908" w:rsidRDefault="0E324171" w:rsidP="003D0F81">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93908">
              <w:rPr>
                <w:rFonts w:cstheme="minorHAnsi"/>
                <w:sz w:val="20"/>
                <w:szCs w:val="20"/>
              </w:rPr>
              <w:t>Revistas seguros y Booklets</w:t>
            </w:r>
          </w:p>
        </w:tc>
        <w:tc>
          <w:tcPr>
            <w:tcW w:w="1500" w:type="dxa"/>
            <w:vAlign w:val="center"/>
          </w:tcPr>
          <w:p w:rsidR="0E324171" w:rsidRPr="00193908" w:rsidRDefault="0E324171" w:rsidP="003D0F81">
            <w:pPr>
              <w:spacing w:line="240" w:lineRule="auto"/>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93908">
              <w:rPr>
                <w:rFonts w:cstheme="minorHAnsi"/>
                <w:sz w:val="20"/>
                <w:szCs w:val="20"/>
              </w:rPr>
              <w:t>¢46.999.999,43</w:t>
            </w:r>
          </w:p>
        </w:tc>
      </w:tr>
      <w:tr w:rsidR="0E324171" w:rsidRPr="003D0F81" w:rsidTr="003D0F81">
        <w:tc>
          <w:tcPr>
            <w:cnfStyle w:val="001000000000" w:firstRow="0" w:lastRow="0" w:firstColumn="1" w:lastColumn="0" w:oddVBand="0" w:evenVBand="0" w:oddHBand="0" w:evenHBand="0" w:firstRowFirstColumn="0" w:firstRowLastColumn="0" w:lastRowFirstColumn="0" w:lastRowLastColumn="0"/>
            <w:tcW w:w="840" w:type="dxa"/>
            <w:vAlign w:val="center"/>
          </w:tcPr>
          <w:p w:rsidR="0E324171" w:rsidRPr="003D0F81" w:rsidRDefault="0E324171" w:rsidP="003D0F81">
            <w:pPr>
              <w:spacing w:line="240" w:lineRule="auto"/>
              <w:rPr>
                <w:rFonts w:cstheme="minorHAnsi"/>
                <w:sz w:val="20"/>
                <w:szCs w:val="20"/>
              </w:rPr>
            </w:pPr>
          </w:p>
        </w:tc>
        <w:tc>
          <w:tcPr>
            <w:tcW w:w="2274" w:type="dxa"/>
            <w:vAlign w:val="center"/>
          </w:tcPr>
          <w:p w:rsidR="0E324171" w:rsidRPr="003D0F81" w:rsidRDefault="0E324171" w:rsidP="003D0F81">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252" w:type="dxa"/>
            <w:vAlign w:val="center"/>
          </w:tcPr>
          <w:p w:rsidR="0E324171" w:rsidRPr="00193908" w:rsidRDefault="0E324171" w:rsidP="003D0F81">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93908">
              <w:rPr>
                <w:rFonts w:cstheme="minorHAnsi"/>
                <w:sz w:val="20"/>
                <w:szCs w:val="20"/>
              </w:rPr>
              <w:t>Mensajes de texto masivos</w:t>
            </w:r>
          </w:p>
        </w:tc>
        <w:tc>
          <w:tcPr>
            <w:tcW w:w="1500" w:type="dxa"/>
            <w:vAlign w:val="center"/>
          </w:tcPr>
          <w:p w:rsidR="0E324171" w:rsidRPr="00193908" w:rsidRDefault="0E324171" w:rsidP="003D0F81">
            <w:pPr>
              <w:spacing w:line="240" w:lineRule="auto"/>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93908">
              <w:rPr>
                <w:rFonts w:cstheme="minorHAnsi"/>
                <w:sz w:val="20"/>
                <w:szCs w:val="20"/>
              </w:rPr>
              <w:t>¢11.390.400,00</w:t>
            </w:r>
          </w:p>
        </w:tc>
      </w:tr>
      <w:tr w:rsidR="0E324171" w:rsidRPr="003D0F81" w:rsidTr="003D0F81">
        <w:tc>
          <w:tcPr>
            <w:cnfStyle w:val="001000000000" w:firstRow="0" w:lastRow="0" w:firstColumn="1" w:lastColumn="0" w:oddVBand="0" w:evenVBand="0" w:oddHBand="0" w:evenHBand="0" w:firstRowFirstColumn="0" w:firstRowLastColumn="0" w:lastRowFirstColumn="0" w:lastRowLastColumn="0"/>
            <w:tcW w:w="840" w:type="dxa"/>
            <w:vAlign w:val="center"/>
          </w:tcPr>
          <w:p w:rsidR="0E324171" w:rsidRPr="00193908" w:rsidRDefault="0E324171" w:rsidP="003D0F81">
            <w:pPr>
              <w:spacing w:line="240" w:lineRule="auto"/>
              <w:jc w:val="center"/>
              <w:rPr>
                <w:rFonts w:cstheme="minorHAnsi"/>
                <w:sz w:val="20"/>
                <w:szCs w:val="20"/>
              </w:rPr>
            </w:pPr>
            <w:r w:rsidRPr="00193908">
              <w:rPr>
                <w:rFonts w:cstheme="minorHAnsi"/>
                <w:sz w:val="20"/>
                <w:szCs w:val="20"/>
              </w:rPr>
              <w:t>1 04 04</w:t>
            </w:r>
          </w:p>
        </w:tc>
        <w:tc>
          <w:tcPr>
            <w:tcW w:w="2274" w:type="dxa"/>
            <w:vAlign w:val="center"/>
          </w:tcPr>
          <w:p w:rsidR="0E324171" w:rsidRPr="00193908" w:rsidRDefault="0E324171" w:rsidP="003D0F81">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93908">
              <w:rPr>
                <w:rFonts w:cstheme="minorHAnsi"/>
                <w:sz w:val="20"/>
                <w:szCs w:val="20"/>
              </w:rPr>
              <w:t>Servicios en ciencias Económicas y Sociales</w:t>
            </w:r>
          </w:p>
        </w:tc>
        <w:tc>
          <w:tcPr>
            <w:tcW w:w="4252" w:type="dxa"/>
            <w:vAlign w:val="center"/>
          </w:tcPr>
          <w:p w:rsidR="0E324171" w:rsidRPr="00193908" w:rsidRDefault="0E324171" w:rsidP="003D0F81">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93908">
              <w:rPr>
                <w:rFonts w:cstheme="minorHAnsi"/>
                <w:sz w:val="20"/>
                <w:szCs w:val="20"/>
              </w:rPr>
              <w:t xml:space="preserve">Servicios de información con Sinart </w:t>
            </w:r>
          </w:p>
        </w:tc>
        <w:tc>
          <w:tcPr>
            <w:tcW w:w="1500" w:type="dxa"/>
            <w:vAlign w:val="center"/>
          </w:tcPr>
          <w:p w:rsidR="0E324171" w:rsidRPr="00193908" w:rsidRDefault="0E324171" w:rsidP="003D0F81">
            <w:pPr>
              <w:spacing w:line="240" w:lineRule="auto"/>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93908">
              <w:rPr>
                <w:rFonts w:cstheme="minorHAnsi"/>
                <w:sz w:val="20"/>
                <w:szCs w:val="20"/>
              </w:rPr>
              <w:t>¢7.604.900,00</w:t>
            </w:r>
          </w:p>
        </w:tc>
      </w:tr>
      <w:tr w:rsidR="0E324171" w:rsidRPr="003D0F81" w:rsidTr="003D0F81">
        <w:tc>
          <w:tcPr>
            <w:cnfStyle w:val="001000000000" w:firstRow="0" w:lastRow="0" w:firstColumn="1" w:lastColumn="0" w:oddVBand="0" w:evenVBand="0" w:oddHBand="0" w:evenHBand="0" w:firstRowFirstColumn="0" w:firstRowLastColumn="0" w:lastRowFirstColumn="0" w:lastRowLastColumn="0"/>
            <w:tcW w:w="840" w:type="dxa"/>
            <w:vAlign w:val="center"/>
          </w:tcPr>
          <w:p w:rsidR="0E324171" w:rsidRPr="003D0F81" w:rsidRDefault="0E324171" w:rsidP="003D0F81">
            <w:pPr>
              <w:spacing w:line="240" w:lineRule="auto"/>
              <w:rPr>
                <w:rFonts w:cstheme="minorHAnsi"/>
                <w:sz w:val="20"/>
                <w:szCs w:val="20"/>
              </w:rPr>
            </w:pPr>
          </w:p>
        </w:tc>
        <w:tc>
          <w:tcPr>
            <w:tcW w:w="2274" w:type="dxa"/>
            <w:vAlign w:val="center"/>
          </w:tcPr>
          <w:p w:rsidR="0E324171" w:rsidRPr="003D0F81" w:rsidRDefault="0E324171" w:rsidP="003D0F81">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252" w:type="dxa"/>
            <w:vAlign w:val="center"/>
          </w:tcPr>
          <w:p w:rsidR="0E324171" w:rsidRPr="00193908" w:rsidRDefault="0E324171" w:rsidP="003D0F81">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93908">
              <w:rPr>
                <w:rFonts w:cstheme="minorHAnsi"/>
                <w:sz w:val="20"/>
                <w:szCs w:val="20"/>
              </w:rPr>
              <w:t>Consultoría en comunicación, mercadeo social, educación, monitoreo especializado y análisis de informaciones relacionadas con el tema de seguros</w:t>
            </w:r>
          </w:p>
        </w:tc>
        <w:tc>
          <w:tcPr>
            <w:tcW w:w="1500" w:type="dxa"/>
            <w:vAlign w:val="center"/>
          </w:tcPr>
          <w:p w:rsidR="0E324171" w:rsidRPr="00193908" w:rsidRDefault="0E324171" w:rsidP="003D0F81">
            <w:pPr>
              <w:spacing w:line="240" w:lineRule="auto"/>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93908">
              <w:rPr>
                <w:rFonts w:cstheme="minorHAnsi"/>
                <w:sz w:val="20"/>
                <w:szCs w:val="20"/>
              </w:rPr>
              <w:t>¢22.178.510,14</w:t>
            </w:r>
          </w:p>
        </w:tc>
      </w:tr>
      <w:tr w:rsidR="0E324171" w:rsidRPr="003D0F81" w:rsidTr="003D0F81">
        <w:tc>
          <w:tcPr>
            <w:cnfStyle w:val="001000000000" w:firstRow="0" w:lastRow="0" w:firstColumn="1" w:lastColumn="0" w:oddVBand="0" w:evenVBand="0" w:oddHBand="0" w:evenHBand="0" w:firstRowFirstColumn="0" w:firstRowLastColumn="0" w:lastRowFirstColumn="0" w:lastRowLastColumn="0"/>
            <w:tcW w:w="840" w:type="dxa"/>
            <w:vAlign w:val="center"/>
          </w:tcPr>
          <w:p w:rsidR="0E324171" w:rsidRPr="003D0F81" w:rsidRDefault="0E324171" w:rsidP="003D0F81">
            <w:pPr>
              <w:spacing w:line="240" w:lineRule="auto"/>
              <w:rPr>
                <w:rFonts w:cstheme="minorHAnsi"/>
                <w:sz w:val="20"/>
                <w:szCs w:val="20"/>
              </w:rPr>
            </w:pPr>
          </w:p>
        </w:tc>
        <w:tc>
          <w:tcPr>
            <w:tcW w:w="2274" w:type="dxa"/>
            <w:vAlign w:val="center"/>
          </w:tcPr>
          <w:p w:rsidR="0E324171" w:rsidRPr="003D0F81" w:rsidRDefault="0E324171" w:rsidP="003D0F81">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252" w:type="dxa"/>
            <w:vAlign w:val="center"/>
          </w:tcPr>
          <w:p w:rsidR="0E324171" w:rsidRPr="00193908" w:rsidRDefault="0E324171" w:rsidP="003D0F81">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93908">
              <w:rPr>
                <w:rFonts w:cstheme="minorHAnsi"/>
                <w:sz w:val="20"/>
                <w:szCs w:val="20"/>
              </w:rPr>
              <w:t>Consultoría para implementación de NIFF 17</w:t>
            </w:r>
          </w:p>
        </w:tc>
        <w:tc>
          <w:tcPr>
            <w:tcW w:w="1500" w:type="dxa"/>
            <w:vAlign w:val="center"/>
          </w:tcPr>
          <w:p w:rsidR="0E324171" w:rsidRPr="00193908" w:rsidRDefault="0E324171" w:rsidP="003D0F81">
            <w:pPr>
              <w:spacing w:line="240" w:lineRule="auto"/>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93908">
              <w:rPr>
                <w:rFonts w:cstheme="minorHAnsi"/>
                <w:sz w:val="20"/>
                <w:szCs w:val="20"/>
              </w:rPr>
              <w:t>¢38.822.499,99</w:t>
            </w:r>
          </w:p>
        </w:tc>
      </w:tr>
      <w:tr w:rsidR="0E324171" w:rsidRPr="003D0F81" w:rsidTr="003D0F81">
        <w:tc>
          <w:tcPr>
            <w:cnfStyle w:val="001000000000" w:firstRow="0" w:lastRow="0" w:firstColumn="1" w:lastColumn="0" w:oddVBand="0" w:evenVBand="0" w:oddHBand="0" w:evenHBand="0" w:firstRowFirstColumn="0" w:firstRowLastColumn="0" w:lastRowFirstColumn="0" w:lastRowLastColumn="0"/>
            <w:tcW w:w="840" w:type="dxa"/>
            <w:vAlign w:val="center"/>
          </w:tcPr>
          <w:p w:rsidR="0E324171" w:rsidRPr="00193908" w:rsidRDefault="0E324171" w:rsidP="003D0F81">
            <w:pPr>
              <w:spacing w:line="240" w:lineRule="auto"/>
              <w:jc w:val="center"/>
              <w:rPr>
                <w:rFonts w:cstheme="minorHAnsi"/>
                <w:sz w:val="20"/>
                <w:szCs w:val="20"/>
              </w:rPr>
            </w:pPr>
            <w:r w:rsidRPr="00193908">
              <w:rPr>
                <w:rFonts w:cstheme="minorHAnsi"/>
                <w:sz w:val="20"/>
                <w:szCs w:val="20"/>
              </w:rPr>
              <w:t>1 07 01</w:t>
            </w:r>
          </w:p>
        </w:tc>
        <w:tc>
          <w:tcPr>
            <w:tcW w:w="2274" w:type="dxa"/>
            <w:vAlign w:val="center"/>
          </w:tcPr>
          <w:p w:rsidR="0E324171" w:rsidRPr="00193908" w:rsidRDefault="0E324171" w:rsidP="003D0F81">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93908">
              <w:rPr>
                <w:rFonts w:cstheme="minorHAnsi"/>
                <w:sz w:val="20"/>
                <w:szCs w:val="20"/>
              </w:rPr>
              <w:t>Actividades de capacitación</w:t>
            </w:r>
          </w:p>
        </w:tc>
        <w:tc>
          <w:tcPr>
            <w:tcW w:w="4252" w:type="dxa"/>
            <w:vAlign w:val="center"/>
          </w:tcPr>
          <w:p w:rsidR="0E324171" w:rsidRPr="00193908" w:rsidRDefault="0E324171" w:rsidP="003D0F81">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93908">
              <w:rPr>
                <w:rFonts w:cstheme="minorHAnsi"/>
                <w:sz w:val="20"/>
                <w:szCs w:val="20"/>
              </w:rPr>
              <w:t>Contratación de instructores</w:t>
            </w:r>
          </w:p>
        </w:tc>
        <w:tc>
          <w:tcPr>
            <w:tcW w:w="1500" w:type="dxa"/>
            <w:vAlign w:val="center"/>
          </w:tcPr>
          <w:p w:rsidR="0E324171" w:rsidRPr="00193908" w:rsidRDefault="0E324171" w:rsidP="003D0F81">
            <w:pPr>
              <w:spacing w:line="240" w:lineRule="auto"/>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93908">
              <w:rPr>
                <w:rFonts w:cstheme="minorHAnsi"/>
                <w:sz w:val="20"/>
                <w:szCs w:val="20"/>
              </w:rPr>
              <w:t>¢25.662.298,44</w:t>
            </w:r>
          </w:p>
        </w:tc>
      </w:tr>
      <w:tr w:rsidR="0E324171" w:rsidRPr="003D0F81" w:rsidTr="003D0F81">
        <w:tc>
          <w:tcPr>
            <w:cnfStyle w:val="001000000000" w:firstRow="0" w:lastRow="0" w:firstColumn="1" w:lastColumn="0" w:oddVBand="0" w:evenVBand="0" w:oddHBand="0" w:evenHBand="0" w:firstRowFirstColumn="0" w:firstRowLastColumn="0" w:lastRowFirstColumn="0" w:lastRowLastColumn="0"/>
            <w:tcW w:w="840" w:type="dxa"/>
            <w:vAlign w:val="center"/>
          </w:tcPr>
          <w:p w:rsidR="0E324171" w:rsidRPr="003D0F81" w:rsidRDefault="0E324171" w:rsidP="003D0F81">
            <w:pPr>
              <w:spacing w:line="240" w:lineRule="auto"/>
              <w:rPr>
                <w:rFonts w:cstheme="minorHAnsi"/>
                <w:sz w:val="20"/>
                <w:szCs w:val="20"/>
              </w:rPr>
            </w:pPr>
          </w:p>
        </w:tc>
        <w:tc>
          <w:tcPr>
            <w:tcW w:w="2274" w:type="dxa"/>
            <w:vAlign w:val="center"/>
          </w:tcPr>
          <w:p w:rsidR="0E324171" w:rsidRPr="003D0F81" w:rsidRDefault="0E324171" w:rsidP="003D0F81">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252" w:type="dxa"/>
            <w:vAlign w:val="center"/>
          </w:tcPr>
          <w:p w:rsidR="0E324171" w:rsidRPr="00193908" w:rsidRDefault="0E324171" w:rsidP="003D0F81">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93908">
              <w:rPr>
                <w:rFonts w:cstheme="minorHAnsi"/>
                <w:sz w:val="20"/>
                <w:szCs w:val="20"/>
              </w:rPr>
              <w:t xml:space="preserve">Suscripciones a congresos </w:t>
            </w:r>
          </w:p>
        </w:tc>
        <w:tc>
          <w:tcPr>
            <w:tcW w:w="1500" w:type="dxa"/>
            <w:vAlign w:val="center"/>
          </w:tcPr>
          <w:p w:rsidR="0E324171" w:rsidRPr="00193908" w:rsidRDefault="0E324171" w:rsidP="003D0F81">
            <w:pPr>
              <w:spacing w:line="240" w:lineRule="auto"/>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93908">
              <w:rPr>
                <w:rFonts w:cstheme="minorHAnsi"/>
                <w:sz w:val="20"/>
                <w:szCs w:val="20"/>
              </w:rPr>
              <w:t>¢19.254.255,19</w:t>
            </w:r>
          </w:p>
        </w:tc>
      </w:tr>
      <w:tr w:rsidR="0E324171" w:rsidRPr="003D0F81" w:rsidTr="003D0F81">
        <w:tc>
          <w:tcPr>
            <w:cnfStyle w:val="001000000000" w:firstRow="0" w:lastRow="0" w:firstColumn="1" w:lastColumn="0" w:oddVBand="0" w:evenVBand="0" w:oddHBand="0" w:evenHBand="0" w:firstRowFirstColumn="0" w:firstRowLastColumn="0" w:lastRowFirstColumn="0" w:lastRowLastColumn="0"/>
            <w:tcW w:w="840" w:type="dxa"/>
            <w:vAlign w:val="center"/>
          </w:tcPr>
          <w:p w:rsidR="0E324171" w:rsidRPr="00193908" w:rsidRDefault="0E324171" w:rsidP="003D0F81">
            <w:pPr>
              <w:spacing w:line="240" w:lineRule="auto"/>
              <w:jc w:val="center"/>
              <w:rPr>
                <w:rFonts w:cstheme="minorHAnsi"/>
                <w:sz w:val="20"/>
                <w:szCs w:val="20"/>
              </w:rPr>
            </w:pPr>
            <w:r w:rsidRPr="00193908">
              <w:rPr>
                <w:rFonts w:cstheme="minorHAnsi"/>
                <w:sz w:val="20"/>
                <w:szCs w:val="20"/>
              </w:rPr>
              <w:t>2 99 03</w:t>
            </w:r>
          </w:p>
        </w:tc>
        <w:tc>
          <w:tcPr>
            <w:tcW w:w="2274" w:type="dxa"/>
            <w:vAlign w:val="center"/>
          </w:tcPr>
          <w:p w:rsidR="0E324171" w:rsidRPr="00193908" w:rsidRDefault="0E324171" w:rsidP="003D0F81">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93908">
              <w:rPr>
                <w:rFonts w:cstheme="minorHAnsi"/>
                <w:sz w:val="20"/>
                <w:szCs w:val="20"/>
              </w:rPr>
              <w:t>Productos de papel, cartón e impresos</w:t>
            </w:r>
          </w:p>
        </w:tc>
        <w:tc>
          <w:tcPr>
            <w:tcW w:w="4252" w:type="dxa"/>
            <w:vAlign w:val="center"/>
          </w:tcPr>
          <w:p w:rsidR="0E324171" w:rsidRPr="00193908" w:rsidRDefault="0E324171" w:rsidP="003D0F81">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93908">
              <w:rPr>
                <w:rFonts w:cstheme="minorHAnsi"/>
                <w:sz w:val="20"/>
                <w:szCs w:val="20"/>
              </w:rPr>
              <w:t>Suscripciones a periódicos</w:t>
            </w:r>
          </w:p>
        </w:tc>
        <w:tc>
          <w:tcPr>
            <w:tcW w:w="1500" w:type="dxa"/>
            <w:vAlign w:val="center"/>
          </w:tcPr>
          <w:p w:rsidR="0E324171" w:rsidRPr="00193908" w:rsidRDefault="0E324171" w:rsidP="003D0F81">
            <w:pPr>
              <w:spacing w:line="240" w:lineRule="auto"/>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93908">
              <w:rPr>
                <w:rFonts w:cstheme="minorHAnsi"/>
                <w:sz w:val="20"/>
                <w:szCs w:val="20"/>
              </w:rPr>
              <w:t>¢510.688,81</w:t>
            </w:r>
          </w:p>
        </w:tc>
      </w:tr>
      <w:tr w:rsidR="0E324171" w:rsidRPr="003D0F81" w:rsidTr="003D0F81">
        <w:tc>
          <w:tcPr>
            <w:cnfStyle w:val="001000000000" w:firstRow="0" w:lastRow="0" w:firstColumn="1" w:lastColumn="0" w:oddVBand="0" w:evenVBand="0" w:oddHBand="0" w:evenHBand="0" w:firstRowFirstColumn="0" w:firstRowLastColumn="0" w:lastRowFirstColumn="0" w:lastRowLastColumn="0"/>
            <w:tcW w:w="840" w:type="dxa"/>
            <w:vAlign w:val="center"/>
          </w:tcPr>
          <w:p w:rsidR="0E324171" w:rsidRPr="00193908" w:rsidRDefault="0E324171" w:rsidP="003D0F81">
            <w:pPr>
              <w:spacing w:line="240" w:lineRule="auto"/>
              <w:jc w:val="center"/>
              <w:rPr>
                <w:rFonts w:cstheme="minorHAnsi"/>
                <w:sz w:val="20"/>
                <w:szCs w:val="20"/>
              </w:rPr>
            </w:pPr>
            <w:r w:rsidRPr="00193908">
              <w:rPr>
                <w:rFonts w:cstheme="minorHAnsi"/>
                <w:sz w:val="20"/>
                <w:szCs w:val="20"/>
              </w:rPr>
              <w:t>2 99 05</w:t>
            </w:r>
          </w:p>
        </w:tc>
        <w:tc>
          <w:tcPr>
            <w:tcW w:w="2274" w:type="dxa"/>
            <w:vAlign w:val="center"/>
          </w:tcPr>
          <w:p w:rsidR="0E324171" w:rsidRPr="00193908" w:rsidRDefault="0E324171" w:rsidP="003D0F81">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93908">
              <w:rPr>
                <w:rFonts w:cstheme="minorHAnsi"/>
                <w:sz w:val="20"/>
                <w:szCs w:val="20"/>
              </w:rPr>
              <w:t>Útiles y materiales de limpieza</w:t>
            </w:r>
          </w:p>
        </w:tc>
        <w:tc>
          <w:tcPr>
            <w:tcW w:w="4252" w:type="dxa"/>
            <w:vAlign w:val="center"/>
          </w:tcPr>
          <w:p w:rsidR="0E324171" w:rsidRPr="00193908" w:rsidRDefault="0E324171" w:rsidP="003D0F81">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93908">
              <w:rPr>
                <w:rFonts w:cstheme="minorHAnsi"/>
                <w:sz w:val="20"/>
                <w:szCs w:val="20"/>
              </w:rPr>
              <w:t xml:space="preserve">Suministros de limpieza </w:t>
            </w:r>
          </w:p>
        </w:tc>
        <w:tc>
          <w:tcPr>
            <w:tcW w:w="1500" w:type="dxa"/>
            <w:vAlign w:val="center"/>
          </w:tcPr>
          <w:p w:rsidR="0E324171" w:rsidRPr="00193908" w:rsidRDefault="0E324171" w:rsidP="003D0F81">
            <w:pPr>
              <w:spacing w:line="240" w:lineRule="auto"/>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93908">
              <w:rPr>
                <w:rFonts w:cstheme="minorHAnsi"/>
                <w:sz w:val="20"/>
                <w:szCs w:val="20"/>
              </w:rPr>
              <w:t>¢3.942.564,85</w:t>
            </w:r>
          </w:p>
        </w:tc>
      </w:tr>
      <w:tr w:rsidR="0E324171" w:rsidRPr="003D0F81" w:rsidTr="003D0F81">
        <w:tc>
          <w:tcPr>
            <w:cnfStyle w:val="001000000000" w:firstRow="0" w:lastRow="0" w:firstColumn="1" w:lastColumn="0" w:oddVBand="0" w:evenVBand="0" w:oddHBand="0" w:evenHBand="0" w:firstRowFirstColumn="0" w:firstRowLastColumn="0" w:lastRowFirstColumn="0" w:lastRowLastColumn="0"/>
            <w:tcW w:w="840" w:type="dxa"/>
            <w:vAlign w:val="center"/>
          </w:tcPr>
          <w:p w:rsidR="0E324171" w:rsidRPr="00193908" w:rsidRDefault="0E324171" w:rsidP="003D0F81">
            <w:pPr>
              <w:spacing w:line="240" w:lineRule="auto"/>
              <w:jc w:val="center"/>
              <w:rPr>
                <w:rFonts w:cstheme="minorHAnsi"/>
                <w:sz w:val="20"/>
                <w:szCs w:val="20"/>
              </w:rPr>
            </w:pPr>
            <w:r w:rsidRPr="00193908">
              <w:rPr>
                <w:rFonts w:cstheme="minorHAnsi"/>
                <w:sz w:val="20"/>
                <w:szCs w:val="20"/>
              </w:rPr>
              <w:t>5 99 03</w:t>
            </w:r>
          </w:p>
        </w:tc>
        <w:tc>
          <w:tcPr>
            <w:tcW w:w="2274" w:type="dxa"/>
            <w:vAlign w:val="center"/>
          </w:tcPr>
          <w:p w:rsidR="0E324171" w:rsidRPr="00193908" w:rsidRDefault="0E324171" w:rsidP="003D0F81">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93908">
              <w:rPr>
                <w:rFonts w:cstheme="minorHAnsi"/>
                <w:sz w:val="20"/>
                <w:szCs w:val="20"/>
              </w:rPr>
              <w:t>Bienes intangibles</w:t>
            </w:r>
          </w:p>
        </w:tc>
        <w:tc>
          <w:tcPr>
            <w:tcW w:w="4252" w:type="dxa"/>
            <w:vAlign w:val="center"/>
          </w:tcPr>
          <w:p w:rsidR="0E324171" w:rsidRPr="00193908" w:rsidRDefault="0E324171" w:rsidP="003D0F81">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93908">
              <w:rPr>
                <w:rFonts w:cstheme="minorHAnsi"/>
                <w:sz w:val="20"/>
                <w:szCs w:val="20"/>
              </w:rPr>
              <w:t>Renovación de licencias IBNRS/WORKFLOW</w:t>
            </w:r>
          </w:p>
        </w:tc>
        <w:tc>
          <w:tcPr>
            <w:tcW w:w="1500" w:type="dxa"/>
            <w:vAlign w:val="center"/>
          </w:tcPr>
          <w:p w:rsidR="0E324171" w:rsidRPr="00193908" w:rsidRDefault="0E324171" w:rsidP="003D0F81">
            <w:pPr>
              <w:spacing w:line="240" w:lineRule="auto"/>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93908">
              <w:rPr>
                <w:rFonts w:cstheme="minorHAnsi"/>
                <w:sz w:val="20"/>
                <w:szCs w:val="20"/>
              </w:rPr>
              <w:t>¢21.043.464,39</w:t>
            </w:r>
          </w:p>
        </w:tc>
      </w:tr>
    </w:tbl>
    <w:p w:rsidR="0E324171" w:rsidRDefault="0E324171" w:rsidP="0E324171">
      <w:pPr>
        <w:spacing w:line="240" w:lineRule="auto"/>
        <w:jc w:val="left"/>
        <w:rPr>
          <w:rFonts w:ascii="Century Gothic" w:hAnsi="Century Gothic"/>
          <w:b/>
          <w:bCs/>
          <w:color w:val="002060"/>
          <w:sz w:val="20"/>
          <w:szCs w:val="20"/>
        </w:rPr>
      </w:pPr>
    </w:p>
    <w:p w:rsidR="00EE1A37" w:rsidRDefault="00EE1A37" w:rsidP="0E324171">
      <w:pPr>
        <w:spacing w:line="240" w:lineRule="auto"/>
        <w:jc w:val="left"/>
        <w:rPr>
          <w:rFonts w:ascii="Century Gothic" w:hAnsi="Century Gothic"/>
          <w:b/>
          <w:bCs/>
          <w:color w:val="002060"/>
          <w:sz w:val="20"/>
          <w:szCs w:val="20"/>
        </w:rPr>
      </w:pPr>
    </w:p>
    <w:p w:rsidR="00133D43" w:rsidRPr="004B1036" w:rsidRDefault="0E324171" w:rsidP="0E324171">
      <w:pPr>
        <w:pStyle w:val="Ttulo2"/>
        <w:numPr>
          <w:ilvl w:val="0"/>
          <w:numId w:val="5"/>
        </w:numPr>
        <w:spacing w:before="0" w:line="240" w:lineRule="auto"/>
        <w:rPr>
          <w:b/>
          <w:bCs/>
        </w:rPr>
      </w:pPr>
      <w:bookmarkStart w:id="16" w:name="_Toc65452659"/>
      <w:r w:rsidRPr="0E324171">
        <w:rPr>
          <w:b/>
          <w:bCs/>
        </w:rPr>
        <w:t xml:space="preserve">Procesos o demandas judiciales enfrentadas o promovidas  </w:t>
      </w:r>
      <w:bookmarkEnd w:id="16"/>
    </w:p>
    <w:p w:rsidR="00133D43" w:rsidRPr="004B1036" w:rsidRDefault="00133D43" w:rsidP="008C7ADA">
      <w:pPr>
        <w:spacing w:line="240" w:lineRule="auto"/>
        <w:rPr>
          <w:color w:val="1F497D"/>
        </w:rPr>
      </w:pPr>
    </w:p>
    <w:p w:rsidR="009F7D4B" w:rsidRPr="00297ABF" w:rsidRDefault="008C0342" w:rsidP="008C7ADA">
      <w:pPr>
        <w:spacing w:line="240" w:lineRule="auto"/>
        <w:rPr>
          <w:color w:val="002060"/>
        </w:rPr>
      </w:pPr>
      <w:r w:rsidRPr="00297ABF">
        <w:t>Al finalizar</w:t>
      </w:r>
      <w:r w:rsidR="00530F29" w:rsidRPr="00297ABF">
        <w:t xml:space="preserve"> </w:t>
      </w:r>
      <w:r w:rsidR="000337A6" w:rsidRPr="00297ABF">
        <w:t>202</w:t>
      </w:r>
      <w:r w:rsidR="00621934" w:rsidRPr="00297ABF">
        <w:t>2</w:t>
      </w:r>
      <w:r w:rsidR="00530F29" w:rsidRPr="00297ABF">
        <w:t xml:space="preserve">, </w:t>
      </w:r>
      <w:r w:rsidRPr="00297ABF">
        <w:t xml:space="preserve">la </w:t>
      </w:r>
      <w:r w:rsidR="000A0042" w:rsidRPr="00297ABF">
        <w:t>SUGESE</w:t>
      </w:r>
      <w:r w:rsidRPr="00297ABF">
        <w:t xml:space="preserve"> mantenía abiertos los procesos o demandas judiciales que se presentan en el</w:t>
      </w:r>
      <w:r w:rsidR="00E2727E" w:rsidRPr="00297ABF">
        <w:t xml:space="preserve"> cuadro</w:t>
      </w:r>
      <w:r w:rsidR="00595D69" w:rsidRPr="00297ABF">
        <w:t xml:space="preserve"> 7</w:t>
      </w:r>
      <w:r w:rsidRPr="00297ABF">
        <w:t>.</w:t>
      </w:r>
    </w:p>
    <w:p w:rsidR="005F42B7" w:rsidRPr="00297ABF" w:rsidRDefault="005F42B7" w:rsidP="008C7ADA">
      <w:pPr>
        <w:spacing w:line="240" w:lineRule="auto"/>
        <w:jc w:val="center"/>
        <w:rPr>
          <w:rFonts w:ascii="Century Gothic" w:hAnsi="Century Gothic"/>
          <w:b/>
          <w:color w:val="002060"/>
          <w:sz w:val="20"/>
          <w:szCs w:val="20"/>
        </w:rPr>
      </w:pPr>
    </w:p>
    <w:p w:rsidR="00193908" w:rsidRDefault="00193908" w:rsidP="008C7ADA">
      <w:pPr>
        <w:spacing w:line="240" w:lineRule="auto"/>
        <w:jc w:val="center"/>
        <w:rPr>
          <w:rFonts w:ascii="Century Gothic" w:hAnsi="Century Gothic"/>
          <w:b/>
          <w:color w:val="002060"/>
          <w:sz w:val="20"/>
          <w:szCs w:val="20"/>
        </w:rPr>
      </w:pPr>
    </w:p>
    <w:p w:rsidR="00193908" w:rsidRDefault="00193908" w:rsidP="008C7ADA">
      <w:pPr>
        <w:spacing w:line="240" w:lineRule="auto"/>
        <w:jc w:val="center"/>
        <w:rPr>
          <w:rFonts w:ascii="Century Gothic" w:hAnsi="Century Gothic"/>
          <w:b/>
          <w:color w:val="002060"/>
          <w:sz w:val="20"/>
          <w:szCs w:val="20"/>
        </w:rPr>
      </w:pPr>
    </w:p>
    <w:p w:rsidR="00193908" w:rsidRDefault="00193908" w:rsidP="008C7ADA">
      <w:pPr>
        <w:spacing w:line="240" w:lineRule="auto"/>
        <w:jc w:val="center"/>
        <w:rPr>
          <w:rFonts w:ascii="Century Gothic" w:hAnsi="Century Gothic"/>
          <w:b/>
          <w:color w:val="002060"/>
          <w:sz w:val="20"/>
          <w:szCs w:val="20"/>
        </w:rPr>
      </w:pPr>
    </w:p>
    <w:p w:rsidR="00263CCA" w:rsidRPr="00297ABF" w:rsidRDefault="00263CCA" w:rsidP="008C7ADA">
      <w:pPr>
        <w:spacing w:line="240" w:lineRule="auto"/>
        <w:jc w:val="left"/>
        <w:rPr>
          <w:rFonts w:ascii="Century Gothic" w:hAnsi="Century Gothic"/>
          <w:b/>
          <w:color w:val="002060"/>
          <w:sz w:val="20"/>
          <w:szCs w:val="20"/>
        </w:rPr>
      </w:pPr>
    </w:p>
    <w:p w:rsidR="00FD24B3" w:rsidRPr="00297ABF" w:rsidRDefault="00FD24B3" w:rsidP="008C7ADA">
      <w:pPr>
        <w:spacing w:line="240" w:lineRule="auto"/>
        <w:jc w:val="center"/>
        <w:rPr>
          <w:rFonts w:ascii="Century Gothic" w:hAnsi="Century Gothic"/>
          <w:b/>
          <w:color w:val="002060"/>
          <w:sz w:val="20"/>
          <w:szCs w:val="20"/>
        </w:rPr>
      </w:pPr>
      <w:r w:rsidRPr="00297ABF">
        <w:rPr>
          <w:rFonts w:ascii="Century Gothic" w:hAnsi="Century Gothic"/>
          <w:b/>
          <w:color w:val="002060"/>
          <w:sz w:val="20"/>
          <w:szCs w:val="20"/>
        </w:rPr>
        <w:t xml:space="preserve">CUADRO </w:t>
      </w:r>
      <w:r w:rsidRPr="00297ABF">
        <w:fldChar w:fldCharType="begin"/>
      </w:r>
      <w:r w:rsidRPr="00297ABF">
        <w:rPr>
          <w:rFonts w:ascii="Century Gothic" w:hAnsi="Century Gothic"/>
          <w:b/>
          <w:color w:val="002060"/>
          <w:sz w:val="20"/>
          <w:szCs w:val="20"/>
        </w:rPr>
        <w:instrText xml:space="preserve"> AUTONUM  \s " " </w:instrText>
      </w:r>
      <w:r w:rsidRPr="00297ABF">
        <w:rPr>
          <w:rFonts w:ascii="Century Gothic" w:hAnsi="Century Gothic"/>
          <w:b/>
          <w:color w:val="002060"/>
          <w:sz w:val="20"/>
          <w:szCs w:val="20"/>
        </w:rPr>
        <w:fldChar w:fldCharType="end"/>
      </w:r>
    </w:p>
    <w:p w:rsidR="003C0A1D" w:rsidRPr="00297ABF" w:rsidRDefault="003C0A1D" w:rsidP="008C7ADA">
      <w:pPr>
        <w:spacing w:line="240" w:lineRule="auto"/>
        <w:jc w:val="center"/>
        <w:rPr>
          <w:rFonts w:ascii="Century Gothic" w:hAnsi="Century Gothic" w:cs="Century Gothic"/>
          <w:sz w:val="20"/>
          <w:szCs w:val="20"/>
        </w:rPr>
      </w:pPr>
      <w:r w:rsidRPr="00297ABF">
        <w:rPr>
          <w:rFonts w:ascii="Century Gothic" w:hAnsi="Century Gothic" w:cs="Century Gothic"/>
          <w:bCs/>
          <w:kern w:val="24"/>
          <w:sz w:val="20"/>
          <w:szCs w:val="20"/>
        </w:rPr>
        <w:t>Superintendencia General de Seguros</w:t>
      </w:r>
    </w:p>
    <w:p w:rsidR="009F7D4B" w:rsidRPr="00297ABF" w:rsidRDefault="009F7D4B" w:rsidP="008C7ADA">
      <w:pPr>
        <w:spacing w:line="240" w:lineRule="auto"/>
        <w:jc w:val="center"/>
        <w:rPr>
          <w:rFonts w:ascii="Century Gothic" w:hAnsi="Century Gothic"/>
          <w:b/>
          <w:color w:val="404040" w:themeColor="text1" w:themeTint="BF"/>
          <w:sz w:val="20"/>
          <w:szCs w:val="20"/>
        </w:rPr>
      </w:pPr>
      <w:r w:rsidRPr="00297ABF">
        <w:rPr>
          <w:rFonts w:ascii="Century Gothic" w:hAnsi="Century Gothic"/>
          <w:b/>
          <w:color w:val="404040" w:themeColor="text1" w:themeTint="BF"/>
          <w:sz w:val="20"/>
          <w:szCs w:val="20"/>
        </w:rPr>
        <w:t xml:space="preserve">Procesos o demandas Judiciales </w:t>
      </w:r>
    </w:p>
    <w:p w:rsidR="00CD0DAA" w:rsidRPr="00297ABF" w:rsidRDefault="00CD0DAA" w:rsidP="008C7ADA">
      <w:pPr>
        <w:spacing w:line="240" w:lineRule="auto"/>
        <w:jc w:val="center"/>
        <w:rPr>
          <w:rFonts w:ascii="Century Gothic" w:hAnsi="Century Gothic"/>
          <w:color w:val="404040" w:themeColor="text1" w:themeTint="BF"/>
          <w:sz w:val="18"/>
          <w:szCs w:val="18"/>
        </w:rPr>
      </w:pPr>
      <w:r w:rsidRPr="00297ABF">
        <w:rPr>
          <w:rFonts w:ascii="Century Gothic" w:hAnsi="Century Gothic"/>
          <w:color w:val="404040" w:themeColor="text1" w:themeTint="BF"/>
          <w:sz w:val="18"/>
          <w:szCs w:val="18"/>
        </w:rPr>
        <w:t xml:space="preserve">Al 31 de diciembre de </w:t>
      </w:r>
      <w:r w:rsidR="6B89B391" w:rsidRPr="00297ABF">
        <w:rPr>
          <w:rFonts w:ascii="Century Gothic" w:hAnsi="Century Gothic"/>
          <w:color w:val="404040" w:themeColor="text1" w:themeTint="BF"/>
          <w:sz w:val="18"/>
          <w:szCs w:val="18"/>
        </w:rPr>
        <w:t>2022</w:t>
      </w:r>
    </w:p>
    <w:tbl>
      <w:tblPr>
        <w:tblStyle w:val="Listaclara-nfasis11"/>
        <w:tblW w:w="9697" w:type="dxa"/>
        <w:tblLook w:val="04A0" w:firstRow="1" w:lastRow="0" w:firstColumn="1" w:lastColumn="0" w:noHBand="0" w:noVBand="1"/>
      </w:tblPr>
      <w:tblGrid>
        <w:gridCol w:w="2400"/>
        <w:gridCol w:w="2977"/>
        <w:gridCol w:w="2606"/>
        <w:gridCol w:w="1714"/>
      </w:tblGrid>
      <w:tr w:rsidR="00297ABF" w:rsidRPr="00FD78DA" w:rsidTr="00E937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0" w:type="dxa"/>
            <w:shd w:val="clear" w:color="auto" w:fill="365F91" w:themeFill="accent1" w:themeFillShade="BF"/>
            <w:vAlign w:val="center"/>
            <w:hideMark/>
          </w:tcPr>
          <w:p w:rsidR="002B3C53" w:rsidRPr="00E935AF" w:rsidRDefault="00F13EFA" w:rsidP="007D3896">
            <w:pPr>
              <w:widowControl w:val="0"/>
              <w:spacing w:line="240" w:lineRule="auto"/>
              <w:jc w:val="center"/>
              <w:rPr>
                <w:rFonts w:eastAsia="Calibri" w:cstheme="minorHAnsi"/>
                <w:b w:val="0"/>
                <w:sz w:val="20"/>
                <w:szCs w:val="20"/>
                <w:lang w:val="es-ES" w:eastAsia="es-ES"/>
              </w:rPr>
            </w:pPr>
            <w:r w:rsidRPr="00E935AF">
              <w:rPr>
                <w:rFonts w:eastAsia="Calibri" w:cstheme="minorHAnsi"/>
                <w:sz w:val="20"/>
                <w:szCs w:val="20"/>
                <w:lang w:val="es-ES"/>
              </w:rPr>
              <w:t>N° DE EXPEDIENTE</w:t>
            </w:r>
          </w:p>
        </w:tc>
        <w:tc>
          <w:tcPr>
            <w:tcW w:w="2977" w:type="dxa"/>
            <w:shd w:val="clear" w:color="auto" w:fill="365F91" w:themeFill="accent1" w:themeFillShade="BF"/>
            <w:vAlign w:val="center"/>
            <w:hideMark/>
          </w:tcPr>
          <w:p w:rsidR="002B3C53" w:rsidRPr="00E935AF" w:rsidRDefault="00F13EFA" w:rsidP="007D3896">
            <w:pPr>
              <w:widowControl w:val="0"/>
              <w:spacing w:line="240"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sz w:val="20"/>
                <w:szCs w:val="20"/>
                <w:lang w:val="es-ES"/>
              </w:rPr>
            </w:pPr>
            <w:r w:rsidRPr="00E935AF">
              <w:rPr>
                <w:rFonts w:eastAsia="Calibri" w:cstheme="minorHAnsi"/>
                <w:sz w:val="20"/>
                <w:szCs w:val="20"/>
                <w:lang w:val="es-ES"/>
              </w:rPr>
              <w:t>DESCRIPCIÓN DE LA DEMANDA</w:t>
            </w:r>
          </w:p>
        </w:tc>
        <w:tc>
          <w:tcPr>
            <w:tcW w:w="2606" w:type="dxa"/>
            <w:shd w:val="clear" w:color="auto" w:fill="365F91" w:themeFill="accent1" w:themeFillShade="BF"/>
            <w:vAlign w:val="center"/>
            <w:hideMark/>
          </w:tcPr>
          <w:p w:rsidR="002B3C53" w:rsidRPr="00E935AF" w:rsidRDefault="00F13EFA" w:rsidP="007D3896">
            <w:pPr>
              <w:widowControl w:val="0"/>
              <w:spacing w:line="240"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sz w:val="20"/>
                <w:szCs w:val="20"/>
                <w:lang w:val="es-ES"/>
              </w:rPr>
            </w:pPr>
            <w:r w:rsidRPr="00E935AF">
              <w:rPr>
                <w:rFonts w:eastAsia="Calibri" w:cstheme="minorHAnsi"/>
                <w:sz w:val="20"/>
                <w:szCs w:val="20"/>
                <w:lang w:val="es-ES"/>
              </w:rPr>
              <w:t>ESTADO DE LA DEMANDA</w:t>
            </w:r>
          </w:p>
        </w:tc>
        <w:tc>
          <w:tcPr>
            <w:tcW w:w="1714" w:type="dxa"/>
            <w:shd w:val="clear" w:color="auto" w:fill="365F91" w:themeFill="accent1" w:themeFillShade="BF"/>
            <w:vAlign w:val="center"/>
            <w:hideMark/>
          </w:tcPr>
          <w:p w:rsidR="002B3C53" w:rsidRPr="00E935AF" w:rsidRDefault="00F13EFA" w:rsidP="007D3896">
            <w:pPr>
              <w:widowControl w:val="0"/>
              <w:spacing w:line="240"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sz w:val="20"/>
                <w:szCs w:val="20"/>
                <w:lang w:val="es-ES"/>
              </w:rPr>
            </w:pPr>
            <w:r w:rsidRPr="00E935AF">
              <w:rPr>
                <w:rFonts w:eastAsia="Calibri" w:cstheme="minorHAnsi"/>
                <w:sz w:val="20"/>
                <w:szCs w:val="20"/>
                <w:lang w:val="es-ES"/>
              </w:rPr>
              <w:t>ESTIMACIÓN DEL COSTO DE LA DEMANDA</w:t>
            </w:r>
          </w:p>
        </w:tc>
      </w:tr>
      <w:tr w:rsidR="002B3C53" w:rsidRPr="00FD78DA" w:rsidTr="00E93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hideMark/>
          </w:tcPr>
          <w:p w:rsidR="002B3C53" w:rsidRPr="00E935AF" w:rsidRDefault="6B89B391" w:rsidP="007D3896">
            <w:pPr>
              <w:widowControl w:val="0"/>
              <w:spacing w:line="240" w:lineRule="auto"/>
              <w:jc w:val="center"/>
              <w:rPr>
                <w:rFonts w:eastAsia="Calibri" w:cstheme="minorHAnsi"/>
                <w:b w:val="0"/>
                <w:sz w:val="20"/>
                <w:szCs w:val="20"/>
                <w:lang w:val="es-ES"/>
              </w:rPr>
            </w:pPr>
            <w:r w:rsidRPr="00E935AF">
              <w:rPr>
                <w:rFonts w:eastAsia="Calibri" w:cstheme="minorHAnsi"/>
                <w:color w:val="000000" w:themeColor="text1"/>
                <w:sz w:val="20"/>
                <w:szCs w:val="20"/>
                <w:lang w:val="es-ES"/>
              </w:rPr>
              <w:t>N°12-004742-1027-CA-4</w:t>
            </w:r>
          </w:p>
        </w:tc>
        <w:tc>
          <w:tcPr>
            <w:tcW w:w="2977" w:type="dxa"/>
          </w:tcPr>
          <w:p w:rsidR="002B3C53" w:rsidRPr="00E935AF" w:rsidRDefault="6B89B391" w:rsidP="007D3896">
            <w:pPr>
              <w:widowControl w:val="0"/>
              <w:spacing w:line="240" w:lineRule="auto"/>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sz w:val="20"/>
                <w:szCs w:val="20"/>
                <w:lang w:val="es-ES"/>
              </w:rPr>
            </w:pPr>
            <w:r w:rsidRPr="00E935AF">
              <w:rPr>
                <w:rFonts w:eastAsia="Calibri" w:cstheme="minorHAnsi"/>
                <w:b/>
                <w:color w:val="000000" w:themeColor="text1"/>
                <w:sz w:val="20"/>
                <w:szCs w:val="20"/>
                <w:lang w:val="es-ES"/>
              </w:rPr>
              <w:t xml:space="preserve">Partes: </w:t>
            </w:r>
            <w:r w:rsidRPr="00E935AF">
              <w:rPr>
                <w:rFonts w:eastAsia="Calibri" w:cstheme="minorHAnsi"/>
                <w:color w:val="000000" w:themeColor="text1"/>
                <w:sz w:val="20"/>
                <w:szCs w:val="20"/>
                <w:lang w:val="es-ES"/>
              </w:rPr>
              <w:t>Agentes de Seguros vs INS y SUGESE.</w:t>
            </w:r>
          </w:p>
          <w:p w:rsidR="002B3C53" w:rsidRPr="00E935AF" w:rsidRDefault="002B3C53" w:rsidP="007D3896">
            <w:pPr>
              <w:widowControl w:val="0"/>
              <w:spacing w:line="240" w:lineRule="auto"/>
              <w:cnfStyle w:val="000000100000" w:firstRow="0" w:lastRow="0" w:firstColumn="0" w:lastColumn="0" w:oddVBand="0" w:evenVBand="0" w:oddHBand="1" w:evenHBand="0" w:firstRowFirstColumn="0" w:firstRowLastColumn="0" w:lastRowFirstColumn="0" w:lastRowLastColumn="0"/>
              <w:rPr>
                <w:rFonts w:eastAsia="Calibri" w:cstheme="minorHAnsi"/>
                <w:color w:val="000000"/>
                <w:sz w:val="20"/>
                <w:szCs w:val="20"/>
                <w:lang w:val="es-ES"/>
              </w:rPr>
            </w:pPr>
          </w:p>
          <w:p w:rsidR="002B3C53" w:rsidRPr="00E935AF" w:rsidRDefault="6B89B391" w:rsidP="007D3896">
            <w:pPr>
              <w:widowControl w:val="0"/>
              <w:spacing w:line="240" w:lineRule="auto"/>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lang w:val="es-ES"/>
              </w:rPr>
            </w:pPr>
            <w:r w:rsidRPr="00E935AF">
              <w:rPr>
                <w:rFonts w:eastAsia="Calibri" w:cstheme="minorHAnsi"/>
                <w:sz w:val="20"/>
                <w:szCs w:val="20"/>
                <w:lang w:val="es-ES"/>
              </w:rPr>
              <w:t>Proceso de conocimiento establecido por un grupo de agentes de seguros del INS, contra el INS y la SUGESE; para que se decrete la nulidad de la directriz del INS G-3152-2088 del 10 de diciembre de 2008, que ordenó a la División Técnico Comercial, pagar la comisión de intermediario, sobre la prima, exceptuando de ese rubro el 4% correspondiente al financiamiento del cuerpo de bomberos y se condene a la SUGESE por no cumplir con sus funciones.</w:t>
            </w:r>
          </w:p>
        </w:tc>
        <w:tc>
          <w:tcPr>
            <w:tcW w:w="2606" w:type="dxa"/>
            <w:hideMark/>
          </w:tcPr>
          <w:p w:rsidR="002B3C53" w:rsidRPr="00E935AF" w:rsidRDefault="6B89B391" w:rsidP="007D3896">
            <w:pPr>
              <w:widowControl w:val="0"/>
              <w:spacing w:line="240" w:lineRule="auto"/>
              <w:cnfStyle w:val="000000100000" w:firstRow="0" w:lastRow="0" w:firstColumn="0" w:lastColumn="0" w:oddVBand="0" w:evenVBand="0" w:oddHBand="1" w:evenHBand="0" w:firstRowFirstColumn="0" w:firstRowLastColumn="0" w:lastRowFirstColumn="0" w:lastRowLastColumn="0"/>
              <w:rPr>
                <w:rFonts w:eastAsia="Calibri" w:cstheme="minorHAnsi"/>
                <w:b/>
                <w:color w:val="000000" w:themeColor="text1"/>
                <w:sz w:val="20"/>
                <w:szCs w:val="20"/>
                <w:lang w:val="es-ES"/>
              </w:rPr>
            </w:pPr>
            <w:r w:rsidRPr="00E935AF">
              <w:rPr>
                <w:rFonts w:eastAsia="Calibri" w:cstheme="minorHAnsi"/>
                <w:sz w:val="20"/>
                <w:szCs w:val="20"/>
              </w:rPr>
              <w:t>Mediante resolución 953-2020 del 28 de mayo de 2020, se ordena la acumulación de los procesos 18-010272-1027-CA y el 12-004742-1027-CA, bajo este último.</w:t>
            </w:r>
          </w:p>
        </w:tc>
        <w:tc>
          <w:tcPr>
            <w:tcW w:w="1714" w:type="dxa"/>
            <w:hideMark/>
          </w:tcPr>
          <w:p w:rsidR="002B3C53" w:rsidRPr="00E935AF" w:rsidRDefault="6B89B391" w:rsidP="007D3896">
            <w:pPr>
              <w:widowControl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b/>
                <w:sz w:val="20"/>
                <w:szCs w:val="20"/>
                <w:lang w:val="es-ES" w:eastAsia="es-ES"/>
              </w:rPr>
            </w:pPr>
            <w:r w:rsidRPr="00E935AF">
              <w:rPr>
                <w:rFonts w:eastAsia="Calibri" w:cstheme="minorHAnsi"/>
                <w:sz w:val="20"/>
                <w:szCs w:val="20"/>
              </w:rPr>
              <w:t>Inestimable</w:t>
            </w:r>
          </w:p>
        </w:tc>
      </w:tr>
      <w:tr w:rsidR="002B3C53" w:rsidRPr="00FD78DA" w:rsidTr="00E937B7">
        <w:tc>
          <w:tcPr>
            <w:cnfStyle w:val="001000000000" w:firstRow="0" w:lastRow="0" w:firstColumn="1" w:lastColumn="0" w:oddVBand="0" w:evenVBand="0" w:oddHBand="0" w:evenHBand="0" w:firstRowFirstColumn="0" w:firstRowLastColumn="0" w:lastRowFirstColumn="0" w:lastRowLastColumn="0"/>
            <w:tcW w:w="2400" w:type="dxa"/>
            <w:hideMark/>
          </w:tcPr>
          <w:p w:rsidR="002B3C53" w:rsidRPr="00E935AF" w:rsidRDefault="6B89B391" w:rsidP="007D3896">
            <w:pPr>
              <w:widowControl w:val="0"/>
              <w:spacing w:line="240" w:lineRule="auto"/>
              <w:jc w:val="center"/>
              <w:rPr>
                <w:rFonts w:eastAsia="Calibri" w:cstheme="minorHAnsi"/>
                <w:b w:val="0"/>
                <w:sz w:val="20"/>
                <w:szCs w:val="20"/>
                <w:lang w:val="es-ES"/>
              </w:rPr>
            </w:pPr>
            <w:r w:rsidRPr="00E935AF">
              <w:rPr>
                <w:rFonts w:eastAsia="Calibri" w:cstheme="minorHAnsi"/>
                <w:color w:val="000000" w:themeColor="text1"/>
                <w:sz w:val="20"/>
                <w:szCs w:val="20"/>
                <w:lang w:val="es-ES"/>
              </w:rPr>
              <w:t>17-011730-1027-CA</w:t>
            </w:r>
          </w:p>
        </w:tc>
        <w:tc>
          <w:tcPr>
            <w:tcW w:w="2977" w:type="dxa"/>
          </w:tcPr>
          <w:p w:rsidR="002B3C53" w:rsidRPr="00E935AF" w:rsidRDefault="6B89B391" w:rsidP="007D3896">
            <w:pPr>
              <w:widowControl w:val="0"/>
              <w:spacing w:line="240"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 w:val="20"/>
                <w:szCs w:val="20"/>
                <w:lang w:val="es-ES"/>
              </w:rPr>
            </w:pPr>
            <w:r w:rsidRPr="00E935AF">
              <w:rPr>
                <w:rFonts w:eastAsia="Calibri" w:cstheme="minorHAnsi"/>
                <w:b/>
                <w:color w:val="000000" w:themeColor="text1"/>
                <w:sz w:val="20"/>
                <w:szCs w:val="20"/>
                <w:lang w:val="es-ES"/>
              </w:rPr>
              <w:t xml:space="preserve">Partes: </w:t>
            </w:r>
            <w:r w:rsidRPr="00E935AF">
              <w:rPr>
                <w:rFonts w:eastAsia="Calibri" w:cstheme="minorHAnsi"/>
                <w:color w:val="000000" w:themeColor="text1"/>
                <w:sz w:val="20"/>
                <w:szCs w:val="20"/>
                <w:lang w:val="es-ES"/>
              </w:rPr>
              <w:t>Anna Giannina Mazzella Di Bosco vs Banco Central de Costa Rica y SUGEGE.</w:t>
            </w:r>
          </w:p>
          <w:p w:rsidR="002B3C53" w:rsidRPr="00E935AF" w:rsidRDefault="002B3C53" w:rsidP="007D3896">
            <w:pPr>
              <w:widowControl w:val="0"/>
              <w:spacing w:line="240" w:lineRule="auto"/>
              <w:cnfStyle w:val="000000000000" w:firstRow="0" w:lastRow="0" w:firstColumn="0" w:lastColumn="0" w:oddVBand="0" w:evenVBand="0" w:oddHBand="0" w:evenHBand="0" w:firstRowFirstColumn="0" w:firstRowLastColumn="0" w:lastRowFirstColumn="0" w:lastRowLastColumn="0"/>
              <w:rPr>
                <w:rFonts w:eastAsia="Calibri" w:cstheme="minorHAnsi"/>
                <w:b/>
                <w:color w:val="000000"/>
                <w:sz w:val="20"/>
                <w:szCs w:val="20"/>
                <w:lang w:val="es-ES"/>
              </w:rPr>
            </w:pPr>
          </w:p>
          <w:p w:rsidR="002B3C53" w:rsidRPr="00E935AF" w:rsidRDefault="6B89B391" w:rsidP="007D3896">
            <w:pPr>
              <w:widowControl w:val="0"/>
              <w:spacing w:line="240" w:lineRule="auto"/>
              <w:cnfStyle w:val="000000000000" w:firstRow="0" w:lastRow="0" w:firstColumn="0" w:lastColumn="0" w:oddVBand="0" w:evenVBand="0" w:oddHBand="0" w:evenHBand="0" w:firstRowFirstColumn="0" w:firstRowLastColumn="0" w:lastRowFirstColumn="0" w:lastRowLastColumn="0"/>
              <w:rPr>
                <w:rFonts w:eastAsia="Calibri" w:cstheme="minorHAnsi"/>
                <w:b/>
                <w:color w:val="000000" w:themeColor="text1"/>
                <w:sz w:val="20"/>
                <w:szCs w:val="20"/>
                <w:lang w:val="es-ES"/>
              </w:rPr>
            </w:pPr>
            <w:r w:rsidRPr="00E935AF">
              <w:rPr>
                <w:rFonts w:eastAsia="Calibri" w:cstheme="minorHAnsi"/>
                <w:color w:val="000000" w:themeColor="text1"/>
                <w:sz w:val="20"/>
                <w:szCs w:val="20"/>
                <w:lang w:val="es-ES"/>
              </w:rPr>
              <w:t>Proceso Ordinario en</w:t>
            </w:r>
            <w:r w:rsidRPr="00E935AF">
              <w:rPr>
                <w:rFonts w:eastAsia="Calibri" w:cstheme="minorHAnsi"/>
                <w:b/>
                <w:color w:val="000000" w:themeColor="text1"/>
                <w:sz w:val="20"/>
                <w:szCs w:val="20"/>
                <w:lang w:val="es-ES"/>
              </w:rPr>
              <w:t xml:space="preserve"> </w:t>
            </w:r>
            <w:r w:rsidRPr="00E935AF">
              <w:rPr>
                <w:rFonts w:eastAsia="Calibri" w:cstheme="minorHAnsi"/>
                <w:color w:val="000000" w:themeColor="text1"/>
                <w:sz w:val="20"/>
                <w:szCs w:val="20"/>
                <w:lang w:val="es-ES"/>
              </w:rPr>
              <w:t xml:space="preserve">que se solicita la declaratoria de nulidad del acto administrativo contenido en la resolución SGS-R-2081-2017, la declaración de la prescripción de las llegadas tardías que se le imputan a la señora Mazzella Di Bosco. </w:t>
            </w:r>
          </w:p>
        </w:tc>
        <w:tc>
          <w:tcPr>
            <w:tcW w:w="2606" w:type="dxa"/>
          </w:tcPr>
          <w:p w:rsidR="002B3C53" w:rsidRPr="00E935AF" w:rsidRDefault="6B89B391" w:rsidP="007D3896">
            <w:pPr>
              <w:widowControl w:val="0"/>
              <w:spacing w:line="240" w:lineRule="auto"/>
              <w:cnfStyle w:val="000000000000" w:firstRow="0" w:lastRow="0" w:firstColumn="0" w:lastColumn="0" w:oddVBand="0" w:evenVBand="0" w:oddHBand="0" w:evenHBand="0" w:firstRowFirstColumn="0" w:firstRowLastColumn="0" w:lastRowFirstColumn="0" w:lastRowLastColumn="0"/>
              <w:rPr>
                <w:rFonts w:eastAsia="Calibri" w:cstheme="minorHAnsi"/>
                <w:b/>
                <w:sz w:val="20"/>
                <w:szCs w:val="20"/>
              </w:rPr>
            </w:pPr>
            <w:r w:rsidRPr="00E935AF">
              <w:rPr>
                <w:rFonts w:eastAsia="Calibri" w:cstheme="minorHAnsi"/>
                <w:b/>
                <w:sz w:val="20"/>
                <w:szCs w:val="20"/>
              </w:rPr>
              <w:t>A espera de sentencia.</w:t>
            </w:r>
          </w:p>
          <w:p w:rsidR="002B3C53" w:rsidRPr="00E935AF" w:rsidRDefault="002B3C53" w:rsidP="007D3896">
            <w:pPr>
              <w:widowControl w:val="0"/>
              <w:spacing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
          <w:p w:rsidR="002B3C53" w:rsidRPr="00E935AF" w:rsidRDefault="6B89B391" w:rsidP="007D3896">
            <w:pPr>
              <w:widowControl w:val="0"/>
              <w:spacing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E935AF">
              <w:rPr>
                <w:rFonts w:eastAsia="Calibri" w:cstheme="minorHAnsi"/>
                <w:sz w:val="20"/>
                <w:szCs w:val="20"/>
              </w:rPr>
              <w:t>En la audiencia preliminar, el proceso fue declarado de puro derecho y se está a la espera de sentencia.</w:t>
            </w:r>
          </w:p>
        </w:tc>
        <w:tc>
          <w:tcPr>
            <w:tcW w:w="1714" w:type="dxa"/>
            <w:hideMark/>
          </w:tcPr>
          <w:p w:rsidR="002B3C53" w:rsidRPr="00E935AF" w:rsidRDefault="6B89B391" w:rsidP="007D3896">
            <w:pPr>
              <w:widowControl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b/>
                <w:sz w:val="20"/>
                <w:szCs w:val="20"/>
                <w:lang w:val="es-ES"/>
              </w:rPr>
            </w:pPr>
            <w:r w:rsidRPr="00E935AF">
              <w:rPr>
                <w:rFonts w:eastAsia="Calibri" w:cstheme="minorHAnsi"/>
                <w:sz w:val="20"/>
                <w:szCs w:val="20"/>
              </w:rPr>
              <w:t>Inestimable</w:t>
            </w:r>
          </w:p>
        </w:tc>
      </w:tr>
      <w:tr w:rsidR="002B3C53" w:rsidRPr="00FD78DA" w:rsidTr="00E93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rsidR="002B3C53" w:rsidRPr="00E935AF" w:rsidRDefault="6B89B391" w:rsidP="007D3896">
            <w:pPr>
              <w:widowControl w:val="0"/>
              <w:spacing w:line="240" w:lineRule="auto"/>
              <w:jc w:val="center"/>
              <w:rPr>
                <w:rFonts w:eastAsia="Calibri" w:cstheme="minorHAnsi"/>
                <w:b w:val="0"/>
                <w:color w:val="000000" w:themeColor="text1"/>
                <w:sz w:val="20"/>
                <w:szCs w:val="20"/>
                <w:lang w:val="es-ES"/>
              </w:rPr>
            </w:pPr>
            <w:r w:rsidRPr="00E935AF">
              <w:rPr>
                <w:rFonts w:eastAsia="Calibri" w:cstheme="minorHAnsi"/>
                <w:color w:val="000000" w:themeColor="text1"/>
                <w:sz w:val="20"/>
                <w:szCs w:val="20"/>
                <w:lang w:val="es-ES"/>
              </w:rPr>
              <w:t>18-10272-1027-CA.</w:t>
            </w:r>
          </w:p>
          <w:p w:rsidR="002B3C53" w:rsidRPr="00E935AF" w:rsidRDefault="002B3C53" w:rsidP="007D3896">
            <w:pPr>
              <w:widowControl w:val="0"/>
              <w:spacing w:line="240" w:lineRule="auto"/>
              <w:rPr>
                <w:rFonts w:eastAsia="Calibri" w:cstheme="minorHAnsi"/>
                <w:b w:val="0"/>
                <w:sz w:val="20"/>
                <w:szCs w:val="20"/>
                <w:lang w:val="es-ES"/>
              </w:rPr>
            </w:pPr>
          </w:p>
        </w:tc>
        <w:tc>
          <w:tcPr>
            <w:tcW w:w="2977" w:type="dxa"/>
          </w:tcPr>
          <w:p w:rsidR="002B3C53" w:rsidRPr="00E935AF" w:rsidRDefault="6B89B391" w:rsidP="007D3896">
            <w:pPr>
              <w:widowControl w:val="0"/>
              <w:spacing w:line="240" w:lineRule="auto"/>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sz w:val="20"/>
                <w:szCs w:val="20"/>
                <w:lang w:val="es-ES"/>
              </w:rPr>
            </w:pPr>
            <w:r w:rsidRPr="00E935AF">
              <w:rPr>
                <w:rFonts w:eastAsia="Calibri" w:cstheme="minorHAnsi"/>
                <w:b/>
                <w:color w:val="000000" w:themeColor="text1"/>
                <w:sz w:val="20"/>
                <w:szCs w:val="20"/>
                <w:lang w:val="es-ES"/>
              </w:rPr>
              <w:t>Partes:</w:t>
            </w:r>
            <w:r w:rsidRPr="00E935AF">
              <w:rPr>
                <w:rFonts w:eastAsia="Calibri" w:cstheme="minorHAnsi"/>
                <w:color w:val="000000" w:themeColor="text1"/>
                <w:sz w:val="20"/>
                <w:szCs w:val="20"/>
                <w:lang w:val="es-ES"/>
              </w:rPr>
              <w:t xml:space="preserve"> Agente Marco Morice </w:t>
            </w:r>
            <w:r w:rsidR="00FD78DA" w:rsidRPr="00E935AF">
              <w:rPr>
                <w:rFonts w:eastAsia="Calibri" w:cstheme="minorHAnsi"/>
                <w:color w:val="000000" w:themeColor="text1"/>
                <w:sz w:val="20"/>
                <w:szCs w:val="20"/>
                <w:lang w:val="es-ES"/>
              </w:rPr>
              <w:t>en contra de</w:t>
            </w:r>
            <w:r w:rsidRPr="00E935AF">
              <w:rPr>
                <w:rFonts w:eastAsia="Calibri" w:cstheme="minorHAnsi"/>
                <w:color w:val="000000" w:themeColor="text1"/>
                <w:sz w:val="20"/>
                <w:szCs w:val="20"/>
                <w:lang w:val="es-ES"/>
              </w:rPr>
              <w:t xml:space="preserve"> SUGESE.</w:t>
            </w:r>
          </w:p>
          <w:p w:rsidR="002B3C53" w:rsidRPr="00E935AF" w:rsidRDefault="002B3C53" w:rsidP="007D3896">
            <w:pPr>
              <w:widowControl w:val="0"/>
              <w:spacing w:line="240" w:lineRule="auto"/>
              <w:cnfStyle w:val="000000100000" w:firstRow="0" w:lastRow="0" w:firstColumn="0" w:lastColumn="0" w:oddVBand="0" w:evenVBand="0" w:oddHBand="1" w:evenHBand="0" w:firstRowFirstColumn="0" w:firstRowLastColumn="0" w:lastRowFirstColumn="0" w:lastRowLastColumn="0"/>
              <w:rPr>
                <w:rFonts w:eastAsia="Calibri" w:cstheme="minorHAnsi"/>
                <w:color w:val="000000"/>
                <w:sz w:val="20"/>
                <w:szCs w:val="20"/>
                <w:lang w:val="es-ES"/>
              </w:rPr>
            </w:pPr>
          </w:p>
          <w:p w:rsidR="002B3C53" w:rsidRPr="00E935AF" w:rsidRDefault="6B89B391" w:rsidP="007D3896">
            <w:pPr>
              <w:widowControl w:val="0"/>
              <w:spacing w:line="240" w:lineRule="auto"/>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sz w:val="20"/>
                <w:szCs w:val="20"/>
                <w:lang w:val="es-ES"/>
              </w:rPr>
            </w:pPr>
            <w:r w:rsidRPr="00E935AF">
              <w:rPr>
                <w:rFonts w:eastAsia="Calibri" w:cstheme="minorHAnsi"/>
                <w:sz w:val="20"/>
                <w:szCs w:val="20"/>
              </w:rPr>
              <w:t>Proceso de conocimiento establecido por un agente de seguros del INS, contra el INS y la SUGESE; para que se decrete la nulidad de la directriz del INS G-3152-2088 del 10 de diciembre de 2008, que ordenó a la División Técnico Comercial, pagar la comisión de intermediario, sobre la prima, exceptuando de ese rubro el 4% correspondiente al financiamiento del cuerpo de bomberos y se condene a la SUGESE por no cumplir con sus funciones.</w:t>
            </w:r>
          </w:p>
        </w:tc>
        <w:tc>
          <w:tcPr>
            <w:tcW w:w="2606" w:type="dxa"/>
          </w:tcPr>
          <w:p w:rsidR="002B3C53" w:rsidRPr="00E935AF" w:rsidRDefault="6B89B391" w:rsidP="007D3896">
            <w:pPr>
              <w:widowControl w:val="0"/>
              <w:spacing w:line="240" w:lineRule="auto"/>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E935AF">
              <w:rPr>
                <w:rFonts w:eastAsia="Calibri" w:cstheme="minorHAnsi"/>
                <w:sz w:val="20"/>
                <w:szCs w:val="20"/>
              </w:rPr>
              <w:t>Mediante resolución 953-2020 del 28 de mayo de 2020, se ordena la acumulación de los procesos 18-010272-1027-CA y el 12-004742-1027-CA, bajo este último. (En adelante ver 12-004742-1027-CA)</w:t>
            </w:r>
          </w:p>
          <w:p w:rsidR="002B3C53" w:rsidRPr="00E935AF" w:rsidRDefault="002B3C53" w:rsidP="007D3896">
            <w:pPr>
              <w:widowControl w:val="0"/>
              <w:spacing w:line="240" w:lineRule="auto"/>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p>
        </w:tc>
        <w:tc>
          <w:tcPr>
            <w:tcW w:w="1714" w:type="dxa"/>
            <w:hideMark/>
          </w:tcPr>
          <w:p w:rsidR="002B3C53" w:rsidRPr="00E935AF" w:rsidRDefault="6B89B391" w:rsidP="007D3896">
            <w:pPr>
              <w:widowControl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b/>
                <w:sz w:val="20"/>
                <w:szCs w:val="20"/>
                <w:lang w:val="es-ES"/>
              </w:rPr>
            </w:pPr>
            <w:r w:rsidRPr="00E935AF">
              <w:rPr>
                <w:rFonts w:eastAsia="Calibri" w:cstheme="minorHAnsi"/>
                <w:sz w:val="20"/>
                <w:szCs w:val="20"/>
              </w:rPr>
              <w:t>Inestimable</w:t>
            </w:r>
          </w:p>
        </w:tc>
      </w:tr>
      <w:tr w:rsidR="002B3C53" w:rsidRPr="00FD78DA" w:rsidTr="00E937B7">
        <w:tc>
          <w:tcPr>
            <w:cnfStyle w:val="001000000000" w:firstRow="0" w:lastRow="0" w:firstColumn="1" w:lastColumn="0" w:oddVBand="0" w:evenVBand="0" w:oddHBand="0" w:evenHBand="0" w:firstRowFirstColumn="0" w:firstRowLastColumn="0" w:lastRowFirstColumn="0" w:lastRowLastColumn="0"/>
            <w:tcW w:w="2400" w:type="dxa"/>
            <w:hideMark/>
          </w:tcPr>
          <w:p w:rsidR="002B3C53" w:rsidRPr="00E935AF" w:rsidRDefault="6B89B391" w:rsidP="007D3896">
            <w:pPr>
              <w:widowControl w:val="0"/>
              <w:spacing w:line="240" w:lineRule="auto"/>
              <w:jc w:val="center"/>
              <w:rPr>
                <w:rFonts w:eastAsia="Calibri" w:cstheme="minorHAnsi"/>
                <w:b w:val="0"/>
                <w:sz w:val="20"/>
                <w:szCs w:val="20"/>
                <w:lang w:val="es-ES"/>
              </w:rPr>
            </w:pPr>
            <w:r w:rsidRPr="00E935AF">
              <w:rPr>
                <w:rFonts w:eastAsia="Calibri" w:cstheme="minorHAnsi"/>
                <w:color w:val="000000" w:themeColor="text1"/>
                <w:sz w:val="20"/>
                <w:szCs w:val="20"/>
                <w:lang w:val="es-ES"/>
              </w:rPr>
              <w:t>19-000359-0173- LA</w:t>
            </w:r>
          </w:p>
        </w:tc>
        <w:tc>
          <w:tcPr>
            <w:tcW w:w="2977" w:type="dxa"/>
          </w:tcPr>
          <w:p w:rsidR="002B3C53" w:rsidRPr="00E935AF" w:rsidRDefault="6B89B391" w:rsidP="007D3896">
            <w:pPr>
              <w:widowControl w:val="0"/>
              <w:spacing w:line="240"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 w:val="20"/>
                <w:szCs w:val="20"/>
                <w:lang w:val="es-ES"/>
              </w:rPr>
            </w:pPr>
            <w:r w:rsidRPr="00E935AF">
              <w:rPr>
                <w:rFonts w:eastAsia="Calibri" w:cstheme="minorHAnsi"/>
                <w:b/>
                <w:color w:val="000000" w:themeColor="text1"/>
                <w:sz w:val="20"/>
                <w:szCs w:val="20"/>
                <w:lang w:val="es-ES"/>
              </w:rPr>
              <w:t>Partes:</w:t>
            </w:r>
            <w:r w:rsidRPr="00E935AF">
              <w:rPr>
                <w:rFonts w:eastAsia="Calibri" w:cstheme="minorHAnsi"/>
                <w:color w:val="000000" w:themeColor="text1"/>
                <w:sz w:val="20"/>
                <w:szCs w:val="20"/>
                <w:lang w:val="es-ES"/>
              </w:rPr>
              <w:t xml:space="preserve"> Alexander Morales Hidalgo </w:t>
            </w:r>
            <w:r w:rsidR="00FD78DA" w:rsidRPr="00E935AF">
              <w:rPr>
                <w:rFonts w:eastAsia="Calibri" w:cstheme="minorHAnsi"/>
                <w:color w:val="000000" w:themeColor="text1"/>
                <w:sz w:val="20"/>
                <w:szCs w:val="20"/>
                <w:lang w:val="es-ES"/>
              </w:rPr>
              <w:t>versus</w:t>
            </w:r>
            <w:r w:rsidRPr="00E935AF">
              <w:rPr>
                <w:rFonts w:eastAsia="Calibri" w:cstheme="minorHAnsi"/>
                <w:color w:val="000000" w:themeColor="text1"/>
                <w:sz w:val="20"/>
                <w:szCs w:val="20"/>
                <w:lang w:val="es-ES"/>
              </w:rPr>
              <w:t xml:space="preserve"> SUGESE.</w:t>
            </w:r>
          </w:p>
          <w:p w:rsidR="002B3C53" w:rsidRPr="00E935AF" w:rsidRDefault="002B3C53" w:rsidP="007D3896">
            <w:pPr>
              <w:widowControl w:val="0"/>
              <w:spacing w:line="240"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sz w:val="20"/>
                <w:szCs w:val="20"/>
                <w:lang w:val="es-ES"/>
              </w:rPr>
            </w:pPr>
          </w:p>
          <w:p w:rsidR="002B3C53" w:rsidRPr="00E935AF" w:rsidRDefault="6B89B391" w:rsidP="007D3896">
            <w:pPr>
              <w:widowControl w:val="0"/>
              <w:spacing w:line="240" w:lineRule="auto"/>
              <w:cnfStyle w:val="000000000000" w:firstRow="0" w:lastRow="0" w:firstColumn="0" w:lastColumn="0" w:oddVBand="0" w:evenVBand="0" w:oddHBand="0" w:evenHBand="0" w:firstRowFirstColumn="0" w:firstRowLastColumn="0" w:lastRowFirstColumn="0" w:lastRowLastColumn="0"/>
              <w:rPr>
                <w:rFonts w:eastAsia="Calibri" w:cstheme="minorHAnsi"/>
                <w:b/>
                <w:color w:val="000000" w:themeColor="text1"/>
                <w:sz w:val="20"/>
                <w:szCs w:val="20"/>
                <w:lang w:val="es-ES"/>
              </w:rPr>
            </w:pPr>
            <w:r w:rsidRPr="00E935AF">
              <w:rPr>
                <w:rFonts w:eastAsia="Calibri" w:cstheme="minorHAnsi"/>
                <w:color w:val="000000" w:themeColor="text1"/>
                <w:sz w:val="20"/>
                <w:szCs w:val="20"/>
                <w:lang w:val="es-ES"/>
              </w:rPr>
              <w:t>Proceso ordinario de empleo público.</w:t>
            </w:r>
          </w:p>
        </w:tc>
        <w:tc>
          <w:tcPr>
            <w:tcW w:w="2606" w:type="dxa"/>
          </w:tcPr>
          <w:p w:rsidR="002B3C53" w:rsidRPr="00E935AF" w:rsidRDefault="6B89B391" w:rsidP="007D3896">
            <w:pPr>
              <w:widowControl w:val="0"/>
              <w:spacing w:line="240" w:lineRule="auto"/>
              <w:cnfStyle w:val="000000000000" w:firstRow="0" w:lastRow="0" w:firstColumn="0" w:lastColumn="0" w:oddVBand="0" w:evenVBand="0" w:oddHBand="0" w:evenHBand="0" w:firstRowFirstColumn="0" w:firstRowLastColumn="0" w:lastRowFirstColumn="0" w:lastRowLastColumn="0"/>
              <w:rPr>
                <w:rFonts w:eastAsia="Calibri" w:cstheme="minorHAnsi"/>
                <w:b/>
                <w:sz w:val="20"/>
                <w:szCs w:val="20"/>
              </w:rPr>
            </w:pPr>
            <w:r w:rsidRPr="00E935AF">
              <w:rPr>
                <w:rFonts w:eastAsia="Calibri" w:cstheme="minorHAnsi"/>
                <w:b/>
                <w:sz w:val="20"/>
                <w:szCs w:val="20"/>
              </w:rPr>
              <w:t>Demanda declarada CON LUGAR.</w:t>
            </w:r>
          </w:p>
          <w:p w:rsidR="002B3C53" w:rsidRPr="00E935AF" w:rsidRDefault="6B89B391" w:rsidP="007D3896">
            <w:pPr>
              <w:widowControl w:val="0"/>
              <w:spacing w:line="240" w:lineRule="auto"/>
              <w:cnfStyle w:val="000000000000" w:firstRow="0" w:lastRow="0" w:firstColumn="0" w:lastColumn="0" w:oddVBand="0" w:evenVBand="0" w:oddHBand="0" w:evenHBand="0" w:firstRowFirstColumn="0" w:firstRowLastColumn="0" w:lastRowFirstColumn="0" w:lastRowLastColumn="0"/>
              <w:rPr>
                <w:rFonts w:eastAsia="Calibri" w:cstheme="minorHAnsi"/>
                <w:b/>
                <w:sz w:val="20"/>
                <w:szCs w:val="20"/>
              </w:rPr>
            </w:pPr>
            <w:r w:rsidRPr="00E935AF">
              <w:rPr>
                <w:rFonts w:eastAsia="Calibri" w:cstheme="minorHAnsi"/>
                <w:b/>
                <w:sz w:val="20"/>
                <w:szCs w:val="20"/>
              </w:rPr>
              <w:t>Recurso de CASACIÓN presentado.</w:t>
            </w:r>
          </w:p>
          <w:p w:rsidR="002B3C53" w:rsidRPr="00E935AF" w:rsidRDefault="002B3C53" w:rsidP="007D3896">
            <w:pPr>
              <w:widowControl w:val="0"/>
              <w:spacing w:line="240" w:lineRule="auto"/>
              <w:cnfStyle w:val="000000000000" w:firstRow="0" w:lastRow="0" w:firstColumn="0" w:lastColumn="0" w:oddVBand="0" w:evenVBand="0" w:oddHBand="0" w:evenHBand="0" w:firstRowFirstColumn="0" w:firstRowLastColumn="0" w:lastRowFirstColumn="0" w:lastRowLastColumn="0"/>
              <w:rPr>
                <w:rFonts w:eastAsia="Calibri" w:cstheme="minorHAnsi"/>
                <w:b/>
                <w:sz w:val="20"/>
                <w:szCs w:val="20"/>
              </w:rPr>
            </w:pPr>
          </w:p>
          <w:p w:rsidR="002B3C53" w:rsidRPr="00E935AF" w:rsidRDefault="6B89B391" w:rsidP="007D3896">
            <w:pPr>
              <w:widowControl w:val="0"/>
              <w:spacing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lang w:val="es-ES"/>
              </w:rPr>
            </w:pPr>
            <w:r w:rsidRPr="00E935AF">
              <w:rPr>
                <w:rFonts w:eastAsia="Calibri" w:cstheme="minorHAnsi"/>
                <w:sz w:val="20"/>
                <w:szCs w:val="20"/>
                <w:lang w:val="es-ES"/>
              </w:rPr>
              <w:t>Mediante sentencia N° 6-2023 se declara parcialmente con</w:t>
            </w:r>
          </w:p>
          <w:p w:rsidR="002B3C53" w:rsidRPr="00E935AF" w:rsidRDefault="6B89B391" w:rsidP="007D3896">
            <w:pPr>
              <w:widowControl w:val="0"/>
              <w:spacing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lang w:val="es-ES"/>
              </w:rPr>
            </w:pPr>
            <w:r w:rsidRPr="00E935AF">
              <w:rPr>
                <w:rFonts w:eastAsia="Calibri" w:cstheme="minorHAnsi"/>
                <w:sz w:val="20"/>
                <w:szCs w:val="20"/>
                <w:lang w:val="es-ES"/>
              </w:rPr>
              <w:t>lugar la demanda de Alexander Morales Hidalgo contra el Banco Central de Costa Rica.</w:t>
            </w:r>
          </w:p>
          <w:p w:rsidR="002B3C53" w:rsidRPr="00E935AF" w:rsidRDefault="002B3C53" w:rsidP="007D3896">
            <w:pPr>
              <w:widowControl w:val="0"/>
              <w:spacing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lang w:val="es-ES"/>
              </w:rPr>
            </w:pPr>
          </w:p>
          <w:p w:rsidR="002B3C53" w:rsidRPr="00E935AF" w:rsidRDefault="6B89B391" w:rsidP="007D3896">
            <w:pPr>
              <w:widowControl w:val="0"/>
              <w:spacing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lang w:val="es-ES"/>
              </w:rPr>
            </w:pPr>
            <w:r w:rsidRPr="00E935AF">
              <w:rPr>
                <w:rFonts w:eastAsia="Calibri" w:cstheme="minorHAnsi"/>
                <w:sz w:val="20"/>
                <w:szCs w:val="20"/>
                <w:lang w:val="es-ES"/>
              </w:rPr>
              <w:t>Contra la resolución indicada se presentó Recurso de Casación.</w:t>
            </w:r>
          </w:p>
          <w:p w:rsidR="002B3C53" w:rsidRPr="00E935AF" w:rsidRDefault="002B3C53" w:rsidP="007D3896">
            <w:pPr>
              <w:widowControl w:val="0"/>
              <w:spacing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lang w:val="es-ES"/>
              </w:rPr>
            </w:pPr>
          </w:p>
          <w:p w:rsidR="002B3C53" w:rsidRPr="00E935AF" w:rsidRDefault="002B3C53" w:rsidP="007D3896">
            <w:pPr>
              <w:widowControl w:val="0"/>
              <w:spacing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lang w:val="es-ES"/>
              </w:rPr>
            </w:pPr>
          </w:p>
        </w:tc>
        <w:tc>
          <w:tcPr>
            <w:tcW w:w="1714" w:type="dxa"/>
            <w:hideMark/>
          </w:tcPr>
          <w:p w:rsidR="002B3C53" w:rsidRPr="00E935AF" w:rsidRDefault="6B89B391" w:rsidP="007D3896">
            <w:pPr>
              <w:widowControl w:val="0"/>
              <w:spacing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lang w:val="es-ES" w:eastAsia="es-ES"/>
              </w:rPr>
            </w:pPr>
            <w:r w:rsidRPr="00E935AF">
              <w:rPr>
                <w:rFonts w:eastAsia="Calibri" w:cstheme="minorHAnsi"/>
                <w:sz w:val="20"/>
                <w:szCs w:val="20"/>
                <w:lang w:val="es-ES"/>
              </w:rPr>
              <w:t>Tomando en cuenta que el señor Alexander Morales Hidalgo, devengaba un salario de aproximadamente ¢1.418.000, podría representar alrededor de ¢25.000.000, más intereses.</w:t>
            </w:r>
          </w:p>
        </w:tc>
      </w:tr>
      <w:tr w:rsidR="002B3C53" w:rsidRPr="00FD78DA" w:rsidTr="00E93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rsidR="002B3C53" w:rsidRPr="00E935AF" w:rsidRDefault="6B89B391" w:rsidP="007D3896">
            <w:pPr>
              <w:widowControl w:val="0"/>
              <w:spacing w:line="240" w:lineRule="auto"/>
              <w:jc w:val="center"/>
              <w:rPr>
                <w:rFonts w:eastAsia="Calibri" w:cstheme="minorHAnsi"/>
                <w:b w:val="0"/>
                <w:color w:val="000000" w:themeColor="text1"/>
                <w:sz w:val="20"/>
                <w:szCs w:val="20"/>
                <w:lang w:val="es-ES"/>
              </w:rPr>
            </w:pPr>
            <w:r w:rsidRPr="00E935AF">
              <w:rPr>
                <w:rFonts w:eastAsia="Calibri" w:cstheme="minorHAnsi"/>
                <w:color w:val="000000" w:themeColor="text1"/>
                <w:sz w:val="20"/>
                <w:szCs w:val="20"/>
                <w:lang w:val="es-ES"/>
              </w:rPr>
              <w:t>19-005574-1027-CA</w:t>
            </w:r>
          </w:p>
          <w:p w:rsidR="002B3C53" w:rsidRPr="00E935AF" w:rsidRDefault="002B3C53" w:rsidP="007D3896">
            <w:pPr>
              <w:widowControl w:val="0"/>
              <w:spacing w:line="240" w:lineRule="auto"/>
              <w:rPr>
                <w:rFonts w:eastAsia="Calibri" w:cstheme="minorHAnsi"/>
                <w:b w:val="0"/>
                <w:sz w:val="20"/>
                <w:szCs w:val="20"/>
                <w:lang w:val="es-ES"/>
              </w:rPr>
            </w:pPr>
          </w:p>
        </w:tc>
        <w:tc>
          <w:tcPr>
            <w:tcW w:w="2977" w:type="dxa"/>
          </w:tcPr>
          <w:p w:rsidR="002B3C53" w:rsidRPr="00E935AF" w:rsidRDefault="6B89B391" w:rsidP="007D3896">
            <w:pPr>
              <w:widowControl w:val="0"/>
              <w:spacing w:line="240" w:lineRule="auto"/>
              <w:cnfStyle w:val="000000100000" w:firstRow="0" w:lastRow="0" w:firstColumn="0" w:lastColumn="0" w:oddVBand="0" w:evenVBand="0" w:oddHBand="1" w:evenHBand="0" w:firstRowFirstColumn="0" w:firstRowLastColumn="0" w:lastRowFirstColumn="0" w:lastRowLastColumn="0"/>
              <w:rPr>
                <w:rFonts w:eastAsia="Calibri" w:cstheme="minorHAnsi"/>
                <w:b/>
                <w:color w:val="000000" w:themeColor="text1"/>
                <w:sz w:val="20"/>
                <w:szCs w:val="20"/>
                <w:lang w:val="es-ES"/>
              </w:rPr>
            </w:pPr>
            <w:r w:rsidRPr="00E935AF">
              <w:rPr>
                <w:rFonts w:eastAsia="Calibri" w:cstheme="minorHAnsi"/>
                <w:b/>
                <w:color w:val="000000" w:themeColor="text1"/>
                <w:sz w:val="20"/>
                <w:szCs w:val="20"/>
                <w:lang w:val="es-ES"/>
              </w:rPr>
              <w:t xml:space="preserve">Partes: </w:t>
            </w:r>
            <w:r w:rsidRPr="00E935AF">
              <w:rPr>
                <w:rFonts w:eastAsia="Calibri" w:cstheme="minorHAnsi"/>
                <w:color w:val="000000" w:themeColor="text1"/>
                <w:sz w:val="20"/>
                <w:szCs w:val="20"/>
                <w:lang w:val="es-ES"/>
              </w:rPr>
              <w:t>INS v</w:t>
            </w:r>
            <w:r w:rsidR="00FD78DA" w:rsidRPr="00E935AF">
              <w:rPr>
                <w:rFonts w:eastAsia="Calibri" w:cstheme="minorHAnsi"/>
                <w:color w:val="000000" w:themeColor="text1"/>
                <w:sz w:val="20"/>
                <w:szCs w:val="20"/>
                <w:lang w:val="es-ES"/>
              </w:rPr>
              <w:t>ersu</w:t>
            </w:r>
            <w:r w:rsidRPr="00E935AF">
              <w:rPr>
                <w:rFonts w:eastAsia="Calibri" w:cstheme="minorHAnsi"/>
                <w:color w:val="000000" w:themeColor="text1"/>
                <w:sz w:val="20"/>
                <w:szCs w:val="20"/>
                <w:lang w:val="es-ES"/>
              </w:rPr>
              <w:t>s BCCR y SUGESE.</w:t>
            </w:r>
          </w:p>
          <w:p w:rsidR="002B3C53" w:rsidRPr="00E935AF" w:rsidRDefault="002B3C53" w:rsidP="007D3896">
            <w:pPr>
              <w:widowControl w:val="0"/>
              <w:spacing w:line="240" w:lineRule="auto"/>
              <w:cnfStyle w:val="000000100000" w:firstRow="0" w:lastRow="0" w:firstColumn="0" w:lastColumn="0" w:oddVBand="0" w:evenVBand="0" w:oddHBand="1" w:evenHBand="0" w:firstRowFirstColumn="0" w:firstRowLastColumn="0" w:lastRowFirstColumn="0" w:lastRowLastColumn="0"/>
              <w:rPr>
                <w:rFonts w:eastAsia="Calibri" w:cstheme="minorHAnsi"/>
                <w:color w:val="000000"/>
                <w:sz w:val="20"/>
                <w:szCs w:val="20"/>
                <w:lang w:val="es-ES"/>
              </w:rPr>
            </w:pPr>
          </w:p>
          <w:p w:rsidR="002B3C53" w:rsidRPr="00E935AF" w:rsidRDefault="6B89B391" w:rsidP="007D3896">
            <w:pPr>
              <w:widowControl w:val="0"/>
              <w:spacing w:line="240" w:lineRule="auto"/>
              <w:cnfStyle w:val="000000100000" w:firstRow="0" w:lastRow="0" w:firstColumn="0" w:lastColumn="0" w:oddVBand="0" w:evenVBand="0" w:oddHBand="1" w:evenHBand="0" w:firstRowFirstColumn="0" w:firstRowLastColumn="0" w:lastRowFirstColumn="0" w:lastRowLastColumn="0"/>
              <w:rPr>
                <w:rFonts w:eastAsia="Calibri" w:cstheme="minorHAnsi"/>
                <w:b/>
                <w:color w:val="000000" w:themeColor="text1"/>
                <w:sz w:val="20"/>
                <w:szCs w:val="20"/>
                <w:lang w:val="es-ES"/>
              </w:rPr>
            </w:pPr>
            <w:r w:rsidRPr="00E935AF">
              <w:rPr>
                <w:rFonts w:eastAsia="Calibri" w:cstheme="minorHAnsi"/>
                <w:color w:val="000000" w:themeColor="text1"/>
                <w:sz w:val="20"/>
                <w:szCs w:val="20"/>
                <w:lang w:val="es-ES"/>
              </w:rPr>
              <w:t>Proceso de puro derecho, en que se solicita se declare que la reserva relacionada con el 10% de utilidades, tiene origen legal. Además, que la reserva se puede alimentar con los intereses que genere, reserva.</w:t>
            </w:r>
          </w:p>
        </w:tc>
        <w:tc>
          <w:tcPr>
            <w:tcW w:w="2606" w:type="dxa"/>
            <w:hideMark/>
          </w:tcPr>
          <w:p w:rsidR="002B3C53" w:rsidRPr="00E935AF" w:rsidRDefault="6B89B391" w:rsidP="007D3896">
            <w:pPr>
              <w:widowControl w:val="0"/>
              <w:spacing w:line="240" w:lineRule="auto"/>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sz w:val="20"/>
                <w:szCs w:val="20"/>
                <w:lang w:val="es-ES"/>
              </w:rPr>
            </w:pPr>
            <w:r w:rsidRPr="00E935AF">
              <w:rPr>
                <w:rFonts w:eastAsia="Calibri" w:cstheme="minorHAnsi"/>
                <w:color w:val="000000" w:themeColor="text1"/>
                <w:sz w:val="20"/>
                <w:szCs w:val="20"/>
                <w:lang w:val="es-ES"/>
              </w:rPr>
              <w:t>Audiencia preliminar suspendida desde fecha 08 de febrero 2023.</w:t>
            </w:r>
          </w:p>
        </w:tc>
        <w:tc>
          <w:tcPr>
            <w:tcW w:w="1714" w:type="dxa"/>
          </w:tcPr>
          <w:p w:rsidR="002B3C53" w:rsidRPr="00E935AF" w:rsidRDefault="6B89B391" w:rsidP="007D3896">
            <w:pPr>
              <w:widowControl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lang w:val="es-ES"/>
              </w:rPr>
            </w:pPr>
            <w:r w:rsidRPr="00E935AF">
              <w:rPr>
                <w:rFonts w:eastAsia="Calibri" w:cstheme="minorHAnsi"/>
                <w:sz w:val="20"/>
                <w:szCs w:val="20"/>
                <w:lang w:val="es-ES"/>
              </w:rPr>
              <w:t>Inestimable</w:t>
            </w:r>
          </w:p>
          <w:p w:rsidR="002B3C53" w:rsidRPr="00E935AF" w:rsidRDefault="002B3C53" w:rsidP="007D3896">
            <w:pPr>
              <w:widowControl w:val="0"/>
              <w:spacing w:line="240" w:lineRule="auto"/>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lang w:val="es-ES"/>
              </w:rPr>
            </w:pPr>
          </w:p>
        </w:tc>
      </w:tr>
      <w:tr w:rsidR="002B3C53" w:rsidRPr="00FD78DA" w:rsidTr="00E937B7">
        <w:tc>
          <w:tcPr>
            <w:cnfStyle w:val="001000000000" w:firstRow="0" w:lastRow="0" w:firstColumn="1" w:lastColumn="0" w:oddVBand="0" w:evenVBand="0" w:oddHBand="0" w:evenHBand="0" w:firstRowFirstColumn="0" w:firstRowLastColumn="0" w:lastRowFirstColumn="0" w:lastRowLastColumn="0"/>
            <w:tcW w:w="2400" w:type="dxa"/>
            <w:hideMark/>
          </w:tcPr>
          <w:p w:rsidR="002B3C53" w:rsidRPr="00E935AF" w:rsidRDefault="6B89B391" w:rsidP="007D3896">
            <w:pPr>
              <w:widowControl w:val="0"/>
              <w:spacing w:line="240" w:lineRule="auto"/>
              <w:jc w:val="center"/>
              <w:rPr>
                <w:rFonts w:eastAsia="Calibri" w:cstheme="minorHAnsi"/>
                <w:b w:val="0"/>
                <w:sz w:val="20"/>
                <w:szCs w:val="20"/>
                <w:lang w:val="es-ES"/>
              </w:rPr>
            </w:pPr>
            <w:r w:rsidRPr="00E935AF">
              <w:rPr>
                <w:rFonts w:eastAsia="Calibri" w:cstheme="minorHAnsi"/>
                <w:color w:val="000000" w:themeColor="text1"/>
                <w:sz w:val="20"/>
                <w:szCs w:val="20"/>
                <w:lang w:val="es-ES"/>
              </w:rPr>
              <w:t>21-004822-1027-CA</w:t>
            </w:r>
          </w:p>
        </w:tc>
        <w:tc>
          <w:tcPr>
            <w:tcW w:w="2977" w:type="dxa"/>
          </w:tcPr>
          <w:p w:rsidR="002B3C53" w:rsidRPr="00E935AF" w:rsidRDefault="6B89B391" w:rsidP="007D3896">
            <w:pPr>
              <w:widowControl w:val="0"/>
              <w:spacing w:line="240" w:lineRule="auto"/>
              <w:cnfStyle w:val="000000000000" w:firstRow="0" w:lastRow="0" w:firstColumn="0" w:lastColumn="0" w:oddVBand="0" w:evenVBand="0" w:oddHBand="0" w:evenHBand="0" w:firstRowFirstColumn="0" w:firstRowLastColumn="0" w:lastRowFirstColumn="0" w:lastRowLastColumn="0"/>
              <w:rPr>
                <w:rFonts w:eastAsia="Calibri" w:cstheme="minorHAnsi"/>
                <w:b/>
                <w:color w:val="000000" w:themeColor="text1"/>
                <w:sz w:val="20"/>
                <w:szCs w:val="20"/>
                <w:lang w:val="es-ES"/>
              </w:rPr>
            </w:pPr>
            <w:r w:rsidRPr="00E935AF">
              <w:rPr>
                <w:rFonts w:eastAsia="Calibri" w:cstheme="minorHAnsi"/>
                <w:b/>
                <w:sz w:val="20"/>
                <w:szCs w:val="20"/>
                <w:lang w:val="es-ES"/>
              </w:rPr>
              <w:t>Partes:</w:t>
            </w:r>
            <w:r w:rsidRPr="00E935AF">
              <w:rPr>
                <w:rFonts w:eastAsia="Calibri" w:cstheme="minorHAnsi"/>
                <w:sz w:val="20"/>
                <w:szCs w:val="20"/>
                <w:lang w:val="es-ES"/>
              </w:rPr>
              <w:t xml:space="preserve"> </w:t>
            </w:r>
            <w:r w:rsidRPr="00E935AF">
              <w:rPr>
                <w:rFonts w:eastAsia="Calibri" w:cstheme="minorHAnsi"/>
                <w:sz w:val="20"/>
                <w:szCs w:val="20"/>
              </w:rPr>
              <w:t>Emma Cecilia Calderón Montiel v</w:t>
            </w:r>
            <w:r w:rsidR="00FD78DA" w:rsidRPr="00E935AF">
              <w:rPr>
                <w:rFonts w:eastAsia="Calibri" w:cstheme="minorHAnsi"/>
                <w:sz w:val="20"/>
                <w:szCs w:val="20"/>
              </w:rPr>
              <w:t>ersu</w:t>
            </w:r>
            <w:r w:rsidRPr="00E935AF">
              <w:rPr>
                <w:rFonts w:eastAsia="Calibri" w:cstheme="minorHAnsi"/>
                <w:sz w:val="20"/>
                <w:szCs w:val="20"/>
              </w:rPr>
              <w:t>s CETAC y SUGESE.</w:t>
            </w:r>
          </w:p>
          <w:p w:rsidR="002B3C53" w:rsidRPr="00E935AF" w:rsidRDefault="002B3C53" w:rsidP="007D3896">
            <w:pPr>
              <w:widowControl w:val="0"/>
              <w:spacing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lang w:val="es-ES"/>
              </w:rPr>
            </w:pPr>
          </w:p>
          <w:p w:rsidR="002B3C53" w:rsidRPr="00E935AF" w:rsidRDefault="6B89B391" w:rsidP="007D3896">
            <w:pPr>
              <w:widowControl w:val="0"/>
              <w:spacing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lang w:val="es-ES"/>
              </w:rPr>
            </w:pPr>
            <w:r w:rsidRPr="00E935AF">
              <w:rPr>
                <w:rFonts w:eastAsia="Calibri" w:cstheme="minorHAnsi"/>
                <w:sz w:val="20"/>
                <w:szCs w:val="20"/>
                <w:lang w:val="es-ES"/>
              </w:rPr>
              <w:t>Proceso de Conocimiento.</w:t>
            </w:r>
          </w:p>
          <w:p w:rsidR="002B3C53" w:rsidRPr="00E935AF" w:rsidRDefault="6B89B391" w:rsidP="007D3896">
            <w:pPr>
              <w:widowControl w:val="0"/>
              <w:spacing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lang w:val="es-ES"/>
              </w:rPr>
            </w:pPr>
            <w:r w:rsidRPr="00E935AF">
              <w:rPr>
                <w:rFonts w:eastAsia="Calibri" w:cstheme="minorHAnsi"/>
                <w:sz w:val="20"/>
                <w:szCs w:val="20"/>
                <w:lang w:val="es-ES"/>
              </w:rPr>
              <w:t>La demandante pretende el pago de daños morales por la muerte de su hija a raíz de un accidente aéreo.</w:t>
            </w:r>
          </w:p>
          <w:p w:rsidR="002B3C53" w:rsidRPr="00E935AF" w:rsidRDefault="002B3C53" w:rsidP="007D3896">
            <w:pPr>
              <w:widowControl w:val="0"/>
              <w:spacing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lang w:val="es-ES"/>
              </w:rPr>
            </w:pPr>
          </w:p>
          <w:p w:rsidR="002B3C53" w:rsidRPr="00E935AF" w:rsidRDefault="6B89B391" w:rsidP="007D3896">
            <w:pPr>
              <w:widowControl w:val="0"/>
              <w:spacing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lang w:val="es-ES"/>
              </w:rPr>
            </w:pPr>
            <w:r w:rsidRPr="00E935AF">
              <w:rPr>
                <w:rFonts w:eastAsia="Calibri" w:cstheme="minorHAnsi"/>
                <w:sz w:val="20"/>
                <w:szCs w:val="20"/>
                <w:lang w:val="es-ES"/>
              </w:rPr>
              <w:t>En relación son Sugese se le achaca una falta en su deber de fiscalizar que compañías extranjeras no comercialicen seguros en territorio nacional.</w:t>
            </w:r>
          </w:p>
        </w:tc>
        <w:tc>
          <w:tcPr>
            <w:tcW w:w="2606" w:type="dxa"/>
            <w:hideMark/>
          </w:tcPr>
          <w:p w:rsidR="002B3C53" w:rsidRPr="00E935AF" w:rsidRDefault="6B89B391" w:rsidP="007D3896">
            <w:pPr>
              <w:widowControl w:val="0"/>
              <w:spacing w:line="240"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 w:val="20"/>
                <w:szCs w:val="20"/>
                <w:lang w:val="es-ES"/>
              </w:rPr>
            </w:pPr>
            <w:r w:rsidRPr="00E935AF">
              <w:rPr>
                <w:rFonts w:eastAsia="Calibri" w:cstheme="minorHAnsi"/>
                <w:color w:val="000000" w:themeColor="text1"/>
                <w:sz w:val="20"/>
                <w:szCs w:val="20"/>
                <w:lang w:val="es-ES"/>
              </w:rPr>
              <w:t>Audiencia preliminar celebrada el día 09 de febrero de 2023. A la espera de fecha para audiencia de juicio.</w:t>
            </w:r>
          </w:p>
        </w:tc>
        <w:tc>
          <w:tcPr>
            <w:tcW w:w="1714" w:type="dxa"/>
          </w:tcPr>
          <w:p w:rsidR="002B3C53" w:rsidRPr="00E935AF" w:rsidRDefault="6B89B391" w:rsidP="007D3896">
            <w:pPr>
              <w:widowControl w:val="0"/>
              <w:spacing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E935AF">
              <w:rPr>
                <w:rFonts w:eastAsia="Calibri" w:cstheme="minorHAnsi"/>
                <w:sz w:val="20"/>
                <w:szCs w:val="20"/>
              </w:rPr>
              <w:t>La estimación de la demanda es de 300 millones de colones.</w:t>
            </w:r>
          </w:p>
          <w:p w:rsidR="002B3C53" w:rsidRPr="00E935AF" w:rsidRDefault="002B3C53" w:rsidP="007D3896">
            <w:pPr>
              <w:widowControl w:val="0"/>
              <w:spacing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
          <w:p w:rsidR="002B3C53" w:rsidRPr="00E935AF" w:rsidRDefault="6B89B391" w:rsidP="007D3896">
            <w:pPr>
              <w:widowControl w:val="0"/>
              <w:spacing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E935AF">
              <w:rPr>
                <w:rFonts w:eastAsia="Calibri" w:cstheme="minorHAnsi"/>
                <w:sz w:val="20"/>
                <w:szCs w:val="20"/>
              </w:rPr>
              <w:t>En relación con un posible costo directamente a Sugese, siendo que lo que se reclama es una supuesta omisión, resulta sumamente complejo estimar una posible pérdida. Esta se tendría que definir hasta la etapa de ejecución.</w:t>
            </w:r>
          </w:p>
        </w:tc>
      </w:tr>
    </w:tbl>
    <w:p w:rsidR="000656DF" w:rsidRPr="004B1036" w:rsidRDefault="000656DF" w:rsidP="008C7ADA">
      <w:pPr>
        <w:spacing w:line="240" w:lineRule="auto"/>
        <w:jc w:val="left"/>
        <w:rPr>
          <w:b/>
          <w:color w:val="1F497D"/>
          <w:szCs w:val="24"/>
        </w:rPr>
      </w:pPr>
    </w:p>
    <w:p w:rsidR="00944CC2" w:rsidRPr="00930B4D" w:rsidRDefault="0E324171" w:rsidP="0E324171">
      <w:pPr>
        <w:pStyle w:val="Ttulo2"/>
        <w:numPr>
          <w:ilvl w:val="0"/>
          <w:numId w:val="5"/>
        </w:numPr>
        <w:spacing w:before="0" w:line="240" w:lineRule="auto"/>
        <w:rPr>
          <w:rFonts w:asciiTheme="minorHAnsi" w:hAnsiTheme="minorHAnsi"/>
          <w:sz w:val="24"/>
          <w:szCs w:val="24"/>
        </w:rPr>
      </w:pPr>
      <w:bookmarkStart w:id="17" w:name="_Toc65452660"/>
      <w:r w:rsidRPr="00930B4D">
        <w:rPr>
          <w:rFonts w:asciiTheme="minorHAnsi" w:hAnsiTheme="minorHAnsi"/>
          <w:b/>
          <w:bCs/>
          <w:sz w:val="24"/>
          <w:szCs w:val="24"/>
        </w:rPr>
        <w:t>Viajes realizados por jerarcas institucionales y directores de departamentos</w:t>
      </w:r>
      <w:bookmarkEnd w:id="17"/>
    </w:p>
    <w:p w:rsidR="00944CC2" w:rsidRDefault="00944CC2" w:rsidP="008C7ADA">
      <w:pPr>
        <w:spacing w:line="240" w:lineRule="auto"/>
        <w:rPr>
          <w:szCs w:val="24"/>
          <w:highlight w:val="yellow"/>
        </w:rPr>
      </w:pPr>
    </w:p>
    <w:p w:rsidR="00A01C92" w:rsidRPr="00125D57" w:rsidRDefault="00A01C92" w:rsidP="00A01C92">
      <w:pPr>
        <w:spacing w:line="240" w:lineRule="auto"/>
        <w:rPr>
          <w:rFonts w:eastAsiaTheme="minorEastAsia"/>
          <w:lang w:eastAsia="es-CR"/>
        </w:rPr>
      </w:pPr>
      <w:r w:rsidRPr="6B89B391">
        <w:rPr>
          <w:rFonts w:eastAsiaTheme="minorEastAsia"/>
          <w:lang w:eastAsia="ja-JP"/>
        </w:rPr>
        <w:t>El</w:t>
      </w:r>
      <w:r w:rsidRPr="6B89B391">
        <w:rPr>
          <w:rFonts w:eastAsiaTheme="minorEastAsia"/>
          <w:lang w:eastAsia="es-CR"/>
        </w:rPr>
        <w:t xml:space="preserve"> cuadro 8 muestra el detalle de los viajes al exterior realizados por los puestos gerenciales de la Institución durante 2022.</w:t>
      </w:r>
    </w:p>
    <w:p w:rsidR="00A01C92" w:rsidRPr="00E935AF" w:rsidRDefault="00A01C92" w:rsidP="008C7ADA">
      <w:pPr>
        <w:spacing w:line="240" w:lineRule="auto"/>
        <w:rPr>
          <w:szCs w:val="24"/>
        </w:rPr>
      </w:pPr>
    </w:p>
    <w:p w:rsidR="00A01C92" w:rsidRPr="00125D57" w:rsidRDefault="00B264B6" w:rsidP="00A01C92">
      <w:pPr>
        <w:spacing w:line="240" w:lineRule="auto"/>
        <w:jc w:val="center"/>
        <w:rPr>
          <w:rFonts w:ascii="Century Gothic" w:hAnsi="Century Gothic" w:cs="Century Gothic"/>
          <w:sz w:val="20"/>
          <w:szCs w:val="20"/>
        </w:rPr>
      </w:pPr>
      <w:r w:rsidRPr="00E935AF">
        <w:rPr>
          <w:rFonts w:ascii="Century Gothic" w:hAnsi="Century Gothic"/>
          <w:b/>
          <w:color w:val="002060"/>
          <w:sz w:val="20"/>
          <w:szCs w:val="20"/>
        </w:rPr>
        <w:t xml:space="preserve">CUADRO </w:t>
      </w:r>
      <w:r w:rsidRPr="00E935AF">
        <w:fldChar w:fldCharType="begin"/>
      </w:r>
      <w:r w:rsidRPr="00E935AF">
        <w:rPr>
          <w:rFonts w:ascii="Century Gothic" w:hAnsi="Century Gothic"/>
          <w:b/>
          <w:color w:val="002060"/>
          <w:sz w:val="20"/>
          <w:szCs w:val="20"/>
        </w:rPr>
        <w:instrText xml:space="preserve"> AUTONUM  \s " " </w:instrText>
      </w:r>
      <w:r w:rsidRPr="00E935AF">
        <w:rPr>
          <w:rFonts w:ascii="Century Gothic" w:hAnsi="Century Gothic"/>
          <w:b/>
          <w:color w:val="002060"/>
          <w:sz w:val="20"/>
          <w:szCs w:val="20"/>
        </w:rPr>
        <w:fldChar w:fldCharType="end"/>
      </w:r>
      <w:r w:rsidR="00A01C92" w:rsidRPr="00125D57">
        <w:rPr>
          <w:rFonts w:ascii="Century Gothic" w:hAnsi="Century Gothic" w:cs="Century Gothic"/>
          <w:kern w:val="24"/>
          <w:sz w:val="20"/>
          <w:szCs w:val="20"/>
        </w:rPr>
        <w:t xml:space="preserve"> </w:t>
      </w:r>
    </w:p>
    <w:p w:rsidR="00A01C92" w:rsidRPr="00125D57" w:rsidRDefault="00A01C92" w:rsidP="00A01C92">
      <w:pPr>
        <w:spacing w:line="240" w:lineRule="auto"/>
        <w:jc w:val="center"/>
        <w:rPr>
          <w:rFonts w:ascii="Century Gothic" w:hAnsi="Century Gothic"/>
          <w:b/>
          <w:color w:val="002060"/>
          <w:sz w:val="20"/>
          <w:szCs w:val="20"/>
        </w:rPr>
      </w:pPr>
      <w:r w:rsidRPr="00125D57">
        <w:rPr>
          <w:rFonts w:ascii="Century Gothic" w:hAnsi="Century Gothic" w:cs="Century Gothic"/>
          <w:kern w:val="24"/>
          <w:sz w:val="20"/>
          <w:szCs w:val="20"/>
        </w:rPr>
        <w:t>Superintendencia General de Seguros</w:t>
      </w:r>
    </w:p>
    <w:p w:rsidR="00A01C92" w:rsidRPr="00125D57" w:rsidRDefault="00A01C92" w:rsidP="00A01C92">
      <w:pPr>
        <w:spacing w:line="240" w:lineRule="auto"/>
        <w:jc w:val="center"/>
        <w:rPr>
          <w:rFonts w:ascii="Century Gothic" w:hAnsi="Century Gothic"/>
          <w:b/>
          <w:color w:val="404040" w:themeColor="text1" w:themeTint="BF"/>
          <w:sz w:val="20"/>
          <w:szCs w:val="20"/>
        </w:rPr>
      </w:pPr>
      <w:r w:rsidRPr="00125D57">
        <w:rPr>
          <w:rFonts w:ascii="Century Gothic" w:hAnsi="Century Gothic"/>
          <w:b/>
          <w:color w:val="404040" w:themeColor="text1" w:themeTint="BF"/>
          <w:sz w:val="20"/>
          <w:szCs w:val="20"/>
        </w:rPr>
        <w:t>Viajes al Exterior de Puestos Gerenciales</w:t>
      </w:r>
    </w:p>
    <w:p w:rsidR="00A01C92" w:rsidRPr="00125D57" w:rsidRDefault="00A01C92" w:rsidP="00A01C92">
      <w:pPr>
        <w:spacing w:line="240" w:lineRule="auto"/>
        <w:jc w:val="center"/>
        <w:rPr>
          <w:rFonts w:ascii="Century Gothic" w:hAnsi="Century Gothic"/>
          <w:color w:val="404040" w:themeColor="text1" w:themeTint="BF"/>
          <w:sz w:val="18"/>
          <w:szCs w:val="18"/>
        </w:rPr>
      </w:pPr>
      <w:r w:rsidRPr="00125D57">
        <w:rPr>
          <w:rFonts w:ascii="Century Gothic" w:hAnsi="Century Gothic"/>
          <w:color w:val="404040" w:themeColor="text1" w:themeTint="BF"/>
          <w:sz w:val="18"/>
          <w:szCs w:val="18"/>
        </w:rPr>
        <w:t>Año 20</w:t>
      </w:r>
      <w:r w:rsidR="004502C9">
        <w:rPr>
          <w:rFonts w:ascii="Century Gothic" w:hAnsi="Century Gothic"/>
          <w:color w:val="404040" w:themeColor="text1" w:themeTint="BF"/>
          <w:sz w:val="18"/>
          <w:szCs w:val="18"/>
        </w:rPr>
        <w:t>22</w:t>
      </w:r>
    </w:p>
    <w:tbl>
      <w:tblPr>
        <w:tblW w:w="9027" w:type="dxa"/>
        <w:tblInd w:w="-10" w:type="dxa"/>
        <w:tblCellMar>
          <w:left w:w="70" w:type="dxa"/>
          <w:right w:w="70" w:type="dxa"/>
        </w:tblCellMar>
        <w:tblLook w:val="04A0" w:firstRow="1" w:lastRow="0" w:firstColumn="1" w:lastColumn="0" w:noHBand="0" w:noVBand="1"/>
      </w:tblPr>
      <w:tblGrid>
        <w:gridCol w:w="1900"/>
        <w:gridCol w:w="2200"/>
        <w:gridCol w:w="1287"/>
        <w:gridCol w:w="3640"/>
      </w:tblGrid>
      <w:tr w:rsidR="00A01C92" w:rsidRPr="00FB1F97" w:rsidTr="6B89B391">
        <w:trPr>
          <w:cantSplit/>
          <w:trHeight w:val="281"/>
          <w:tblHeader/>
        </w:trPr>
        <w:tc>
          <w:tcPr>
            <w:tcW w:w="1900" w:type="dxa"/>
            <w:tcBorders>
              <w:top w:val="single" w:sz="8" w:space="0" w:color="4F81BD" w:themeColor="accent1"/>
              <w:left w:val="single" w:sz="8" w:space="0" w:color="4F81BD" w:themeColor="accent1"/>
              <w:bottom w:val="single" w:sz="8" w:space="0" w:color="1F497D" w:themeColor="text2"/>
              <w:right w:val="nil"/>
            </w:tcBorders>
            <w:shd w:val="clear" w:color="auto" w:fill="365F91" w:themeFill="accent1" w:themeFillShade="BF"/>
            <w:vAlign w:val="center"/>
            <w:hideMark/>
          </w:tcPr>
          <w:p w:rsidR="00A01C92" w:rsidRPr="00FB1F97" w:rsidRDefault="00A01C92" w:rsidP="008F08FB">
            <w:pPr>
              <w:spacing w:line="240" w:lineRule="auto"/>
              <w:jc w:val="center"/>
              <w:rPr>
                <w:rFonts w:eastAsia="Times New Roman" w:cstheme="minorHAnsi"/>
                <w:b/>
                <w:color w:val="FFFFFF" w:themeColor="background1"/>
                <w:sz w:val="20"/>
                <w:szCs w:val="20"/>
                <w:lang w:eastAsia="es-CR"/>
              </w:rPr>
            </w:pPr>
            <w:r w:rsidRPr="00FB1F97">
              <w:rPr>
                <w:rFonts w:eastAsia="Times New Roman" w:cstheme="minorHAnsi"/>
                <w:b/>
                <w:color w:val="FFFFFF" w:themeColor="background1"/>
                <w:sz w:val="20"/>
                <w:szCs w:val="20"/>
                <w:lang w:eastAsia="es-CR"/>
              </w:rPr>
              <w:t>Nombre funcionario</w:t>
            </w:r>
          </w:p>
        </w:tc>
        <w:tc>
          <w:tcPr>
            <w:tcW w:w="2200" w:type="dxa"/>
            <w:tcBorders>
              <w:top w:val="single" w:sz="8" w:space="0" w:color="4F81BD" w:themeColor="accent1"/>
              <w:left w:val="nil"/>
              <w:bottom w:val="single" w:sz="8" w:space="0" w:color="1F497D" w:themeColor="text2"/>
              <w:right w:val="nil"/>
            </w:tcBorders>
            <w:shd w:val="clear" w:color="auto" w:fill="365F91" w:themeFill="accent1" w:themeFillShade="BF"/>
            <w:vAlign w:val="center"/>
            <w:hideMark/>
          </w:tcPr>
          <w:p w:rsidR="00A01C92" w:rsidRPr="00FB1F97" w:rsidRDefault="00A01C92" w:rsidP="008F08FB">
            <w:pPr>
              <w:spacing w:line="240" w:lineRule="auto"/>
              <w:jc w:val="center"/>
              <w:rPr>
                <w:rFonts w:eastAsia="Times New Roman" w:cstheme="minorHAnsi"/>
                <w:b/>
                <w:color w:val="FFFFFF" w:themeColor="background1"/>
                <w:sz w:val="20"/>
                <w:szCs w:val="20"/>
                <w:lang w:eastAsia="es-CR"/>
              </w:rPr>
            </w:pPr>
            <w:r w:rsidRPr="00FB1F97">
              <w:rPr>
                <w:rFonts w:eastAsia="Times New Roman" w:cstheme="minorHAnsi"/>
                <w:b/>
                <w:color w:val="FFFFFF" w:themeColor="background1"/>
                <w:sz w:val="20"/>
                <w:szCs w:val="20"/>
                <w:lang w:eastAsia="es-CR"/>
              </w:rPr>
              <w:t>Cargo</w:t>
            </w:r>
          </w:p>
        </w:tc>
        <w:tc>
          <w:tcPr>
            <w:tcW w:w="1287" w:type="dxa"/>
            <w:tcBorders>
              <w:top w:val="single" w:sz="8" w:space="0" w:color="4F81BD" w:themeColor="accent1"/>
              <w:left w:val="nil"/>
              <w:bottom w:val="single" w:sz="8" w:space="0" w:color="1F497D" w:themeColor="text2"/>
              <w:right w:val="nil"/>
            </w:tcBorders>
            <w:shd w:val="clear" w:color="auto" w:fill="365F91" w:themeFill="accent1" w:themeFillShade="BF"/>
            <w:vAlign w:val="center"/>
            <w:hideMark/>
          </w:tcPr>
          <w:p w:rsidR="00A01C92" w:rsidRPr="00FB1F97" w:rsidRDefault="00A01C92" w:rsidP="008F08FB">
            <w:pPr>
              <w:spacing w:line="240" w:lineRule="auto"/>
              <w:jc w:val="center"/>
              <w:rPr>
                <w:rFonts w:eastAsia="Times New Roman" w:cstheme="minorHAnsi"/>
                <w:b/>
                <w:color w:val="FFFFFF" w:themeColor="background1"/>
                <w:sz w:val="20"/>
                <w:szCs w:val="20"/>
                <w:lang w:eastAsia="es-CR"/>
              </w:rPr>
            </w:pPr>
            <w:r w:rsidRPr="00FB1F97">
              <w:rPr>
                <w:rFonts w:eastAsia="Times New Roman" w:cstheme="minorHAnsi"/>
                <w:b/>
                <w:color w:val="FFFFFF" w:themeColor="background1"/>
                <w:sz w:val="20"/>
                <w:szCs w:val="20"/>
                <w:lang w:eastAsia="es-CR"/>
              </w:rPr>
              <w:t>Destino</w:t>
            </w:r>
          </w:p>
        </w:tc>
        <w:tc>
          <w:tcPr>
            <w:tcW w:w="3640" w:type="dxa"/>
            <w:tcBorders>
              <w:top w:val="single" w:sz="8" w:space="0" w:color="4F81BD" w:themeColor="accent1"/>
              <w:left w:val="nil"/>
              <w:bottom w:val="single" w:sz="8" w:space="0" w:color="1F497D" w:themeColor="text2"/>
              <w:right w:val="single" w:sz="8" w:space="0" w:color="4F81BD" w:themeColor="accent1"/>
            </w:tcBorders>
            <w:shd w:val="clear" w:color="auto" w:fill="365F91" w:themeFill="accent1" w:themeFillShade="BF"/>
            <w:vAlign w:val="center"/>
            <w:hideMark/>
          </w:tcPr>
          <w:p w:rsidR="00A01C92" w:rsidRPr="00FB1F97" w:rsidRDefault="00A01C92" w:rsidP="008F08FB">
            <w:pPr>
              <w:spacing w:line="240" w:lineRule="auto"/>
              <w:jc w:val="center"/>
              <w:rPr>
                <w:rFonts w:eastAsia="Times New Roman" w:cstheme="minorHAnsi"/>
                <w:b/>
                <w:color w:val="FFFFFF" w:themeColor="background1"/>
                <w:sz w:val="20"/>
                <w:szCs w:val="20"/>
                <w:lang w:eastAsia="es-CR"/>
              </w:rPr>
            </w:pPr>
            <w:r w:rsidRPr="00FB1F97">
              <w:rPr>
                <w:rFonts w:eastAsia="Times New Roman" w:cstheme="minorHAnsi"/>
                <w:b/>
                <w:color w:val="FFFFFF" w:themeColor="background1"/>
                <w:sz w:val="20"/>
                <w:szCs w:val="20"/>
                <w:lang w:eastAsia="es-CR"/>
              </w:rPr>
              <w:t>Nombre capacitación</w:t>
            </w:r>
          </w:p>
        </w:tc>
      </w:tr>
      <w:tr w:rsidR="00A01C92" w:rsidRPr="00FB1F97" w:rsidTr="6B89B391">
        <w:trPr>
          <w:trHeight w:val="732"/>
        </w:trPr>
        <w:tc>
          <w:tcPr>
            <w:tcW w:w="1900" w:type="dxa"/>
            <w:tcBorders>
              <w:top w:val="single" w:sz="8" w:space="0" w:color="4F81BD" w:themeColor="accent1"/>
              <w:left w:val="single" w:sz="8" w:space="0" w:color="1F497D" w:themeColor="text2"/>
              <w:bottom w:val="single" w:sz="8" w:space="0" w:color="4F81BD" w:themeColor="accent1"/>
              <w:right w:val="nil"/>
            </w:tcBorders>
            <w:shd w:val="clear" w:color="auto" w:fill="auto"/>
            <w:vAlign w:val="center"/>
          </w:tcPr>
          <w:p w:rsidR="00A01C92" w:rsidRPr="00FB1F97" w:rsidRDefault="00C709B2" w:rsidP="008F08FB">
            <w:pPr>
              <w:spacing w:line="240" w:lineRule="auto"/>
              <w:jc w:val="center"/>
              <w:rPr>
                <w:rFonts w:eastAsia="Times New Roman" w:cstheme="minorHAnsi"/>
                <w:color w:val="000000"/>
                <w:sz w:val="20"/>
                <w:szCs w:val="20"/>
                <w:lang w:eastAsia="es-CR"/>
              </w:rPr>
            </w:pPr>
            <w:r w:rsidRPr="00FB1F97">
              <w:rPr>
                <w:rFonts w:eastAsia="Times New Roman" w:cs="Calibri"/>
                <w:color w:val="000000"/>
                <w:sz w:val="20"/>
                <w:szCs w:val="20"/>
                <w:lang w:eastAsia="es-CR"/>
              </w:rPr>
              <w:t>Tomás Soley Pérez</w:t>
            </w:r>
          </w:p>
        </w:tc>
        <w:tc>
          <w:tcPr>
            <w:tcW w:w="2200" w:type="dxa"/>
            <w:tcBorders>
              <w:top w:val="single" w:sz="8" w:space="0" w:color="4F81BD" w:themeColor="accent1"/>
              <w:left w:val="single" w:sz="8" w:space="0" w:color="4F81BD" w:themeColor="accent1"/>
              <w:bottom w:val="single" w:sz="8" w:space="0" w:color="4F81BD" w:themeColor="accent1"/>
              <w:right w:val="nil"/>
            </w:tcBorders>
            <w:shd w:val="clear" w:color="auto" w:fill="auto"/>
            <w:vAlign w:val="center"/>
          </w:tcPr>
          <w:p w:rsidR="00A01C92" w:rsidRPr="00FB1F97" w:rsidRDefault="00C709B2" w:rsidP="008F08FB">
            <w:pPr>
              <w:spacing w:line="240" w:lineRule="auto"/>
              <w:jc w:val="center"/>
              <w:rPr>
                <w:rFonts w:eastAsia="Times New Roman" w:cs="Calibri"/>
                <w:color w:val="000000"/>
                <w:sz w:val="20"/>
                <w:szCs w:val="20"/>
                <w:lang w:eastAsia="es-CR"/>
              </w:rPr>
            </w:pPr>
            <w:r w:rsidRPr="00FB1F97">
              <w:rPr>
                <w:rFonts w:eastAsia="Times New Roman" w:cs="Calibri"/>
                <w:color w:val="000000"/>
                <w:sz w:val="20"/>
                <w:szCs w:val="20"/>
                <w:lang w:eastAsia="es-CR"/>
              </w:rPr>
              <w:t>Superintendente</w:t>
            </w:r>
          </w:p>
        </w:tc>
        <w:tc>
          <w:tcPr>
            <w:tcW w:w="1287" w:type="dxa"/>
            <w:tcBorders>
              <w:top w:val="single" w:sz="8" w:space="0" w:color="4F81BD" w:themeColor="accent1"/>
              <w:left w:val="single" w:sz="8" w:space="0" w:color="4F81BD" w:themeColor="accent1"/>
              <w:bottom w:val="single" w:sz="8" w:space="0" w:color="4F81BD" w:themeColor="accent1"/>
              <w:right w:val="nil"/>
            </w:tcBorders>
            <w:shd w:val="clear" w:color="auto" w:fill="auto"/>
            <w:vAlign w:val="center"/>
          </w:tcPr>
          <w:p w:rsidR="00A01C92" w:rsidRPr="00FB1F97" w:rsidRDefault="004502C9" w:rsidP="008F08FB">
            <w:pPr>
              <w:spacing w:line="240" w:lineRule="auto"/>
              <w:jc w:val="center"/>
              <w:rPr>
                <w:rFonts w:eastAsia="Times New Roman" w:cstheme="minorHAnsi"/>
                <w:color w:val="000000"/>
                <w:sz w:val="20"/>
                <w:szCs w:val="20"/>
                <w:highlight w:val="yellow"/>
                <w:lang w:eastAsia="es-CR"/>
              </w:rPr>
            </w:pPr>
            <w:r w:rsidRPr="00FB1F97">
              <w:rPr>
                <w:rFonts w:eastAsia="Calibri" w:cstheme="minorHAnsi"/>
                <w:sz w:val="20"/>
                <w:szCs w:val="20"/>
              </w:rPr>
              <w:t>Suiza</w:t>
            </w:r>
          </w:p>
        </w:tc>
        <w:tc>
          <w:tcPr>
            <w:tcW w:w="3640" w:type="dxa"/>
            <w:tcBorders>
              <w:top w:val="single" w:sz="8" w:space="0" w:color="4F81BD" w:themeColor="accent1"/>
              <w:left w:val="single" w:sz="8" w:space="0" w:color="4F81BD" w:themeColor="accent1"/>
              <w:bottom w:val="single" w:sz="8" w:space="0" w:color="4F81BD" w:themeColor="accent1"/>
              <w:right w:val="single" w:sz="8" w:space="0" w:color="1F497D" w:themeColor="text2"/>
            </w:tcBorders>
            <w:shd w:val="clear" w:color="auto" w:fill="auto"/>
            <w:vAlign w:val="center"/>
          </w:tcPr>
          <w:p w:rsidR="00A01C92" w:rsidRPr="00FB1F97" w:rsidRDefault="004502C9" w:rsidP="008F08FB">
            <w:pPr>
              <w:spacing w:line="240" w:lineRule="auto"/>
              <w:rPr>
                <w:rFonts w:eastAsia="Times New Roman" w:cstheme="minorHAnsi"/>
                <w:color w:val="000000"/>
                <w:sz w:val="20"/>
                <w:szCs w:val="20"/>
                <w:highlight w:val="yellow"/>
                <w:lang w:eastAsia="es-CR"/>
              </w:rPr>
            </w:pPr>
            <w:r w:rsidRPr="00FB1F97">
              <w:rPr>
                <w:rFonts w:eastAsia="Calibri" w:cstheme="minorHAnsi"/>
                <w:sz w:val="20"/>
                <w:szCs w:val="20"/>
              </w:rPr>
              <w:t>Décimo Aniversario de la Iniciativa de Principios para Seguros Sostenibles del Programa de las Naciones Unidas para el Medio Ambiente</w:t>
            </w:r>
          </w:p>
        </w:tc>
      </w:tr>
      <w:tr w:rsidR="00C709B2" w:rsidRPr="00FB1F97" w:rsidTr="6B89B391">
        <w:trPr>
          <w:trHeight w:val="732"/>
        </w:trPr>
        <w:tc>
          <w:tcPr>
            <w:tcW w:w="1900" w:type="dxa"/>
            <w:tcBorders>
              <w:top w:val="single" w:sz="8" w:space="0" w:color="4F81BD" w:themeColor="accent1"/>
              <w:left w:val="single" w:sz="8" w:space="0" w:color="1F497D" w:themeColor="text2"/>
              <w:bottom w:val="single" w:sz="8" w:space="0" w:color="4F81BD" w:themeColor="accent1"/>
              <w:right w:val="nil"/>
            </w:tcBorders>
            <w:shd w:val="clear" w:color="auto" w:fill="auto"/>
            <w:vAlign w:val="center"/>
          </w:tcPr>
          <w:p w:rsidR="00C709B2" w:rsidRPr="00FB1F97" w:rsidRDefault="00E74B0D" w:rsidP="00C709B2">
            <w:pPr>
              <w:spacing w:line="240" w:lineRule="auto"/>
              <w:jc w:val="center"/>
              <w:rPr>
                <w:rFonts w:eastAsia="Times New Roman" w:cstheme="minorHAnsi"/>
                <w:color w:val="000000"/>
                <w:sz w:val="20"/>
                <w:szCs w:val="20"/>
                <w:lang w:eastAsia="es-CR"/>
              </w:rPr>
            </w:pPr>
            <w:r>
              <w:rPr>
                <w:rFonts w:eastAsia="Times New Roman" w:cstheme="minorHAnsi"/>
                <w:color w:val="000000"/>
                <w:sz w:val="20"/>
                <w:szCs w:val="20"/>
                <w:lang w:eastAsia="es-CR"/>
              </w:rPr>
              <w:t xml:space="preserve">Germán Rodríguez Aguilar </w:t>
            </w:r>
          </w:p>
        </w:tc>
        <w:tc>
          <w:tcPr>
            <w:tcW w:w="2200" w:type="dxa"/>
            <w:tcBorders>
              <w:top w:val="single" w:sz="8" w:space="0" w:color="4F81BD" w:themeColor="accent1"/>
              <w:left w:val="single" w:sz="8" w:space="0" w:color="4F81BD" w:themeColor="accent1"/>
              <w:bottom w:val="single" w:sz="8" w:space="0" w:color="4F81BD" w:themeColor="accent1"/>
              <w:right w:val="nil"/>
            </w:tcBorders>
            <w:shd w:val="clear" w:color="auto" w:fill="auto"/>
            <w:vAlign w:val="center"/>
          </w:tcPr>
          <w:p w:rsidR="00C709B2" w:rsidRPr="00FB1F97" w:rsidRDefault="002A2718" w:rsidP="00C709B2">
            <w:pPr>
              <w:spacing w:line="240" w:lineRule="auto"/>
              <w:jc w:val="center"/>
              <w:rPr>
                <w:rFonts w:eastAsia="Times New Roman" w:cs="Calibri"/>
                <w:color w:val="000000"/>
                <w:sz w:val="20"/>
                <w:szCs w:val="20"/>
                <w:lang w:eastAsia="es-CR"/>
              </w:rPr>
            </w:pPr>
            <w:r>
              <w:rPr>
                <w:rFonts w:eastAsia="Times New Roman" w:cs="Calibri"/>
                <w:color w:val="000000"/>
                <w:sz w:val="20"/>
                <w:szCs w:val="20"/>
                <w:lang w:eastAsia="es-CR"/>
              </w:rPr>
              <w:t>Director Asesoría Jurídica</w:t>
            </w:r>
          </w:p>
        </w:tc>
        <w:tc>
          <w:tcPr>
            <w:tcW w:w="1287" w:type="dxa"/>
            <w:tcBorders>
              <w:top w:val="single" w:sz="8" w:space="0" w:color="4F81BD" w:themeColor="accent1"/>
              <w:left w:val="single" w:sz="8" w:space="0" w:color="4F81BD" w:themeColor="accent1"/>
              <w:bottom w:val="single" w:sz="8" w:space="0" w:color="4F81BD" w:themeColor="accent1"/>
              <w:right w:val="nil"/>
            </w:tcBorders>
            <w:shd w:val="clear" w:color="auto" w:fill="auto"/>
            <w:vAlign w:val="center"/>
          </w:tcPr>
          <w:p w:rsidR="00C709B2" w:rsidRPr="00FB1F97" w:rsidRDefault="00C709B2" w:rsidP="00C709B2">
            <w:pPr>
              <w:spacing w:line="240" w:lineRule="auto"/>
              <w:jc w:val="center"/>
              <w:rPr>
                <w:rFonts w:eastAsia="Times New Roman" w:cstheme="minorHAnsi"/>
                <w:color w:val="000000"/>
                <w:sz w:val="20"/>
                <w:szCs w:val="20"/>
                <w:highlight w:val="yellow"/>
                <w:lang w:eastAsia="es-CR"/>
              </w:rPr>
            </w:pPr>
            <w:r w:rsidRPr="00FB1F97">
              <w:rPr>
                <w:rFonts w:eastAsia="Calibri" w:cstheme="minorHAnsi"/>
                <w:sz w:val="20"/>
                <w:szCs w:val="20"/>
              </w:rPr>
              <w:t>Frankfurt Alemania</w:t>
            </w:r>
          </w:p>
        </w:tc>
        <w:tc>
          <w:tcPr>
            <w:tcW w:w="3640" w:type="dxa"/>
            <w:tcBorders>
              <w:top w:val="single" w:sz="8" w:space="0" w:color="4F81BD" w:themeColor="accent1"/>
              <w:left w:val="single" w:sz="8" w:space="0" w:color="4F81BD" w:themeColor="accent1"/>
              <w:bottom w:val="single" w:sz="8" w:space="0" w:color="4F81BD" w:themeColor="accent1"/>
              <w:right w:val="single" w:sz="8" w:space="0" w:color="1F497D" w:themeColor="text2"/>
            </w:tcBorders>
            <w:shd w:val="clear" w:color="auto" w:fill="auto"/>
            <w:vAlign w:val="center"/>
          </w:tcPr>
          <w:p w:rsidR="00C709B2" w:rsidRPr="00FB1F97" w:rsidRDefault="00C709B2" w:rsidP="00C709B2">
            <w:pPr>
              <w:spacing w:line="240" w:lineRule="auto"/>
              <w:rPr>
                <w:rFonts w:eastAsia="Times New Roman" w:cstheme="minorHAnsi"/>
                <w:color w:val="000000"/>
                <w:sz w:val="20"/>
                <w:szCs w:val="20"/>
                <w:highlight w:val="yellow"/>
                <w:lang w:eastAsia="es-CR"/>
              </w:rPr>
            </w:pPr>
            <w:r w:rsidRPr="00FB1F97">
              <w:rPr>
                <w:rFonts w:eastAsia="Calibri" w:cstheme="minorHAnsi"/>
                <w:sz w:val="20"/>
                <w:szCs w:val="20"/>
              </w:rPr>
              <w:t>International iii-lab Conference</w:t>
            </w:r>
          </w:p>
        </w:tc>
      </w:tr>
      <w:tr w:rsidR="00C709B2" w:rsidRPr="00FB1F97" w:rsidTr="6B89B391">
        <w:trPr>
          <w:trHeight w:val="732"/>
        </w:trPr>
        <w:tc>
          <w:tcPr>
            <w:tcW w:w="1900" w:type="dxa"/>
            <w:tcBorders>
              <w:top w:val="single" w:sz="8" w:space="0" w:color="4F81BD" w:themeColor="accent1"/>
              <w:left w:val="single" w:sz="8" w:space="0" w:color="1F497D" w:themeColor="text2"/>
              <w:bottom w:val="single" w:sz="8" w:space="0" w:color="4F81BD" w:themeColor="accent1"/>
              <w:right w:val="nil"/>
            </w:tcBorders>
            <w:shd w:val="clear" w:color="auto" w:fill="auto"/>
            <w:vAlign w:val="center"/>
          </w:tcPr>
          <w:p w:rsidR="00C709B2" w:rsidRPr="00FB1F97" w:rsidRDefault="002A2718" w:rsidP="00C709B2">
            <w:pPr>
              <w:spacing w:line="240" w:lineRule="auto"/>
              <w:jc w:val="center"/>
              <w:rPr>
                <w:rFonts w:eastAsia="Times New Roman" w:cs="Calibri"/>
                <w:color w:val="000000"/>
                <w:sz w:val="20"/>
                <w:szCs w:val="20"/>
                <w:lang w:eastAsia="es-CR"/>
              </w:rPr>
            </w:pPr>
            <w:r w:rsidRPr="00FB1F97">
              <w:rPr>
                <w:rFonts w:eastAsia="Times New Roman" w:cs="Calibri"/>
                <w:color w:val="000000"/>
                <w:sz w:val="20"/>
                <w:szCs w:val="20"/>
                <w:lang w:eastAsia="es-CR"/>
              </w:rPr>
              <w:t>Tomás Soley Pérez</w:t>
            </w:r>
          </w:p>
          <w:p w:rsidR="00C709B2" w:rsidRPr="00FB1F97" w:rsidRDefault="00C709B2" w:rsidP="00C709B2">
            <w:pPr>
              <w:spacing w:line="240" w:lineRule="auto"/>
              <w:jc w:val="center"/>
              <w:rPr>
                <w:rFonts w:eastAsia="Times New Roman" w:cstheme="minorHAnsi"/>
                <w:color w:val="000000"/>
                <w:sz w:val="20"/>
                <w:szCs w:val="20"/>
                <w:lang w:eastAsia="es-CR"/>
              </w:rPr>
            </w:pPr>
          </w:p>
        </w:tc>
        <w:tc>
          <w:tcPr>
            <w:tcW w:w="2200" w:type="dxa"/>
            <w:tcBorders>
              <w:top w:val="single" w:sz="8" w:space="0" w:color="4F81BD" w:themeColor="accent1"/>
              <w:left w:val="single" w:sz="8" w:space="0" w:color="4F81BD" w:themeColor="accent1"/>
              <w:bottom w:val="single" w:sz="8" w:space="0" w:color="4F81BD" w:themeColor="accent1"/>
              <w:right w:val="nil"/>
            </w:tcBorders>
            <w:shd w:val="clear" w:color="auto" w:fill="auto"/>
            <w:vAlign w:val="center"/>
          </w:tcPr>
          <w:p w:rsidR="00C709B2" w:rsidRPr="00FB1F97" w:rsidRDefault="002A2718" w:rsidP="00C709B2">
            <w:pPr>
              <w:spacing w:line="240" w:lineRule="auto"/>
              <w:jc w:val="center"/>
              <w:rPr>
                <w:rFonts w:eastAsia="Times New Roman" w:cs="Calibri"/>
                <w:color w:val="000000"/>
                <w:sz w:val="20"/>
                <w:szCs w:val="20"/>
                <w:lang w:eastAsia="es-CR"/>
              </w:rPr>
            </w:pPr>
            <w:r w:rsidRPr="00FB1F97">
              <w:rPr>
                <w:rFonts w:eastAsia="Times New Roman" w:cs="Calibri"/>
                <w:color w:val="000000"/>
                <w:sz w:val="20"/>
                <w:szCs w:val="20"/>
                <w:lang w:eastAsia="es-CR"/>
              </w:rPr>
              <w:t>Superintendente</w:t>
            </w:r>
          </w:p>
        </w:tc>
        <w:tc>
          <w:tcPr>
            <w:tcW w:w="1287" w:type="dxa"/>
            <w:tcBorders>
              <w:top w:val="single" w:sz="8" w:space="0" w:color="4F81BD" w:themeColor="accent1"/>
              <w:left w:val="single" w:sz="8" w:space="0" w:color="4F81BD" w:themeColor="accent1"/>
              <w:bottom w:val="single" w:sz="8" w:space="0" w:color="4F81BD" w:themeColor="accent1"/>
              <w:right w:val="nil"/>
            </w:tcBorders>
            <w:shd w:val="clear" w:color="auto" w:fill="auto"/>
            <w:vAlign w:val="center"/>
          </w:tcPr>
          <w:p w:rsidR="00C709B2" w:rsidRPr="00FB1F97" w:rsidRDefault="00C709B2" w:rsidP="00C709B2">
            <w:pPr>
              <w:spacing w:line="240" w:lineRule="auto"/>
              <w:jc w:val="center"/>
              <w:rPr>
                <w:rFonts w:eastAsia="Times New Roman" w:cstheme="minorHAnsi"/>
                <w:color w:val="000000"/>
                <w:sz w:val="20"/>
                <w:szCs w:val="20"/>
                <w:highlight w:val="yellow"/>
                <w:lang w:eastAsia="es-CR"/>
              </w:rPr>
            </w:pPr>
            <w:r w:rsidRPr="00FB1F97">
              <w:rPr>
                <w:rFonts w:eastAsia="Calibri" w:cstheme="minorHAnsi"/>
                <w:sz w:val="20"/>
                <w:szCs w:val="20"/>
              </w:rPr>
              <w:t>Santiago, Chile</w:t>
            </w:r>
          </w:p>
        </w:tc>
        <w:tc>
          <w:tcPr>
            <w:tcW w:w="3640" w:type="dxa"/>
            <w:tcBorders>
              <w:top w:val="single" w:sz="8" w:space="0" w:color="4F81BD" w:themeColor="accent1"/>
              <w:left w:val="single" w:sz="8" w:space="0" w:color="4F81BD" w:themeColor="accent1"/>
              <w:bottom w:val="single" w:sz="8" w:space="0" w:color="4F81BD" w:themeColor="accent1"/>
              <w:right w:val="single" w:sz="8" w:space="0" w:color="1F497D" w:themeColor="text2"/>
            </w:tcBorders>
            <w:shd w:val="clear" w:color="auto" w:fill="auto"/>
            <w:vAlign w:val="center"/>
          </w:tcPr>
          <w:p w:rsidR="00C709B2" w:rsidRPr="00FB1F97" w:rsidRDefault="00C709B2" w:rsidP="00C709B2">
            <w:pPr>
              <w:spacing w:line="240" w:lineRule="auto"/>
              <w:rPr>
                <w:rFonts w:eastAsia="Times New Roman" w:cstheme="minorHAnsi"/>
                <w:color w:val="000000"/>
                <w:sz w:val="20"/>
                <w:szCs w:val="20"/>
                <w:highlight w:val="yellow"/>
                <w:lang w:eastAsia="es-CR"/>
              </w:rPr>
            </w:pPr>
            <w:r w:rsidRPr="00FB1F97">
              <w:rPr>
                <w:rFonts w:eastAsia="Calibri" w:cstheme="minorHAnsi"/>
                <w:sz w:val="20"/>
                <w:szCs w:val="20"/>
              </w:rPr>
              <w:t>Conferencia Anual de 2022 IAIS</w:t>
            </w:r>
          </w:p>
        </w:tc>
      </w:tr>
      <w:tr w:rsidR="00C709B2" w:rsidRPr="00FB1F97" w:rsidTr="6B89B391">
        <w:trPr>
          <w:trHeight w:val="732"/>
        </w:trPr>
        <w:tc>
          <w:tcPr>
            <w:tcW w:w="1900" w:type="dxa"/>
            <w:tcBorders>
              <w:top w:val="single" w:sz="8" w:space="0" w:color="4F81BD" w:themeColor="accent1"/>
              <w:left w:val="single" w:sz="8" w:space="0" w:color="1F497D" w:themeColor="text2"/>
              <w:bottom w:val="single" w:sz="8" w:space="0" w:color="4F81BD" w:themeColor="accent1"/>
              <w:right w:val="nil"/>
            </w:tcBorders>
            <w:shd w:val="clear" w:color="auto" w:fill="auto"/>
            <w:vAlign w:val="center"/>
          </w:tcPr>
          <w:p w:rsidR="00C709B2" w:rsidRPr="00FB1F97" w:rsidRDefault="00C709B2" w:rsidP="00C709B2">
            <w:pPr>
              <w:spacing w:line="240" w:lineRule="auto"/>
              <w:jc w:val="center"/>
              <w:rPr>
                <w:rFonts w:ascii="Calibri" w:eastAsia="Calibri" w:hAnsi="Calibri" w:cs="Calibri"/>
                <w:sz w:val="20"/>
                <w:szCs w:val="20"/>
              </w:rPr>
            </w:pPr>
            <w:r w:rsidRPr="00FB1F97">
              <w:rPr>
                <w:rFonts w:eastAsia="Times New Roman" w:cs="Calibri"/>
                <w:color w:val="000000"/>
                <w:sz w:val="20"/>
                <w:szCs w:val="20"/>
                <w:lang w:eastAsia="es-CR"/>
              </w:rPr>
              <w:t>Tomás Soley Pérez</w:t>
            </w:r>
          </w:p>
        </w:tc>
        <w:tc>
          <w:tcPr>
            <w:tcW w:w="2200" w:type="dxa"/>
            <w:tcBorders>
              <w:top w:val="single" w:sz="8" w:space="0" w:color="4F81BD" w:themeColor="accent1"/>
              <w:left w:val="single" w:sz="8" w:space="0" w:color="4F81BD" w:themeColor="accent1"/>
              <w:bottom w:val="single" w:sz="8" w:space="0" w:color="4F81BD" w:themeColor="accent1"/>
              <w:right w:val="nil"/>
            </w:tcBorders>
            <w:shd w:val="clear" w:color="auto" w:fill="auto"/>
            <w:vAlign w:val="center"/>
          </w:tcPr>
          <w:p w:rsidR="00C709B2" w:rsidRPr="00FB1F97" w:rsidRDefault="00C709B2" w:rsidP="00C709B2">
            <w:pPr>
              <w:spacing w:line="240" w:lineRule="auto"/>
              <w:jc w:val="center"/>
              <w:rPr>
                <w:rFonts w:eastAsia="Times New Roman" w:cs="Calibri"/>
                <w:color w:val="000000"/>
                <w:sz w:val="20"/>
                <w:szCs w:val="20"/>
                <w:lang w:eastAsia="es-CR"/>
              </w:rPr>
            </w:pPr>
            <w:r w:rsidRPr="00FB1F97">
              <w:rPr>
                <w:rFonts w:eastAsia="Times New Roman" w:cs="Calibri"/>
                <w:color w:val="000000"/>
                <w:sz w:val="20"/>
                <w:szCs w:val="20"/>
                <w:lang w:eastAsia="es-CR"/>
              </w:rPr>
              <w:t>Superintendente</w:t>
            </w:r>
          </w:p>
        </w:tc>
        <w:tc>
          <w:tcPr>
            <w:tcW w:w="1287" w:type="dxa"/>
            <w:tcBorders>
              <w:top w:val="single" w:sz="8" w:space="0" w:color="4F81BD" w:themeColor="accent1"/>
              <w:left w:val="single" w:sz="8" w:space="0" w:color="4F81BD" w:themeColor="accent1"/>
              <w:bottom w:val="single" w:sz="8" w:space="0" w:color="4F81BD" w:themeColor="accent1"/>
              <w:right w:val="nil"/>
            </w:tcBorders>
            <w:shd w:val="clear" w:color="auto" w:fill="auto"/>
            <w:vAlign w:val="center"/>
          </w:tcPr>
          <w:p w:rsidR="00C709B2" w:rsidRPr="00FB1F97" w:rsidRDefault="00C709B2" w:rsidP="00C709B2">
            <w:pPr>
              <w:spacing w:line="240" w:lineRule="auto"/>
              <w:rPr>
                <w:rFonts w:ascii="Calibri" w:eastAsia="Calibri" w:hAnsi="Calibri" w:cs="Calibri"/>
                <w:sz w:val="20"/>
                <w:szCs w:val="20"/>
              </w:rPr>
            </w:pPr>
            <w:r w:rsidRPr="00FB1F97">
              <w:rPr>
                <w:rFonts w:ascii="Calibri" w:eastAsia="Calibri" w:hAnsi="Calibri" w:cs="Calibri"/>
                <w:sz w:val="20"/>
                <w:szCs w:val="20"/>
              </w:rPr>
              <w:t>París, Francia</w:t>
            </w:r>
          </w:p>
        </w:tc>
        <w:tc>
          <w:tcPr>
            <w:tcW w:w="3640" w:type="dxa"/>
            <w:tcBorders>
              <w:top w:val="single" w:sz="8" w:space="0" w:color="4F81BD" w:themeColor="accent1"/>
              <w:left w:val="single" w:sz="8" w:space="0" w:color="4F81BD" w:themeColor="accent1"/>
              <w:bottom w:val="single" w:sz="8" w:space="0" w:color="4F81BD" w:themeColor="accent1"/>
              <w:right w:val="single" w:sz="8" w:space="0" w:color="1F497D" w:themeColor="text2"/>
            </w:tcBorders>
            <w:shd w:val="clear" w:color="auto" w:fill="auto"/>
            <w:vAlign w:val="center"/>
          </w:tcPr>
          <w:p w:rsidR="00C709B2" w:rsidRPr="00FB1F97" w:rsidRDefault="00C709B2" w:rsidP="00C709B2">
            <w:pPr>
              <w:spacing w:line="240" w:lineRule="auto"/>
              <w:rPr>
                <w:rFonts w:ascii="Calibri" w:eastAsia="Calibri" w:hAnsi="Calibri" w:cs="Calibri"/>
                <w:sz w:val="20"/>
                <w:szCs w:val="20"/>
              </w:rPr>
            </w:pPr>
            <w:r w:rsidRPr="00FB1F97">
              <w:rPr>
                <w:rFonts w:ascii="Calibri" w:eastAsia="Calibri" w:hAnsi="Calibri" w:cs="Calibri"/>
                <w:sz w:val="20"/>
                <w:szCs w:val="20"/>
              </w:rPr>
              <w:t xml:space="preserve">Comité de Seguros y Pensiones de OCDE   </w:t>
            </w:r>
          </w:p>
        </w:tc>
      </w:tr>
    </w:tbl>
    <w:p w:rsidR="00A01C92" w:rsidRPr="00C709B2" w:rsidRDefault="00A01C92" w:rsidP="008C7ADA">
      <w:pPr>
        <w:spacing w:line="240" w:lineRule="auto"/>
        <w:rPr>
          <w:rFonts w:ascii="Calibri" w:eastAsia="Calibri" w:hAnsi="Calibri" w:cs="Calibri"/>
        </w:rPr>
      </w:pPr>
    </w:p>
    <w:p w:rsidR="00730587" w:rsidRPr="004B1036" w:rsidRDefault="00730587" w:rsidP="0E324171">
      <w:pPr>
        <w:spacing w:line="240" w:lineRule="auto"/>
        <w:rPr>
          <w:rFonts w:eastAsiaTheme="minorEastAsia"/>
          <w:lang w:eastAsia="es-CR"/>
        </w:rPr>
      </w:pPr>
    </w:p>
    <w:p w:rsidR="005D613A" w:rsidRPr="004B1036" w:rsidRDefault="00834406" w:rsidP="008C7ADA">
      <w:pPr>
        <w:pStyle w:val="Ttulo1"/>
        <w:numPr>
          <w:ilvl w:val="0"/>
          <w:numId w:val="2"/>
        </w:numPr>
        <w:spacing w:before="0" w:beforeAutospacing="0" w:after="0" w:afterAutospacing="0"/>
        <w:ind w:left="426" w:hanging="426"/>
        <w:rPr>
          <w:rFonts w:ascii="Century Gothic" w:eastAsiaTheme="majorEastAsia" w:hAnsi="Century Gothic" w:cstheme="majorBidi"/>
          <w:color w:val="365F91" w:themeColor="accent1" w:themeShade="BF"/>
          <w:sz w:val="28"/>
          <w:szCs w:val="28"/>
          <w:lang w:eastAsia="es-CR"/>
        </w:rPr>
      </w:pPr>
      <w:bookmarkStart w:id="18" w:name="_Toc65452661"/>
      <w:r w:rsidRPr="004B1036">
        <w:rPr>
          <w:rFonts w:ascii="Century Gothic" w:eastAsiaTheme="majorEastAsia" w:hAnsi="Century Gothic" w:cstheme="majorBidi"/>
          <w:color w:val="365F91" w:themeColor="accent1" w:themeShade="BF"/>
          <w:kern w:val="0"/>
          <w:sz w:val="28"/>
          <w:szCs w:val="28"/>
          <w:lang w:eastAsia="es-CR"/>
        </w:rPr>
        <w:t>LIMITACIONES Y OBSTÁCULOS</w:t>
      </w:r>
      <w:bookmarkEnd w:id="18"/>
    </w:p>
    <w:p w:rsidR="00CD0DAA" w:rsidRPr="004B1036" w:rsidRDefault="00CD0DAA" w:rsidP="002506B8">
      <w:pPr>
        <w:pStyle w:val="NormalWeb"/>
        <w:spacing w:before="0" w:after="0" w:afterAutospacing="0" w:line="240" w:lineRule="auto"/>
        <w:ind w:left="0"/>
        <w:rPr>
          <w:rFonts w:asciiTheme="minorHAnsi" w:eastAsiaTheme="minorEastAsia" w:hAnsiTheme="minorHAnsi" w:cstheme="minorBidi"/>
          <w:color w:val="auto"/>
          <w:sz w:val="24"/>
          <w:szCs w:val="24"/>
          <w:lang w:eastAsia="es-CR"/>
        </w:rPr>
      </w:pPr>
    </w:p>
    <w:p w:rsidR="00AF47E6" w:rsidRPr="002506B8" w:rsidRDefault="00985E82" w:rsidP="002506B8">
      <w:pPr>
        <w:spacing w:line="240" w:lineRule="auto"/>
      </w:pPr>
      <w:r w:rsidRPr="6B89B391">
        <w:t>L</w:t>
      </w:r>
      <w:r w:rsidR="00AF47E6" w:rsidRPr="6B89B391">
        <w:t xml:space="preserve">a </w:t>
      </w:r>
      <w:r w:rsidR="000A0042" w:rsidRPr="6B89B391">
        <w:t>SUGESE</w:t>
      </w:r>
      <w:r w:rsidR="00AF47E6" w:rsidRPr="6B89B391">
        <w:t xml:space="preserve"> es sujeto de fiscalización por parte de la C</w:t>
      </w:r>
      <w:r w:rsidR="008B3FD0" w:rsidRPr="6B89B391">
        <w:t>ontraloría General de la República</w:t>
      </w:r>
      <w:r w:rsidR="00382712" w:rsidRPr="6B89B391">
        <w:t xml:space="preserve"> (CGR)</w:t>
      </w:r>
      <w:r w:rsidR="00AF47E6" w:rsidRPr="6B89B391">
        <w:t xml:space="preserve">, bajo la aplicación de la </w:t>
      </w:r>
      <w:r w:rsidR="00AF47E6" w:rsidRPr="6B89B391">
        <w:rPr>
          <w:i/>
        </w:rPr>
        <w:t>Ley General de Control Interno</w:t>
      </w:r>
      <w:r w:rsidR="00AF47E6" w:rsidRPr="6B89B391">
        <w:t xml:space="preserve"> N°8292, </w:t>
      </w:r>
      <w:r w:rsidR="0068706A" w:rsidRPr="6B89B391">
        <w:t xml:space="preserve">lo </w:t>
      </w:r>
      <w:r w:rsidR="00382712" w:rsidRPr="6B89B391">
        <w:t>que</w:t>
      </w:r>
      <w:r w:rsidR="0068706A" w:rsidRPr="6B89B391">
        <w:t xml:space="preserve"> la obliga a la identificación y </w:t>
      </w:r>
      <w:r w:rsidR="00AF47E6" w:rsidRPr="6B89B391">
        <w:t xml:space="preserve"> administración d</w:t>
      </w:r>
      <w:r w:rsidR="0068706A" w:rsidRPr="6B89B391">
        <w:t xml:space="preserve">e los riesgos que enfrenta, lo cual le permite </w:t>
      </w:r>
      <w:r w:rsidR="00690300" w:rsidRPr="6B89B391">
        <w:t>identifica</w:t>
      </w:r>
      <w:r w:rsidR="0068706A" w:rsidRPr="6B89B391">
        <w:t>r</w:t>
      </w:r>
      <w:r w:rsidR="009A2754" w:rsidRPr="6B89B391">
        <w:t xml:space="preserve">, analizar y </w:t>
      </w:r>
      <w:r w:rsidR="005F083A" w:rsidRPr="6B89B391">
        <w:t xml:space="preserve">evaluar de forma adecuada el </w:t>
      </w:r>
      <w:r w:rsidR="00F6463F" w:rsidRPr="6B89B391">
        <w:t xml:space="preserve">grado </w:t>
      </w:r>
      <w:r w:rsidR="009A2754" w:rsidRPr="6B89B391">
        <w:t xml:space="preserve">de riesgo institucional y adoptar métodos de uso continuo y sistemático, a fin de </w:t>
      </w:r>
      <w:r w:rsidR="00F6463F" w:rsidRPr="6B89B391">
        <w:t>gestionar</w:t>
      </w:r>
      <w:r w:rsidR="009A2754" w:rsidRPr="6B89B391">
        <w:t xml:space="preserve"> riesgo bajo un esquema eficiente</w:t>
      </w:r>
      <w:r w:rsidR="00F6463F" w:rsidRPr="6B89B391">
        <w:t>,</w:t>
      </w:r>
      <w:r w:rsidR="009A2754" w:rsidRPr="6B89B391">
        <w:t xml:space="preserve"> que permita la adecuada ejecución de los procesos del negocio</w:t>
      </w:r>
      <w:r w:rsidR="00690300" w:rsidRPr="6B89B391">
        <w:t>.</w:t>
      </w:r>
    </w:p>
    <w:p w:rsidR="001C3D5E" w:rsidRPr="002506B8" w:rsidRDefault="001C3D5E" w:rsidP="002506B8">
      <w:pPr>
        <w:spacing w:line="240" w:lineRule="auto"/>
        <w:rPr>
          <w:rFonts w:cstheme="minorHAnsi"/>
          <w:szCs w:val="24"/>
        </w:rPr>
      </w:pPr>
    </w:p>
    <w:p w:rsidR="00985E82" w:rsidRPr="00EE1A37" w:rsidRDefault="00985E82" w:rsidP="002506B8">
      <w:pPr>
        <w:spacing w:line="240" w:lineRule="auto"/>
      </w:pPr>
      <w:r w:rsidRPr="00EE1A37">
        <w:t xml:space="preserve">La Gestión Integral de Riesgos de la SUGESE se realiza por medio de la metodología definida </w:t>
      </w:r>
      <w:r w:rsidR="002738B5" w:rsidRPr="00EE1A37">
        <w:t>como parte d</w:t>
      </w:r>
      <w:r w:rsidRPr="00EE1A37">
        <w:t>e</w:t>
      </w:r>
      <w:r w:rsidR="002738B5" w:rsidRPr="00EE1A37">
        <w:t xml:space="preserve"> su</w:t>
      </w:r>
      <w:r w:rsidRPr="00EE1A37">
        <w:t xml:space="preserve"> Sistema de Gestión de Calidad (SGC), en la cual se</w:t>
      </w:r>
      <w:r w:rsidR="00DF6151" w:rsidRPr="00EE1A37">
        <w:t xml:space="preserve"> emplea</w:t>
      </w:r>
      <w:r w:rsidRPr="00EE1A37">
        <w:t xml:space="preserve"> el Marco para la Gestión Integral de Riesgos definido por el CONASSIF mediante el acuerdo artículos 5 y 12 de las actas de las sesiones 1401-2018 y 1402-2018, celebradas del 27 de febrero de 2018.</w:t>
      </w:r>
    </w:p>
    <w:p w:rsidR="6B89B391" w:rsidRPr="00EE1A37" w:rsidRDefault="6B89B391" w:rsidP="00EE1A37">
      <w:pPr>
        <w:spacing w:line="240" w:lineRule="auto"/>
      </w:pPr>
      <w:r w:rsidRPr="00EE1A37">
        <w:t xml:space="preserve"> </w:t>
      </w:r>
    </w:p>
    <w:p w:rsidR="6B89B391" w:rsidRPr="00EE1A37" w:rsidRDefault="6B89B391" w:rsidP="00EE1A37">
      <w:pPr>
        <w:spacing w:line="240" w:lineRule="auto"/>
      </w:pPr>
      <w:r w:rsidRPr="00EE1A37">
        <w:t xml:space="preserve">El seguimiento de los planes de acción vigentes definidos en ejercicios anteriores continúa el estudio de cargas de trabajo ejecutado por la División de Servicios Compartidos del BCCR para la División de Supervisión que considera los proyectos en desarrollo y las labores no ejecutadas en razón; a esta carga de trabajo. Además, para el final del año 2022 se espera contar con la contratación de las plazas vacantes en las Divisiones de Supervisión, Asesoría Jurídica y Normativa y Autorizaciones. </w:t>
      </w:r>
    </w:p>
    <w:p w:rsidR="6B89B391" w:rsidRPr="00EE1A37" w:rsidRDefault="6B89B391" w:rsidP="00EE1A37">
      <w:pPr>
        <w:spacing w:line="240" w:lineRule="auto"/>
      </w:pPr>
      <w:r w:rsidRPr="00EE1A37">
        <w:t xml:space="preserve"> </w:t>
      </w:r>
    </w:p>
    <w:p w:rsidR="6B89B391" w:rsidRPr="00EE1A37" w:rsidRDefault="6B89B391" w:rsidP="6B89B391">
      <w:pPr>
        <w:spacing w:line="240" w:lineRule="auto"/>
      </w:pPr>
      <w:r w:rsidRPr="00EE1A37">
        <w:t xml:space="preserve">Del seguimiento a la gestión de riesgos en el período comprendido por este informe, se detectó un nuevo evento de riesgo, en la categoría de Tecnología y este se refiere, a “Ciberataques que afecte sistemas y servidores que impidan su acceso” no reportado en la valoración de riesgo anterior y se consideran fuera del apetito de riesgo en esta revisión. </w:t>
      </w:r>
    </w:p>
    <w:p w:rsidR="00F953EB" w:rsidRPr="002506B8" w:rsidRDefault="00F953EB" w:rsidP="002506B8">
      <w:pPr>
        <w:spacing w:line="240" w:lineRule="auto"/>
        <w:rPr>
          <w:rFonts w:cstheme="minorHAnsi"/>
        </w:rPr>
      </w:pPr>
    </w:p>
    <w:p w:rsidR="00054812" w:rsidRPr="002506B8" w:rsidRDefault="00054812" w:rsidP="002506B8">
      <w:pPr>
        <w:pStyle w:val="Prrafodelista"/>
        <w:spacing w:after="0" w:line="240" w:lineRule="auto"/>
        <w:rPr>
          <w:rFonts w:eastAsiaTheme="minorHAnsi" w:cstheme="minorHAnsi"/>
          <w:b/>
          <w:bCs/>
          <w:szCs w:val="24"/>
          <w:lang w:eastAsia="en-US"/>
        </w:rPr>
      </w:pPr>
    </w:p>
    <w:p w:rsidR="0046129A" w:rsidRPr="002506B8" w:rsidRDefault="00834406" w:rsidP="002506B8">
      <w:pPr>
        <w:pStyle w:val="Ttulo1"/>
        <w:numPr>
          <w:ilvl w:val="0"/>
          <w:numId w:val="2"/>
        </w:numPr>
        <w:spacing w:before="0" w:beforeAutospacing="0" w:after="0" w:afterAutospacing="0"/>
        <w:ind w:left="426" w:hanging="426"/>
        <w:rPr>
          <w:rFonts w:ascii="Century Gothic" w:eastAsiaTheme="majorEastAsia" w:hAnsi="Century Gothic" w:cstheme="majorBidi"/>
          <w:color w:val="365F91" w:themeColor="accent1" w:themeShade="BF"/>
          <w:sz w:val="28"/>
          <w:szCs w:val="28"/>
          <w:lang w:eastAsia="es-CR"/>
        </w:rPr>
      </w:pPr>
      <w:bookmarkStart w:id="19" w:name="_Toc65452662"/>
      <w:r w:rsidRPr="002506B8">
        <w:rPr>
          <w:rFonts w:ascii="Century Gothic" w:eastAsiaTheme="majorEastAsia" w:hAnsi="Century Gothic" w:cstheme="majorBidi"/>
          <w:color w:val="365F91" w:themeColor="accent1" w:themeShade="BF"/>
          <w:kern w:val="0"/>
          <w:sz w:val="28"/>
          <w:szCs w:val="28"/>
          <w:lang w:eastAsia="es-CR"/>
        </w:rPr>
        <w:t>RETOS Y VISIÓN DE FUTURO</w:t>
      </w:r>
      <w:bookmarkEnd w:id="19"/>
    </w:p>
    <w:p w:rsidR="003E162A" w:rsidRPr="002506B8" w:rsidRDefault="003E162A" w:rsidP="002506B8">
      <w:pPr>
        <w:spacing w:line="240" w:lineRule="auto"/>
        <w:rPr>
          <w:szCs w:val="24"/>
        </w:rPr>
      </w:pPr>
    </w:p>
    <w:p w:rsidR="005B3575" w:rsidRPr="00EE1A37" w:rsidRDefault="005B3575" w:rsidP="00EE1A37">
      <w:pPr>
        <w:spacing w:line="240" w:lineRule="auto"/>
      </w:pPr>
      <w:r w:rsidRPr="6B89B391">
        <w:t xml:space="preserve">La dinámica del sector asegurador está influida en gran medida por el desenvolvimiento de la economía nacional y el entorno internacional. El 2022 </w:t>
      </w:r>
      <w:r w:rsidRPr="00EE1A37">
        <w:t>mostró resultados positivos para el mercado asegurador costarricense</w:t>
      </w:r>
      <w:r w:rsidR="6B89B391" w:rsidRPr="00EE1A37">
        <w:t>,</w:t>
      </w:r>
      <w:r w:rsidRPr="00EE1A37">
        <w:t xml:space="preserve"> consistente con la recuperación económica experimentada en 2022 con respecto al periodo 2020-2021, en el que hubo condiciones económicas adversas por la emergencia sanitaria de la COVID-19. Además</w:t>
      </w:r>
      <w:bookmarkStart w:id="20" w:name="_Hlk128411242"/>
      <w:r w:rsidRPr="00EE1A37">
        <w:t xml:space="preserve">, </w:t>
      </w:r>
      <w:r w:rsidR="6B89B391" w:rsidRPr="00EE1A37">
        <w:t>el dinamismo</w:t>
      </w:r>
      <w:r w:rsidRPr="00EE1A37">
        <w:t xml:space="preserve"> del sector </w:t>
      </w:r>
      <w:r w:rsidR="0074149F" w:rsidRPr="00EE1A37">
        <w:t>fue</w:t>
      </w:r>
      <w:r w:rsidRPr="00EE1A37">
        <w:t xml:space="preserve"> </w:t>
      </w:r>
      <w:r w:rsidR="6B89B391" w:rsidRPr="00EE1A37">
        <w:t>significativo</w:t>
      </w:r>
      <w:r w:rsidRPr="00EE1A37">
        <w:t>,</w:t>
      </w:r>
      <w:bookmarkEnd w:id="20"/>
      <w:r w:rsidRPr="00EE1A37">
        <w:t xml:space="preserve"> pues presentó un crecimiento superior al proyectado para el PIB para ese mismo periodo. </w:t>
      </w:r>
    </w:p>
    <w:p w:rsidR="005B3575" w:rsidRPr="00EE1A37" w:rsidRDefault="005B3575" w:rsidP="00EE1A37">
      <w:pPr>
        <w:spacing w:line="240" w:lineRule="auto"/>
      </w:pPr>
    </w:p>
    <w:p w:rsidR="005B3575" w:rsidRPr="00C91C0D" w:rsidRDefault="005B3575" w:rsidP="00EE1A37">
      <w:pPr>
        <w:spacing w:line="240" w:lineRule="auto"/>
      </w:pPr>
      <w:r w:rsidRPr="00EE1A37">
        <w:t xml:space="preserve">Para el 2023 es de esperar que se mantenga </w:t>
      </w:r>
      <w:r w:rsidR="6B89B391" w:rsidRPr="00EE1A37">
        <w:t>el comportamiento observado</w:t>
      </w:r>
      <w:r w:rsidRPr="00EE1A37">
        <w:t xml:space="preserve">, </w:t>
      </w:r>
      <w:r w:rsidRPr="6B89B391">
        <w:t xml:space="preserve">retomando así la evolución que tuvo desde la apertura del mercado en 2018 y previa a la pandemia del COVID-19. De igual forma, se puede esperar que el crecimiento del sector siga impulsado por los seguros voluntarios y en particular por los personales, lo que permitirá avanzar hacia un mercado de seguros más profundo que atienda las necesidades de las empresas, personas y familias.  </w:t>
      </w:r>
    </w:p>
    <w:p w:rsidR="005B3575" w:rsidRPr="00EE1A37" w:rsidRDefault="005B3575" w:rsidP="00EE1A37">
      <w:pPr>
        <w:spacing w:line="240" w:lineRule="auto"/>
      </w:pPr>
    </w:p>
    <w:p w:rsidR="00C91C0D" w:rsidRPr="00C91C0D" w:rsidRDefault="005B3575" w:rsidP="00EE1A37">
      <w:pPr>
        <w:spacing w:line="240" w:lineRule="auto"/>
      </w:pPr>
      <w:bookmarkStart w:id="21" w:name="_Hlk128254932"/>
      <w:r w:rsidRPr="6B89B391">
        <w:t xml:space="preserve">Se continuará con el enfoque de supervisión basado en riesgos (SBR), mediante el fomento de buenas prácticas en la gestión del reaseguro y la mejora del gobierno corporativo y gestión de riesgos de las entidades de seguros, así como la vigilancia continua de la gestión y solvencia de las aseguradoras para procurar la estabilidad y buen funcionamiento del sector. Adicionalmente, se implementará el enfoque SBR al grupo asegurador que supervisa la </w:t>
      </w:r>
      <w:r w:rsidR="00C91C0D" w:rsidRPr="6B89B391">
        <w:t>SUGESE</w:t>
      </w:r>
      <w:r w:rsidRPr="6B89B391">
        <w:t xml:space="preserve"> y se participará en la supervisión consolidada de otros grupos financieros en conjunto con las otras superintendencias, de conformidad con las facultades que dio la reforma, en el 2019, de la Ley Orgánica del Banco Central de Costa Rica, en materia de supervisión de grupos y conglomerados financieros. </w:t>
      </w:r>
      <w:bookmarkEnd w:id="21"/>
    </w:p>
    <w:p w:rsidR="00C91C0D" w:rsidRPr="00EE1A37" w:rsidRDefault="00C91C0D" w:rsidP="00EE1A37">
      <w:pPr>
        <w:spacing w:line="240" w:lineRule="auto"/>
      </w:pPr>
    </w:p>
    <w:p w:rsidR="005B3575" w:rsidRPr="00C91C0D" w:rsidRDefault="005B3575" w:rsidP="00EE1A37">
      <w:pPr>
        <w:spacing w:line="240" w:lineRule="auto"/>
      </w:pPr>
      <w:r w:rsidRPr="6B89B391">
        <w:t xml:space="preserve">En cuanto al desarrollo normativo, en 2023 se espera aprobar la normativa relacionada con el modelo de supervisión de conducta de negocio y la reforma en las normas que rigen los seguros colocados en modalidad colectiva, lo cual permitirá velar por la protección del consumidor de seguros y mejorar el cumplimiento de mejores prácticas de supervisión de intermediarios y aseguradoras en dicho tema.  También, </w:t>
      </w:r>
      <w:r w:rsidR="00C91C0D" w:rsidRPr="6B89B391">
        <w:t>con</w:t>
      </w:r>
      <w:r w:rsidRPr="6B89B391">
        <w:t xml:space="preserve"> las pruebas paralelas preliminares de la implementación de la NIIF 17, podrían realizarse modificaciones en las normas de solvencia, a partir de la medición del impacto en los estados financieros de la aplicación del nuevo esquema contable. Por otro lado, se espera tramitar las normas para la determinación de entidades sistémicas en el sector de seguros y la revisión de las relacionadas con los requerimientos de capital por riesgo de crédito.</w:t>
      </w:r>
    </w:p>
    <w:p w:rsidR="005B3575" w:rsidRPr="00EE1A37" w:rsidRDefault="005B3575" w:rsidP="00EE1A37">
      <w:pPr>
        <w:spacing w:line="240" w:lineRule="auto"/>
      </w:pPr>
    </w:p>
    <w:p w:rsidR="005B3575" w:rsidRPr="00C91C0D" w:rsidRDefault="005B3575" w:rsidP="00EE1A37">
      <w:pPr>
        <w:spacing w:line="240" w:lineRule="auto"/>
      </w:pPr>
      <w:r w:rsidRPr="6B89B391">
        <w:t xml:space="preserve">También, se dedicarán recursos a los temas normativos de las cuatro superintendencias, en particular los temas del financiamiento por parte de los sujetos supervisados de los gastos de los supervisores, la aprobación de las reformas normativas relacionadas con la gestión de tecnología de la información y ciberseguridad y las modificaciones para el cierre de brechas con respecto a las Normas de Información Financiera (NIFF).  </w:t>
      </w:r>
    </w:p>
    <w:p w:rsidR="005B3575" w:rsidRPr="00EE1A37" w:rsidRDefault="005B3575" w:rsidP="00EE1A37">
      <w:pPr>
        <w:spacing w:line="240" w:lineRule="auto"/>
      </w:pPr>
    </w:p>
    <w:p w:rsidR="005B3575" w:rsidRPr="00C91C0D" w:rsidRDefault="005B3575" w:rsidP="00EE1A37">
      <w:pPr>
        <w:spacing w:line="240" w:lineRule="auto"/>
      </w:pPr>
      <w:r w:rsidRPr="6B89B391">
        <w:t xml:space="preserve">De igual forma, la Superintendencia continuará trabajando en temas estratégicos, en particular: </w:t>
      </w:r>
    </w:p>
    <w:p w:rsidR="005B3575" w:rsidRPr="00C91C0D" w:rsidRDefault="005B3575" w:rsidP="00C91C0D">
      <w:pPr>
        <w:autoSpaceDE w:val="0"/>
        <w:autoSpaceDN w:val="0"/>
        <w:adjustRightInd w:val="0"/>
        <w:rPr>
          <w:rFonts w:cstheme="minorHAnsi"/>
          <w:szCs w:val="24"/>
        </w:rPr>
      </w:pPr>
    </w:p>
    <w:p w:rsidR="005B3575" w:rsidRPr="00C91C0D" w:rsidRDefault="005B3575" w:rsidP="00C91C0D">
      <w:pPr>
        <w:pStyle w:val="Prrafodelista"/>
        <w:numPr>
          <w:ilvl w:val="0"/>
          <w:numId w:val="29"/>
        </w:numPr>
        <w:autoSpaceDE w:val="0"/>
        <w:autoSpaceDN w:val="0"/>
        <w:adjustRightInd w:val="0"/>
        <w:spacing w:after="0"/>
      </w:pPr>
      <w:r w:rsidRPr="6B89B391">
        <w:t xml:space="preserve">A partir de </w:t>
      </w:r>
      <w:r w:rsidR="6B89B391" w:rsidRPr="6B89B391">
        <w:t>las</w:t>
      </w:r>
      <w:r w:rsidRPr="6B89B391">
        <w:t xml:space="preserve"> normas emitidas para la implementación de la NIIF 17, la identificación y creación de condiciones para la modificación integral del régimen de solvencia para aproximarse a un modelo tipo Solvencia II de la Unión Europea.</w:t>
      </w:r>
    </w:p>
    <w:p w:rsidR="005B3575" w:rsidRPr="00C91C0D" w:rsidRDefault="005B3575" w:rsidP="00C91C0D">
      <w:pPr>
        <w:pStyle w:val="Prrafodelista"/>
        <w:numPr>
          <w:ilvl w:val="0"/>
          <w:numId w:val="29"/>
        </w:numPr>
        <w:autoSpaceDE w:val="0"/>
        <w:autoSpaceDN w:val="0"/>
        <w:adjustRightInd w:val="0"/>
        <w:spacing w:after="0"/>
      </w:pPr>
      <w:r w:rsidRPr="6B89B391">
        <w:t xml:space="preserve">La conclusión del proyecto relacionado </w:t>
      </w:r>
      <w:r w:rsidR="6B89B391" w:rsidRPr="6B89B391">
        <w:t>con</w:t>
      </w:r>
      <w:r w:rsidRPr="6B89B391">
        <w:t xml:space="preserve"> las mejoras en la disponibilidad y divulgación de información cuantitativa para el público. </w:t>
      </w:r>
    </w:p>
    <w:p w:rsidR="005B3575" w:rsidRPr="00C91C0D" w:rsidRDefault="005B3575" w:rsidP="00C91C0D">
      <w:pPr>
        <w:pStyle w:val="Prrafodelista"/>
        <w:numPr>
          <w:ilvl w:val="0"/>
          <w:numId w:val="29"/>
        </w:numPr>
        <w:autoSpaceDE w:val="0"/>
        <w:autoSpaceDN w:val="0"/>
        <w:adjustRightInd w:val="0"/>
        <w:spacing w:after="0"/>
      </w:pPr>
      <w:r w:rsidRPr="6B89B391">
        <w:t xml:space="preserve">La acción estratégica sobre sostenibilidad, para considerar en el sector asegurador los temas ambientales, sociales y de gobernanza y se gestionen los riesgos asociados, para que la industria apoye los </w:t>
      </w:r>
      <w:r w:rsidR="6B89B391" w:rsidRPr="6B89B391">
        <w:t>Objetivos</w:t>
      </w:r>
      <w:r w:rsidRPr="6B89B391">
        <w:t xml:space="preserve"> del </w:t>
      </w:r>
      <w:r w:rsidR="6B89B391" w:rsidRPr="6B89B391">
        <w:t>Desarrollo Sostenible</w:t>
      </w:r>
      <w:r w:rsidRPr="6B89B391">
        <w:t xml:space="preserve"> de las Naciones Unidad (ODS).   Sobre este tema, la Superintendencia </w:t>
      </w:r>
      <w:r w:rsidR="00C91C0D" w:rsidRPr="6B89B391">
        <w:t xml:space="preserve">en 2023 </w:t>
      </w:r>
      <w:r w:rsidRPr="6B89B391">
        <w:t>espera contar con una hoja de ruta para trabajar en su rol en la gestión del cambio climático en el sector, definir un instrumento de medición del avance de las entidades supervisadas en la gestión del cambio climático y trabajar con las otras superintendencias en la definición de una taxonomía verde para el sistema financiero costarricense.</w:t>
      </w:r>
    </w:p>
    <w:p w:rsidR="005B3575" w:rsidRPr="00EE1A37" w:rsidRDefault="005B3575" w:rsidP="00EE1A37">
      <w:pPr>
        <w:spacing w:line="240" w:lineRule="auto"/>
      </w:pPr>
    </w:p>
    <w:p w:rsidR="005B3575" w:rsidRPr="00C91C0D" w:rsidRDefault="005B3575" w:rsidP="00EE1A37">
      <w:pPr>
        <w:spacing w:line="240" w:lineRule="auto"/>
      </w:pPr>
      <w:bookmarkStart w:id="22" w:name="_Hlk128256475"/>
      <w:r w:rsidRPr="6B89B391">
        <w:t xml:space="preserve">En apego a la constante que caracteriza a la Superintendencia de una mejora </w:t>
      </w:r>
      <w:r w:rsidR="6B89B391" w:rsidRPr="00EE1A37">
        <w:t>continua</w:t>
      </w:r>
      <w:r w:rsidRPr="6B89B391">
        <w:t xml:space="preserve">, se </w:t>
      </w:r>
      <w:r w:rsidR="6B89B391" w:rsidRPr="00EE1A37">
        <w:t>trabajará</w:t>
      </w:r>
      <w:r w:rsidRPr="6B89B391">
        <w:t xml:space="preserve"> en el mantenimiento de los logros alcanzados y en la consecución de un mayor cumplimiento de estándares internacionales en el mediano plazo, así como en consolidar lo alcanzado en materia de regulación y supervisión, en procura de coadyuvar a un mercado de seguros más desarrollado, inclusivo y apegado a las mejores prácticas, alineado con los </w:t>
      </w:r>
      <w:r w:rsidR="6B89B391" w:rsidRPr="6B89B391">
        <w:t>Objetivos</w:t>
      </w:r>
      <w:r w:rsidRPr="6B89B391">
        <w:t xml:space="preserve"> del </w:t>
      </w:r>
      <w:r w:rsidR="6B89B391" w:rsidRPr="6B89B391">
        <w:t>Desarrollo Sostenible</w:t>
      </w:r>
      <w:r w:rsidRPr="6B89B391">
        <w:t>.</w:t>
      </w:r>
    </w:p>
    <w:bookmarkEnd w:id="22"/>
    <w:p w:rsidR="008249A5" w:rsidRPr="00C91C0D" w:rsidRDefault="008249A5" w:rsidP="00C91C0D">
      <w:pPr>
        <w:rPr>
          <w:rFonts w:cstheme="minorHAnsi"/>
          <w:szCs w:val="24"/>
        </w:rPr>
      </w:pPr>
    </w:p>
    <w:p w:rsidR="00C91C0D" w:rsidRPr="002506B8" w:rsidRDefault="00C91C0D" w:rsidP="002506B8">
      <w:pPr>
        <w:spacing w:line="240" w:lineRule="auto"/>
      </w:pPr>
    </w:p>
    <w:p w:rsidR="00320F96" w:rsidRPr="002506B8" w:rsidRDefault="00320F96" w:rsidP="008C7ADA">
      <w:pPr>
        <w:pStyle w:val="Ttulo1"/>
        <w:numPr>
          <w:ilvl w:val="0"/>
          <w:numId w:val="2"/>
        </w:numPr>
        <w:spacing w:before="0" w:beforeAutospacing="0" w:after="0" w:afterAutospacing="0"/>
        <w:ind w:left="709"/>
        <w:jc w:val="left"/>
        <w:rPr>
          <w:rFonts w:ascii="Century Gothic" w:eastAsiaTheme="majorEastAsia" w:hAnsi="Century Gothic" w:cstheme="majorBidi"/>
          <w:color w:val="365F91" w:themeColor="accent1" w:themeShade="BF"/>
          <w:sz w:val="28"/>
          <w:szCs w:val="28"/>
          <w:lang w:eastAsia="es-CR"/>
        </w:rPr>
      </w:pPr>
      <w:bookmarkStart w:id="23" w:name="_Toc65452663"/>
      <w:r w:rsidRPr="002506B8">
        <w:rPr>
          <w:rFonts w:ascii="Century Gothic" w:eastAsiaTheme="majorEastAsia" w:hAnsi="Century Gothic" w:cstheme="majorBidi"/>
          <w:color w:val="365F91" w:themeColor="accent1" w:themeShade="BF"/>
          <w:kern w:val="0"/>
          <w:sz w:val="28"/>
          <w:szCs w:val="28"/>
          <w:lang w:eastAsia="es-CR"/>
        </w:rPr>
        <w:t>ANEXOS</w:t>
      </w:r>
      <w:bookmarkEnd w:id="23"/>
    </w:p>
    <w:p w:rsidR="0016640B" w:rsidRPr="00B264B6" w:rsidRDefault="005C16E2" w:rsidP="00B264B6">
      <w:pPr>
        <w:spacing w:line="360" w:lineRule="auto"/>
        <w:jc w:val="center"/>
        <w:rPr>
          <w:rFonts w:ascii="Century Gothic" w:eastAsiaTheme="majorEastAsia" w:hAnsi="Century Gothic" w:cstheme="majorBidi"/>
          <w:b/>
          <w:color w:val="365F91" w:themeColor="accent1" w:themeShade="BF"/>
          <w:sz w:val="28"/>
          <w:szCs w:val="28"/>
          <w:lang w:eastAsia="es-CR"/>
        </w:rPr>
      </w:pPr>
      <w:r>
        <w:rPr>
          <w:rFonts w:ascii="Century Gothic" w:eastAsiaTheme="majorEastAsia" w:hAnsi="Century Gothic" w:cstheme="majorBidi"/>
          <w:color w:val="365F91" w:themeColor="accent1" w:themeShade="BF"/>
          <w:sz w:val="28"/>
          <w:szCs w:val="28"/>
          <w:lang w:eastAsia="es-CR"/>
        </w:rPr>
        <w:br w:type="page"/>
      </w:r>
      <w:r w:rsidR="0E324171" w:rsidRPr="0E324171">
        <w:rPr>
          <w:b/>
          <w:bCs/>
          <w:color w:val="002060"/>
          <w:sz w:val="20"/>
          <w:szCs w:val="20"/>
        </w:rPr>
        <w:t>ANEXO 1</w:t>
      </w:r>
    </w:p>
    <w:p w:rsidR="0016640B" w:rsidRPr="006B364A" w:rsidRDefault="0016640B" w:rsidP="0E324171">
      <w:pPr>
        <w:shd w:val="clear" w:color="auto" w:fill="FFFFFF" w:themeFill="background1"/>
        <w:spacing w:line="240" w:lineRule="auto"/>
        <w:jc w:val="center"/>
        <w:rPr>
          <w:rFonts w:ascii="Century Gothic" w:hAnsi="Century Gothic"/>
          <w:b/>
          <w:bCs/>
          <w:color w:val="404040" w:themeColor="text1" w:themeTint="BF"/>
          <w:sz w:val="20"/>
          <w:szCs w:val="20"/>
        </w:rPr>
      </w:pPr>
      <w:r w:rsidRPr="0E324171">
        <w:rPr>
          <w:rFonts w:ascii="Century Gothic" w:hAnsi="Century Gothic"/>
          <w:kern w:val="24"/>
          <w:sz w:val="20"/>
          <w:szCs w:val="20"/>
        </w:rPr>
        <w:t>Superintendencia General de Seguros</w:t>
      </w:r>
      <w:r w:rsidRPr="0E324171">
        <w:rPr>
          <w:rFonts w:ascii="Century Gothic" w:hAnsi="Century Gothic"/>
          <w:b/>
          <w:bCs/>
          <w:color w:val="404040" w:themeColor="text1" w:themeTint="BF"/>
          <w:sz w:val="20"/>
          <w:szCs w:val="20"/>
        </w:rPr>
        <w:t xml:space="preserve"> </w:t>
      </w:r>
    </w:p>
    <w:p w:rsidR="00B32790" w:rsidRPr="006B364A" w:rsidRDefault="0E324171" w:rsidP="0E324171">
      <w:pPr>
        <w:shd w:val="clear" w:color="auto" w:fill="FFFFFF" w:themeFill="background1"/>
        <w:spacing w:line="240" w:lineRule="auto"/>
        <w:jc w:val="center"/>
        <w:rPr>
          <w:rFonts w:ascii="Century Gothic" w:hAnsi="Century Gothic"/>
          <w:b/>
          <w:bCs/>
        </w:rPr>
      </w:pPr>
      <w:r w:rsidRPr="0E324171">
        <w:rPr>
          <w:rFonts w:ascii="Century Gothic" w:hAnsi="Century Gothic"/>
          <w:b/>
          <w:bCs/>
          <w:color w:val="404040" w:themeColor="text1" w:themeTint="BF"/>
          <w:sz w:val="20"/>
          <w:szCs w:val="20"/>
        </w:rPr>
        <w:t>PLAN ESTRATEGIGO 2019-2023</w:t>
      </w:r>
    </w:p>
    <w:p w:rsidR="00B32790" w:rsidRPr="006B364A" w:rsidRDefault="0E324171" w:rsidP="0E324171">
      <w:pPr>
        <w:shd w:val="clear" w:color="auto" w:fill="FFFFFF" w:themeFill="background1"/>
        <w:tabs>
          <w:tab w:val="left" w:pos="1617"/>
          <w:tab w:val="left" w:pos="4240"/>
          <w:tab w:val="left" w:pos="7087"/>
          <w:tab w:val="left" w:pos="7907"/>
          <w:tab w:val="left" w:pos="8725"/>
          <w:tab w:val="left" w:pos="9624"/>
          <w:tab w:val="left" w:pos="10442"/>
        </w:tabs>
        <w:spacing w:line="240" w:lineRule="auto"/>
        <w:ind w:left="55"/>
        <w:jc w:val="center"/>
        <w:rPr>
          <w:rFonts w:ascii="Century Gothic" w:hAnsi="Century Gothic"/>
          <w:b/>
          <w:bCs/>
          <w:color w:val="404040" w:themeColor="text1" w:themeTint="BF"/>
          <w:sz w:val="20"/>
          <w:szCs w:val="20"/>
        </w:rPr>
      </w:pPr>
      <w:r w:rsidRPr="0E324171">
        <w:rPr>
          <w:rFonts w:ascii="Century Gothic" w:hAnsi="Century Gothic"/>
          <w:b/>
          <w:bCs/>
          <w:color w:val="404040" w:themeColor="text1" w:themeTint="BF"/>
          <w:sz w:val="20"/>
          <w:szCs w:val="20"/>
        </w:rPr>
        <w:t xml:space="preserve">Portafolio Institucional de Proyectos  </w:t>
      </w:r>
    </w:p>
    <w:p w:rsidR="00B32790" w:rsidRPr="004B1036" w:rsidRDefault="00B32790" w:rsidP="0E324171">
      <w:pPr>
        <w:shd w:val="clear" w:color="auto" w:fill="FFFFFF" w:themeFill="background1"/>
        <w:tabs>
          <w:tab w:val="left" w:pos="1617"/>
          <w:tab w:val="left" w:pos="4240"/>
          <w:tab w:val="left" w:pos="7087"/>
          <w:tab w:val="left" w:pos="7907"/>
          <w:tab w:val="left" w:pos="8725"/>
          <w:tab w:val="left" w:pos="9624"/>
          <w:tab w:val="left" w:pos="10442"/>
        </w:tabs>
        <w:spacing w:line="240" w:lineRule="auto"/>
        <w:ind w:left="55"/>
        <w:jc w:val="center"/>
        <w:rPr>
          <w:rFonts w:ascii="Century Gothic" w:hAnsi="Century Gothic"/>
          <w:b/>
          <w:bCs/>
          <w:color w:val="404040" w:themeColor="text1" w:themeTint="BF"/>
          <w:sz w:val="20"/>
          <w:szCs w:val="20"/>
        </w:rPr>
      </w:pPr>
      <w:r w:rsidRPr="0E324171">
        <w:rPr>
          <w:rFonts w:ascii="Century Gothic" w:hAnsi="Century Gothic"/>
          <w:b/>
          <w:bCs/>
          <w:color w:val="404040" w:themeColor="text1" w:themeTint="BF"/>
          <w:sz w:val="20"/>
          <w:szCs w:val="20"/>
        </w:rPr>
        <w:t>Diciembre 20</w:t>
      </w:r>
      <w:r w:rsidR="0000480F" w:rsidRPr="0E324171">
        <w:rPr>
          <w:rFonts w:ascii="Century Gothic" w:hAnsi="Century Gothic"/>
          <w:b/>
          <w:bCs/>
          <w:color w:val="404040" w:themeColor="text1" w:themeTint="BF"/>
          <w:sz w:val="20"/>
          <w:szCs w:val="20"/>
        </w:rPr>
        <w:t>2</w:t>
      </w:r>
      <w:r w:rsidR="00C42BBF" w:rsidRPr="0E324171">
        <w:rPr>
          <w:rFonts w:ascii="Century Gothic" w:hAnsi="Century Gothic"/>
          <w:b/>
          <w:bCs/>
          <w:color w:val="404040" w:themeColor="text1" w:themeTint="BF"/>
          <w:sz w:val="20"/>
          <w:szCs w:val="20"/>
        </w:rPr>
        <w:t>2</w:t>
      </w:r>
      <w:r w:rsidR="002967FE" w:rsidRPr="0E324171">
        <w:rPr>
          <w:rStyle w:val="Refdenotaalpie"/>
          <w:rFonts w:ascii="Century Gothic" w:hAnsi="Century Gothic"/>
          <w:b/>
          <w:bCs/>
          <w:color w:val="404040" w:themeColor="text1" w:themeTint="BF"/>
          <w:sz w:val="20"/>
          <w:szCs w:val="20"/>
        </w:rPr>
        <w:footnoteReference w:id="9"/>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2"/>
        <w:gridCol w:w="36"/>
        <w:gridCol w:w="2090"/>
        <w:gridCol w:w="68"/>
        <w:gridCol w:w="2158"/>
        <w:gridCol w:w="47"/>
        <w:gridCol w:w="2830"/>
        <w:gridCol w:w="1276"/>
      </w:tblGrid>
      <w:tr w:rsidR="00FE60B3" w:rsidRPr="004B1036" w:rsidTr="00930B4D">
        <w:trPr>
          <w:cantSplit/>
          <w:trHeight w:val="492"/>
          <w:tblHeader/>
          <w:jc w:val="center"/>
        </w:trPr>
        <w:tc>
          <w:tcPr>
            <w:tcW w:w="2158" w:type="dxa"/>
            <w:gridSpan w:val="2"/>
            <w:shd w:val="clear" w:color="auto" w:fill="365F91" w:themeFill="accent1" w:themeFillShade="BF"/>
            <w:vAlign w:val="center"/>
            <w:hideMark/>
          </w:tcPr>
          <w:p w:rsidR="00FE60B3" w:rsidRPr="004B1036" w:rsidRDefault="00FE60B3" w:rsidP="008C7ADA">
            <w:pPr>
              <w:spacing w:line="240" w:lineRule="auto"/>
              <w:jc w:val="center"/>
              <w:rPr>
                <w:b/>
                <w:color w:val="FFFFFF" w:themeColor="background1"/>
                <w:sz w:val="20"/>
                <w:szCs w:val="20"/>
              </w:rPr>
            </w:pPr>
            <w:r w:rsidRPr="6B89B391">
              <w:rPr>
                <w:b/>
                <w:color w:val="FFFFFF" w:themeColor="background1"/>
                <w:sz w:val="20"/>
                <w:szCs w:val="20"/>
              </w:rPr>
              <w:t>ESTRATEGIA</w:t>
            </w:r>
          </w:p>
        </w:tc>
        <w:tc>
          <w:tcPr>
            <w:tcW w:w="2158" w:type="dxa"/>
            <w:gridSpan w:val="2"/>
            <w:shd w:val="clear" w:color="auto" w:fill="365F91" w:themeFill="accent1" w:themeFillShade="BF"/>
            <w:vAlign w:val="center"/>
            <w:hideMark/>
          </w:tcPr>
          <w:p w:rsidR="00FE60B3" w:rsidRPr="004B1036" w:rsidRDefault="00FE60B3" w:rsidP="008C7ADA">
            <w:pPr>
              <w:spacing w:line="240" w:lineRule="auto"/>
              <w:jc w:val="center"/>
              <w:rPr>
                <w:b/>
                <w:color w:val="FFFFFF" w:themeColor="background1"/>
                <w:sz w:val="20"/>
                <w:szCs w:val="20"/>
              </w:rPr>
            </w:pPr>
            <w:r w:rsidRPr="6B89B391">
              <w:rPr>
                <w:b/>
                <w:color w:val="FFFFFF" w:themeColor="background1"/>
                <w:sz w:val="20"/>
                <w:szCs w:val="20"/>
              </w:rPr>
              <w:t>OBJETIVO ESTRATÉGICO</w:t>
            </w:r>
          </w:p>
        </w:tc>
        <w:tc>
          <w:tcPr>
            <w:tcW w:w="2158" w:type="dxa"/>
            <w:shd w:val="clear" w:color="auto" w:fill="365F91" w:themeFill="accent1" w:themeFillShade="BF"/>
            <w:vAlign w:val="center"/>
            <w:hideMark/>
          </w:tcPr>
          <w:p w:rsidR="00FE60B3" w:rsidRPr="004B1036" w:rsidRDefault="00FE60B3" w:rsidP="008C7ADA">
            <w:pPr>
              <w:spacing w:line="240" w:lineRule="auto"/>
              <w:ind w:left="102"/>
              <w:jc w:val="center"/>
              <w:rPr>
                <w:b/>
                <w:color w:val="FFFFFF" w:themeColor="background1"/>
                <w:sz w:val="20"/>
                <w:szCs w:val="20"/>
              </w:rPr>
            </w:pPr>
            <w:r w:rsidRPr="6B89B391">
              <w:rPr>
                <w:b/>
                <w:color w:val="FFFFFF" w:themeColor="background1"/>
                <w:sz w:val="20"/>
                <w:szCs w:val="20"/>
              </w:rPr>
              <w:t>Proyectos Relacionados</w:t>
            </w:r>
          </w:p>
        </w:tc>
        <w:tc>
          <w:tcPr>
            <w:tcW w:w="2877" w:type="dxa"/>
            <w:gridSpan w:val="2"/>
            <w:shd w:val="clear" w:color="auto" w:fill="365F91" w:themeFill="accent1" w:themeFillShade="BF"/>
            <w:vAlign w:val="center"/>
            <w:hideMark/>
          </w:tcPr>
          <w:p w:rsidR="00FE60B3" w:rsidRPr="004B1036" w:rsidRDefault="00FE60B3" w:rsidP="008C7ADA">
            <w:pPr>
              <w:spacing w:line="240" w:lineRule="auto"/>
              <w:jc w:val="center"/>
              <w:rPr>
                <w:b/>
                <w:color w:val="FFFFFF" w:themeColor="background1"/>
                <w:sz w:val="20"/>
                <w:szCs w:val="20"/>
              </w:rPr>
            </w:pPr>
            <w:r w:rsidRPr="6B89B391">
              <w:rPr>
                <w:b/>
                <w:color w:val="FFFFFF" w:themeColor="background1"/>
                <w:sz w:val="20"/>
                <w:szCs w:val="20"/>
              </w:rPr>
              <w:t>Descripción del Proyecto</w:t>
            </w:r>
          </w:p>
        </w:tc>
        <w:tc>
          <w:tcPr>
            <w:tcW w:w="1276" w:type="dxa"/>
            <w:shd w:val="clear" w:color="auto" w:fill="365F91" w:themeFill="accent1" w:themeFillShade="BF"/>
            <w:vAlign w:val="center"/>
            <w:hideMark/>
          </w:tcPr>
          <w:p w:rsidR="00FE60B3" w:rsidRPr="004B1036" w:rsidRDefault="00FE60B3" w:rsidP="008C7ADA">
            <w:pPr>
              <w:spacing w:line="240" w:lineRule="auto"/>
              <w:jc w:val="center"/>
              <w:rPr>
                <w:b/>
                <w:color w:val="FFFFFF" w:themeColor="background1"/>
                <w:sz w:val="20"/>
                <w:szCs w:val="20"/>
              </w:rPr>
            </w:pPr>
            <w:r w:rsidRPr="6B89B391">
              <w:rPr>
                <w:b/>
                <w:color w:val="FFFFFF" w:themeColor="background1"/>
                <w:sz w:val="20"/>
                <w:szCs w:val="20"/>
              </w:rPr>
              <w:t>Estado al 31/12/202</w:t>
            </w:r>
            <w:r w:rsidR="00665030" w:rsidRPr="6B89B391">
              <w:rPr>
                <w:b/>
                <w:color w:val="FFFFFF" w:themeColor="background1"/>
                <w:sz w:val="20"/>
                <w:szCs w:val="20"/>
              </w:rPr>
              <w:t>2</w:t>
            </w:r>
          </w:p>
        </w:tc>
      </w:tr>
      <w:tr w:rsidR="00FE60B3" w:rsidRPr="004B1036" w:rsidTr="00930B4D">
        <w:trPr>
          <w:cantSplit/>
          <w:trHeight w:val="1085"/>
          <w:jc w:val="center"/>
        </w:trPr>
        <w:tc>
          <w:tcPr>
            <w:tcW w:w="2158" w:type="dxa"/>
            <w:gridSpan w:val="2"/>
            <w:vMerge w:val="restart"/>
            <w:shd w:val="clear" w:color="auto" w:fill="95B3D7" w:themeFill="accent1" w:themeFillTint="99"/>
          </w:tcPr>
          <w:p w:rsidR="00FE60B3" w:rsidRPr="004B1036" w:rsidRDefault="00FE60B3" w:rsidP="008C7ADA">
            <w:pPr>
              <w:spacing w:line="240" w:lineRule="auto"/>
              <w:rPr>
                <w:strike/>
                <w:sz w:val="20"/>
                <w:szCs w:val="20"/>
                <w:highlight w:val="yellow"/>
              </w:rPr>
            </w:pPr>
            <w:r w:rsidRPr="6B89B391">
              <w:rPr>
                <w:b/>
                <w:sz w:val="20"/>
                <w:szCs w:val="20"/>
              </w:rPr>
              <w:t>REGULACIÓN Y SUPERVISIÓN:</w:t>
            </w:r>
            <w:r w:rsidRPr="6B89B391">
              <w:rPr>
                <w:sz w:val="20"/>
                <w:szCs w:val="20"/>
              </w:rPr>
              <w:t xml:space="preserve"> Profundizar la aplicación de buenas prácticas internacionales</w:t>
            </w:r>
          </w:p>
        </w:tc>
        <w:tc>
          <w:tcPr>
            <w:tcW w:w="2158" w:type="dxa"/>
            <w:gridSpan w:val="2"/>
            <w:vMerge w:val="restart"/>
            <w:shd w:val="clear" w:color="auto" w:fill="auto"/>
          </w:tcPr>
          <w:p w:rsidR="00FE60B3" w:rsidRPr="004B1036" w:rsidRDefault="00FE60B3" w:rsidP="008C7ADA">
            <w:pPr>
              <w:spacing w:line="240" w:lineRule="auto"/>
              <w:ind w:left="2" w:hangingChars="1" w:hanging="2"/>
              <w:rPr>
                <w:sz w:val="20"/>
                <w:szCs w:val="20"/>
              </w:rPr>
            </w:pPr>
            <w:r w:rsidRPr="6B89B391">
              <w:rPr>
                <w:sz w:val="20"/>
                <w:szCs w:val="20"/>
              </w:rPr>
              <w:t>1.1 Actualizar el modelo de Suficiencia Patrimonial con base en Riesgos en un plazo de cinco años</w:t>
            </w:r>
          </w:p>
          <w:p w:rsidR="00FE60B3" w:rsidRPr="004B1036" w:rsidRDefault="00FE60B3" w:rsidP="008C7ADA">
            <w:pPr>
              <w:spacing w:line="240" w:lineRule="auto"/>
              <w:ind w:left="2" w:hangingChars="1" w:hanging="2"/>
              <w:rPr>
                <w:rFonts w:cstheme="minorHAnsi"/>
                <w:sz w:val="20"/>
                <w:szCs w:val="20"/>
                <w:highlight w:val="yellow"/>
              </w:rPr>
            </w:pPr>
          </w:p>
        </w:tc>
        <w:tc>
          <w:tcPr>
            <w:tcW w:w="2158" w:type="dxa"/>
            <w:shd w:val="clear" w:color="auto" w:fill="auto"/>
          </w:tcPr>
          <w:p w:rsidR="00FE60B3" w:rsidRPr="004B1036" w:rsidRDefault="00FE60B3" w:rsidP="008C7ADA">
            <w:pPr>
              <w:spacing w:line="240" w:lineRule="auto"/>
              <w:rPr>
                <w:sz w:val="20"/>
                <w:szCs w:val="20"/>
                <w:highlight w:val="yellow"/>
              </w:rPr>
            </w:pPr>
            <w:r w:rsidRPr="6B89B391">
              <w:rPr>
                <w:color w:val="404040" w:themeColor="text1" w:themeTint="BF"/>
                <w:kern w:val="24"/>
                <w:sz w:val="20"/>
                <w:szCs w:val="20"/>
              </w:rPr>
              <w:t>1.1.1 Modelo de Capital Basado en Riesgo Tipo Solvencia II</w:t>
            </w:r>
          </w:p>
        </w:tc>
        <w:tc>
          <w:tcPr>
            <w:tcW w:w="2877" w:type="dxa"/>
            <w:gridSpan w:val="2"/>
            <w:shd w:val="clear" w:color="auto" w:fill="FFFFFF" w:themeFill="background1"/>
          </w:tcPr>
          <w:p w:rsidR="00FE60B3" w:rsidRPr="004B1036" w:rsidRDefault="00FE60B3" w:rsidP="008C7ADA">
            <w:pPr>
              <w:spacing w:line="240" w:lineRule="auto"/>
              <w:rPr>
                <w:sz w:val="20"/>
                <w:szCs w:val="20"/>
                <w:highlight w:val="yellow"/>
              </w:rPr>
            </w:pPr>
            <w:r w:rsidRPr="6B89B391">
              <w:rPr>
                <w:color w:val="000000" w:themeColor="text1"/>
                <w:sz w:val="20"/>
                <w:szCs w:val="20"/>
              </w:rPr>
              <w:t>Diagnóstico de la brecha de cumplimiento de los estándares internaciones y mejores prácticas para la regulación y supervisión de la solvencia de las entidades de seguros, e implementación de una reforma integral del régimen de solvencia de las aseguradoras, para avanzar hacia un modelo tipo Solvencia II.</w:t>
            </w:r>
          </w:p>
        </w:tc>
        <w:tc>
          <w:tcPr>
            <w:tcW w:w="1276" w:type="dxa"/>
            <w:shd w:val="clear" w:color="auto" w:fill="FFFFFF" w:themeFill="background1"/>
          </w:tcPr>
          <w:p w:rsidR="00FE60B3" w:rsidRPr="004B1036" w:rsidRDefault="00FE60B3" w:rsidP="005821F6">
            <w:pPr>
              <w:spacing w:line="240" w:lineRule="auto"/>
              <w:jc w:val="center"/>
              <w:rPr>
                <w:color w:val="000000" w:themeColor="text1"/>
                <w:sz w:val="20"/>
                <w:szCs w:val="20"/>
              </w:rPr>
            </w:pPr>
            <w:r w:rsidRPr="6B89B391">
              <w:rPr>
                <w:color w:val="000000" w:themeColor="text1"/>
                <w:sz w:val="20"/>
                <w:szCs w:val="20"/>
              </w:rPr>
              <w:t>Finalizada Fase I</w:t>
            </w:r>
          </w:p>
        </w:tc>
      </w:tr>
      <w:tr w:rsidR="00FE60B3" w:rsidRPr="004B1036" w:rsidTr="00930B4D">
        <w:trPr>
          <w:cantSplit/>
          <w:trHeight w:val="1219"/>
          <w:jc w:val="center"/>
        </w:trPr>
        <w:tc>
          <w:tcPr>
            <w:tcW w:w="2158" w:type="dxa"/>
            <w:gridSpan w:val="2"/>
            <w:vMerge/>
            <w:shd w:val="clear" w:color="auto" w:fill="95B3D7" w:themeFill="accent1" w:themeFillTint="99"/>
            <w:hideMark/>
          </w:tcPr>
          <w:p w:rsidR="00FE60B3" w:rsidRPr="004B1036" w:rsidRDefault="00FE60B3" w:rsidP="008C7ADA">
            <w:pPr>
              <w:spacing w:line="240" w:lineRule="auto"/>
              <w:rPr>
                <w:rFonts w:cstheme="minorHAnsi"/>
                <w:color w:val="000000"/>
                <w:sz w:val="20"/>
                <w:szCs w:val="20"/>
                <w:highlight w:val="yellow"/>
              </w:rPr>
            </w:pPr>
          </w:p>
        </w:tc>
        <w:tc>
          <w:tcPr>
            <w:tcW w:w="2158" w:type="dxa"/>
            <w:gridSpan w:val="2"/>
            <w:vMerge/>
            <w:shd w:val="clear" w:color="auto" w:fill="auto"/>
            <w:hideMark/>
          </w:tcPr>
          <w:p w:rsidR="00FE60B3" w:rsidRPr="004B1036" w:rsidRDefault="00FE60B3" w:rsidP="008C7ADA">
            <w:pPr>
              <w:spacing w:line="240" w:lineRule="auto"/>
              <w:ind w:left="2" w:hangingChars="1" w:hanging="2"/>
              <w:rPr>
                <w:rFonts w:cstheme="minorHAnsi"/>
                <w:sz w:val="20"/>
                <w:szCs w:val="20"/>
                <w:highlight w:val="yellow"/>
              </w:rPr>
            </w:pPr>
          </w:p>
        </w:tc>
        <w:tc>
          <w:tcPr>
            <w:tcW w:w="2158" w:type="dxa"/>
            <w:shd w:val="clear" w:color="auto" w:fill="auto"/>
            <w:vAlign w:val="center"/>
          </w:tcPr>
          <w:p w:rsidR="00FE60B3" w:rsidRPr="004B1036" w:rsidRDefault="00FE60B3" w:rsidP="008C7ADA">
            <w:pPr>
              <w:spacing w:line="240" w:lineRule="auto"/>
              <w:rPr>
                <w:sz w:val="20"/>
                <w:szCs w:val="20"/>
                <w:highlight w:val="yellow"/>
              </w:rPr>
            </w:pPr>
            <w:r w:rsidRPr="6B89B391">
              <w:rPr>
                <w:color w:val="404040" w:themeColor="text1" w:themeTint="BF"/>
                <w:kern w:val="24"/>
                <w:sz w:val="20"/>
                <w:szCs w:val="20"/>
              </w:rPr>
              <w:t>1.1.2 Enfoque para la supervisión de reaseguros</w:t>
            </w:r>
          </w:p>
        </w:tc>
        <w:tc>
          <w:tcPr>
            <w:tcW w:w="2877" w:type="dxa"/>
            <w:gridSpan w:val="2"/>
            <w:shd w:val="clear" w:color="auto" w:fill="FFFFFF" w:themeFill="background1"/>
          </w:tcPr>
          <w:p w:rsidR="00FE60B3" w:rsidRPr="004B1036" w:rsidRDefault="00FE60B3" w:rsidP="008C7ADA">
            <w:pPr>
              <w:spacing w:line="240" w:lineRule="auto"/>
              <w:rPr>
                <w:sz w:val="20"/>
                <w:szCs w:val="20"/>
                <w:highlight w:val="yellow"/>
              </w:rPr>
            </w:pPr>
            <w:r w:rsidRPr="6B89B391">
              <w:rPr>
                <w:color w:val="000000" w:themeColor="text1"/>
                <w:sz w:val="20"/>
                <w:szCs w:val="20"/>
              </w:rPr>
              <w:t>Desarrollo del enfoque de supervisión de reaseguros en el marco del Reglamento de Gestión de Riesgos y Control Interno. Lo anterior permitirá al supervisor contar con lineamientos y criterios generales de orientación en la evaluación de políticas, procedimientos y prácticas de reaseguros, así como evaluación de su efectividad.</w:t>
            </w:r>
          </w:p>
        </w:tc>
        <w:tc>
          <w:tcPr>
            <w:tcW w:w="1276" w:type="dxa"/>
            <w:shd w:val="clear" w:color="auto" w:fill="FFFFFF" w:themeFill="background1"/>
          </w:tcPr>
          <w:p w:rsidR="00FE60B3" w:rsidRPr="004B1036" w:rsidRDefault="00FE60B3" w:rsidP="008C7ADA">
            <w:pPr>
              <w:spacing w:line="240" w:lineRule="auto"/>
              <w:jc w:val="center"/>
              <w:rPr>
                <w:color w:val="000000" w:themeColor="text1"/>
                <w:sz w:val="20"/>
                <w:szCs w:val="20"/>
              </w:rPr>
            </w:pPr>
            <w:r w:rsidRPr="6B89B391">
              <w:rPr>
                <w:color w:val="000000" w:themeColor="text1"/>
                <w:sz w:val="20"/>
                <w:szCs w:val="20"/>
              </w:rPr>
              <w:t>Finalizado</w:t>
            </w:r>
          </w:p>
        </w:tc>
      </w:tr>
      <w:tr w:rsidR="00FE60B3" w:rsidRPr="004B1036" w:rsidTr="00930B4D">
        <w:trPr>
          <w:cantSplit/>
          <w:trHeight w:val="1219"/>
          <w:jc w:val="center"/>
        </w:trPr>
        <w:tc>
          <w:tcPr>
            <w:tcW w:w="2158" w:type="dxa"/>
            <w:gridSpan w:val="2"/>
            <w:vMerge/>
            <w:shd w:val="clear" w:color="auto" w:fill="95B3D7" w:themeFill="accent1" w:themeFillTint="99"/>
          </w:tcPr>
          <w:p w:rsidR="00FE60B3" w:rsidRPr="004B1036" w:rsidRDefault="00FE60B3" w:rsidP="008C7ADA">
            <w:pPr>
              <w:spacing w:line="240" w:lineRule="auto"/>
              <w:rPr>
                <w:rFonts w:cstheme="minorHAnsi"/>
                <w:color w:val="000000"/>
                <w:sz w:val="20"/>
                <w:szCs w:val="20"/>
                <w:highlight w:val="yellow"/>
              </w:rPr>
            </w:pPr>
          </w:p>
        </w:tc>
        <w:tc>
          <w:tcPr>
            <w:tcW w:w="2158" w:type="dxa"/>
            <w:gridSpan w:val="2"/>
            <w:vMerge/>
            <w:shd w:val="clear" w:color="auto" w:fill="auto"/>
          </w:tcPr>
          <w:p w:rsidR="00FE60B3" w:rsidRPr="004B1036" w:rsidRDefault="00FE60B3" w:rsidP="008C7ADA">
            <w:pPr>
              <w:spacing w:line="240" w:lineRule="auto"/>
              <w:ind w:left="2" w:hangingChars="1" w:hanging="2"/>
              <w:rPr>
                <w:rFonts w:cstheme="minorHAnsi"/>
                <w:sz w:val="20"/>
                <w:szCs w:val="20"/>
                <w:highlight w:val="yellow"/>
              </w:rPr>
            </w:pPr>
          </w:p>
        </w:tc>
        <w:tc>
          <w:tcPr>
            <w:tcW w:w="2158" w:type="dxa"/>
            <w:shd w:val="clear" w:color="auto" w:fill="auto"/>
            <w:vAlign w:val="center"/>
          </w:tcPr>
          <w:p w:rsidR="00FE60B3" w:rsidRPr="004B1036" w:rsidRDefault="00FE60B3" w:rsidP="008C7ADA">
            <w:pPr>
              <w:spacing w:line="240" w:lineRule="auto"/>
              <w:rPr>
                <w:color w:val="404040" w:themeColor="text1" w:themeTint="BF"/>
                <w:sz w:val="20"/>
                <w:szCs w:val="20"/>
              </w:rPr>
            </w:pPr>
            <w:r w:rsidRPr="6B89B391">
              <w:rPr>
                <w:color w:val="404040" w:themeColor="text1" w:themeTint="BF"/>
                <w:kern w:val="24"/>
                <w:sz w:val="20"/>
                <w:szCs w:val="20"/>
              </w:rPr>
              <w:t xml:space="preserve">1.1.3 Adopción de la Norma Internacional de NIIF 17 </w:t>
            </w:r>
          </w:p>
        </w:tc>
        <w:tc>
          <w:tcPr>
            <w:tcW w:w="2877" w:type="dxa"/>
            <w:gridSpan w:val="2"/>
            <w:shd w:val="clear" w:color="auto" w:fill="FFFFFF" w:themeFill="background1"/>
          </w:tcPr>
          <w:p w:rsidR="00FE60B3" w:rsidRPr="004B1036" w:rsidRDefault="00FE60B3" w:rsidP="008C7ADA">
            <w:pPr>
              <w:spacing w:line="240" w:lineRule="auto"/>
              <w:rPr>
                <w:color w:val="000000" w:themeColor="text1"/>
                <w:sz w:val="20"/>
                <w:szCs w:val="20"/>
              </w:rPr>
            </w:pPr>
            <w:r w:rsidRPr="6B89B391">
              <w:rPr>
                <w:color w:val="000000" w:themeColor="text1"/>
                <w:sz w:val="20"/>
                <w:szCs w:val="20"/>
              </w:rPr>
              <w:t xml:space="preserve">Reforma de </w:t>
            </w:r>
            <w:r w:rsidR="00CB66F0" w:rsidRPr="6B89B391">
              <w:rPr>
                <w:color w:val="000000" w:themeColor="text1"/>
                <w:sz w:val="20"/>
                <w:szCs w:val="20"/>
              </w:rPr>
              <w:t>la normativa</w:t>
            </w:r>
            <w:r w:rsidRPr="6B89B391">
              <w:rPr>
                <w:color w:val="000000" w:themeColor="text1"/>
                <w:sz w:val="20"/>
                <w:szCs w:val="20"/>
              </w:rPr>
              <w:t xml:space="preserve"> de información financiera costarricense del mercado de seguros, para una adecuada convergencia a la NIIF 17 y normas relacionadas.</w:t>
            </w:r>
          </w:p>
        </w:tc>
        <w:tc>
          <w:tcPr>
            <w:tcW w:w="1276" w:type="dxa"/>
            <w:shd w:val="clear" w:color="auto" w:fill="FFFFFF" w:themeFill="background1"/>
          </w:tcPr>
          <w:p w:rsidR="00FE60B3" w:rsidRPr="004B1036" w:rsidRDefault="00FE60B3" w:rsidP="008C7ADA">
            <w:pPr>
              <w:spacing w:line="240" w:lineRule="auto"/>
              <w:jc w:val="center"/>
              <w:rPr>
                <w:color w:val="000000" w:themeColor="text1"/>
                <w:sz w:val="20"/>
                <w:szCs w:val="20"/>
                <w:highlight w:val="yellow"/>
              </w:rPr>
            </w:pPr>
            <w:r w:rsidRPr="6B89B391">
              <w:rPr>
                <w:color w:val="000000" w:themeColor="text1"/>
                <w:sz w:val="20"/>
                <w:szCs w:val="20"/>
              </w:rPr>
              <w:t xml:space="preserve">En ejecución. </w:t>
            </w:r>
          </w:p>
        </w:tc>
      </w:tr>
      <w:tr w:rsidR="00FE60B3" w:rsidRPr="004B1036" w:rsidTr="00930B4D">
        <w:trPr>
          <w:cantSplit/>
          <w:trHeight w:val="575"/>
          <w:jc w:val="center"/>
        </w:trPr>
        <w:tc>
          <w:tcPr>
            <w:tcW w:w="2158" w:type="dxa"/>
            <w:gridSpan w:val="2"/>
            <w:vMerge/>
            <w:shd w:val="clear" w:color="auto" w:fill="95B3D7" w:themeFill="accent1" w:themeFillTint="99"/>
          </w:tcPr>
          <w:p w:rsidR="00FE60B3" w:rsidRPr="004B1036" w:rsidRDefault="00FE60B3" w:rsidP="008C7ADA">
            <w:pPr>
              <w:spacing w:line="240" w:lineRule="auto"/>
              <w:rPr>
                <w:rFonts w:cstheme="minorHAnsi"/>
                <w:color w:val="000000"/>
                <w:sz w:val="20"/>
                <w:szCs w:val="20"/>
                <w:highlight w:val="yellow"/>
              </w:rPr>
            </w:pPr>
          </w:p>
        </w:tc>
        <w:tc>
          <w:tcPr>
            <w:tcW w:w="2158" w:type="dxa"/>
            <w:gridSpan w:val="2"/>
            <w:vMerge w:val="restart"/>
            <w:shd w:val="clear" w:color="auto" w:fill="auto"/>
            <w:vAlign w:val="center"/>
          </w:tcPr>
          <w:p w:rsidR="00FE60B3" w:rsidRPr="004B1036" w:rsidRDefault="00FE60B3" w:rsidP="008C7ADA">
            <w:pPr>
              <w:spacing w:line="240" w:lineRule="auto"/>
              <w:ind w:left="2" w:hangingChars="1" w:hanging="2"/>
              <w:rPr>
                <w:sz w:val="20"/>
                <w:szCs w:val="20"/>
              </w:rPr>
            </w:pPr>
            <w:r w:rsidRPr="6B89B391">
              <w:rPr>
                <w:sz w:val="20"/>
                <w:szCs w:val="20"/>
              </w:rPr>
              <w:t xml:space="preserve">1.2 </w:t>
            </w:r>
            <w:r w:rsidR="003E27CA" w:rsidRPr="6B89B391">
              <w:rPr>
                <w:sz w:val="20"/>
                <w:szCs w:val="20"/>
              </w:rPr>
              <w:t>P</w:t>
            </w:r>
            <w:r w:rsidRPr="6B89B391">
              <w:rPr>
                <w:sz w:val="20"/>
                <w:szCs w:val="20"/>
              </w:rPr>
              <w:t>robar</w:t>
            </w:r>
            <w:r w:rsidR="003E27CA" w:rsidRPr="6B89B391">
              <w:rPr>
                <w:sz w:val="20"/>
                <w:szCs w:val="20"/>
              </w:rPr>
              <w:t xml:space="preserve"> la propuesta del m</w:t>
            </w:r>
            <w:r w:rsidRPr="6B89B391">
              <w:rPr>
                <w:sz w:val="20"/>
                <w:szCs w:val="20"/>
              </w:rPr>
              <w:t xml:space="preserve">odelo de supervisión de conducta de mercado en un 100% de las entidades incluidas en el plan piloto al </w:t>
            </w:r>
            <w:r w:rsidR="003E27CA" w:rsidRPr="6B89B391">
              <w:rPr>
                <w:sz w:val="20"/>
                <w:szCs w:val="20"/>
              </w:rPr>
              <w:t>2022 e implementarlo en el 100% de las entidades programadas para el 2023.</w:t>
            </w:r>
          </w:p>
        </w:tc>
        <w:tc>
          <w:tcPr>
            <w:tcW w:w="2158" w:type="dxa"/>
            <w:shd w:val="clear" w:color="auto" w:fill="auto"/>
            <w:vAlign w:val="center"/>
          </w:tcPr>
          <w:p w:rsidR="00FE60B3" w:rsidRPr="004B1036" w:rsidRDefault="00FE60B3" w:rsidP="008C7ADA">
            <w:pPr>
              <w:spacing w:line="240" w:lineRule="auto"/>
              <w:rPr>
                <w:sz w:val="20"/>
                <w:szCs w:val="20"/>
              </w:rPr>
            </w:pPr>
            <w:r w:rsidRPr="6B89B391">
              <w:rPr>
                <w:kern w:val="24"/>
                <w:sz w:val="20"/>
                <w:szCs w:val="20"/>
              </w:rPr>
              <w:t>1.2.1 Definición de condiciones para facilitar la inclusión y acceso al seguro de poblaciones meta identificadas</w:t>
            </w:r>
          </w:p>
          <w:p w:rsidR="00FE60B3" w:rsidRPr="004B1036" w:rsidRDefault="00FE60B3" w:rsidP="008C7ADA">
            <w:pPr>
              <w:spacing w:line="240" w:lineRule="auto"/>
              <w:rPr>
                <w:rFonts w:cstheme="minorHAnsi"/>
                <w:bCs/>
                <w:kern w:val="24"/>
                <w:sz w:val="20"/>
                <w:szCs w:val="20"/>
              </w:rPr>
            </w:pPr>
          </w:p>
        </w:tc>
        <w:tc>
          <w:tcPr>
            <w:tcW w:w="2877" w:type="dxa"/>
            <w:gridSpan w:val="2"/>
            <w:shd w:val="clear" w:color="auto" w:fill="auto"/>
          </w:tcPr>
          <w:p w:rsidR="00FE60B3" w:rsidRPr="004B1036" w:rsidRDefault="00FE60B3" w:rsidP="008C7ADA">
            <w:pPr>
              <w:spacing w:line="240" w:lineRule="auto"/>
              <w:rPr>
                <w:sz w:val="20"/>
                <w:szCs w:val="20"/>
                <w:highlight w:val="yellow"/>
              </w:rPr>
            </w:pPr>
            <w:r w:rsidRPr="6B89B391">
              <w:rPr>
                <w:sz w:val="20"/>
                <w:szCs w:val="20"/>
              </w:rPr>
              <w:t>Plantear cambios regulatorios con el objeto de crear condiciones para promover un mercado de seguros más inclusivo.</w:t>
            </w:r>
          </w:p>
        </w:tc>
        <w:tc>
          <w:tcPr>
            <w:tcW w:w="1276" w:type="dxa"/>
            <w:shd w:val="clear" w:color="auto" w:fill="auto"/>
          </w:tcPr>
          <w:p w:rsidR="00FE60B3" w:rsidRPr="004B1036" w:rsidRDefault="00FE60B3" w:rsidP="008C7ADA">
            <w:pPr>
              <w:spacing w:line="240" w:lineRule="auto"/>
              <w:jc w:val="center"/>
              <w:rPr>
                <w:sz w:val="20"/>
                <w:szCs w:val="20"/>
                <w:highlight w:val="yellow"/>
              </w:rPr>
            </w:pPr>
            <w:r w:rsidRPr="6B89B391">
              <w:rPr>
                <w:sz w:val="20"/>
                <w:szCs w:val="20"/>
              </w:rPr>
              <w:t>Finalizado</w:t>
            </w:r>
          </w:p>
        </w:tc>
      </w:tr>
      <w:tr w:rsidR="00FE60B3" w:rsidRPr="004B1036" w:rsidTr="00930B4D">
        <w:trPr>
          <w:cantSplit/>
          <w:trHeight w:val="575"/>
          <w:jc w:val="center"/>
        </w:trPr>
        <w:tc>
          <w:tcPr>
            <w:tcW w:w="2158" w:type="dxa"/>
            <w:gridSpan w:val="2"/>
            <w:vMerge/>
            <w:shd w:val="clear" w:color="auto" w:fill="95B3D7" w:themeFill="accent1" w:themeFillTint="99"/>
            <w:hideMark/>
          </w:tcPr>
          <w:p w:rsidR="00FE60B3" w:rsidRPr="004B1036" w:rsidRDefault="00FE60B3" w:rsidP="008C7ADA">
            <w:pPr>
              <w:spacing w:line="240" w:lineRule="auto"/>
              <w:rPr>
                <w:rFonts w:cstheme="minorHAnsi"/>
                <w:color w:val="000000"/>
                <w:sz w:val="20"/>
                <w:szCs w:val="20"/>
                <w:highlight w:val="yellow"/>
              </w:rPr>
            </w:pPr>
          </w:p>
        </w:tc>
        <w:tc>
          <w:tcPr>
            <w:tcW w:w="2158" w:type="dxa"/>
            <w:gridSpan w:val="2"/>
            <w:vMerge/>
            <w:shd w:val="clear" w:color="auto" w:fill="auto"/>
            <w:hideMark/>
          </w:tcPr>
          <w:p w:rsidR="00FE60B3" w:rsidRPr="004B1036" w:rsidRDefault="00FE60B3" w:rsidP="008C7ADA">
            <w:pPr>
              <w:spacing w:line="240" w:lineRule="auto"/>
              <w:ind w:left="2" w:hangingChars="1" w:hanging="2"/>
              <w:rPr>
                <w:rFonts w:cstheme="minorHAnsi"/>
                <w:sz w:val="20"/>
                <w:szCs w:val="20"/>
              </w:rPr>
            </w:pPr>
          </w:p>
        </w:tc>
        <w:tc>
          <w:tcPr>
            <w:tcW w:w="2158" w:type="dxa"/>
            <w:shd w:val="clear" w:color="auto" w:fill="auto"/>
            <w:vAlign w:val="center"/>
          </w:tcPr>
          <w:p w:rsidR="00FE60B3" w:rsidRPr="004B1036" w:rsidRDefault="00FE60B3" w:rsidP="008C7ADA">
            <w:pPr>
              <w:spacing w:line="240" w:lineRule="auto"/>
              <w:rPr>
                <w:sz w:val="20"/>
                <w:szCs w:val="20"/>
              </w:rPr>
            </w:pPr>
            <w:r w:rsidRPr="6B89B391">
              <w:rPr>
                <w:color w:val="404040" w:themeColor="text1" w:themeTint="BF"/>
                <w:kern w:val="24"/>
                <w:sz w:val="20"/>
                <w:szCs w:val="20"/>
              </w:rPr>
              <w:t>1.2.2 Modelo de supervisión de conducta de negocio</w:t>
            </w:r>
          </w:p>
        </w:tc>
        <w:tc>
          <w:tcPr>
            <w:tcW w:w="2877" w:type="dxa"/>
            <w:gridSpan w:val="2"/>
            <w:shd w:val="clear" w:color="auto" w:fill="FFFFFF" w:themeFill="background1"/>
          </w:tcPr>
          <w:p w:rsidR="00FE60B3" w:rsidRPr="004B1036" w:rsidRDefault="00FE60B3" w:rsidP="008C7ADA">
            <w:pPr>
              <w:spacing w:line="240" w:lineRule="auto"/>
              <w:rPr>
                <w:sz w:val="20"/>
                <w:szCs w:val="20"/>
              </w:rPr>
            </w:pPr>
            <w:r w:rsidRPr="6B89B391">
              <w:rPr>
                <w:color w:val="404040" w:themeColor="text1" w:themeTint="BF"/>
                <w:kern w:val="24"/>
                <w:sz w:val="20"/>
                <w:szCs w:val="20"/>
              </w:rPr>
              <w:t>Modelo de Supervisión de Conducta de Negocio bajo un enfoque de supervisión basada en riesgos; con la finalidad de procurar que el consumidor reciba un trato justo hacia el consumidor de seguros y facilitar el mercado a partir de la confianza que genere en el consumidor la relación con su aseguradora e intermediario.</w:t>
            </w:r>
          </w:p>
        </w:tc>
        <w:tc>
          <w:tcPr>
            <w:tcW w:w="1276" w:type="dxa"/>
            <w:shd w:val="clear" w:color="auto" w:fill="auto"/>
          </w:tcPr>
          <w:p w:rsidR="00FE60B3" w:rsidRPr="004B1036" w:rsidRDefault="00FE60B3" w:rsidP="008C7ADA">
            <w:pPr>
              <w:spacing w:line="240" w:lineRule="auto"/>
              <w:jc w:val="center"/>
              <w:rPr>
                <w:color w:val="000000" w:themeColor="text1"/>
                <w:sz w:val="20"/>
                <w:szCs w:val="20"/>
              </w:rPr>
            </w:pPr>
            <w:r w:rsidRPr="6B89B391">
              <w:rPr>
                <w:color w:val="000000" w:themeColor="text1"/>
                <w:sz w:val="20"/>
                <w:szCs w:val="20"/>
              </w:rPr>
              <w:t>En ejecución</w:t>
            </w:r>
          </w:p>
        </w:tc>
      </w:tr>
      <w:tr w:rsidR="00FE60B3" w:rsidRPr="004B1036" w:rsidTr="00930B4D">
        <w:trPr>
          <w:cantSplit/>
          <w:trHeight w:val="1274"/>
          <w:jc w:val="center"/>
        </w:trPr>
        <w:tc>
          <w:tcPr>
            <w:tcW w:w="2158" w:type="dxa"/>
            <w:gridSpan w:val="2"/>
            <w:vMerge/>
            <w:shd w:val="clear" w:color="auto" w:fill="95B3D7" w:themeFill="accent1" w:themeFillTint="99"/>
          </w:tcPr>
          <w:p w:rsidR="00FE60B3" w:rsidRPr="004B1036" w:rsidRDefault="00FE60B3" w:rsidP="008C7ADA">
            <w:pPr>
              <w:spacing w:line="240" w:lineRule="auto"/>
              <w:rPr>
                <w:rFonts w:cstheme="minorHAnsi"/>
                <w:color w:val="000000"/>
                <w:sz w:val="20"/>
                <w:szCs w:val="20"/>
                <w:highlight w:val="yellow"/>
              </w:rPr>
            </w:pPr>
          </w:p>
        </w:tc>
        <w:tc>
          <w:tcPr>
            <w:tcW w:w="2158" w:type="dxa"/>
            <w:gridSpan w:val="2"/>
            <w:shd w:val="clear" w:color="auto" w:fill="FFFFFF" w:themeFill="background1"/>
          </w:tcPr>
          <w:p w:rsidR="00FE60B3" w:rsidRPr="004B1036" w:rsidRDefault="00FE60B3" w:rsidP="008C7ADA">
            <w:pPr>
              <w:spacing w:line="240" w:lineRule="auto"/>
              <w:rPr>
                <w:color w:val="000000" w:themeColor="text1"/>
                <w:sz w:val="20"/>
                <w:szCs w:val="20"/>
                <w:highlight w:val="yellow"/>
              </w:rPr>
            </w:pPr>
            <w:r w:rsidRPr="6B89B391">
              <w:rPr>
                <w:color w:val="000000" w:themeColor="text1"/>
                <w:sz w:val="20"/>
                <w:szCs w:val="20"/>
              </w:rPr>
              <w:t>1.3 Implementar un procedimiento que permita la revisión permanente de la normativa vigente en un plazo de un año.</w:t>
            </w:r>
          </w:p>
        </w:tc>
        <w:tc>
          <w:tcPr>
            <w:tcW w:w="2158" w:type="dxa"/>
            <w:shd w:val="clear" w:color="auto" w:fill="FFFFFF" w:themeFill="background1"/>
          </w:tcPr>
          <w:p w:rsidR="00FE60B3" w:rsidRPr="004B1036" w:rsidRDefault="00FE60B3" w:rsidP="008C7ADA">
            <w:pPr>
              <w:spacing w:line="240" w:lineRule="auto"/>
              <w:rPr>
                <w:color w:val="000000" w:themeColor="text1"/>
                <w:sz w:val="20"/>
                <w:szCs w:val="20"/>
              </w:rPr>
            </w:pPr>
            <w:r w:rsidRPr="6B89B391">
              <w:rPr>
                <w:color w:val="000000" w:themeColor="text1"/>
                <w:sz w:val="20"/>
                <w:szCs w:val="20"/>
              </w:rPr>
              <w:t>1.3.1 Procedimiento de revisión permanente de normativa de seguros</w:t>
            </w:r>
          </w:p>
        </w:tc>
        <w:tc>
          <w:tcPr>
            <w:tcW w:w="2877" w:type="dxa"/>
            <w:gridSpan w:val="2"/>
            <w:shd w:val="clear" w:color="auto" w:fill="FFFFFF" w:themeFill="background1"/>
          </w:tcPr>
          <w:p w:rsidR="00FE60B3" w:rsidRPr="004B1036" w:rsidRDefault="00FE60B3" w:rsidP="008C7ADA">
            <w:pPr>
              <w:pStyle w:val="Textoindependienteprimerasangra2"/>
              <w:spacing w:line="240" w:lineRule="auto"/>
              <w:ind w:left="0" w:firstLine="0"/>
              <w:rPr>
                <w:color w:val="000000" w:themeColor="text1"/>
                <w:sz w:val="20"/>
                <w:szCs w:val="20"/>
                <w:lang w:eastAsia="es-ES"/>
              </w:rPr>
            </w:pPr>
            <w:r w:rsidRPr="6B89B391">
              <w:rPr>
                <w:color w:val="000000" w:themeColor="text1"/>
                <w:sz w:val="20"/>
                <w:szCs w:val="20"/>
                <w:lang w:eastAsia="es-ES"/>
              </w:rPr>
              <w:t xml:space="preserve">Implementación de mecanismo que permita la revisión continua del programa de desarrollo de normativa de seguros, de tal forma que se programa su ajuste a los cambios en las prácticas internacionales, los principios de supervisión, la legislación nacional e internacional. </w:t>
            </w:r>
          </w:p>
        </w:tc>
        <w:tc>
          <w:tcPr>
            <w:tcW w:w="1276" w:type="dxa"/>
            <w:shd w:val="clear" w:color="auto" w:fill="FFFFFF" w:themeFill="background1"/>
          </w:tcPr>
          <w:p w:rsidR="00FE60B3" w:rsidRPr="004B1036" w:rsidRDefault="00FE60B3" w:rsidP="008C7ADA">
            <w:pPr>
              <w:spacing w:line="240" w:lineRule="auto"/>
              <w:jc w:val="center"/>
              <w:rPr>
                <w:sz w:val="20"/>
                <w:szCs w:val="20"/>
                <w:highlight w:val="yellow"/>
              </w:rPr>
            </w:pPr>
            <w:r w:rsidRPr="6B89B391">
              <w:rPr>
                <w:sz w:val="20"/>
                <w:szCs w:val="20"/>
              </w:rPr>
              <w:t>Finalizado</w:t>
            </w:r>
          </w:p>
        </w:tc>
      </w:tr>
      <w:tr w:rsidR="00FE60B3" w:rsidRPr="004B1036" w:rsidTr="00930B4D">
        <w:trPr>
          <w:cantSplit/>
          <w:trHeight w:val="912"/>
          <w:jc w:val="center"/>
        </w:trPr>
        <w:tc>
          <w:tcPr>
            <w:tcW w:w="2158" w:type="dxa"/>
            <w:gridSpan w:val="2"/>
            <w:vMerge w:val="restart"/>
            <w:shd w:val="clear" w:color="auto" w:fill="95B3D7" w:themeFill="accent1" w:themeFillTint="99"/>
            <w:hideMark/>
          </w:tcPr>
          <w:p w:rsidR="00FE60B3" w:rsidRPr="004B1036" w:rsidRDefault="00FE60B3" w:rsidP="008C7ADA">
            <w:pPr>
              <w:spacing w:line="240" w:lineRule="auto"/>
              <w:ind w:firstLineChars="100" w:firstLine="200"/>
              <w:rPr>
                <w:rFonts w:cstheme="minorHAnsi"/>
                <w:color w:val="000000"/>
                <w:sz w:val="20"/>
                <w:szCs w:val="20"/>
              </w:rPr>
            </w:pPr>
          </w:p>
          <w:p w:rsidR="00FE60B3" w:rsidRPr="004B1036" w:rsidRDefault="00FE60B3" w:rsidP="008C7ADA">
            <w:pPr>
              <w:spacing w:line="240" w:lineRule="auto"/>
              <w:rPr>
                <w:b/>
                <w:sz w:val="20"/>
                <w:szCs w:val="20"/>
              </w:rPr>
            </w:pPr>
            <w:r w:rsidRPr="6B89B391">
              <w:rPr>
                <w:b/>
                <w:sz w:val="20"/>
                <w:szCs w:val="20"/>
              </w:rPr>
              <w:t xml:space="preserve">ORGANIZACIÓN: </w:t>
            </w:r>
            <w:r w:rsidRPr="6B89B391">
              <w:rPr>
                <w:sz w:val="20"/>
                <w:szCs w:val="20"/>
              </w:rPr>
              <w:t>Impulsar la mejora continua de la organización</w:t>
            </w:r>
          </w:p>
        </w:tc>
        <w:tc>
          <w:tcPr>
            <w:tcW w:w="2158" w:type="dxa"/>
            <w:gridSpan w:val="2"/>
            <w:shd w:val="clear" w:color="auto" w:fill="FFFFFF" w:themeFill="background1"/>
          </w:tcPr>
          <w:p w:rsidR="00FE60B3" w:rsidRPr="004B1036" w:rsidRDefault="00FE60B3" w:rsidP="008C7ADA">
            <w:pPr>
              <w:spacing w:line="240" w:lineRule="auto"/>
              <w:ind w:left="2" w:hangingChars="1" w:hanging="2"/>
              <w:rPr>
                <w:color w:val="000000" w:themeColor="text1"/>
                <w:sz w:val="20"/>
                <w:szCs w:val="20"/>
              </w:rPr>
            </w:pPr>
            <w:r w:rsidRPr="6B89B391">
              <w:rPr>
                <w:color w:val="000000" w:themeColor="text1"/>
                <w:sz w:val="20"/>
                <w:szCs w:val="20"/>
              </w:rPr>
              <w:t xml:space="preserve">2.1. Contar con un modelo para gestionar talento humano, para cumplir con los objetivos de la Superintendencia, en un plazo máximo de </w:t>
            </w:r>
            <w:r w:rsidR="003E27CA" w:rsidRPr="6B89B391">
              <w:rPr>
                <w:color w:val="000000" w:themeColor="text1"/>
                <w:sz w:val="20"/>
                <w:szCs w:val="20"/>
              </w:rPr>
              <w:t>dos</w:t>
            </w:r>
            <w:r w:rsidRPr="6B89B391">
              <w:rPr>
                <w:color w:val="000000" w:themeColor="text1"/>
                <w:sz w:val="20"/>
                <w:szCs w:val="20"/>
              </w:rPr>
              <w:t xml:space="preserve"> años</w:t>
            </w:r>
          </w:p>
        </w:tc>
        <w:tc>
          <w:tcPr>
            <w:tcW w:w="2158" w:type="dxa"/>
            <w:shd w:val="clear" w:color="auto" w:fill="auto"/>
          </w:tcPr>
          <w:p w:rsidR="00FE60B3" w:rsidRPr="004B1036" w:rsidRDefault="00FE60B3" w:rsidP="008C7ADA">
            <w:pPr>
              <w:spacing w:line="240" w:lineRule="auto"/>
              <w:rPr>
                <w:color w:val="000000" w:themeColor="text1"/>
                <w:sz w:val="20"/>
                <w:szCs w:val="20"/>
              </w:rPr>
            </w:pPr>
            <w:r w:rsidRPr="6B89B391">
              <w:rPr>
                <w:color w:val="000000" w:themeColor="text1"/>
                <w:sz w:val="20"/>
                <w:szCs w:val="20"/>
              </w:rPr>
              <w:t>2.1.1 Modelo de Gestión del Talento Humano.</w:t>
            </w:r>
          </w:p>
        </w:tc>
        <w:tc>
          <w:tcPr>
            <w:tcW w:w="2877" w:type="dxa"/>
            <w:gridSpan w:val="2"/>
            <w:shd w:val="clear" w:color="auto" w:fill="auto"/>
          </w:tcPr>
          <w:p w:rsidR="00FE60B3" w:rsidRPr="004B1036" w:rsidRDefault="00FE60B3" w:rsidP="008C7ADA">
            <w:pPr>
              <w:spacing w:line="240" w:lineRule="auto"/>
              <w:rPr>
                <w:color w:val="000000" w:themeColor="text1"/>
                <w:sz w:val="20"/>
                <w:szCs w:val="20"/>
              </w:rPr>
            </w:pPr>
            <w:r w:rsidRPr="6B89B391">
              <w:rPr>
                <w:color w:val="000000" w:themeColor="text1"/>
                <w:sz w:val="20"/>
                <w:szCs w:val="20"/>
              </w:rPr>
              <w:t xml:space="preserve">Contar con un modelo de gestión del talento humano que permita a la </w:t>
            </w:r>
            <w:r w:rsidR="00D82277" w:rsidRPr="6B89B391">
              <w:rPr>
                <w:color w:val="000000" w:themeColor="text1"/>
                <w:sz w:val="20"/>
                <w:szCs w:val="20"/>
              </w:rPr>
              <w:t>SUGESE</w:t>
            </w:r>
            <w:r w:rsidRPr="6B89B391">
              <w:rPr>
                <w:color w:val="000000" w:themeColor="text1"/>
                <w:sz w:val="20"/>
                <w:szCs w:val="20"/>
              </w:rPr>
              <w:t xml:space="preserve"> cumplir sus objetivos.</w:t>
            </w:r>
          </w:p>
        </w:tc>
        <w:tc>
          <w:tcPr>
            <w:tcW w:w="1276" w:type="dxa"/>
            <w:shd w:val="clear" w:color="auto" w:fill="auto"/>
          </w:tcPr>
          <w:p w:rsidR="00FE60B3" w:rsidRPr="004B1036" w:rsidRDefault="00FE60B3" w:rsidP="008C7ADA">
            <w:pPr>
              <w:spacing w:line="240" w:lineRule="auto"/>
              <w:jc w:val="center"/>
              <w:rPr>
                <w:sz w:val="20"/>
                <w:szCs w:val="20"/>
              </w:rPr>
            </w:pPr>
            <w:r w:rsidRPr="6B89B391">
              <w:rPr>
                <w:sz w:val="20"/>
                <w:szCs w:val="20"/>
              </w:rPr>
              <w:t>En ejecución</w:t>
            </w:r>
          </w:p>
        </w:tc>
      </w:tr>
      <w:tr w:rsidR="00FE60B3" w:rsidRPr="004B1036" w:rsidTr="00930B4D">
        <w:trPr>
          <w:cantSplit/>
          <w:trHeight w:val="179"/>
          <w:jc w:val="center"/>
        </w:trPr>
        <w:tc>
          <w:tcPr>
            <w:tcW w:w="2158" w:type="dxa"/>
            <w:gridSpan w:val="2"/>
            <w:vMerge/>
            <w:shd w:val="clear" w:color="auto" w:fill="95B3D7" w:themeFill="accent1" w:themeFillTint="99"/>
          </w:tcPr>
          <w:p w:rsidR="00FE60B3" w:rsidRPr="004B1036" w:rsidRDefault="00FE60B3" w:rsidP="008C7ADA">
            <w:pPr>
              <w:spacing w:line="240" w:lineRule="auto"/>
              <w:ind w:firstLineChars="100" w:firstLine="200"/>
              <w:rPr>
                <w:rFonts w:cstheme="minorHAnsi"/>
                <w:color w:val="000000"/>
                <w:sz w:val="20"/>
                <w:szCs w:val="20"/>
              </w:rPr>
            </w:pPr>
          </w:p>
        </w:tc>
        <w:tc>
          <w:tcPr>
            <w:tcW w:w="2158" w:type="dxa"/>
            <w:gridSpan w:val="2"/>
            <w:shd w:val="clear" w:color="auto" w:fill="auto"/>
          </w:tcPr>
          <w:p w:rsidR="00FE60B3" w:rsidRPr="004B1036" w:rsidRDefault="00FE60B3" w:rsidP="008C7ADA">
            <w:pPr>
              <w:spacing w:line="240" w:lineRule="auto"/>
              <w:ind w:left="2" w:hangingChars="1" w:hanging="2"/>
              <w:rPr>
                <w:color w:val="000000" w:themeColor="text1"/>
                <w:sz w:val="20"/>
                <w:szCs w:val="20"/>
              </w:rPr>
            </w:pPr>
            <w:r w:rsidRPr="6B89B391">
              <w:rPr>
                <w:color w:val="000000" w:themeColor="text1"/>
                <w:sz w:val="20"/>
                <w:szCs w:val="20"/>
              </w:rPr>
              <w:t>2.2. Actualizar el sistema de gestión por proceso de la SUGESE de acuerdo con las características de la institución para 2023.</w:t>
            </w:r>
          </w:p>
        </w:tc>
        <w:tc>
          <w:tcPr>
            <w:tcW w:w="2158" w:type="dxa"/>
            <w:shd w:val="clear" w:color="auto" w:fill="auto"/>
          </w:tcPr>
          <w:p w:rsidR="00FE60B3" w:rsidRPr="004B1036" w:rsidRDefault="00FE60B3" w:rsidP="008C7ADA">
            <w:pPr>
              <w:spacing w:line="240" w:lineRule="auto"/>
              <w:rPr>
                <w:color w:val="000000" w:themeColor="text1"/>
                <w:sz w:val="20"/>
                <w:szCs w:val="20"/>
              </w:rPr>
            </w:pPr>
            <w:r w:rsidRPr="6B89B391">
              <w:rPr>
                <w:color w:val="000000" w:themeColor="text1"/>
                <w:sz w:val="20"/>
                <w:szCs w:val="20"/>
              </w:rPr>
              <w:t xml:space="preserve">2.2.1 Revisión y actualización del sistema de gestión de procesos de la </w:t>
            </w:r>
            <w:r w:rsidR="00D82277" w:rsidRPr="6B89B391">
              <w:rPr>
                <w:color w:val="000000" w:themeColor="text1"/>
                <w:sz w:val="20"/>
                <w:szCs w:val="20"/>
              </w:rPr>
              <w:t>SUGESE</w:t>
            </w:r>
            <w:r w:rsidRPr="6B89B391">
              <w:rPr>
                <w:color w:val="000000" w:themeColor="text1"/>
                <w:sz w:val="20"/>
                <w:szCs w:val="20"/>
              </w:rPr>
              <w:t>.</w:t>
            </w:r>
          </w:p>
          <w:p w:rsidR="00FE60B3" w:rsidRPr="004B1036" w:rsidRDefault="00FE60B3" w:rsidP="008C7ADA">
            <w:pPr>
              <w:spacing w:line="240" w:lineRule="auto"/>
              <w:rPr>
                <w:rFonts w:cstheme="minorHAnsi"/>
                <w:color w:val="000000"/>
                <w:sz w:val="20"/>
                <w:szCs w:val="20"/>
              </w:rPr>
            </w:pPr>
          </w:p>
        </w:tc>
        <w:tc>
          <w:tcPr>
            <w:tcW w:w="2877" w:type="dxa"/>
            <w:gridSpan w:val="2"/>
            <w:shd w:val="clear" w:color="auto" w:fill="auto"/>
          </w:tcPr>
          <w:p w:rsidR="00FE60B3" w:rsidRPr="004B1036" w:rsidRDefault="003E27CA" w:rsidP="008C7ADA">
            <w:pPr>
              <w:spacing w:line="240" w:lineRule="auto"/>
              <w:rPr>
                <w:color w:val="000000" w:themeColor="text1"/>
                <w:sz w:val="20"/>
                <w:szCs w:val="20"/>
              </w:rPr>
            </w:pPr>
            <w:r w:rsidRPr="6B89B391">
              <w:rPr>
                <w:color w:val="000000" w:themeColor="text1"/>
                <w:sz w:val="20"/>
                <w:szCs w:val="20"/>
              </w:rPr>
              <w:t>A</w:t>
            </w:r>
            <w:r w:rsidR="00FE60B3" w:rsidRPr="6B89B391">
              <w:rPr>
                <w:color w:val="000000" w:themeColor="text1"/>
                <w:sz w:val="20"/>
                <w:szCs w:val="20"/>
              </w:rPr>
              <w:t xml:space="preserve">ctualización del sistema de gestión de procesos de la </w:t>
            </w:r>
            <w:r w:rsidR="00D82277" w:rsidRPr="6B89B391">
              <w:rPr>
                <w:color w:val="000000" w:themeColor="text1"/>
                <w:sz w:val="20"/>
                <w:szCs w:val="20"/>
              </w:rPr>
              <w:t>SUGESE</w:t>
            </w:r>
            <w:r w:rsidR="00FE60B3" w:rsidRPr="6B89B391">
              <w:rPr>
                <w:color w:val="000000" w:themeColor="text1"/>
                <w:sz w:val="20"/>
                <w:szCs w:val="20"/>
              </w:rPr>
              <w:t>.</w:t>
            </w:r>
          </w:p>
        </w:tc>
        <w:tc>
          <w:tcPr>
            <w:tcW w:w="1276" w:type="dxa"/>
            <w:shd w:val="clear" w:color="auto" w:fill="auto"/>
          </w:tcPr>
          <w:p w:rsidR="00FE60B3" w:rsidRPr="004B1036" w:rsidRDefault="00E31DBA" w:rsidP="008C7ADA">
            <w:pPr>
              <w:spacing w:line="240" w:lineRule="auto"/>
              <w:jc w:val="center"/>
              <w:rPr>
                <w:sz w:val="20"/>
                <w:szCs w:val="20"/>
              </w:rPr>
            </w:pPr>
            <w:r w:rsidRPr="6B89B391">
              <w:rPr>
                <w:sz w:val="20"/>
                <w:szCs w:val="20"/>
              </w:rPr>
              <w:t>En ejecución</w:t>
            </w:r>
          </w:p>
        </w:tc>
      </w:tr>
      <w:tr w:rsidR="00FE60B3" w:rsidRPr="004B1036" w:rsidTr="00930B4D">
        <w:trPr>
          <w:cantSplit/>
          <w:trHeight w:val="444"/>
          <w:jc w:val="center"/>
        </w:trPr>
        <w:tc>
          <w:tcPr>
            <w:tcW w:w="2158" w:type="dxa"/>
            <w:gridSpan w:val="2"/>
            <w:vMerge/>
            <w:shd w:val="clear" w:color="auto" w:fill="95B3D7" w:themeFill="accent1" w:themeFillTint="99"/>
          </w:tcPr>
          <w:p w:rsidR="00FE60B3" w:rsidRPr="004B1036" w:rsidRDefault="00FE60B3" w:rsidP="008C7ADA">
            <w:pPr>
              <w:spacing w:line="240" w:lineRule="auto"/>
              <w:ind w:firstLineChars="100" w:firstLine="200"/>
              <w:rPr>
                <w:rFonts w:cstheme="minorHAnsi"/>
                <w:color w:val="000000"/>
                <w:sz w:val="20"/>
                <w:szCs w:val="20"/>
              </w:rPr>
            </w:pPr>
          </w:p>
        </w:tc>
        <w:tc>
          <w:tcPr>
            <w:tcW w:w="2158" w:type="dxa"/>
            <w:gridSpan w:val="2"/>
            <w:shd w:val="clear" w:color="auto" w:fill="auto"/>
          </w:tcPr>
          <w:p w:rsidR="00FE60B3" w:rsidRPr="004B1036" w:rsidRDefault="00FE60B3" w:rsidP="008C7ADA">
            <w:pPr>
              <w:spacing w:line="240" w:lineRule="auto"/>
              <w:ind w:left="2" w:hangingChars="1" w:hanging="2"/>
              <w:rPr>
                <w:color w:val="000000" w:themeColor="text1"/>
                <w:sz w:val="20"/>
                <w:szCs w:val="20"/>
              </w:rPr>
            </w:pPr>
            <w:r w:rsidRPr="6B89B391">
              <w:rPr>
                <w:color w:val="000000" w:themeColor="text1"/>
                <w:sz w:val="20"/>
                <w:szCs w:val="20"/>
              </w:rPr>
              <w:t>2.3. Lograr una comunicación eficaz a lo interno de la SUGESE en un plazo de un año.</w:t>
            </w:r>
          </w:p>
        </w:tc>
        <w:tc>
          <w:tcPr>
            <w:tcW w:w="2158" w:type="dxa"/>
            <w:shd w:val="clear" w:color="auto" w:fill="auto"/>
          </w:tcPr>
          <w:p w:rsidR="00FE60B3" w:rsidRPr="004B1036" w:rsidRDefault="00FE60B3" w:rsidP="008C7ADA">
            <w:pPr>
              <w:spacing w:line="240" w:lineRule="auto"/>
              <w:rPr>
                <w:color w:val="000000" w:themeColor="text1"/>
                <w:sz w:val="20"/>
                <w:szCs w:val="20"/>
              </w:rPr>
            </w:pPr>
            <w:r w:rsidRPr="6B89B391">
              <w:rPr>
                <w:color w:val="000000" w:themeColor="text1"/>
                <w:sz w:val="20"/>
                <w:szCs w:val="20"/>
              </w:rPr>
              <w:t>2.3.1 Instrumento de comunicación interna entre procesos.</w:t>
            </w:r>
          </w:p>
          <w:p w:rsidR="00FE60B3" w:rsidRPr="004B1036" w:rsidRDefault="00FE60B3" w:rsidP="008C7ADA">
            <w:pPr>
              <w:spacing w:line="240" w:lineRule="auto"/>
              <w:rPr>
                <w:color w:val="000000" w:themeColor="text1"/>
                <w:sz w:val="20"/>
                <w:szCs w:val="20"/>
              </w:rPr>
            </w:pPr>
            <w:r w:rsidRPr="6B89B391">
              <w:rPr>
                <w:color w:val="000000" w:themeColor="text1"/>
                <w:sz w:val="20"/>
                <w:szCs w:val="20"/>
              </w:rPr>
              <w:t> </w:t>
            </w:r>
          </w:p>
          <w:p w:rsidR="00FE60B3" w:rsidRPr="004B1036" w:rsidRDefault="00FE60B3" w:rsidP="008C7ADA">
            <w:pPr>
              <w:spacing w:line="240" w:lineRule="auto"/>
              <w:rPr>
                <w:rFonts w:cstheme="minorHAnsi"/>
                <w:color w:val="000000"/>
                <w:sz w:val="20"/>
                <w:szCs w:val="20"/>
              </w:rPr>
            </w:pPr>
          </w:p>
        </w:tc>
        <w:tc>
          <w:tcPr>
            <w:tcW w:w="2877" w:type="dxa"/>
            <w:gridSpan w:val="2"/>
            <w:shd w:val="clear" w:color="auto" w:fill="auto"/>
          </w:tcPr>
          <w:p w:rsidR="00FE60B3" w:rsidRPr="004B1036" w:rsidRDefault="00FE60B3" w:rsidP="008C7ADA">
            <w:pPr>
              <w:spacing w:line="240" w:lineRule="auto"/>
              <w:rPr>
                <w:color w:val="000000" w:themeColor="text1"/>
                <w:sz w:val="20"/>
                <w:szCs w:val="20"/>
              </w:rPr>
            </w:pPr>
            <w:r w:rsidRPr="6B89B391">
              <w:rPr>
                <w:color w:val="000000" w:themeColor="text1"/>
                <w:sz w:val="20"/>
                <w:szCs w:val="20"/>
              </w:rPr>
              <w:t>Incorporar las acciones de comunicación interna en una nueva herramienta de comunicación.</w:t>
            </w:r>
          </w:p>
        </w:tc>
        <w:tc>
          <w:tcPr>
            <w:tcW w:w="1276" w:type="dxa"/>
            <w:shd w:val="clear" w:color="auto" w:fill="auto"/>
          </w:tcPr>
          <w:p w:rsidR="00FE60B3" w:rsidRPr="004B1036" w:rsidRDefault="00C51C49" w:rsidP="008C7ADA">
            <w:pPr>
              <w:spacing w:line="240" w:lineRule="auto"/>
              <w:jc w:val="center"/>
              <w:rPr>
                <w:sz w:val="20"/>
                <w:szCs w:val="20"/>
              </w:rPr>
            </w:pPr>
            <w:r w:rsidRPr="6B89B391">
              <w:rPr>
                <w:sz w:val="20"/>
                <w:szCs w:val="20"/>
              </w:rPr>
              <w:t>Finalizado</w:t>
            </w:r>
          </w:p>
        </w:tc>
      </w:tr>
      <w:tr w:rsidR="00FE60B3" w:rsidRPr="004B1036" w:rsidTr="00930B4D">
        <w:trPr>
          <w:cantSplit/>
          <w:trHeight w:val="1973"/>
          <w:jc w:val="center"/>
        </w:trPr>
        <w:tc>
          <w:tcPr>
            <w:tcW w:w="2122" w:type="dxa"/>
            <w:vMerge w:val="restart"/>
            <w:shd w:val="clear" w:color="auto" w:fill="95B3D7" w:themeFill="accent1" w:themeFillTint="99"/>
            <w:hideMark/>
          </w:tcPr>
          <w:p w:rsidR="00FE60B3" w:rsidRPr="004B1036" w:rsidRDefault="00FE60B3" w:rsidP="008C7ADA">
            <w:pPr>
              <w:spacing w:line="240" w:lineRule="auto"/>
              <w:rPr>
                <w:b/>
                <w:sz w:val="20"/>
                <w:szCs w:val="20"/>
              </w:rPr>
            </w:pPr>
            <w:r w:rsidRPr="6B89B391">
              <w:rPr>
                <w:b/>
                <w:sz w:val="20"/>
                <w:szCs w:val="20"/>
              </w:rPr>
              <w:t>DIVULGACIÓN:</w:t>
            </w:r>
          </w:p>
          <w:p w:rsidR="00FE60B3" w:rsidRPr="004B1036" w:rsidRDefault="00FE60B3" w:rsidP="008C7ADA">
            <w:pPr>
              <w:spacing w:line="240" w:lineRule="auto"/>
              <w:rPr>
                <w:color w:val="000000" w:themeColor="text1"/>
                <w:sz w:val="20"/>
                <w:szCs w:val="20"/>
              </w:rPr>
            </w:pPr>
            <w:r w:rsidRPr="6B89B391">
              <w:rPr>
                <w:sz w:val="20"/>
                <w:szCs w:val="20"/>
              </w:rPr>
              <w:t>Facilitar el conocimiento del mercado de seguros al consumidor y partes interesadas.</w:t>
            </w:r>
          </w:p>
        </w:tc>
        <w:tc>
          <w:tcPr>
            <w:tcW w:w="2126" w:type="dxa"/>
            <w:gridSpan w:val="2"/>
            <w:vMerge w:val="restart"/>
            <w:shd w:val="clear" w:color="auto" w:fill="FFFFFF" w:themeFill="background1"/>
          </w:tcPr>
          <w:p w:rsidR="00FE60B3" w:rsidRPr="004B1036" w:rsidRDefault="00FE60B3" w:rsidP="008C7ADA">
            <w:pPr>
              <w:spacing w:line="240" w:lineRule="auto"/>
              <w:ind w:left="2" w:hangingChars="1" w:hanging="2"/>
              <w:rPr>
                <w:color w:val="000000" w:themeColor="text1"/>
                <w:sz w:val="20"/>
                <w:szCs w:val="20"/>
              </w:rPr>
            </w:pPr>
            <w:r w:rsidRPr="6B89B391">
              <w:rPr>
                <w:color w:val="000000" w:themeColor="text1"/>
                <w:sz w:val="20"/>
                <w:szCs w:val="20"/>
              </w:rPr>
              <w:t>3.1 Llevar al nivel de ampliamente observado los estándares del ICP 20 que resulten legalmente posibles de aplicar, a más tardar al 2023</w:t>
            </w:r>
          </w:p>
        </w:tc>
        <w:tc>
          <w:tcPr>
            <w:tcW w:w="2273" w:type="dxa"/>
            <w:gridSpan w:val="3"/>
            <w:shd w:val="clear" w:color="auto" w:fill="auto"/>
          </w:tcPr>
          <w:p w:rsidR="00FE60B3" w:rsidRPr="004B1036" w:rsidRDefault="00FE60B3" w:rsidP="008C7ADA">
            <w:pPr>
              <w:spacing w:line="240" w:lineRule="auto"/>
              <w:ind w:left="2" w:hangingChars="1" w:hanging="2"/>
              <w:rPr>
                <w:color w:val="000000" w:themeColor="text1"/>
                <w:sz w:val="20"/>
                <w:szCs w:val="20"/>
              </w:rPr>
            </w:pPr>
            <w:r w:rsidRPr="6B89B391">
              <w:rPr>
                <w:color w:val="000000" w:themeColor="text1"/>
                <w:sz w:val="20"/>
                <w:szCs w:val="20"/>
              </w:rPr>
              <w:t>3.1.1 Definición e implementación de sistema de estadísticas de seguros para el público.</w:t>
            </w:r>
          </w:p>
          <w:p w:rsidR="00FE60B3" w:rsidRPr="004B1036" w:rsidRDefault="00FE60B3" w:rsidP="008C7ADA">
            <w:pPr>
              <w:spacing w:line="240" w:lineRule="auto"/>
              <w:rPr>
                <w:rFonts w:cstheme="minorHAnsi"/>
                <w:color w:val="000000"/>
                <w:sz w:val="20"/>
                <w:szCs w:val="20"/>
              </w:rPr>
            </w:pPr>
          </w:p>
        </w:tc>
        <w:tc>
          <w:tcPr>
            <w:tcW w:w="2830" w:type="dxa"/>
            <w:shd w:val="clear" w:color="auto" w:fill="auto"/>
          </w:tcPr>
          <w:p w:rsidR="00FE60B3" w:rsidRPr="004B1036" w:rsidRDefault="00FE60B3" w:rsidP="008C7ADA">
            <w:pPr>
              <w:spacing w:line="240" w:lineRule="auto"/>
              <w:rPr>
                <w:color w:val="000000" w:themeColor="text1"/>
                <w:sz w:val="20"/>
                <w:szCs w:val="20"/>
              </w:rPr>
            </w:pPr>
            <w:r w:rsidRPr="6B89B391">
              <w:rPr>
                <w:color w:val="000000" w:themeColor="text1"/>
                <w:sz w:val="20"/>
                <w:szCs w:val="20"/>
              </w:rPr>
              <w:t xml:space="preserve">El proyecto incluye la revisión de la información estadística que actualmente se pone a disposición del público, ampliar la oferta de información y disponer de un motor de generación de estadísticas para el público, a disposición del público en sitio web de la superintendencia e interconectada con los sistemas de información de la </w:t>
            </w:r>
            <w:r w:rsidR="00DD4462" w:rsidRPr="6B89B391">
              <w:rPr>
                <w:color w:val="000000" w:themeColor="text1"/>
                <w:sz w:val="20"/>
                <w:szCs w:val="20"/>
              </w:rPr>
              <w:t>s</w:t>
            </w:r>
            <w:r w:rsidRPr="6B89B391">
              <w:rPr>
                <w:color w:val="000000" w:themeColor="text1"/>
                <w:sz w:val="20"/>
                <w:szCs w:val="20"/>
              </w:rPr>
              <w:t>uperintendencia.</w:t>
            </w:r>
          </w:p>
        </w:tc>
        <w:tc>
          <w:tcPr>
            <w:tcW w:w="1276" w:type="dxa"/>
            <w:shd w:val="clear" w:color="auto" w:fill="auto"/>
          </w:tcPr>
          <w:p w:rsidR="00FE60B3" w:rsidRPr="004B1036" w:rsidRDefault="00FE60B3" w:rsidP="008C7ADA">
            <w:pPr>
              <w:spacing w:line="240" w:lineRule="auto"/>
              <w:jc w:val="center"/>
              <w:rPr>
                <w:sz w:val="20"/>
                <w:szCs w:val="20"/>
              </w:rPr>
            </w:pPr>
            <w:r w:rsidRPr="6B89B391">
              <w:rPr>
                <w:sz w:val="20"/>
                <w:szCs w:val="20"/>
              </w:rPr>
              <w:t>En ejecución</w:t>
            </w:r>
          </w:p>
        </w:tc>
      </w:tr>
      <w:tr w:rsidR="00FE60B3" w:rsidRPr="004B1036" w:rsidTr="00930B4D">
        <w:trPr>
          <w:cantSplit/>
          <w:trHeight w:val="1973"/>
          <w:jc w:val="center"/>
        </w:trPr>
        <w:tc>
          <w:tcPr>
            <w:tcW w:w="2122" w:type="dxa"/>
            <w:vMerge/>
            <w:shd w:val="clear" w:color="auto" w:fill="95B3D7" w:themeFill="accent1" w:themeFillTint="99"/>
          </w:tcPr>
          <w:p w:rsidR="00FE60B3" w:rsidRPr="004B1036" w:rsidRDefault="00FE60B3" w:rsidP="008C7ADA">
            <w:pPr>
              <w:spacing w:line="240" w:lineRule="auto"/>
              <w:rPr>
                <w:rFonts w:cstheme="minorHAnsi"/>
                <w:b/>
                <w:bCs/>
                <w:sz w:val="20"/>
                <w:szCs w:val="20"/>
                <w:highlight w:val="yellow"/>
              </w:rPr>
            </w:pPr>
          </w:p>
        </w:tc>
        <w:tc>
          <w:tcPr>
            <w:tcW w:w="2126" w:type="dxa"/>
            <w:gridSpan w:val="2"/>
            <w:vMerge/>
            <w:shd w:val="clear" w:color="000000" w:fill="FFFFFF"/>
          </w:tcPr>
          <w:p w:rsidR="00FE60B3" w:rsidRPr="004B1036" w:rsidRDefault="00FE60B3" w:rsidP="008C7ADA">
            <w:pPr>
              <w:spacing w:line="240" w:lineRule="auto"/>
              <w:ind w:left="2" w:hangingChars="1" w:hanging="2"/>
              <w:rPr>
                <w:rFonts w:cstheme="minorHAnsi"/>
                <w:bCs/>
                <w:color w:val="000000"/>
                <w:sz w:val="20"/>
                <w:szCs w:val="20"/>
                <w:highlight w:val="yellow"/>
              </w:rPr>
            </w:pPr>
          </w:p>
        </w:tc>
        <w:tc>
          <w:tcPr>
            <w:tcW w:w="2273" w:type="dxa"/>
            <w:gridSpan w:val="3"/>
            <w:shd w:val="clear" w:color="auto" w:fill="auto"/>
          </w:tcPr>
          <w:p w:rsidR="00FE60B3" w:rsidRPr="004B1036" w:rsidRDefault="00FE60B3" w:rsidP="008C7ADA">
            <w:pPr>
              <w:spacing w:line="240" w:lineRule="auto"/>
              <w:ind w:left="2" w:hangingChars="1" w:hanging="2"/>
              <w:rPr>
                <w:color w:val="000000" w:themeColor="text1"/>
                <w:sz w:val="20"/>
                <w:szCs w:val="20"/>
              </w:rPr>
            </w:pPr>
            <w:r w:rsidRPr="6B89B391">
              <w:rPr>
                <w:color w:val="000000" w:themeColor="text1"/>
                <w:sz w:val="20"/>
                <w:szCs w:val="20"/>
              </w:rPr>
              <w:t>3.2.1 Registro de Hechos relevantes.</w:t>
            </w:r>
          </w:p>
        </w:tc>
        <w:tc>
          <w:tcPr>
            <w:tcW w:w="2830" w:type="dxa"/>
            <w:shd w:val="clear" w:color="auto" w:fill="auto"/>
          </w:tcPr>
          <w:p w:rsidR="00FE60B3" w:rsidRPr="004B1036" w:rsidRDefault="00FE60B3" w:rsidP="008C7ADA">
            <w:pPr>
              <w:pStyle w:val="InfoBlue"/>
              <w:spacing w:after="0"/>
              <w:ind w:left="0"/>
              <w:rPr>
                <w:rFonts w:asciiTheme="minorHAnsi" w:hAnsiTheme="minorHAnsi" w:cstheme="minorBidi"/>
                <w:color w:val="000000" w:themeColor="text1"/>
                <w:lang w:val="es-CR"/>
              </w:rPr>
            </w:pPr>
            <w:r w:rsidRPr="6B89B391">
              <w:rPr>
                <w:rFonts w:asciiTheme="minorHAnsi" w:hAnsiTheme="minorHAnsi" w:cstheme="minorBidi"/>
                <w:lang w:val="es-CR" w:eastAsia="es-ES"/>
              </w:rPr>
              <w:t xml:space="preserve">Desarrollo de la normativa necesaria para asegurar el cumplimiento de la revelación de hechos relevantes por parte de </w:t>
            </w:r>
            <w:r w:rsidR="00D82277" w:rsidRPr="6B89B391">
              <w:rPr>
                <w:rFonts w:asciiTheme="minorHAnsi" w:hAnsiTheme="minorHAnsi" w:cstheme="minorBidi"/>
                <w:lang w:val="es-CR" w:eastAsia="es-ES"/>
              </w:rPr>
              <w:t>las entidades supervisadas</w:t>
            </w:r>
            <w:r w:rsidRPr="6B89B391">
              <w:rPr>
                <w:rFonts w:asciiTheme="minorHAnsi" w:hAnsiTheme="minorHAnsi" w:cstheme="minorBidi"/>
                <w:i/>
                <w:lang w:val="es-CR" w:eastAsia="es-ES"/>
              </w:rPr>
              <w:t xml:space="preserve">, </w:t>
            </w:r>
            <w:r w:rsidRPr="6B89B391">
              <w:rPr>
                <w:rFonts w:asciiTheme="minorHAnsi" w:hAnsiTheme="minorHAnsi" w:cstheme="minorBidi"/>
                <w:lang w:val="es-CR" w:eastAsia="es-ES"/>
              </w:rPr>
              <w:t xml:space="preserve">así como el desarrollo e implementación de un servicio </w:t>
            </w:r>
            <w:r w:rsidR="00D82277" w:rsidRPr="6B89B391">
              <w:rPr>
                <w:rFonts w:asciiTheme="minorHAnsi" w:hAnsiTheme="minorHAnsi" w:cstheme="minorBidi"/>
                <w:lang w:val="es-CR" w:eastAsia="es-ES"/>
              </w:rPr>
              <w:t>en la</w:t>
            </w:r>
            <w:r w:rsidRPr="6B89B391">
              <w:rPr>
                <w:rFonts w:asciiTheme="minorHAnsi" w:hAnsiTheme="minorHAnsi" w:cstheme="minorBidi"/>
                <w:lang w:val="es-CR" w:eastAsia="es-ES"/>
              </w:rPr>
              <w:t xml:space="preserve"> plataforma de </w:t>
            </w:r>
            <w:r w:rsidRPr="6B89B391">
              <w:rPr>
                <w:rFonts w:asciiTheme="minorHAnsi" w:hAnsiTheme="minorHAnsi" w:cstheme="minorBidi"/>
                <w:i/>
                <w:lang w:val="es-CR" w:eastAsia="es-ES"/>
              </w:rPr>
              <w:t>Sugese en Línea</w:t>
            </w:r>
            <w:r w:rsidRPr="6B89B391">
              <w:rPr>
                <w:rFonts w:asciiTheme="minorHAnsi" w:hAnsiTheme="minorHAnsi" w:cstheme="minorBidi"/>
                <w:lang w:val="es-CR" w:eastAsia="es-ES"/>
              </w:rPr>
              <w:t>, que permita el registro y gestión de hechos relevantes por parte de las entidades supervisadas.</w:t>
            </w:r>
          </w:p>
        </w:tc>
        <w:tc>
          <w:tcPr>
            <w:tcW w:w="1276" w:type="dxa"/>
            <w:shd w:val="clear" w:color="auto" w:fill="auto"/>
          </w:tcPr>
          <w:p w:rsidR="00FE60B3" w:rsidRPr="004B1036" w:rsidRDefault="00FE60B3" w:rsidP="008C7ADA">
            <w:pPr>
              <w:spacing w:line="240" w:lineRule="auto"/>
              <w:jc w:val="center"/>
              <w:rPr>
                <w:sz w:val="20"/>
                <w:szCs w:val="20"/>
              </w:rPr>
            </w:pPr>
            <w:r w:rsidRPr="6B89B391">
              <w:rPr>
                <w:sz w:val="20"/>
                <w:szCs w:val="20"/>
              </w:rPr>
              <w:t>Finalizado</w:t>
            </w:r>
          </w:p>
        </w:tc>
      </w:tr>
    </w:tbl>
    <w:p w:rsidR="00766605" w:rsidRPr="004B1036" w:rsidRDefault="00766605" w:rsidP="008C7ADA">
      <w:pPr>
        <w:tabs>
          <w:tab w:val="left" w:pos="1617"/>
          <w:tab w:val="left" w:pos="4240"/>
          <w:tab w:val="left" w:pos="7087"/>
          <w:tab w:val="left" w:pos="7907"/>
          <w:tab w:val="left" w:pos="8725"/>
          <w:tab w:val="left" w:pos="9624"/>
          <w:tab w:val="left" w:pos="10442"/>
        </w:tabs>
        <w:spacing w:line="240" w:lineRule="auto"/>
        <w:ind w:left="55"/>
        <w:jc w:val="center"/>
        <w:rPr>
          <w:rFonts w:ascii="Century Gothic" w:hAnsi="Century Gothic" w:cstheme="minorHAnsi"/>
          <w:b/>
          <w:color w:val="404040" w:themeColor="text1" w:themeTint="BF"/>
          <w:sz w:val="20"/>
          <w:szCs w:val="20"/>
        </w:rPr>
      </w:pPr>
    </w:p>
    <w:sectPr w:rsidR="00766605" w:rsidRPr="004B1036" w:rsidSect="00CD38BF">
      <w:headerReference w:type="even" r:id="rId13"/>
      <w:headerReference w:type="default" r:id="rId14"/>
      <w:footerReference w:type="even" r:id="rId15"/>
      <w:footerReference w:type="default" r:id="rId16"/>
      <w:headerReference w:type="first" r:id="rId17"/>
      <w:footerReference w:type="first" r:id="rId18"/>
      <w:pgSz w:w="12240" w:h="15840" w:code="1"/>
      <w:pgMar w:top="1843" w:right="1701" w:bottom="1418" w:left="1701" w:header="71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E0FE2" w:rsidRDefault="00FE0FE2" w:rsidP="0046129A">
      <w:pPr>
        <w:spacing w:line="240" w:lineRule="auto"/>
      </w:pPr>
      <w:r>
        <w:separator/>
      </w:r>
    </w:p>
  </w:endnote>
  <w:endnote w:type="continuationSeparator" w:id="0">
    <w:p w:rsidR="00FE0FE2" w:rsidRDefault="00FE0FE2" w:rsidP="0046129A">
      <w:pPr>
        <w:spacing w:line="240" w:lineRule="auto"/>
      </w:pPr>
      <w:r>
        <w:continuationSeparator/>
      </w:r>
    </w:p>
  </w:endnote>
  <w:endnote w:type="continuationNotice" w:id="1">
    <w:p w:rsidR="00FE0FE2" w:rsidRDefault="00FE0F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7E6D" w:rsidRDefault="00C87E6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2986" w:rsidRDefault="00F92986">
    <w:pPr>
      <w:pStyle w:val="Piedepgina"/>
      <w:jc w:val="right"/>
      <w:rPr>
        <w:color w:val="808080" w:themeColor="background1" w:themeShade="80"/>
        <w:sz w:val="20"/>
      </w:rPr>
    </w:pPr>
    <w:r>
      <w:rPr>
        <w:noProof/>
        <w:color w:val="808080" w:themeColor="background1" w:themeShade="80"/>
        <w:sz w:val="20"/>
      </w:rPr>
      <mc:AlternateContent>
        <mc:Choice Requires="wps">
          <w:drawing>
            <wp:anchor distT="0" distB="0" distL="114300" distR="114300" simplePos="0" relativeHeight="251658754" behindDoc="0" locked="0" layoutInCell="0" allowOverlap="1" wp14:anchorId="3CC2296C" wp14:editId="293E1244">
              <wp:simplePos x="0" y="0"/>
              <wp:positionH relativeFrom="page">
                <wp:posOffset>0</wp:posOffset>
              </wp:positionH>
              <wp:positionV relativeFrom="page">
                <wp:posOffset>9594850</wp:posOffset>
              </wp:positionV>
              <wp:extent cx="7772400" cy="273050"/>
              <wp:effectExtent l="0" t="0" r="0" b="12700"/>
              <wp:wrapNone/>
              <wp:docPr id="1" name="MSIPCM548748c0b22abad1969410b0" descr="{&quot;HashCode&quot;:118623000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92986" w:rsidRPr="00C87E6D" w:rsidRDefault="00C87E6D" w:rsidP="00C87E6D">
                          <w:pPr>
                            <w:jc w:val="center"/>
                            <w:rPr>
                              <w:rFonts w:ascii="Calibri" w:hAnsi="Calibri" w:cs="Calibri"/>
                              <w:color w:val="000000"/>
                              <w:sz w:val="20"/>
                            </w:rPr>
                          </w:pPr>
                          <w:r w:rsidRPr="00C87E6D">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CC2296C" id="_x0000_t202" coordsize="21600,21600" o:spt="202" path="m,l,21600r21600,l21600,xe">
              <v:stroke joinstyle="miter"/>
              <v:path gradientshapeok="t" o:connecttype="rect"/>
            </v:shapetype>
            <v:shape id="MSIPCM548748c0b22abad1969410b0" o:spid="_x0000_s1052" type="#_x0000_t202" alt="{&quot;HashCode&quot;:1186230005,&quot;Height&quot;:792.0,&quot;Width&quot;:612.0,&quot;Placement&quot;:&quot;Footer&quot;,&quot;Index&quot;:&quot;Primary&quot;,&quot;Section&quot;:1,&quot;Top&quot;:0.0,&quot;Left&quot;:0.0}" style="position:absolute;left:0;text-align:left;margin-left:0;margin-top:755.5pt;width:612pt;height:21.5pt;z-index:2516587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" o:allowincell="f" filled="f" stroked="f" strokeweight=".5pt">
              <v:textbox inset=",0,,0">
                <w:txbxContent>
                  <w:p w:rsidR="00F92986" w:rsidRPr="00C87E6D" w:rsidRDefault="00C87E6D" w:rsidP="00C87E6D">
                    <w:pPr>
                      <w:jc w:val="center"/>
                      <w:rPr>
                        <w:rFonts w:ascii="Calibri" w:hAnsi="Calibri" w:cs="Calibri"/>
                        <w:color w:val="000000"/>
                        <w:sz w:val="20"/>
                      </w:rPr>
                    </w:pPr>
                    <w:r w:rsidRPr="00C87E6D">
                      <w:rPr>
                        <w:rFonts w:ascii="Calibri" w:hAnsi="Calibri" w:cs="Calibri"/>
                        <w:color w:val="000000"/>
                        <w:sz w:val="20"/>
                      </w:rPr>
                      <w:t>Uso Interno</w:t>
                    </w:r>
                  </w:p>
                </w:txbxContent>
              </v:textbox>
              <w10:wrap anchorx="page" anchory="page"/>
            </v:shape>
          </w:pict>
        </mc:Fallback>
      </mc:AlternateContent>
    </w:r>
  </w:p>
  <w:sdt>
    <w:sdtPr>
      <w:rPr>
        <w:color w:val="808080" w:themeColor="background1" w:themeShade="80"/>
        <w:sz w:val="20"/>
      </w:rPr>
      <w:id w:val="-583220502"/>
      <w:docPartObj>
        <w:docPartGallery w:val="Page Numbers (Bottom of Page)"/>
        <w:docPartUnique/>
      </w:docPartObj>
    </w:sdtPr>
    <w:sdtEndPr/>
    <w:sdtContent>
      <w:sdt>
        <w:sdtPr>
          <w:rPr>
            <w:color w:val="808080" w:themeColor="background1" w:themeShade="80"/>
            <w:sz w:val="20"/>
          </w:rPr>
          <w:id w:val="-45689045"/>
          <w:docPartObj>
            <w:docPartGallery w:val="Page Numbers (Top of Page)"/>
            <w:docPartUnique/>
          </w:docPartObj>
        </w:sdtPr>
        <w:sdtEndPr/>
        <w:sdtContent>
          <w:p w:rsidR="0042321D" w:rsidRPr="00D7389D" w:rsidRDefault="0042321D">
            <w:pPr>
              <w:pStyle w:val="Piedepgina"/>
              <w:jc w:val="right"/>
              <w:rPr>
                <w:color w:val="808080" w:themeColor="background1" w:themeShade="80"/>
              </w:rPr>
            </w:pPr>
          </w:p>
          <w:p w:rsidR="0042321D" w:rsidRPr="008C5005" w:rsidRDefault="0042321D" w:rsidP="00F23E5A">
            <w:pPr>
              <w:pStyle w:val="Piedepgina"/>
              <w:jc w:val="center"/>
              <w:rPr>
                <w:color w:val="808080" w:themeColor="background1" w:themeShade="80"/>
                <w:sz w:val="20"/>
              </w:rPr>
            </w:pPr>
            <w:r w:rsidRPr="00F23E5A">
              <w:rPr>
                <w:rFonts w:asciiTheme="majorHAnsi" w:hAnsiTheme="majorHAnsi"/>
                <w:color w:val="948A54" w:themeColor="background2" w:themeShade="80"/>
                <w:sz w:val="20"/>
                <w:szCs w:val="20"/>
                <w:lang w:val="es-ES"/>
              </w:rPr>
              <w:t xml:space="preserve">Página </w:t>
            </w:r>
            <w:r w:rsidRPr="00F23E5A">
              <w:rPr>
                <w:rFonts w:asciiTheme="majorHAnsi" w:hAnsiTheme="majorHAnsi"/>
                <w:bCs/>
                <w:color w:val="948A54" w:themeColor="background2" w:themeShade="80"/>
                <w:sz w:val="20"/>
                <w:szCs w:val="20"/>
              </w:rPr>
              <w:fldChar w:fldCharType="begin"/>
            </w:r>
            <w:r w:rsidRPr="00F23E5A">
              <w:rPr>
                <w:rFonts w:asciiTheme="majorHAnsi" w:hAnsiTheme="majorHAnsi"/>
                <w:bCs/>
                <w:color w:val="948A54" w:themeColor="background2" w:themeShade="80"/>
                <w:sz w:val="20"/>
                <w:szCs w:val="20"/>
              </w:rPr>
              <w:instrText>PAGE</w:instrText>
            </w:r>
            <w:r w:rsidRPr="00F23E5A">
              <w:rPr>
                <w:rFonts w:asciiTheme="majorHAnsi" w:hAnsiTheme="majorHAnsi"/>
                <w:bCs/>
                <w:color w:val="948A54" w:themeColor="background2" w:themeShade="80"/>
                <w:sz w:val="20"/>
                <w:szCs w:val="20"/>
              </w:rPr>
              <w:fldChar w:fldCharType="separate"/>
            </w:r>
            <w:r>
              <w:rPr>
                <w:rFonts w:asciiTheme="majorHAnsi" w:hAnsiTheme="majorHAnsi"/>
                <w:bCs/>
                <w:noProof/>
                <w:color w:val="948A54" w:themeColor="background2" w:themeShade="80"/>
                <w:sz w:val="20"/>
                <w:szCs w:val="20"/>
              </w:rPr>
              <w:t>25</w:t>
            </w:r>
            <w:r w:rsidRPr="00F23E5A">
              <w:rPr>
                <w:rFonts w:asciiTheme="majorHAnsi" w:hAnsiTheme="majorHAnsi"/>
                <w:bCs/>
                <w:color w:val="948A54" w:themeColor="background2" w:themeShade="80"/>
                <w:sz w:val="20"/>
                <w:szCs w:val="20"/>
              </w:rPr>
              <w:fldChar w:fldCharType="end"/>
            </w:r>
          </w:p>
        </w:sdtContent>
      </w:sdt>
    </w:sdtContent>
  </w:sdt>
  <w:p w:rsidR="0042321D" w:rsidRPr="008C5005" w:rsidRDefault="0042321D">
    <w:pPr>
      <w:pStyle w:val="Piedepgina"/>
      <w:rPr>
        <w:color w:val="365F91" w:themeColor="accent1" w:themeShade="BF"/>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321D" w:rsidRDefault="00F92986">
    <w:pPr>
      <w:pStyle w:val="Piedepgina"/>
    </w:pPr>
    <w:r>
      <w:rPr>
        <w:noProof/>
      </w:rPr>
      <mc:AlternateContent>
        <mc:Choice Requires="wps">
          <w:drawing>
            <wp:anchor distT="0" distB="0" distL="114300" distR="114300" simplePos="0" relativeHeight="251659010" behindDoc="0" locked="0" layoutInCell="0" allowOverlap="1" wp14:anchorId="5ED9C204" wp14:editId="7A6B56BE">
              <wp:simplePos x="0" y="0"/>
              <wp:positionH relativeFrom="page">
                <wp:posOffset>0</wp:posOffset>
              </wp:positionH>
              <wp:positionV relativeFrom="page">
                <wp:posOffset>9594850</wp:posOffset>
              </wp:positionV>
              <wp:extent cx="7772400" cy="273050"/>
              <wp:effectExtent l="0" t="0" r="0" b="12700"/>
              <wp:wrapNone/>
              <wp:docPr id="3" name="MSIPCMd52444f38673bd4a6a794146" descr="{&quot;HashCode&quot;:1186230005,&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92986" w:rsidRPr="00C87E6D" w:rsidRDefault="00C87E6D" w:rsidP="00C87E6D">
                          <w:pPr>
                            <w:jc w:val="center"/>
                            <w:rPr>
                              <w:rFonts w:ascii="Calibri" w:hAnsi="Calibri" w:cs="Calibri"/>
                              <w:color w:val="000000"/>
                              <w:sz w:val="20"/>
                            </w:rPr>
                          </w:pPr>
                          <w:r w:rsidRPr="00C87E6D">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D9C204" id="_x0000_t202" coordsize="21600,21600" o:spt="202" path="m,l,21600r21600,l21600,xe">
              <v:stroke joinstyle="miter"/>
              <v:path gradientshapeok="t" o:connecttype="rect"/>
            </v:shapetype>
            <v:shape id="MSIPCMd52444f38673bd4a6a794146" o:spid="_x0000_s1053" type="#_x0000_t202" alt="{&quot;HashCode&quot;:1186230005,&quot;Height&quot;:792.0,&quot;Width&quot;:612.0,&quot;Placement&quot;:&quot;Footer&quot;,&quot;Index&quot;:&quot;FirstPage&quot;,&quot;Section&quot;:1,&quot;Top&quot;:0.0,&quot;Left&quot;:0.0}" style="position:absolute;left:0;text-align:left;margin-left:0;margin-top:755.5pt;width:612pt;height:21.5pt;z-index:25165901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" o:allowincell="f" filled="f" stroked="f" strokeweight=".5pt">
              <v:textbox inset=",0,,0">
                <w:txbxContent>
                  <w:p w:rsidR="00F92986" w:rsidRPr="00C87E6D" w:rsidRDefault="00C87E6D" w:rsidP="00C87E6D">
                    <w:pPr>
                      <w:jc w:val="center"/>
                      <w:rPr>
                        <w:rFonts w:ascii="Calibri" w:hAnsi="Calibri" w:cs="Calibri"/>
                        <w:color w:val="000000"/>
                        <w:sz w:val="20"/>
                      </w:rPr>
                    </w:pPr>
                    <w:r w:rsidRPr="00C87E6D">
                      <w:rPr>
                        <w:rFonts w:ascii="Calibri" w:hAnsi="Calibri" w:cs="Calibri"/>
                        <w:color w:val="000000"/>
                        <w:sz w:val="20"/>
                      </w:rPr>
                      <w:t>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E0FE2" w:rsidRDefault="00FE0FE2" w:rsidP="0046129A">
      <w:pPr>
        <w:spacing w:line="240" w:lineRule="auto"/>
      </w:pPr>
      <w:r>
        <w:separator/>
      </w:r>
    </w:p>
  </w:footnote>
  <w:footnote w:type="continuationSeparator" w:id="0">
    <w:p w:rsidR="00FE0FE2" w:rsidRDefault="00FE0FE2" w:rsidP="0046129A">
      <w:pPr>
        <w:spacing w:line="240" w:lineRule="auto"/>
      </w:pPr>
      <w:r>
        <w:continuationSeparator/>
      </w:r>
    </w:p>
  </w:footnote>
  <w:footnote w:type="continuationNotice" w:id="1">
    <w:p w:rsidR="00FE0FE2" w:rsidRDefault="00FE0FE2">
      <w:pPr>
        <w:spacing w:line="240" w:lineRule="auto"/>
      </w:pPr>
    </w:p>
  </w:footnote>
  <w:footnote w:id="2">
    <w:p w:rsidR="0042321D" w:rsidRPr="007C4EF1" w:rsidRDefault="0042321D">
      <w:pPr>
        <w:pStyle w:val="Textonotapie"/>
        <w:rPr>
          <w:i/>
          <w:iCs/>
          <w:sz w:val="18"/>
          <w:szCs w:val="18"/>
        </w:rPr>
      </w:pPr>
      <w:r w:rsidRPr="00024059">
        <w:rPr>
          <w:rStyle w:val="Refdenotaalpie"/>
          <w:i/>
          <w:iCs/>
          <w:sz w:val="18"/>
          <w:szCs w:val="18"/>
        </w:rPr>
        <w:footnoteRef/>
      </w:r>
      <w:r w:rsidRPr="00024059">
        <w:rPr>
          <w:i/>
          <w:iCs/>
          <w:sz w:val="18"/>
          <w:szCs w:val="18"/>
        </w:rPr>
        <w:t xml:space="preserve"> La reforma a la Ley Reguladora del Mercado de Valores del 22 de octubre de 2019 modificó la fuente de financiamiento de la SUGESE, para que el 50% de éste </w:t>
      </w:r>
      <w:r>
        <w:rPr>
          <w:i/>
          <w:iCs/>
          <w:sz w:val="18"/>
          <w:szCs w:val="18"/>
        </w:rPr>
        <w:t>lo aporten</w:t>
      </w:r>
      <w:r w:rsidRPr="00024059">
        <w:rPr>
          <w:i/>
          <w:iCs/>
          <w:sz w:val="18"/>
          <w:szCs w:val="18"/>
        </w:rPr>
        <w:t xml:space="preserve"> los sujetos supervisados</w:t>
      </w:r>
      <w:r>
        <w:rPr>
          <w:i/>
          <w:iCs/>
          <w:sz w:val="18"/>
          <w:szCs w:val="18"/>
        </w:rPr>
        <w:t xml:space="preserve"> de forma obligatoria</w:t>
      </w:r>
      <w:r w:rsidRPr="00024059">
        <w:rPr>
          <w:i/>
          <w:iCs/>
          <w:sz w:val="18"/>
          <w:szCs w:val="18"/>
        </w:rPr>
        <w:t xml:space="preserve"> y el resto al BCCR. La reforma estableció que el cambio se implementará gradualmente a partir del presupuesto 2022, a razón de un incremento en 10 puntos porcentuales los primeros dos años y de 7,5 puntos porcentuales los siguientes cuatro años, para alcanzar el 50% señalado en el presupuesto de 2027. Por lo tanto, los presupuestos de la SUGESE del 2020 y 2021 fueron sufragados en su totalidad por el BCCR.</w:t>
      </w:r>
    </w:p>
  </w:footnote>
  <w:footnote w:id="3">
    <w:p w:rsidR="00CD3B8E" w:rsidRPr="00CD3B8E" w:rsidRDefault="00CD3B8E">
      <w:pPr>
        <w:pStyle w:val="Textonotapie"/>
        <w:rPr>
          <w:i/>
          <w:sz w:val="18"/>
          <w:szCs w:val="18"/>
        </w:rPr>
      </w:pPr>
      <w:r>
        <w:rPr>
          <w:rStyle w:val="Refdenotaalpie"/>
        </w:rPr>
        <w:footnoteRef/>
      </w:r>
      <w:r>
        <w:t xml:space="preserve"> </w:t>
      </w:r>
      <w:r w:rsidRPr="00CD3B8E">
        <w:rPr>
          <w:i/>
          <w:sz w:val="18"/>
          <w:szCs w:val="18"/>
        </w:rPr>
        <w:t>Mediante resolución SGS-R-2453-2022 se autorizó la transferencia total de la cartera de seguros de Triple-S Blue, INC. I.I</w:t>
      </w:r>
      <w:r>
        <w:rPr>
          <w:i/>
          <w:sz w:val="18"/>
          <w:szCs w:val="18"/>
        </w:rPr>
        <w:t>. Sucursal Costa Rica</w:t>
      </w:r>
      <w:r w:rsidRPr="00CD3B8E">
        <w:rPr>
          <w:i/>
          <w:sz w:val="18"/>
          <w:szCs w:val="18"/>
        </w:rPr>
        <w:t xml:space="preserve"> a ASSA Compañía de Seguros, S.A, así como el cese voluntario de operaciones de Triple-S Blue, INC. I.I</w:t>
      </w:r>
      <w:r>
        <w:rPr>
          <w:i/>
          <w:sz w:val="18"/>
          <w:szCs w:val="18"/>
        </w:rPr>
        <w:t xml:space="preserve">. Sucursal costa Rica. La transferencia de cartera se efectuó en abril 2022 y al cierre de ese año, </w:t>
      </w:r>
      <w:r w:rsidR="007B5D02">
        <w:rPr>
          <w:i/>
          <w:sz w:val="18"/>
          <w:szCs w:val="18"/>
        </w:rPr>
        <w:t xml:space="preserve">el trámite del cese voluntario de operaciones </w:t>
      </w:r>
      <w:r>
        <w:rPr>
          <w:i/>
          <w:sz w:val="18"/>
          <w:szCs w:val="18"/>
        </w:rPr>
        <w:t xml:space="preserve">se encontraba en la etapa </w:t>
      </w:r>
      <w:r w:rsidR="007B5D02">
        <w:rPr>
          <w:i/>
          <w:sz w:val="18"/>
          <w:szCs w:val="18"/>
        </w:rPr>
        <w:t>final de inscripción de la disolución en el Registro Nacional.</w:t>
      </w:r>
    </w:p>
  </w:footnote>
  <w:footnote w:id="4">
    <w:p w:rsidR="0042321D" w:rsidRPr="003A5DE3" w:rsidRDefault="0042321D" w:rsidP="006D4226">
      <w:pPr>
        <w:pStyle w:val="Textonotapie"/>
        <w:rPr>
          <w:i/>
          <w:sz w:val="18"/>
          <w:szCs w:val="18"/>
          <w:highlight w:val="magenta"/>
        </w:rPr>
      </w:pPr>
      <w:r w:rsidRPr="003A5DE3">
        <w:rPr>
          <w:rStyle w:val="Refdenotaalpie"/>
          <w:i/>
          <w:sz w:val="18"/>
          <w:szCs w:val="18"/>
        </w:rPr>
        <w:footnoteRef/>
      </w:r>
      <w:r w:rsidRPr="003A5DE3">
        <w:rPr>
          <w:i/>
          <w:sz w:val="18"/>
          <w:szCs w:val="18"/>
        </w:rPr>
        <w:t xml:space="preserve"> Al finalizar 20</w:t>
      </w:r>
      <w:r>
        <w:rPr>
          <w:i/>
          <w:sz w:val="18"/>
          <w:szCs w:val="18"/>
        </w:rPr>
        <w:t>20</w:t>
      </w:r>
      <w:r w:rsidRPr="003A5DE3">
        <w:rPr>
          <w:i/>
          <w:sz w:val="18"/>
          <w:szCs w:val="18"/>
        </w:rPr>
        <w:t xml:space="preserve">, se encontraban inscritas </w:t>
      </w:r>
      <w:r>
        <w:rPr>
          <w:i/>
          <w:sz w:val="18"/>
          <w:szCs w:val="18"/>
        </w:rPr>
        <w:t>33</w:t>
      </w:r>
      <w:r w:rsidRPr="003A5DE3">
        <w:rPr>
          <w:i/>
          <w:sz w:val="18"/>
          <w:szCs w:val="18"/>
        </w:rPr>
        <w:t xml:space="preserve"> sociedades corredoras, </w:t>
      </w:r>
      <w:r>
        <w:rPr>
          <w:i/>
          <w:sz w:val="18"/>
          <w:szCs w:val="18"/>
        </w:rPr>
        <w:t>52</w:t>
      </w:r>
      <w:r w:rsidRPr="003A5DE3">
        <w:rPr>
          <w:i/>
          <w:sz w:val="18"/>
          <w:szCs w:val="18"/>
        </w:rPr>
        <w:t xml:space="preserve"> sociedades agencia y </w:t>
      </w:r>
      <w:r>
        <w:rPr>
          <w:i/>
          <w:sz w:val="18"/>
          <w:szCs w:val="18"/>
        </w:rPr>
        <w:t>122</w:t>
      </w:r>
      <w:r w:rsidRPr="003A5DE3">
        <w:rPr>
          <w:i/>
          <w:sz w:val="18"/>
          <w:szCs w:val="18"/>
        </w:rPr>
        <w:t xml:space="preserve"> operadores de seguros autoexpedibles, tanto en condición activa como inactiva.  La condición inactiva, en el caso de operadores de seguros autoexpedibles</w:t>
      </w:r>
      <w:r w:rsidR="00F42FB5">
        <w:rPr>
          <w:i/>
          <w:sz w:val="18"/>
          <w:szCs w:val="18"/>
        </w:rPr>
        <w:t xml:space="preserve">, intermediarios personas físicas </w:t>
      </w:r>
      <w:r w:rsidRPr="003A5DE3">
        <w:rPr>
          <w:i/>
          <w:sz w:val="18"/>
          <w:szCs w:val="18"/>
        </w:rPr>
        <w:t xml:space="preserve">o sociedades agencia, significa que no están acreditados por una aseguradora como parte de su canal de </w:t>
      </w:r>
      <w:r w:rsidR="00F42FB5">
        <w:rPr>
          <w:i/>
          <w:sz w:val="18"/>
          <w:szCs w:val="18"/>
        </w:rPr>
        <w:t>comercialización, por lo que no realizan intermediación de seguros</w:t>
      </w:r>
      <w:r w:rsidRPr="003A5DE3">
        <w:rPr>
          <w:i/>
          <w:sz w:val="18"/>
          <w:szCs w:val="18"/>
        </w:rPr>
        <w:t xml:space="preserve">; las sociedades corredoras estarían inactivas si así lo deciden voluntariamente. </w:t>
      </w:r>
    </w:p>
  </w:footnote>
  <w:footnote w:id="5">
    <w:p w:rsidR="0067290B" w:rsidRPr="00296ABF" w:rsidRDefault="0067290B" w:rsidP="0067290B">
      <w:pPr>
        <w:pStyle w:val="Textonotapie"/>
      </w:pPr>
      <w:r>
        <w:rPr>
          <w:rStyle w:val="Refdenotaalpie"/>
        </w:rPr>
        <w:footnoteRef/>
      </w:r>
      <w:r>
        <w:t xml:space="preserve"> Denominación que se le da a la Directiva de la Unión Europea que norma el régimen de solvencia de la industria de seguros.</w:t>
      </w:r>
    </w:p>
  </w:footnote>
  <w:footnote w:id="6">
    <w:p w:rsidR="00A65950" w:rsidRPr="001D588B" w:rsidRDefault="00A65950" w:rsidP="00A65950">
      <w:pPr>
        <w:pStyle w:val="Textonotapie"/>
      </w:pPr>
      <w:r>
        <w:rPr>
          <w:rStyle w:val="Refdenotaalpie"/>
        </w:rPr>
        <w:footnoteRef/>
      </w:r>
      <w:r>
        <w:t xml:space="preserve"> </w:t>
      </w:r>
      <w:r w:rsidRPr="001D588B">
        <w:rPr>
          <w:i/>
          <w:iCs/>
        </w:rPr>
        <w:t>E</w:t>
      </w:r>
      <w:r w:rsidRPr="6B89B391">
        <w:rPr>
          <w:i/>
        </w:rPr>
        <w:t>n agosto de 2018, el sector asegurador costarricense se comprometió con los Principios de Sostenibilidad en Seguros (PSI, por sus siglas en inglés), de la Iniciativa de Financiera del Programa de Medio Ambiente de las Naciones Unidas (UNEP-FI), que promueve los temas ambientales, sociales y de gobernanza (ASG) en la industria aseguradora.</w:t>
      </w:r>
    </w:p>
  </w:footnote>
  <w:footnote w:id="7">
    <w:p w:rsidR="0067290B" w:rsidRPr="00E75E4C" w:rsidRDefault="0067290B" w:rsidP="0067290B">
      <w:pPr>
        <w:pStyle w:val="Textonotapie"/>
      </w:pPr>
      <w:r w:rsidRPr="6B89B391">
        <w:rPr>
          <w:rStyle w:val="Refdenotaalpie"/>
          <w:i/>
        </w:rPr>
        <w:footnoteRef/>
      </w:r>
      <w:r w:rsidRPr="6B89B391">
        <w:rPr>
          <w:rStyle w:val="Refdenotaalpie"/>
          <w:i/>
        </w:rPr>
        <w:t xml:space="preserve"> </w:t>
      </w:r>
      <w:r w:rsidRPr="6B89B391">
        <w:rPr>
          <w:rStyle w:val="Refdenotaalpie"/>
        </w:rPr>
        <w:t>E</w:t>
      </w:r>
      <w:r w:rsidRPr="6B89B391">
        <w:rPr>
          <w:rStyle w:val="Refdenotaalpie"/>
          <w:i/>
        </w:rPr>
        <w:t xml:space="preserve">l objetivo </w:t>
      </w:r>
      <w:r w:rsidRPr="6B89B391">
        <w:rPr>
          <w:rStyle w:val="Refdenotaalpie"/>
        </w:rPr>
        <w:t xml:space="preserve">en el PEN </w:t>
      </w:r>
      <w:r w:rsidRPr="6B89B391">
        <w:rPr>
          <w:rStyle w:val="Refdenotaalpie"/>
          <w:i/>
        </w:rPr>
        <w:t xml:space="preserve"> es que el 100% de las entidades del sector gestionen y revelen los riesgos relacionados con el clima al 2050 (incluye aseguradoras y sociedades corredoras);</w:t>
      </w:r>
      <w:r w:rsidRPr="6B89B391">
        <w:rPr>
          <w:rStyle w:val="Refdenotaalpie"/>
        </w:rPr>
        <w:t xml:space="preserve"> po</w:t>
      </w:r>
      <w:r w:rsidRPr="6B89B391">
        <w:rPr>
          <w:rStyle w:val="Refdenotaalpie"/>
          <w:i/>
        </w:rPr>
        <w:t xml:space="preserve">r su parte, las expectativas en </w:t>
      </w:r>
      <w:r w:rsidRPr="6B89B391">
        <w:rPr>
          <w:rStyle w:val="Refdenotaalpie"/>
        </w:rPr>
        <w:t>e</w:t>
      </w:r>
      <w:r w:rsidRPr="6B89B391">
        <w:rPr>
          <w:rStyle w:val="Refdenotaalpie"/>
          <w:i/>
        </w:rPr>
        <w:t xml:space="preserve">l PNA son iguales a las del PEN, pero su objetivo </w:t>
      </w:r>
      <w:r w:rsidRPr="6B89B391">
        <w:rPr>
          <w:rStyle w:val="Refdenotaalpie"/>
        </w:rPr>
        <w:t xml:space="preserve">de mediano plazo, a saber </w:t>
      </w:r>
      <w:r w:rsidRPr="6B89B391">
        <w:rPr>
          <w:rStyle w:val="Refdenotaalpie"/>
          <w:i/>
        </w:rPr>
        <w:t xml:space="preserve"> que el 40% de las </w:t>
      </w:r>
      <w:r w:rsidRPr="6B89B391">
        <w:rPr>
          <w:rStyle w:val="Refdenotaalpie"/>
        </w:rPr>
        <w:t>aseguradoras</w:t>
      </w:r>
      <w:r w:rsidRPr="6B89B391">
        <w:rPr>
          <w:rStyle w:val="Refdenotaalpie"/>
          <w:i/>
        </w:rPr>
        <w:t xml:space="preserve"> gestionen y revelen los riesgos climáticos para 2026.  </w:t>
      </w:r>
    </w:p>
  </w:footnote>
  <w:footnote w:id="8">
    <w:p w:rsidR="0067290B" w:rsidRDefault="0067290B" w:rsidP="0067290B">
      <w:pPr>
        <w:pStyle w:val="Textonotapie"/>
      </w:pPr>
      <w:r>
        <w:rPr>
          <w:rStyle w:val="Refdenotaalpie"/>
        </w:rPr>
        <w:footnoteRef/>
      </w:r>
      <w:r>
        <w:t xml:space="preserve"> </w:t>
      </w:r>
      <w:r w:rsidRPr="00D27621">
        <w:rPr>
          <w:i/>
          <w:iCs/>
        </w:rPr>
        <w:t>General Risk Assessment Framework</w:t>
      </w:r>
    </w:p>
  </w:footnote>
  <w:footnote w:id="9">
    <w:p w:rsidR="0042321D" w:rsidRPr="00784C55" w:rsidRDefault="0042321D" w:rsidP="002967FE">
      <w:pPr>
        <w:pStyle w:val="Textonotapie"/>
        <w:rPr>
          <w:i/>
          <w:lang w:val="es-ES"/>
        </w:rPr>
      </w:pPr>
      <w:r>
        <w:rPr>
          <w:rStyle w:val="Refdenotaalpie"/>
        </w:rPr>
        <w:footnoteRef/>
      </w:r>
      <w:r>
        <w:t xml:space="preserve"> </w:t>
      </w:r>
      <w:r w:rsidRPr="00784C55">
        <w:rPr>
          <w:i/>
        </w:rPr>
        <w:t>Plan Estratégico 2019-2023 y la Revisión Anual del Plan Estratégico correspondiente a 20</w:t>
      </w:r>
      <w:r>
        <w:rPr>
          <w:i/>
        </w:rPr>
        <w:t>2</w:t>
      </w:r>
      <w:r w:rsidR="005821F6">
        <w:rPr>
          <w:i/>
        </w:rPr>
        <w:t>2</w:t>
      </w:r>
      <w:r w:rsidRPr="00784C55">
        <w:rPr>
          <w:i/>
        </w:rPr>
        <w:t>.</w:t>
      </w:r>
    </w:p>
    <w:p w:rsidR="0042321D" w:rsidRPr="002967FE" w:rsidRDefault="0042321D">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7E6D" w:rsidRDefault="00C87E6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321D" w:rsidRDefault="00AA56A1">
    <w:pPr>
      <w:pStyle w:val="Encabezado"/>
    </w:pPr>
    <w:r>
      <w:rPr>
        <w:noProof/>
      </w:rPr>
      <w:drawing>
        <wp:anchor distT="0" distB="0" distL="114300" distR="114300" simplePos="0" relativeHeight="251659267" behindDoc="0" locked="0" layoutInCell="1" allowOverlap="1" wp14:anchorId="7CFD570F" wp14:editId="07B36F71">
          <wp:simplePos x="0" y="0"/>
          <wp:positionH relativeFrom="column">
            <wp:posOffset>-1080135</wp:posOffset>
          </wp:positionH>
          <wp:positionV relativeFrom="paragraph">
            <wp:posOffset>-461693</wp:posOffset>
          </wp:positionV>
          <wp:extent cx="7768871" cy="1195753"/>
          <wp:effectExtent l="0" t="0" r="3810" b="4445"/>
          <wp:wrapNone/>
          <wp:docPr id="12" name="Imagen 12" descr="Imagen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Imagen en blanco y negro&#10;&#10;Descripción generada automáticamente con confianza media"/>
                  <pic:cNvPicPr/>
                </pic:nvPicPr>
                <pic:blipFill rotWithShape="1">
                  <a:blip r:embed="rId1">
                    <a:extLst>
                      <a:ext uri="{28A0092B-C50C-407E-A947-70E740481C1C}">
                        <a14:useLocalDpi xmlns:a14="http://schemas.microsoft.com/office/drawing/2010/main" val="0"/>
                      </a:ext>
                    </a:extLst>
                  </a:blip>
                  <a:srcRect r="244" b="89145"/>
                  <a:stretch/>
                </pic:blipFill>
                <pic:spPr bwMode="auto">
                  <a:xfrm>
                    <a:off x="0" y="0"/>
                    <a:ext cx="7768871" cy="119575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7E6D" w:rsidRDefault="00C87E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A7434"/>
    <w:multiLevelType w:val="hybridMultilevel"/>
    <w:tmpl w:val="40580178"/>
    <w:lvl w:ilvl="0" w:tplc="9DC8960E">
      <w:start w:val="1"/>
      <w:numFmt w:val="lowerLetter"/>
      <w:lvlText w:val="%1)"/>
      <w:lvlJc w:val="left"/>
      <w:pPr>
        <w:ind w:left="720" w:hanging="360"/>
      </w:pPr>
      <w:rPr>
        <w:b/>
        <w:i w:val="0"/>
        <w:iCs w:val="0"/>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 w15:restartNumberingAfterBreak="0">
    <w:nsid w:val="02CB5EE9"/>
    <w:multiLevelType w:val="hybridMultilevel"/>
    <w:tmpl w:val="C8AAD3E2"/>
    <w:lvl w:ilvl="0" w:tplc="140A0017">
      <w:start w:val="1"/>
      <w:numFmt w:val="lowerLetter"/>
      <w:lvlText w:val="%1)"/>
      <w:lvlJc w:val="left"/>
      <w:pPr>
        <w:ind w:left="1428" w:hanging="360"/>
      </w:pPr>
    </w:lvl>
    <w:lvl w:ilvl="1" w:tplc="140A0019" w:tentative="1">
      <w:start w:val="1"/>
      <w:numFmt w:val="lowerLetter"/>
      <w:lvlText w:val="%2."/>
      <w:lvlJc w:val="left"/>
      <w:pPr>
        <w:ind w:left="2148" w:hanging="360"/>
      </w:pPr>
    </w:lvl>
    <w:lvl w:ilvl="2" w:tplc="140A001B" w:tentative="1">
      <w:start w:val="1"/>
      <w:numFmt w:val="lowerRoman"/>
      <w:lvlText w:val="%3."/>
      <w:lvlJc w:val="right"/>
      <w:pPr>
        <w:ind w:left="2868" w:hanging="180"/>
      </w:pPr>
    </w:lvl>
    <w:lvl w:ilvl="3" w:tplc="140A000F" w:tentative="1">
      <w:start w:val="1"/>
      <w:numFmt w:val="decimal"/>
      <w:lvlText w:val="%4."/>
      <w:lvlJc w:val="left"/>
      <w:pPr>
        <w:ind w:left="3588" w:hanging="360"/>
      </w:pPr>
    </w:lvl>
    <w:lvl w:ilvl="4" w:tplc="140A0019" w:tentative="1">
      <w:start w:val="1"/>
      <w:numFmt w:val="lowerLetter"/>
      <w:lvlText w:val="%5."/>
      <w:lvlJc w:val="left"/>
      <w:pPr>
        <w:ind w:left="4308" w:hanging="360"/>
      </w:pPr>
    </w:lvl>
    <w:lvl w:ilvl="5" w:tplc="140A001B" w:tentative="1">
      <w:start w:val="1"/>
      <w:numFmt w:val="lowerRoman"/>
      <w:lvlText w:val="%6."/>
      <w:lvlJc w:val="right"/>
      <w:pPr>
        <w:ind w:left="5028" w:hanging="180"/>
      </w:pPr>
    </w:lvl>
    <w:lvl w:ilvl="6" w:tplc="140A000F" w:tentative="1">
      <w:start w:val="1"/>
      <w:numFmt w:val="decimal"/>
      <w:lvlText w:val="%7."/>
      <w:lvlJc w:val="left"/>
      <w:pPr>
        <w:ind w:left="5748" w:hanging="360"/>
      </w:pPr>
    </w:lvl>
    <w:lvl w:ilvl="7" w:tplc="140A0019" w:tentative="1">
      <w:start w:val="1"/>
      <w:numFmt w:val="lowerLetter"/>
      <w:lvlText w:val="%8."/>
      <w:lvlJc w:val="left"/>
      <w:pPr>
        <w:ind w:left="6468" w:hanging="360"/>
      </w:pPr>
    </w:lvl>
    <w:lvl w:ilvl="8" w:tplc="140A001B" w:tentative="1">
      <w:start w:val="1"/>
      <w:numFmt w:val="lowerRoman"/>
      <w:lvlText w:val="%9."/>
      <w:lvlJc w:val="right"/>
      <w:pPr>
        <w:ind w:left="7188" w:hanging="180"/>
      </w:pPr>
    </w:lvl>
  </w:abstractNum>
  <w:abstractNum w:abstractNumId="2" w15:restartNumberingAfterBreak="0">
    <w:nsid w:val="033E7FA4"/>
    <w:multiLevelType w:val="hybridMultilevel"/>
    <w:tmpl w:val="0C80C4BC"/>
    <w:lvl w:ilvl="0" w:tplc="140A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164788"/>
    <w:multiLevelType w:val="hybridMultilevel"/>
    <w:tmpl w:val="52CCBD38"/>
    <w:lvl w:ilvl="0" w:tplc="D34819B4">
      <w:start w:val="1"/>
      <w:numFmt w:val="decimal"/>
      <w:lvlText w:val="%1."/>
      <w:lvlJc w:val="left"/>
      <w:pPr>
        <w:ind w:left="1069" w:hanging="360"/>
      </w:pPr>
    </w:lvl>
    <w:lvl w:ilvl="1" w:tplc="140A0019">
      <w:start w:val="1"/>
      <w:numFmt w:val="lowerLetter"/>
      <w:lvlText w:val="%2."/>
      <w:lvlJc w:val="left"/>
      <w:pPr>
        <w:ind w:left="1789" w:hanging="360"/>
      </w:pPr>
    </w:lvl>
    <w:lvl w:ilvl="2" w:tplc="140A001B">
      <w:start w:val="1"/>
      <w:numFmt w:val="lowerRoman"/>
      <w:lvlText w:val="%3."/>
      <w:lvlJc w:val="right"/>
      <w:pPr>
        <w:ind w:left="2509" w:hanging="180"/>
      </w:pPr>
    </w:lvl>
    <w:lvl w:ilvl="3" w:tplc="140A000F">
      <w:start w:val="1"/>
      <w:numFmt w:val="decimal"/>
      <w:lvlText w:val="%4."/>
      <w:lvlJc w:val="left"/>
      <w:pPr>
        <w:ind w:left="3229" w:hanging="360"/>
      </w:pPr>
    </w:lvl>
    <w:lvl w:ilvl="4" w:tplc="140A0019">
      <w:start w:val="1"/>
      <w:numFmt w:val="lowerLetter"/>
      <w:lvlText w:val="%5."/>
      <w:lvlJc w:val="left"/>
      <w:pPr>
        <w:ind w:left="3949" w:hanging="360"/>
      </w:pPr>
    </w:lvl>
    <w:lvl w:ilvl="5" w:tplc="140A001B">
      <w:start w:val="1"/>
      <w:numFmt w:val="lowerRoman"/>
      <w:lvlText w:val="%6."/>
      <w:lvlJc w:val="right"/>
      <w:pPr>
        <w:ind w:left="4669" w:hanging="180"/>
      </w:pPr>
    </w:lvl>
    <w:lvl w:ilvl="6" w:tplc="140A000F">
      <w:start w:val="1"/>
      <w:numFmt w:val="decimal"/>
      <w:lvlText w:val="%7."/>
      <w:lvlJc w:val="left"/>
      <w:pPr>
        <w:ind w:left="5389" w:hanging="360"/>
      </w:pPr>
    </w:lvl>
    <w:lvl w:ilvl="7" w:tplc="140A0019">
      <w:start w:val="1"/>
      <w:numFmt w:val="lowerLetter"/>
      <w:lvlText w:val="%8."/>
      <w:lvlJc w:val="left"/>
      <w:pPr>
        <w:ind w:left="6109" w:hanging="360"/>
      </w:pPr>
    </w:lvl>
    <w:lvl w:ilvl="8" w:tplc="140A001B">
      <w:start w:val="1"/>
      <w:numFmt w:val="lowerRoman"/>
      <w:lvlText w:val="%9."/>
      <w:lvlJc w:val="right"/>
      <w:pPr>
        <w:ind w:left="6829" w:hanging="180"/>
      </w:pPr>
    </w:lvl>
  </w:abstractNum>
  <w:abstractNum w:abstractNumId="4" w15:restartNumberingAfterBreak="0">
    <w:nsid w:val="0EAC7EAF"/>
    <w:multiLevelType w:val="hybridMultilevel"/>
    <w:tmpl w:val="A1BC1718"/>
    <w:lvl w:ilvl="0" w:tplc="4B84888E">
      <w:start w:val="1"/>
      <w:numFmt w:val="decimal"/>
      <w:lvlText w:val="%1."/>
      <w:lvlJc w:val="left"/>
      <w:pPr>
        <w:ind w:left="720" w:hanging="360"/>
      </w:pPr>
    </w:lvl>
    <w:lvl w:ilvl="1" w:tplc="37E6BB6C">
      <w:start w:val="1"/>
      <w:numFmt w:val="lowerLetter"/>
      <w:lvlText w:val="%2."/>
      <w:lvlJc w:val="left"/>
      <w:pPr>
        <w:ind w:left="1440" w:hanging="360"/>
      </w:pPr>
    </w:lvl>
    <w:lvl w:ilvl="2" w:tplc="D436A996">
      <w:start w:val="1"/>
      <w:numFmt w:val="lowerRoman"/>
      <w:lvlText w:val="%3."/>
      <w:lvlJc w:val="right"/>
      <w:pPr>
        <w:ind w:left="2160" w:hanging="180"/>
      </w:pPr>
    </w:lvl>
    <w:lvl w:ilvl="3" w:tplc="82847C94">
      <w:start w:val="1"/>
      <w:numFmt w:val="decimal"/>
      <w:lvlText w:val="%4."/>
      <w:lvlJc w:val="left"/>
      <w:pPr>
        <w:ind w:left="2880" w:hanging="360"/>
      </w:pPr>
    </w:lvl>
    <w:lvl w:ilvl="4" w:tplc="B29466A4">
      <w:start w:val="1"/>
      <w:numFmt w:val="lowerLetter"/>
      <w:lvlText w:val="%5."/>
      <w:lvlJc w:val="left"/>
      <w:pPr>
        <w:ind w:left="3600" w:hanging="360"/>
      </w:pPr>
    </w:lvl>
    <w:lvl w:ilvl="5" w:tplc="0EAC3094">
      <w:start w:val="1"/>
      <w:numFmt w:val="lowerRoman"/>
      <w:lvlText w:val="%6."/>
      <w:lvlJc w:val="right"/>
      <w:pPr>
        <w:ind w:left="4320" w:hanging="180"/>
      </w:pPr>
    </w:lvl>
    <w:lvl w:ilvl="6" w:tplc="0FDE0DC0">
      <w:start w:val="1"/>
      <w:numFmt w:val="decimal"/>
      <w:lvlText w:val="%7."/>
      <w:lvlJc w:val="left"/>
      <w:pPr>
        <w:ind w:left="5040" w:hanging="360"/>
      </w:pPr>
    </w:lvl>
    <w:lvl w:ilvl="7" w:tplc="BE5A3CEC">
      <w:start w:val="1"/>
      <w:numFmt w:val="lowerLetter"/>
      <w:lvlText w:val="%8."/>
      <w:lvlJc w:val="left"/>
      <w:pPr>
        <w:ind w:left="5760" w:hanging="360"/>
      </w:pPr>
    </w:lvl>
    <w:lvl w:ilvl="8" w:tplc="82C4F90E">
      <w:start w:val="1"/>
      <w:numFmt w:val="lowerRoman"/>
      <w:lvlText w:val="%9."/>
      <w:lvlJc w:val="right"/>
      <w:pPr>
        <w:ind w:left="6480" w:hanging="180"/>
      </w:pPr>
    </w:lvl>
  </w:abstractNum>
  <w:abstractNum w:abstractNumId="5" w15:restartNumberingAfterBreak="0">
    <w:nsid w:val="153E1577"/>
    <w:multiLevelType w:val="hybridMultilevel"/>
    <w:tmpl w:val="4C3E7FEE"/>
    <w:lvl w:ilvl="0" w:tplc="140A0019">
      <w:start w:val="1"/>
      <w:numFmt w:val="lowerLetter"/>
      <w:lvlText w:val="%1."/>
      <w:lvlJc w:val="left"/>
      <w:pPr>
        <w:ind w:left="360" w:hanging="360"/>
      </w:pPr>
    </w:lvl>
    <w:lvl w:ilvl="1" w:tplc="140A0019" w:tentative="1">
      <w:start w:val="1"/>
      <w:numFmt w:val="lowerLetter"/>
      <w:lvlText w:val="%2."/>
      <w:lvlJc w:val="left"/>
      <w:pPr>
        <w:ind w:left="1501" w:hanging="360"/>
      </w:pPr>
    </w:lvl>
    <w:lvl w:ilvl="2" w:tplc="140A001B" w:tentative="1">
      <w:start w:val="1"/>
      <w:numFmt w:val="lowerRoman"/>
      <w:lvlText w:val="%3."/>
      <w:lvlJc w:val="right"/>
      <w:pPr>
        <w:ind w:left="2221" w:hanging="180"/>
      </w:pPr>
    </w:lvl>
    <w:lvl w:ilvl="3" w:tplc="140A000F" w:tentative="1">
      <w:start w:val="1"/>
      <w:numFmt w:val="decimal"/>
      <w:lvlText w:val="%4."/>
      <w:lvlJc w:val="left"/>
      <w:pPr>
        <w:ind w:left="2941" w:hanging="360"/>
      </w:pPr>
    </w:lvl>
    <w:lvl w:ilvl="4" w:tplc="140A0019" w:tentative="1">
      <w:start w:val="1"/>
      <w:numFmt w:val="lowerLetter"/>
      <w:lvlText w:val="%5."/>
      <w:lvlJc w:val="left"/>
      <w:pPr>
        <w:ind w:left="3661" w:hanging="360"/>
      </w:pPr>
    </w:lvl>
    <w:lvl w:ilvl="5" w:tplc="140A001B" w:tentative="1">
      <w:start w:val="1"/>
      <w:numFmt w:val="lowerRoman"/>
      <w:lvlText w:val="%6."/>
      <w:lvlJc w:val="right"/>
      <w:pPr>
        <w:ind w:left="4381" w:hanging="180"/>
      </w:pPr>
    </w:lvl>
    <w:lvl w:ilvl="6" w:tplc="140A000F" w:tentative="1">
      <w:start w:val="1"/>
      <w:numFmt w:val="decimal"/>
      <w:lvlText w:val="%7."/>
      <w:lvlJc w:val="left"/>
      <w:pPr>
        <w:ind w:left="5101" w:hanging="360"/>
      </w:pPr>
    </w:lvl>
    <w:lvl w:ilvl="7" w:tplc="140A0019" w:tentative="1">
      <w:start w:val="1"/>
      <w:numFmt w:val="lowerLetter"/>
      <w:lvlText w:val="%8."/>
      <w:lvlJc w:val="left"/>
      <w:pPr>
        <w:ind w:left="5821" w:hanging="360"/>
      </w:pPr>
    </w:lvl>
    <w:lvl w:ilvl="8" w:tplc="140A001B" w:tentative="1">
      <w:start w:val="1"/>
      <w:numFmt w:val="lowerRoman"/>
      <w:lvlText w:val="%9."/>
      <w:lvlJc w:val="right"/>
      <w:pPr>
        <w:ind w:left="6541" w:hanging="180"/>
      </w:pPr>
    </w:lvl>
  </w:abstractNum>
  <w:abstractNum w:abstractNumId="6" w15:restartNumberingAfterBreak="0">
    <w:nsid w:val="1C855B63"/>
    <w:multiLevelType w:val="hybridMultilevel"/>
    <w:tmpl w:val="7BB8AA26"/>
    <w:lvl w:ilvl="0" w:tplc="23FE5356">
      <w:start w:val="1"/>
      <w:numFmt w:val="upperRoman"/>
      <w:lvlText w:val="%1."/>
      <w:lvlJc w:val="left"/>
      <w:pPr>
        <w:ind w:left="4689" w:hanging="720"/>
      </w:pPr>
      <w:rPr>
        <w:rFonts w:ascii="Century Gothic" w:hAnsi="Century Gothic" w:hint="default"/>
        <w:color w:val="365F91" w:themeColor="accent1" w:themeShade="BF"/>
        <w:sz w:val="28"/>
        <w:szCs w:val="28"/>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26234495"/>
    <w:multiLevelType w:val="hybridMultilevel"/>
    <w:tmpl w:val="9E0A965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34CD5F9C"/>
    <w:multiLevelType w:val="hybridMultilevel"/>
    <w:tmpl w:val="B060C914"/>
    <w:lvl w:ilvl="0" w:tplc="A6CC803C">
      <w:start w:val="1"/>
      <w:numFmt w:val="lowerLetter"/>
      <w:lvlText w:val="%1."/>
      <w:lvlJc w:val="left"/>
      <w:pPr>
        <w:ind w:left="720" w:hanging="360"/>
      </w:pPr>
      <w:rPr>
        <w:rFonts w:asciiTheme="majorHAnsi" w:hAnsiTheme="majorHAnsi" w:hint="default"/>
        <w:i w:val="0"/>
        <w:sz w:val="26"/>
        <w:szCs w:val="26"/>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364D622F"/>
    <w:multiLevelType w:val="hybridMultilevel"/>
    <w:tmpl w:val="DE145710"/>
    <w:lvl w:ilvl="0" w:tplc="140A001B">
      <w:start w:val="1"/>
      <w:numFmt w:val="lowerRoman"/>
      <w:lvlText w:val="%1."/>
      <w:lvlJc w:val="right"/>
      <w:pPr>
        <w:ind w:left="720" w:hanging="360"/>
      </w:pPr>
      <w:rPr>
        <w:b/>
        <w:bCs/>
        <w:i w:val="0"/>
      </w:r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10" w15:restartNumberingAfterBreak="0">
    <w:nsid w:val="3BA84E6E"/>
    <w:multiLevelType w:val="hybridMultilevel"/>
    <w:tmpl w:val="A270219C"/>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1" w15:restartNumberingAfterBreak="0">
    <w:nsid w:val="3E3C4A85"/>
    <w:multiLevelType w:val="hybridMultilevel"/>
    <w:tmpl w:val="AF4A5380"/>
    <w:lvl w:ilvl="0" w:tplc="140A0001">
      <w:start w:val="1"/>
      <w:numFmt w:val="bullet"/>
      <w:lvlText w:val=""/>
      <w:lvlJc w:val="left"/>
      <w:pPr>
        <w:ind w:left="720" w:hanging="360"/>
      </w:pPr>
      <w:rPr>
        <w:rFonts w:ascii="Symbol" w:hAnsi="Symbol" w:hint="default"/>
      </w:rPr>
    </w:lvl>
    <w:lvl w:ilvl="1" w:tplc="140A0017">
      <w:start w:val="1"/>
      <w:numFmt w:val="lowerLetter"/>
      <w:lvlText w:val="%2)"/>
      <w:lvlJc w:val="left"/>
      <w:pPr>
        <w:ind w:left="1440" w:hanging="360"/>
      </w:pPr>
      <w:rPr>
        <w:rFonts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3ED251BA"/>
    <w:multiLevelType w:val="hybridMultilevel"/>
    <w:tmpl w:val="EE68CF3E"/>
    <w:lvl w:ilvl="0" w:tplc="140A000F">
      <w:start w:val="1"/>
      <w:numFmt w:val="decimal"/>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403911A5"/>
    <w:multiLevelType w:val="hybridMultilevel"/>
    <w:tmpl w:val="15F6F000"/>
    <w:lvl w:ilvl="0" w:tplc="1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79490F"/>
    <w:multiLevelType w:val="hybridMultilevel"/>
    <w:tmpl w:val="CB4E29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B541927"/>
    <w:multiLevelType w:val="hybridMultilevel"/>
    <w:tmpl w:val="6AC6C30E"/>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4DCC4195"/>
    <w:multiLevelType w:val="hybridMultilevel"/>
    <w:tmpl w:val="D964524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5449467F"/>
    <w:multiLevelType w:val="hybridMultilevel"/>
    <w:tmpl w:val="4F2CD826"/>
    <w:lvl w:ilvl="0" w:tplc="140A0001">
      <w:start w:val="1"/>
      <w:numFmt w:val="bullet"/>
      <w:lvlText w:val=""/>
      <w:lvlJc w:val="left"/>
      <w:pPr>
        <w:ind w:left="1069" w:hanging="360"/>
      </w:pPr>
      <w:rPr>
        <w:rFonts w:ascii="Symbol" w:hAnsi="Symbol" w:hint="default"/>
      </w:rPr>
    </w:lvl>
    <w:lvl w:ilvl="1" w:tplc="140A0019">
      <w:start w:val="1"/>
      <w:numFmt w:val="lowerLetter"/>
      <w:lvlText w:val="%2."/>
      <w:lvlJc w:val="left"/>
      <w:pPr>
        <w:ind w:left="1789" w:hanging="360"/>
      </w:pPr>
    </w:lvl>
    <w:lvl w:ilvl="2" w:tplc="140A001B">
      <w:start w:val="1"/>
      <w:numFmt w:val="lowerRoman"/>
      <w:lvlText w:val="%3."/>
      <w:lvlJc w:val="right"/>
      <w:pPr>
        <w:ind w:left="2509" w:hanging="180"/>
      </w:pPr>
    </w:lvl>
    <w:lvl w:ilvl="3" w:tplc="140A000F">
      <w:start w:val="1"/>
      <w:numFmt w:val="decimal"/>
      <w:lvlText w:val="%4."/>
      <w:lvlJc w:val="left"/>
      <w:pPr>
        <w:ind w:left="3229" w:hanging="360"/>
      </w:pPr>
    </w:lvl>
    <w:lvl w:ilvl="4" w:tplc="140A0019">
      <w:start w:val="1"/>
      <w:numFmt w:val="lowerLetter"/>
      <w:lvlText w:val="%5."/>
      <w:lvlJc w:val="left"/>
      <w:pPr>
        <w:ind w:left="3949" w:hanging="360"/>
      </w:pPr>
    </w:lvl>
    <w:lvl w:ilvl="5" w:tplc="140A001B">
      <w:start w:val="1"/>
      <w:numFmt w:val="lowerRoman"/>
      <w:lvlText w:val="%6."/>
      <w:lvlJc w:val="right"/>
      <w:pPr>
        <w:ind w:left="4669" w:hanging="180"/>
      </w:pPr>
    </w:lvl>
    <w:lvl w:ilvl="6" w:tplc="140A000F">
      <w:start w:val="1"/>
      <w:numFmt w:val="decimal"/>
      <w:lvlText w:val="%7."/>
      <w:lvlJc w:val="left"/>
      <w:pPr>
        <w:ind w:left="5389" w:hanging="360"/>
      </w:pPr>
    </w:lvl>
    <w:lvl w:ilvl="7" w:tplc="140A0019">
      <w:start w:val="1"/>
      <w:numFmt w:val="lowerLetter"/>
      <w:lvlText w:val="%8."/>
      <w:lvlJc w:val="left"/>
      <w:pPr>
        <w:ind w:left="6109" w:hanging="360"/>
      </w:pPr>
    </w:lvl>
    <w:lvl w:ilvl="8" w:tplc="140A001B">
      <w:start w:val="1"/>
      <w:numFmt w:val="lowerRoman"/>
      <w:lvlText w:val="%9."/>
      <w:lvlJc w:val="right"/>
      <w:pPr>
        <w:ind w:left="6829" w:hanging="180"/>
      </w:pPr>
    </w:lvl>
  </w:abstractNum>
  <w:abstractNum w:abstractNumId="18" w15:restartNumberingAfterBreak="0">
    <w:nsid w:val="5B42436E"/>
    <w:multiLevelType w:val="hybridMultilevel"/>
    <w:tmpl w:val="4E2694D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61C17669"/>
    <w:multiLevelType w:val="multilevel"/>
    <w:tmpl w:val="AB1E34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i w:val="0"/>
        <w:iCs w:val="0"/>
      </w:rPr>
    </w:lvl>
    <w:lvl w:ilvl="2">
      <w:start w:val="1"/>
      <w:numFmt w:val="decimal"/>
      <w:lvlText w:val="%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4DA2797"/>
    <w:multiLevelType w:val="hybridMultilevel"/>
    <w:tmpl w:val="20329F66"/>
    <w:lvl w:ilvl="0" w:tplc="140A001B">
      <w:start w:val="1"/>
      <w:numFmt w:val="lowerRoman"/>
      <w:lvlText w:val="%1."/>
      <w:lvlJc w:val="right"/>
      <w:pPr>
        <w:ind w:left="720" w:hanging="360"/>
      </w:pPr>
      <w:rPr>
        <w:b/>
        <w:i w:val="0"/>
        <w:iCs w:val="0"/>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1" w15:restartNumberingAfterBreak="0">
    <w:nsid w:val="75662ACC"/>
    <w:multiLevelType w:val="hybridMultilevel"/>
    <w:tmpl w:val="4D7266AA"/>
    <w:lvl w:ilvl="0" w:tplc="EC9EFE46">
      <w:start w:val="1"/>
      <w:numFmt w:val="lowerLetter"/>
      <w:lvlText w:val="%1)"/>
      <w:lvlJc w:val="left"/>
      <w:pPr>
        <w:ind w:left="720" w:hanging="360"/>
      </w:pPr>
      <w:rPr>
        <w:rFonts w:asciiTheme="majorHAnsi" w:hAnsiTheme="majorHAnsi" w:cs="Times New Roman" w:hint="default"/>
        <w:b/>
        <w:bCs/>
        <w:color w:val="000000"/>
        <w:sz w:val="20"/>
      </w:r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22" w15:restartNumberingAfterBreak="0">
    <w:nsid w:val="77EB3F50"/>
    <w:multiLevelType w:val="hybridMultilevel"/>
    <w:tmpl w:val="3F78706A"/>
    <w:lvl w:ilvl="0" w:tplc="03E24F36">
      <w:start w:val="1"/>
      <w:numFmt w:val="lowerLetter"/>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8BF7C23"/>
    <w:multiLevelType w:val="hybridMultilevel"/>
    <w:tmpl w:val="1E1801A2"/>
    <w:lvl w:ilvl="0" w:tplc="140A0001">
      <w:start w:val="1"/>
      <w:numFmt w:val="bullet"/>
      <w:lvlText w:val=""/>
      <w:lvlJc w:val="left"/>
      <w:pPr>
        <w:ind w:left="720" w:hanging="360"/>
      </w:pPr>
      <w:rPr>
        <w:rFonts w:ascii="Symbol" w:hAnsi="Symbol"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AF60B1A"/>
    <w:multiLevelType w:val="hybridMultilevel"/>
    <w:tmpl w:val="35A8E7AE"/>
    <w:lvl w:ilvl="0" w:tplc="C23CF7E6">
      <w:start w:val="1"/>
      <w:numFmt w:val="lowerLetter"/>
      <w:lvlText w:val="%1)"/>
      <w:lvlJc w:val="left"/>
      <w:pPr>
        <w:ind w:left="720" w:hanging="360"/>
      </w:pPr>
      <w:rPr>
        <w:b/>
        <w:bCs/>
        <w:i w:val="0"/>
      </w:r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25" w15:restartNumberingAfterBreak="0">
    <w:nsid w:val="7B971FA4"/>
    <w:multiLevelType w:val="hybridMultilevel"/>
    <w:tmpl w:val="5C94FE5A"/>
    <w:lvl w:ilvl="0" w:tplc="5E7E5CCA">
      <w:start w:val="1"/>
      <w:numFmt w:val="decimal"/>
      <w:lvlText w:val="%1."/>
      <w:lvlJc w:val="left"/>
      <w:pPr>
        <w:ind w:left="720" w:hanging="360"/>
      </w:pPr>
      <w:rPr>
        <w:rFonts w:asciiTheme="minorHAnsi" w:hAnsiTheme="minorHAnsi" w:cstheme="minorHAnsi"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8"/>
  </w:num>
  <w:num w:numId="5">
    <w:abstractNumId w:val="15"/>
  </w:num>
  <w:num w:numId="6">
    <w:abstractNumId w:val="7"/>
  </w:num>
  <w:num w:numId="7">
    <w:abstractNumId w:val="1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
  </w:num>
  <w:num w:numId="14">
    <w:abstractNumId w:val="11"/>
    <w:lvlOverride w:ilvl="0"/>
    <w:lvlOverride w:ilvl="1">
      <w:startOverride w:val="1"/>
    </w:lvlOverride>
    <w:lvlOverride w:ilvl="2"/>
    <w:lvlOverride w:ilvl="3"/>
    <w:lvlOverride w:ilvl="4"/>
    <w:lvlOverride w:ilvl="5"/>
    <w:lvlOverride w:ilvl="6"/>
    <w:lvlOverride w:ilvl="7"/>
    <w:lvlOverride w:ilvl="8"/>
  </w:num>
  <w:num w:numId="15">
    <w:abstractNumId w:val="0"/>
  </w:num>
  <w:num w:numId="16">
    <w:abstractNumId w:val="20"/>
  </w:num>
  <w:num w:numId="17">
    <w:abstractNumId w:val="24"/>
  </w:num>
  <w:num w:numId="18">
    <w:abstractNumId w:val="9"/>
  </w:num>
  <w:num w:numId="19">
    <w:abstractNumId w:val="3"/>
  </w:num>
  <w:num w:numId="20">
    <w:abstractNumId w:val="17"/>
  </w:num>
  <w:num w:numId="21">
    <w:abstractNumId w:val="19"/>
  </w:num>
  <w:num w:numId="22">
    <w:abstractNumId w:val="14"/>
  </w:num>
  <w:num w:numId="23">
    <w:abstractNumId w:val="25"/>
  </w:num>
  <w:num w:numId="24">
    <w:abstractNumId w:val="23"/>
  </w:num>
  <w:num w:numId="25">
    <w:abstractNumId w:val="2"/>
  </w:num>
  <w:num w:numId="26">
    <w:abstractNumId w:val="13"/>
  </w:num>
  <w:num w:numId="27">
    <w:abstractNumId w:val="18"/>
  </w:num>
  <w:num w:numId="28">
    <w:abstractNumId w:val="10"/>
  </w:num>
  <w:num w:numId="29">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29A"/>
    <w:rsid w:val="00000526"/>
    <w:rsid w:val="000015D2"/>
    <w:rsid w:val="00001602"/>
    <w:rsid w:val="00003D53"/>
    <w:rsid w:val="0000480F"/>
    <w:rsid w:val="00011B35"/>
    <w:rsid w:val="000130AF"/>
    <w:rsid w:val="00013472"/>
    <w:rsid w:val="00016AB4"/>
    <w:rsid w:val="00017DB3"/>
    <w:rsid w:val="00022DC8"/>
    <w:rsid w:val="00024059"/>
    <w:rsid w:val="00025BF3"/>
    <w:rsid w:val="000270B1"/>
    <w:rsid w:val="00027EEC"/>
    <w:rsid w:val="000328A1"/>
    <w:rsid w:val="0003298B"/>
    <w:rsid w:val="000332B7"/>
    <w:rsid w:val="000337A6"/>
    <w:rsid w:val="0004172F"/>
    <w:rsid w:val="00043E29"/>
    <w:rsid w:val="0004478E"/>
    <w:rsid w:val="00047405"/>
    <w:rsid w:val="000526F0"/>
    <w:rsid w:val="0005294D"/>
    <w:rsid w:val="00054812"/>
    <w:rsid w:val="00056356"/>
    <w:rsid w:val="000605C9"/>
    <w:rsid w:val="00060FC3"/>
    <w:rsid w:val="00061535"/>
    <w:rsid w:val="0006322F"/>
    <w:rsid w:val="0006361D"/>
    <w:rsid w:val="000656DF"/>
    <w:rsid w:val="0006618D"/>
    <w:rsid w:val="00067408"/>
    <w:rsid w:val="00071469"/>
    <w:rsid w:val="00072D03"/>
    <w:rsid w:val="00075AF8"/>
    <w:rsid w:val="0007739A"/>
    <w:rsid w:val="00080DB8"/>
    <w:rsid w:val="00080DC7"/>
    <w:rsid w:val="0008249E"/>
    <w:rsid w:val="00082A70"/>
    <w:rsid w:val="000863D0"/>
    <w:rsid w:val="00091005"/>
    <w:rsid w:val="000931DF"/>
    <w:rsid w:val="00096068"/>
    <w:rsid w:val="000A0042"/>
    <w:rsid w:val="000A4F7D"/>
    <w:rsid w:val="000A5A16"/>
    <w:rsid w:val="000A6789"/>
    <w:rsid w:val="000B04A9"/>
    <w:rsid w:val="000B2E4E"/>
    <w:rsid w:val="000B4AB9"/>
    <w:rsid w:val="000B60F0"/>
    <w:rsid w:val="000B7EEE"/>
    <w:rsid w:val="000C1933"/>
    <w:rsid w:val="000C342C"/>
    <w:rsid w:val="000C58E0"/>
    <w:rsid w:val="000C65EC"/>
    <w:rsid w:val="000D1E7D"/>
    <w:rsid w:val="000D5AE5"/>
    <w:rsid w:val="000D6094"/>
    <w:rsid w:val="000D629F"/>
    <w:rsid w:val="000E0259"/>
    <w:rsid w:val="000E0BB6"/>
    <w:rsid w:val="000E10E6"/>
    <w:rsid w:val="000E2392"/>
    <w:rsid w:val="000E39EF"/>
    <w:rsid w:val="000E600D"/>
    <w:rsid w:val="000E6FA7"/>
    <w:rsid w:val="00100356"/>
    <w:rsid w:val="001011AD"/>
    <w:rsid w:val="001019C1"/>
    <w:rsid w:val="00101F30"/>
    <w:rsid w:val="001044B7"/>
    <w:rsid w:val="00106AAC"/>
    <w:rsid w:val="00106CC3"/>
    <w:rsid w:val="00112A7C"/>
    <w:rsid w:val="00113C22"/>
    <w:rsid w:val="00114B6E"/>
    <w:rsid w:val="00115B28"/>
    <w:rsid w:val="00116B95"/>
    <w:rsid w:val="0011745C"/>
    <w:rsid w:val="00121576"/>
    <w:rsid w:val="00125D57"/>
    <w:rsid w:val="00127394"/>
    <w:rsid w:val="00130752"/>
    <w:rsid w:val="00133D43"/>
    <w:rsid w:val="00135AB5"/>
    <w:rsid w:val="001364F6"/>
    <w:rsid w:val="00145C6D"/>
    <w:rsid w:val="001462FF"/>
    <w:rsid w:val="00151721"/>
    <w:rsid w:val="00154563"/>
    <w:rsid w:val="001551DC"/>
    <w:rsid w:val="001554C2"/>
    <w:rsid w:val="00161706"/>
    <w:rsid w:val="00165AF9"/>
    <w:rsid w:val="00165D73"/>
    <w:rsid w:val="0016640B"/>
    <w:rsid w:val="001671F9"/>
    <w:rsid w:val="00173A2D"/>
    <w:rsid w:val="0017561A"/>
    <w:rsid w:val="00176C0F"/>
    <w:rsid w:val="0018012A"/>
    <w:rsid w:val="00181521"/>
    <w:rsid w:val="00182234"/>
    <w:rsid w:val="00183C58"/>
    <w:rsid w:val="00184A50"/>
    <w:rsid w:val="00184E26"/>
    <w:rsid w:val="00193908"/>
    <w:rsid w:val="00194642"/>
    <w:rsid w:val="00196670"/>
    <w:rsid w:val="001A0F73"/>
    <w:rsid w:val="001A3E98"/>
    <w:rsid w:val="001A5EBE"/>
    <w:rsid w:val="001A7913"/>
    <w:rsid w:val="001B0265"/>
    <w:rsid w:val="001B11DD"/>
    <w:rsid w:val="001B1AF8"/>
    <w:rsid w:val="001B1DA2"/>
    <w:rsid w:val="001B632D"/>
    <w:rsid w:val="001C0692"/>
    <w:rsid w:val="001C3D5E"/>
    <w:rsid w:val="001C634A"/>
    <w:rsid w:val="001C78EA"/>
    <w:rsid w:val="001C7E99"/>
    <w:rsid w:val="001D042A"/>
    <w:rsid w:val="001D0CB7"/>
    <w:rsid w:val="001E0284"/>
    <w:rsid w:val="001E081E"/>
    <w:rsid w:val="001E0ED5"/>
    <w:rsid w:val="001E2CF3"/>
    <w:rsid w:val="001E3AC6"/>
    <w:rsid w:val="001E3E88"/>
    <w:rsid w:val="001E5D5A"/>
    <w:rsid w:val="001E6E2A"/>
    <w:rsid w:val="001E72D3"/>
    <w:rsid w:val="001E79D1"/>
    <w:rsid w:val="001F2C7F"/>
    <w:rsid w:val="001F3357"/>
    <w:rsid w:val="001F3CDB"/>
    <w:rsid w:val="001F68CE"/>
    <w:rsid w:val="00200D82"/>
    <w:rsid w:val="00204E59"/>
    <w:rsid w:val="002050FD"/>
    <w:rsid w:val="00205805"/>
    <w:rsid w:val="00207DFF"/>
    <w:rsid w:val="002119CA"/>
    <w:rsid w:val="00212804"/>
    <w:rsid w:val="00213914"/>
    <w:rsid w:val="00213D81"/>
    <w:rsid w:val="00214751"/>
    <w:rsid w:val="00220049"/>
    <w:rsid w:val="0022055D"/>
    <w:rsid w:val="0022135A"/>
    <w:rsid w:val="0022268B"/>
    <w:rsid w:val="002236DC"/>
    <w:rsid w:val="002311A4"/>
    <w:rsid w:val="00232F61"/>
    <w:rsid w:val="00233600"/>
    <w:rsid w:val="00233F3C"/>
    <w:rsid w:val="00234E5E"/>
    <w:rsid w:val="00235D5E"/>
    <w:rsid w:val="00235F7B"/>
    <w:rsid w:val="00236CE2"/>
    <w:rsid w:val="00237627"/>
    <w:rsid w:val="002437B8"/>
    <w:rsid w:val="002450C0"/>
    <w:rsid w:val="002506B8"/>
    <w:rsid w:val="00251C7D"/>
    <w:rsid w:val="002541F9"/>
    <w:rsid w:val="00254B03"/>
    <w:rsid w:val="00257A6D"/>
    <w:rsid w:val="00263CCA"/>
    <w:rsid w:val="0026787B"/>
    <w:rsid w:val="00267D66"/>
    <w:rsid w:val="00271119"/>
    <w:rsid w:val="00271F21"/>
    <w:rsid w:val="002738B5"/>
    <w:rsid w:val="002740B6"/>
    <w:rsid w:val="00277352"/>
    <w:rsid w:val="00277535"/>
    <w:rsid w:val="00282894"/>
    <w:rsid w:val="002838D4"/>
    <w:rsid w:val="00284C10"/>
    <w:rsid w:val="00287A6E"/>
    <w:rsid w:val="002902A1"/>
    <w:rsid w:val="002919AB"/>
    <w:rsid w:val="002920BB"/>
    <w:rsid w:val="002924F3"/>
    <w:rsid w:val="00292B15"/>
    <w:rsid w:val="002967FE"/>
    <w:rsid w:val="00297ABF"/>
    <w:rsid w:val="002A2718"/>
    <w:rsid w:val="002A280A"/>
    <w:rsid w:val="002A483B"/>
    <w:rsid w:val="002A5DC2"/>
    <w:rsid w:val="002A772B"/>
    <w:rsid w:val="002B24E6"/>
    <w:rsid w:val="002B2658"/>
    <w:rsid w:val="002B2DBE"/>
    <w:rsid w:val="002B3C53"/>
    <w:rsid w:val="002B4A7B"/>
    <w:rsid w:val="002B54E8"/>
    <w:rsid w:val="002B6234"/>
    <w:rsid w:val="002C07D4"/>
    <w:rsid w:val="002C62AB"/>
    <w:rsid w:val="002D3940"/>
    <w:rsid w:val="002D447C"/>
    <w:rsid w:val="002D5D04"/>
    <w:rsid w:val="002D7932"/>
    <w:rsid w:val="002D79E8"/>
    <w:rsid w:val="002D7EA3"/>
    <w:rsid w:val="002E11E9"/>
    <w:rsid w:val="002E2240"/>
    <w:rsid w:val="002E3157"/>
    <w:rsid w:val="002E34D2"/>
    <w:rsid w:val="002F044A"/>
    <w:rsid w:val="002F1910"/>
    <w:rsid w:val="002F21C0"/>
    <w:rsid w:val="002F28D3"/>
    <w:rsid w:val="002F6A4B"/>
    <w:rsid w:val="002F6FB8"/>
    <w:rsid w:val="002F7EB9"/>
    <w:rsid w:val="0030090E"/>
    <w:rsid w:val="0030400B"/>
    <w:rsid w:val="00305560"/>
    <w:rsid w:val="003103D9"/>
    <w:rsid w:val="00313E45"/>
    <w:rsid w:val="00314229"/>
    <w:rsid w:val="00316A7A"/>
    <w:rsid w:val="00317C71"/>
    <w:rsid w:val="00320F96"/>
    <w:rsid w:val="003250CA"/>
    <w:rsid w:val="003301D5"/>
    <w:rsid w:val="00331506"/>
    <w:rsid w:val="00333200"/>
    <w:rsid w:val="003338E9"/>
    <w:rsid w:val="00335074"/>
    <w:rsid w:val="003352F6"/>
    <w:rsid w:val="003358A4"/>
    <w:rsid w:val="00335BF0"/>
    <w:rsid w:val="00336BB6"/>
    <w:rsid w:val="00340424"/>
    <w:rsid w:val="00340BEE"/>
    <w:rsid w:val="0034204A"/>
    <w:rsid w:val="00342DDC"/>
    <w:rsid w:val="0034452D"/>
    <w:rsid w:val="003448B3"/>
    <w:rsid w:val="00346CFE"/>
    <w:rsid w:val="00347515"/>
    <w:rsid w:val="0035360C"/>
    <w:rsid w:val="00353732"/>
    <w:rsid w:val="00353D3A"/>
    <w:rsid w:val="003567A8"/>
    <w:rsid w:val="00360522"/>
    <w:rsid w:val="00361434"/>
    <w:rsid w:val="00362EFD"/>
    <w:rsid w:val="00364A9B"/>
    <w:rsid w:val="00367333"/>
    <w:rsid w:val="00370D7B"/>
    <w:rsid w:val="00373405"/>
    <w:rsid w:val="00375F43"/>
    <w:rsid w:val="00376598"/>
    <w:rsid w:val="00376D6C"/>
    <w:rsid w:val="00380227"/>
    <w:rsid w:val="00380431"/>
    <w:rsid w:val="003813F1"/>
    <w:rsid w:val="003821C9"/>
    <w:rsid w:val="00382712"/>
    <w:rsid w:val="0038281F"/>
    <w:rsid w:val="0038445F"/>
    <w:rsid w:val="00384C1F"/>
    <w:rsid w:val="003852D9"/>
    <w:rsid w:val="00385313"/>
    <w:rsid w:val="00386090"/>
    <w:rsid w:val="00386DC7"/>
    <w:rsid w:val="00387807"/>
    <w:rsid w:val="00392EED"/>
    <w:rsid w:val="00393C8C"/>
    <w:rsid w:val="00393D27"/>
    <w:rsid w:val="00393E26"/>
    <w:rsid w:val="00397EC7"/>
    <w:rsid w:val="003A05AA"/>
    <w:rsid w:val="003A10A2"/>
    <w:rsid w:val="003A45EE"/>
    <w:rsid w:val="003A55C6"/>
    <w:rsid w:val="003A5DE3"/>
    <w:rsid w:val="003A6523"/>
    <w:rsid w:val="003A686D"/>
    <w:rsid w:val="003A7DA0"/>
    <w:rsid w:val="003B2BC1"/>
    <w:rsid w:val="003B3012"/>
    <w:rsid w:val="003B3815"/>
    <w:rsid w:val="003B46CD"/>
    <w:rsid w:val="003B5132"/>
    <w:rsid w:val="003B5D01"/>
    <w:rsid w:val="003B6874"/>
    <w:rsid w:val="003B71DB"/>
    <w:rsid w:val="003C0A1D"/>
    <w:rsid w:val="003C1177"/>
    <w:rsid w:val="003C203F"/>
    <w:rsid w:val="003C429E"/>
    <w:rsid w:val="003D0F81"/>
    <w:rsid w:val="003D153B"/>
    <w:rsid w:val="003D1C4F"/>
    <w:rsid w:val="003D4035"/>
    <w:rsid w:val="003D4206"/>
    <w:rsid w:val="003D4B2B"/>
    <w:rsid w:val="003E162A"/>
    <w:rsid w:val="003E27CA"/>
    <w:rsid w:val="003F1AF7"/>
    <w:rsid w:val="003F611E"/>
    <w:rsid w:val="003F795D"/>
    <w:rsid w:val="00401824"/>
    <w:rsid w:val="00411C20"/>
    <w:rsid w:val="0041206D"/>
    <w:rsid w:val="00413E5F"/>
    <w:rsid w:val="00414CE8"/>
    <w:rsid w:val="004207C7"/>
    <w:rsid w:val="00421EBD"/>
    <w:rsid w:val="004225D4"/>
    <w:rsid w:val="0042321D"/>
    <w:rsid w:val="00423DBF"/>
    <w:rsid w:val="00426D9A"/>
    <w:rsid w:val="00427495"/>
    <w:rsid w:val="004276F5"/>
    <w:rsid w:val="00432E28"/>
    <w:rsid w:val="00442D46"/>
    <w:rsid w:val="004502C9"/>
    <w:rsid w:val="00450992"/>
    <w:rsid w:val="00451150"/>
    <w:rsid w:val="00452505"/>
    <w:rsid w:val="00453605"/>
    <w:rsid w:val="004538C5"/>
    <w:rsid w:val="00454692"/>
    <w:rsid w:val="00455890"/>
    <w:rsid w:val="0045687C"/>
    <w:rsid w:val="00460688"/>
    <w:rsid w:val="0046129A"/>
    <w:rsid w:val="00462DD6"/>
    <w:rsid w:val="0046437C"/>
    <w:rsid w:val="0047053F"/>
    <w:rsid w:val="004711C3"/>
    <w:rsid w:val="00477740"/>
    <w:rsid w:val="00481208"/>
    <w:rsid w:val="004816FF"/>
    <w:rsid w:val="00482807"/>
    <w:rsid w:val="00485D23"/>
    <w:rsid w:val="00487297"/>
    <w:rsid w:val="00487A24"/>
    <w:rsid w:val="00487CEE"/>
    <w:rsid w:val="004954E6"/>
    <w:rsid w:val="0049773F"/>
    <w:rsid w:val="004A181F"/>
    <w:rsid w:val="004A4968"/>
    <w:rsid w:val="004A61B6"/>
    <w:rsid w:val="004A7CF6"/>
    <w:rsid w:val="004B0216"/>
    <w:rsid w:val="004B1036"/>
    <w:rsid w:val="004B1688"/>
    <w:rsid w:val="004B283B"/>
    <w:rsid w:val="004B603C"/>
    <w:rsid w:val="004C3E7C"/>
    <w:rsid w:val="004C42BF"/>
    <w:rsid w:val="004C6FC3"/>
    <w:rsid w:val="004D0D7C"/>
    <w:rsid w:val="004D3F1B"/>
    <w:rsid w:val="004D492E"/>
    <w:rsid w:val="004D6524"/>
    <w:rsid w:val="004E015E"/>
    <w:rsid w:val="004E0614"/>
    <w:rsid w:val="004E30C3"/>
    <w:rsid w:val="004E404D"/>
    <w:rsid w:val="004E46E1"/>
    <w:rsid w:val="004F2A5D"/>
    <w:rsid w:val="004F48C5"/>
    <w:rsid w:val="004F50FC"/>
    <w:rsid w:val="004F6400"/>
    <w:rsid w:val="004F74FE"/>
    <w:rsid w:val="0050058C"/>
    <w:rsid w:val="00500CAE"/>
    <w:rsid w:val="005027C2"/>
    <w:rsid w:val="005029EF"/>
    <w:rsid w:val="00502FD5"/>
    <w:rsid w:val="005032CD"/>
    <w:rsid w:val="005033FC"/>
    <w:rsid w:val="0050362D"/>
    <w:rsid w:val="005064AA"/>
    <w:rsid w:val="00506B64"/>
    <w:rsid w:val="005118AF"/>
    <w:rsid w:val="005119A0"/>
    <w:rsid w:val="00512E33"/>
    <w:rsid w:val="00513021"/>
    <w:rsid w:val="005145E9"/>
    <w:rsid w:val="0052025F"/>
    <w:rsid w:val="005213AD"/>
    <w:rsid w:val="00524360"/>
    <w:rsid w:val="005243B3"/>
    <w:rsid w:val="00526A4E"/>
    <w:rsid w:val="00530F29"/>
    <w:rsid w:val="00532E13"/>
    <w:rsid w:val="00534775"/>
    <w:rsid w:val="00535E6C"/>
    <w:rsid w:val="005362D8"/>
    <w:rsid w:val="00542C0E"/>
    <w:rsid w:val="005432CF"/>
    <w:rsid w:val="00545EC6"/>
    <w:rsid w:val="00550ADC"/>
    <w:rsid w:val="005545A9"/>
    <w:rsid w:val="00554B54"/>
    <w:rsid w:val="005565CE"/>
    <w:rsid w:val="00556F57"/>
    <w:rsid w:val="005571FE"/>
    <w:rsid w:val="005610C7"/>
    <w:rsid w:val="005621C5"/>
    <w:rsid w:val="00562231"/>
    <w:rsid w:val="00562786"/>
    <w:rsid w:val="00562A39"/>
    <w:rsid w:val="0056313A"/>
    <w:rsid w:val="005643DB"/>
    <w:rsid w:val="0057000C"/>
    <w:rsid w:val="00572627"/>
    <w:rsid w:val="00572DE5"/>
    <w:rsid w:val="0057416B"/>
    <w:rsid w:val="0057417D"/>
    <w:rsid w:val="00577986"/>
    <w:rsid w:val="005821F6"/>
    <w:rsid w:val="00582DD0"/>
    <w:rsid w:val="00584366"/>
    <w:rsid w:val="00584EF3"/>
    <w:rsid w:val="0058773A"/>
    <w:rsid w:val="00592C09"/>
    <w:rsid w:val="00593E29"/>
    <w:rsid w:val="00594B9A"/>
    <w:rsid w:val="00594BBD"/>
    <w:rsid w:val="00595430"/>
    <w:rsid w:val="00595D69"/>
    <w:rsid w:val="005961DB"/>
    <w:rsid w:val="0059711F"/>
    <w:rsid w:val="005A12BB"/>
    <w:rsid w:val="005A1457"/>
    <w:rsid w:val="005A1A15"/>
    <w:rsid w:val="005A234B"/>
    <w:rsid w:val="005A36B4"/>
    <w:rsid w:val="005A36E4"/>
    <w:rsid w:val="005A3838"/>
    <w:rsid w:val="005A59FB"/>
    <w:rsid w:val="005A69AB"/>
    <w:rsid w:val="005B3575"/>
    <w:rsid w:val="005B5156"/>
    <w:rsid w:val="005B53C5"/>
    <w:rsid w:val="005C052F"/>
    <w:rsid w:val="005C16E2"/>
    <w:rsid w:val="005C1CE9"/>
    <w:rsid w:val="005D18F5"/>
    <w:rsid w:val="005D1F1B"/>
    <w:rsid w:val="005D3BAC"/>
    <w:rsid w:val="005D441C"/>
    <w:rsid w:val="005D613A"/>
    <w:rsid w:val="005E3670"/>
    <w:rsid w:val="005E385C"/>
    <w:rsid w:val="005E591D"/>
    <w:rsid w:val="005E5B04"/>
    <w:rsid w:val="005E6377"/>
    <w:rsid w:val="005E6E71"/>
    <w:rsid w:val="005F048A"/>
    <w:rsid w:val="005F083A"/>
    <w:rsid w:val="005F0B3F"/>
    <w:rsid w:val="005F0B84"/>
    <w:rsid w:val="005F30F9"/>
    <w:rsid w:val="005F42B7"/>
    <w:rsid w:val="005F5714"/>
    <w:rsid w:val="0060573E"/>
    <w:rsid w:val="006074F7"/>
    <w:rsid w:val="00611175"/>
    <w:rsid w:val="00611405"/>
    <w:rsid w:val="00613C34"/>
    <w:rsid w:val="0061791A"/>
    <w:rsid w:val="00620202"/>
    <w:rsid w:val="00621934"/>
    <w:rsid w:val="006225F9"/>
    <w:rsid w:val="00636994"/>
    <w:rsid w:val="00636CC4"/>
    <w:rsid w:val="00641323"/>
    <w:rsid w:val="00643A34"/>
    <w:rsid w:val="006464BD"/>
    <w:rsid w:val="006470C7"/>
    <w:rsid w:val="00647CB0"/>
    <w:rsid w:val="00647D8A"/>
    <w:rsid w:val="0065035F"/>
    <w:rsid w:val="00650B66"/>
    <w:rsid w:val="006513A1"/>
    <w:rsid w:val="00652F26"/>
    <w:rsid w:val="00657049"/>
    <w:rsid w:val="0066126E"/>
    <w:rsid w:val="006615B7"/>
    <w:rsid w:val="00661EE7"/>
    <w:rsid w:val="00662CBD"/>
    <w:rsid w:val="00665030"/>
    <w:rsid w:val="00670237"/>
    <w:rsid w:val="0067164B"/>
    <w:rsid w:val="0067290B"/>
    <w:rsid w:val="006736E4"/>
    <w:rsid w:val="00673D7B"/>
    <w:rsid w:val="00676D2F"/>
    <w:rsid w:val="00681F7A"/>
    <w:rsid w:val="00682D3A"/>
    <w:rsid w:val="00683883"/>
    <w:rsid w:val="00684030"/>
    <w:rsid w:val="00684DAD"/>
    <w:rsid w:val="00686F74"/>
    <w:rsid w:val="0068706A"/>
    <w:rsid w:val="0068733F"/>
    <w:rsid w:val="006876FB"/>
    <w:rsid w:val="00690300"/>
    <w:rsid w:val="00690446"/>
    <w:rsid w:val="0069361C"/>
    <w:rsid w:val="00693B4A"/>
    <w:rsid w:val="006951F7"/>
    <w:rsid w:val="00696355"/>
    <w:rsid w:val="006A05F4"/>
    <w:rsid w:val="006A3A56"/>
    <w:rsid w:val="006A4E42"/>
    <w:rsid w:val="006A5072"/>
    <w:rsid w:val="006A531D"/>
    <w:rsid w:val="006B0F43"/>
    <w:rsid w:val="006B364A"/>
    <w:rsid w:val="006B417D"/>
    <w:rsid w:val="006C0C4D"/>
    <w:rsid w:val="006C11D0"/>
    <w:rsid w:val="006C2581"/>
    <w:rsid w:val="006D2BBB"/>
    <w:rsid w:val="006D33DA"/>
    <w:rsid w:val="006D4226"/>
    <w:rsid w:val="006D427F"/>
    <w:rsid w:val="006D739C"/>
    <w:rsid w:val="006E0F08"/>
    <w:rsid w:val="006E6D98"/>
    <w:rsid w:val="006E706C"/>
    <w:rsid w:val="006F2DA7"/>
    <w:rsid w:val="006F41AA"/>
    <w:rsid w:val="006F7631"/>
    <w:rsid w:val="00701E7A"/>
    <w:rsid w:val="00704C65"/>
    <w:rsid w:val="00705804"/>
    <w:rsid w:val="0070769C"/>
    <w:rsid w:val="007146B9"/>
    <w:rsid w:val="00715DCF"/>
    <w:rsid w:val="007209FB"/>
    <w:rsid w:val="00722146"/>
    <w:rsid w:val="00722418"/>
    <w:rsid w:val="007241AF"/>
    <w:rsid w:val="00730587"/>
    <w:rsid w:val="00730F04"/>
    <w:rsid w:val="007332D5"/>
    <w:rsid w:val="00733730"/>
    <w:rsid w:val="007339CF"/>
    <w:rsid w:val="00734559"/>
    <w:rsid w:val="007403FA"/>
    <w:rsid w:val="0074107B"/>
    <w:rsid w:val="0074149F"/>
    <w:rsid w:val="0074176B"/>
    <w:rsid w:val="00744D50"/>
    <w:rsid w:val="0074703C"/>
    <w:rsid w:val="007519CB"/>
    <w:rsid w:val="00751A6D"/>
    <w:rsid w:val="00751ADD"/>
    <w:rsid w:val="00752219"/>
    <w:rsid w:val="007528F1"/>
    <w:rsid w:val="00752F1D"/>
    <w:rsid w:val="007532B9"/>
    <w:rsid w:val="00754FE4"/>
    <w:rsid w:val="00760290"/>
    <w:rsid w:val="00763209"/>
    <w:rsid w:val="007635E7"/>
    <w:rsid w:val="00766605"/>
    <w:rsid w:val="00766EAB"/>
    <w:rsid w:val="00767390"/>
    <w:rsid w:val="007710AB"/>
    <w:rsid w:val="0077175A"/>
    <w:rsid w:val="00773055"/>
    <w:rsid w:val="0077400B"/>
    <w:rsid w:val="00775B98"/>
    <w:rsid w:val="00775C78"/>
    <w:rsid w:val="0077603C"/>
    <w:rsid w:val="00777C24"/>
    <w:rsid w:val="00780403"/>
    <w:rsid w:val="00782006"/>
    <w:rsid w:val="00786F5C"/>
    <w:rsid w:val="007911E5"/>
    <w:rsid w:val="00791D73"/>
    <w:rsid w:val="00794402"/>
    <w:rsid w:val="00796964"/>
    <w:rsid w:val="00797333"/>
    <w:rsid w:val="007A080E"/>
    <w:rsid w:val="007A2605"/>
    <w:rsid w:val="007A4A07"/>
    <w:rsid w:val="007A4D35"/>
    <w:rsid w:val="007A74D4"/>
    <w:rsid w:val="007B1ACA"/>
    <w:rsid w:val="007B5D02"/>
    <w:rsid w:val="007C0DD5"/>
    <w:rsid w:val="007C3099"/>
    <w:rsid w:val="007C35A9"/>
    <w:rsid w:val="007C469F"/>
    <w:rsid w:val="007C4ADA"/>
    <w:rsid w:val="007C4EF1"/>
    <w:rsid w:val="007D19E2"/>
    <w:rsid w:val="007D247E"/>
    <w:rsid w:val="007D3896"/>
    <w:rsid w:val="007D38D2"/>
    <w:rsid w:val="007E16FC"/>
    <w:rsid w:val="007E3EB8"/>
    <w:rsid w:val="007E75A4"/>
    <w:rsid w:val="007F14B3"/>
    <w:rsid w:val="007F28F4"/>
    <w:rsid w:val="007F4E60"/>
    <w:rsid w:val="007F545D"/>
    <w:rsid w:val="007F58B8"/>
    <w:rsid w:val="00800A53"/>
    <w:rsid w:val="00803838"/>
    <w:rsid w:val="00803B1C"/>
    <w:rsid w:val="00803D49"/>
    <w:rsid w:val="00803F45"/>
    <w:rsid w:val="00807CBB"/>
    <w:rsid w:val="00810FFA"/>
    <w:rsid w:val="0081128B"/>
    <w:rsid w:val="008132E4"/>
    <w:rsid w:val="00817679"/>
    <w:rsid w:val="008227AD"/>
    <w:rsid w:val="00822B50"/>
    <w:rsid w:val="0082410D"/>
    <w:rsid w:val="00824182"/>
    <w:rsid w:val="008249A5"/>
    <w:rsid w:val="00825387"/>
    <w:rsid w:val="008331D4"/>
    <w:rsid w:val="00834406"/>
    <w:rsid w:val="00835CFB"/>
    <w:rsid w:val="00836116"/>
    <w:rsid w:val="008371E9"/>
    <w:rsid w:val="00840743"/>
    <w:rsid w:val="0084082C"/>
    <w:rsid w:val="00840D62"/>
    <w:rsid w:val="0084154D"/>
    <w:rsid w:val="00841706"/>
    <w:rsid w:val="008422F5"/>
    <w:rsid w:val="00842647"/>
    <w:rsid w:val="00844266"/>
    <w:rsid w:val="00844BD5"/>
    <w:rsid w:val="008503D4"/>
    <w:rsid w:val="0085064C"/>
    <w:rsid w:val="00850CC5"/>
    <w:rsid w:val="00852442"/>
    <w:rsid w:val="00852749"/>
    <w:rsid w:val="008543E2"/>
    <w:rsid w:val="00854D3A"/>
    <w:rsid w:val="00856106"/>
    <w:rsid w:val="00856C59"/>
    <w:rsid w:val="00862FC1"/>
    <w:rsid w:val="00871050"/>
    <w:rsid w:val="008715C1"/>
    <w:rsid w:val="00872E56"/>
    <w:rsid w:val="00873659"/>
    <w:rsid w:val="00875E48"/>
    <w:rsid w:val="00883930"/>
    <w:rsid w:val="008874A9"/>
    <w:rsid w:val="008925FE"/>
    <w:rsid w:val="00893EC0"/>
    <w:rsid w:val="00894F3B"/>
    <w:rsid w:val="00895415"/>
    <w:rsid w:val="00895895"/>
    <w:rsid w:val="008964E0"/>
    <w:rsid w:val="0089659A"/>
    <w:rsid w:val="008A32DF"/>
    <w:rsid w:val="008A3F14"/>
    <w:rsid w:val="008A3FC9"/>
    <w:rsid w:val="008A509D"/>
    <w:rsid w:val="008A7E16"/>
    <w:rsid w:val="008B097E"/>
    <w:rsid w:val="008B0CD3"/>
    <w:rsid w:val="008B1EE9"/>
    <w:rsid w:val="008B3FD0"/>
    <w:rsid w:val="008B47D7"/>
    <w:rsid w:val="008B49EB"/>
    <w:rsid w:val="008B51B0"/>
    <w:rsid w:val="008C0342"/>
    <w:rsid w:val="008C0C89"/>
    <w:rsid w:val="008C21F9"/>
    <w:rsid w:val="008C4CA6"/>
    <w:rsid w:val="008C5005"/>
    <w:rsid w:val="008C6894"/>
    <w:rsid w:val="008C6C48"/>
    <w:rsid w:val="008C7ADA"/>
    <w:rsid w:val="008C7D6B"/>
    <w:rsid w:val="008C7D6D"/>
    <w:rsid w:val="008D28EE"/>
    <w:rsid w:val="008D2BCD"/>
    <w:rsid w:val="008D5BB2"/>
    <w:rsid w:val="008D5F77"/>
    <w:rsid w:val="008D6F0A"/>
    <w:rsid w:val="008D7CBD"/>
    <w:rsid w:val="008E0485"/>
    <w:rsid w:val="008E30C0"/>
    <w:rsid w:val="008E4FEC"/>
    <w:rsid w:val="008E5222"/>
    <w:rsid w:val="008E551A"/>
    <w:rsid w:val="008E5578"/>
    <w:rsid w:val="008F0D66"/>
    <w:rsid w:val="008F2EB0"/>
    <w:rsid w:val="008F4299"/>
    <w:rsid w:val="008F4985"/>
    <w:rsid w:val="008F53C0"/>
    <w:rsid w:val="008F607A"/>
    <w:rsid w:val="008F6675"/>
    <w:rsid w:val="00900039"/>
    <w:rsid w:val="0090535F"/>
    <w:rsid w:val="00911667"/>
    <w:rsid w:val="00911F92"/>
    <w:rsid w:val="009129D4"/>
    <w:rsid w:val="00916795"/>
    <w:rsid w:val="00917D96"/>
    <w:rsid w:val="0092090A"/>
    <w:rsid w:val="00920A13"/>
    <w:rsid w:val="00923070"/>
    <w:rsid w:val="00930933"/>
    <w:rsid w:val="00930B4D"/>
    <w:rsid w:val="0093243D"/>
    <w:rsid w:val="00934548"/>
    <w:rsid w:val="00934FF1"/>
    <w:rsid w:val="0093653C"/>
    <w:rsid w:val="00940C39"/>
    <w:rsid w:val="00944CC2"/>
    <w:rsid w:val="009454B2"/>
    <w:rsid w:val="009454F0"/>
    <w:rsid w:val="00945B15"/>
    <w:rsid w:val="00953D56"/>
    <w:rsid w:val="00953D80"/>
    <w:rsid w:val="009553C4"/>
    <w:rsid w:val="00957031"/>
    <w:rsid w:val="009574DC"/>
    <w:rsid w:val="00960766"/>
    <w:rsid w:val="0096706D"/>
    <w:rsid w:val="00972BD6"/>
    <w:rsid w:val="00974D7F"/>
    <w:rsid w:val="00975807"/>
    <w:rsid w:val="00975A88"/>
    <w:rsid w:val="009775DA"/>
    <w:rsid w:val="00977C33"/>
    <w:rsid w:val="00980CC6"/>
    <w:rsid w:val="00980DC7"/>
    <w:rsid w:val="009819B4"/>
    <w:rsid w:val="00982ACD"/>
    <w:rsid w:val="009847E4"/>
    <w:rsid w:val="00984E39"/>
    <w:rsid w:val="00985E82"/>
    <w:rsid w:val="00987A39"/>
    <w:rsid w:val="00990BEF"/>
    <w:rsid w:val="00992C94"/>
    <w:rsid w:val="009935F6"/>
    <w:rsid w:val="009946D2"/>
    <w:rsid w:val="009A0D1A"/>
    <w:rsid w:val="009A2754"/>
    <w:rsid w:val="009A35E7"/>
    <w:rsid w:val="009A7EED"/>
    <w:rsid w:val="009B28A6"/>
    <w:rsid w:val="009B625B"/>
    <w:rsid w:val="009C186B"/>
    <w:rsid w:val="009C18D1"/>
    <w:rsid w:val="009C7982"/>
    <w:rsid w:val="009D1AF8"/>
    <w:rsid w:val="009D1B22"/>
    <w:rsid w:val="009D2494"/>
    <w:rsid w:val="009E23ED"/>
    <w:rsid w:val="009E36CE"/>
    <w:rsid w:val="009E5F8F"/>
    <w:rsid w:val="009E6015"/>
    <w:rsid w:val="009E6D7D"/>
    <w:rsid w:val="009F061B"/>
    <w:rsid w:val="009F0C1F"/>
    <w:rsid w:val="009F46DB"/>
    <w:rsid w:val="009F7D4B"/>
    <w:rsid w:val="00A003D1"/>
    <w:rsid w:val="00A012DA"/>
    <w:rsid w:val="00A01C92"/>
    <w:rsid w:val="00A0742B"/>
    <w:rsid w:val="00A07CBE"/>
    <w:rsid w:val="00A20921"/>
    <w:rsid w:val="00A24276"/>
    <w:rsid w:val="00A25C67"/>
    <w:rsid w:val="00A26896"/>
    <w:rsid w:val="00A31024"/>
    <w:rsid w:val="00A328E6"/>
    <w:rsid w:val="00A3350B"/>
    <w:rsid w:val="00A37A61"/>
    <w:rsid w:val="00A416B6"/>
    <w:rsid w:val="00A4198D"/>
    <w:rsid w:val="00A44286"/>
    <w:rsid w:val="00A442EA"/>
    <w:rsid w:val="00A4685F"/>
    <w:rsid w:val="00A46E0E"/>
    <w:rsid w:val="00A54547"/>
    <w:rsid w:val="00A547D8"/>
    <w:rsid w:val="00A56877"/>
    <w:rsid w:val="00A6168F"/>
    <w:rsid w:val="00A656A5"/>
    <w:rsid w:val="00A65950"/>
    <w:rsid w:val="00A665AC"/>
    <w:rsid w:val="00A6704A"/>
    <w:rsid w:val="00A678C9"/>
    <w:rsid w:val="00A678CD"/>
    <w:rsid w:val="00A679D1"/>
    <w:rsid w:val="00A70DE0"/>
    <w:rsid w:val="00A71615"/>
    <w:rsid w:val="00A71C6E"/>
    <w:rsid w:val="00A71DF0"/>
    <w:rsid w:val="00A73981"/>
    <w:rsid w:val="00A75044"/>
    <w:rsid w:val="00A755E0"/>
    <w:rsid w:val="00A80234"/>
    <w:rsid w:val="00A80744"/>
    <w:rsid w:val="00A81F2E"/>
    <w:rsid w:val="00A837AF"/>
    <w:rsid w:val="00A83EE8"/>
    <w:rsid w:val="00A84083"/>
    <w:rsid w:val="00A90B88"/>
    <w:rsid w:val="00A90EB5"/>
    <w:rsid w:val="00A92DB1"/>
    <w:rsid w:val="00A93C79"/>
    <w:rsid w:val="00A94D88"/>
    <w:rsid w:val="00A94F46"/>
    <w:rsid w:val="00A96A68"/>
    <w:rsid w:val="00A97F73"/>
    <w:rsid w:val="00AA1C3B"/>
    <w:rsid w:val="00AA3F9E"/>
    <w:rsid w:val="00AA56A1"/>
    <w:rsid w:val="00AA609D"/>
    <w:rsid w:val="00AA75BD"/>
    <w:rsid w:val="00AB3946"/>
    <w:rsid w:val="00AC0BAB"/>
    <w:rsid w:val="00AC0C23"/>
    <w:rsid w:val="00AC1541"/>
    <w:rsid w:val="00AC267A"/>
    <w:rsid w:val="00AC278B"/>
    <w:rsid w:val="00AC41EE"/>
    <w:rsid w:val="00AC6399"/>
    <w:rsid w:val="00AC66EA"/>
    <w:rsid w:val="00AC7895"/>
    <w:rsid w:val="00AC7BA1"/>
    <w:rsid w:val="00AD0901"/>
    <w:rsid w:val="00AD4394"/>
    <w:rsid w:val="00AD6195"/>
    <w:rsid w:val="00AD6990"/>
    <w:rsid w:val="00AE04B0"/>
    <w:rsid w:val="00AE23C9"/>
    <w:rsid w:val="00AE5B40"/>
    <w:rsid w:val="00AE7CBB"/>
    <w:rsid w:val="00AE7D00"/>
    <w:rsid w:val="00AF0278"/>
    <w:rsid w:val="00AF0345"/>
    <w:rsid w:val="00AF47E6"/>
    <w:rsid w:val="00B00224"/>
    <w:rsid w:val="00B01096"/>
    <w:rsid w:val="00B04562"/>
    <w:rsid w:val="00B10E19"/>
    <w:rsid w:val="00B12944"/>
    <w:rsid w:val="00B12F01"/>
    <w:rsid w:val="00B13C50"/>
    <w:rsid w:val="00B16157"/>
    <w:rsid w:val="00B16984"/>
    <w:rsid w:val="00B170B4"/>
    <w:rsid w:val="00B17C91"/>
    <w:rsid w:val="00B239B4"/>
    <w:rsid w:val="00B264B6"/>
    <w:rsid w:val="00B32790"/>
    <w:rsid w:val="00B33392"/>
    <w:rsid w:val="00B339B5"/>
    <w:rsid w:val="00B364F9"/>
    <w:rsid w:val="00B3732E"/>
    <w:rsid w:val="00B37FB1"/>
    <w:rsid w:val="00B44700"/>
    <w:rsid w:val="00B57156"/>
    <w:rsid w:val="00B606CB"/>
    <w:rsid w:val="00B606CE"/>
    <w:rsid w:val="00B61A49"/>
    <w:rsid w:val="00B61ADD"/>
    <w:rsid w:val="00B64D8F"/>
    <w:rsid w:val="00B71C56"/>
    <w:rsid w:val="00B760A5"/>
    <w:rsid w:val="00B76728"/>
    <w:rsid w:val="00B773D0"/>
    <w:rsid w:val="00B775CF"/>
    <w:rsid w:val="00B83C94"/>
    <w:rsid w:val="00B86C63"/>
    <w:rsid w:val="00B90599"/>
    <w:rsid w:val="00B9270A"/>
    <w:rsid w:val="00B9689C"/>
    <w:rsid w:val="00B9771F"/>
    <w:rsid w:val="00BA405D"/>
    <w:rsid w:val="00BA6C70"/>
    <w:rsid w:val="00BA7A44"/>
    <w:rsid w:val="00BB2B18"/>
    <w:rsid w:val="00BB3CCF"/>
    <w:rsid w:val="00BB4F9D"/>
    <w:rsid w:val="00BB53BE"/>
    <w:rsid w:val="00BC1D2A"/>
    <w:rsid w:val="00BC23CA"/>
    <w:rsid w:val="00BC2448"/>
    <w:rsid w:val="00BC284B"/>
    <w:rsid w:val="00BC5B2B"/>
    <w:rsid w:val="00BC676F"/>
    <w:rsid w:val="00BC6957"/>
    <w:rsid w:val="00BD08B6"/>
    <w:rsid w:val="00BD0995"/>
    <w:rsid w:val="00BD0F34"/>
    <w:rsid w:val="00BD4424"/>
    <w:rsid w:val="00BD6479"/>
    <w:rsid w:val="00BD7E49"/>
    <w:rsid w:val="00BE29B9"/>
    <w:rsid w:val="00BE3F4E"/>
    <w:rsid w:val="00BE7577"/>
    <w:rsid w:val="00BE7EC1"/>
    <w:rsid w:val="00BF153B"/>
    <w:rsid w:val="00BF769D"/>
    <w:rsid w:val="00C00786"/>
    <w:rsid w:val="00C00F85"/>
    <w:rsid w:val="00C0346A"/>
    <w:rsid w:val="00C04508"/>
    <w:rsid w:val="00C0676E"/>
    <w:rsid w:val="00C105AC"/>
    <w:rsid w:val="00C11AA6"/>
    <w:rsid w:val="00C1218A"/>
    <w:rsid w:val="00C123F3"/>
    <w:rsid w:val="00C14664"/>
    <w:rsid w:val="00C17C6E"/>
    <w:rsid w:val="00C20239"/>
    <w:rsid w:val="00C2213A"/>
    <w:rsid w:val="00C223DB"/>
    <w:rsid w:val="00C22EA6"/>
    <w:rsid w:val="00C248BF"/>
    <w:rsid w:val="00C256B3"/>
    <w:rsid w:val="00C32E52"/>
    <w:rsid w:val="00C352BD"/>
    <w:rsid w:val="00C37006"/>
    <w:rsid w:val="00C37AB3"/>
    <w:rsid w:val="00C42644"/>
    <w:rsid w:val="00C42BBF"/>
    <w:rsid w:val="00C47995"/>
    <w:rsid w:val="00C51C49"/>
    <w:rsid w:val="00C51FA7"/>
    <w:rsid w:val="00C55841"/>
    <w:rsid w:val="00C614BF"/>
    <w:rsid w:val="00C62648"/>
    <w:rsid w:val="00C64325"/>
    <w:rsid w:val="00C709B2"/>
    <w:rsid w:val="00C76617"/>
    <w:rsid w:val="00C808A1"/>
    <w:rsid w:val="00C86B06"/>
    <w:rsid w:val="00C874CC"/>
    <w:rsid w:val="00C87E6D"/>
    <w:rsid w:val="00C9035E"/>
    <w:rsid w:val="00C914D3"/>
    <w:rsid w:val="00C91C0D"/>
    <w:rsid w:val="00C93F51"/>
    <w:rsid w:val="00C9422B"/>
    <w:rsid w:val="00C95123"/>
    <w:rsid w:val="00C96131"/>
    <w:rsid w:val="00C97E3B"/>
    <w:rsid w:val="00CA0E17"/>
    <w:rsid w:val="00CA28AA"/>
    <w:rsid w:val="00CA2AC8"/>
    <w:rsid w:val="00CA30DE"/>
    <w:rsid w:val="00CA3E9D"/>
    <w:rsid w:val="00CA7634"/>
    <w:rsid w:val="00CB2D4E"/>
    <w:rsid w:val="00CB4B3F"/>
    <w:rsid w:val="00CB66F0"/>
    <w:rsid w:val="00CC4CB8"/>
    <w:rsid w:val="00CC776B"/>
    <w:rsid w:val="00CD0DAA"/>
    <w:rsid w:val="00CD17AE"/>
    <w:rsid w:val="00CD2613"/>
    <w:rsid w:val="00CD2F98"/>
    <w:rsid w:val="00CD344A"/>
    <w:rsid w:val="00CD38BF"/>
    <w:rsid w:val="00CD3B8E"/>
    <w:rsid w:val="00CD54DB"/>
    <w:rsid w:val="00CD6135"/>
    <w:rsid w:val="00CD7835"/>
    <w:rsid w:val="00CD7F7C"/>
    <w:rsid w:val="00CE4C00"/>
    <w:rsid w:val="00CE7764"/>
    <w:rsid w:val="00CF076E"/>
    <w:rsid w:val="00CF39D9"/>
    <w:rsid w:val="00CF501F"/>
    <w:rsid w:val="00CF5D7B"/>
    <w:rsid w:val="00CF6D79"/>
    <w:rsid w:val="00CF6DAB"/>
    <w:rsid w:val="00CF798D"/>
    <w:rsid w:val="00D037DB"/>
    <w:rsid w:val="00D03C48"/>
    <w:rsid w:val="00D11079"/>
    <w:rsid w:val="00D13957"/>
    <w:rsid w:val="00D17612"/>
    <w:rsid w:val="00D237C7"/>
    <w:rsid w:val="00D24583"/>
    <w:rsid w:val="00D25259"/>
    <w:rsid w:val="00D270D0"/>
    <w:rsid w:val="00D31288"/>
    <w:rsid w:val="00D33FBE"/>
    <w:rsid w:val="00D34DDC"/>
    <w:rsid w:val="00D356BA"/>
    <w:rsid w:val="00D3680C"/>
    <w:rsid w:val="00D41E1C"/>
    <w:rsid w:val="00D42285"/>
    <w:rsid w:val="00D42771"/>
    <w:rsid w:val="00D46274"/>
    <w:rsid w:val="00D466AF"/>
    <w:rsid w:val="00D50508"/>
    <w:rsid w:val="00D514DF"/>
    <w:rsid w:val="00D533E3"/>
    <w:rsid w:val="00D544B2"/>
    <w:rsid w:val="00D607FA"/>
    <w:rsid w:val="00D60CF8"/>
    <w:rsid w:val="00D622C8"/>
    <w:rsid w:val="00D62EB9"/>
    <w:rsid w:val="00D71AE7"/>
    <w:rsid w:val="00D7389D"/>
    <w:rsid w:val="00D772EC"/>
    <w:rsid w:val="00D80577"/>
    <w:rsid w:val="00D82277"/>
    <w:rsid w:val="00D83708"/>
    <w:rsid w:val="00D838E3"/>
    <w:rsid w:val="00D86EAB"/>
    <w:rsid w:val="00D93F15"/>
    <w:rsid w:val="00D94A29"/>
    <w:rsid w:val="00DA08C9"/>
    <w:rsid w:val="00DA16D6"/>
    <w:rsid w:val="00DA1F8A"/>
    <w:rsid w:val="00DB1AB1"/>
    <w:rsid w:val="00DB579C"/>
    <w:rsid w:val="00DB65F7"/>
    <w:rsid w:val="00DC0970"/>
    <w:rsid w:val="00DC1A43"/>
    <w:rsid w:val="00DC1D68"/>
    <w:rsid w:val="00DC2ADC"/>
    <w:rsid w:val="00DC373C"/>
    <w:rsid w:val="00DC426A"/>
    <w:rsid w:val="00DC47F7"/>
    <w:rsid w:val="00DC5646"/>
    <w:rsid w:val="00DC73A8"/>
    <w:rsid w:val="00DD0F17"/>
    <w:rsid w:val="00DD4462"/>
    <w:rsid w:val="00DD5D3F"/>
    <w:rsid w:val="00DD6A0B"/>
    <w:rsid w:val="00DD716B"/>
    <w:rsid w:val="00DE13C5"/>
    <w:rsid w:val="00DE32ED"/>
    <w:rsid w:val="00DE79FB"/>
    <w:rsid w:val="00DF1C76"/>
    <w:rsid w:val="00DF2779"/>
    <w:rsid w:val="00DF6151"/>
    <w:rsid w:val="00DF7C5D"/>
    <w:rsid w:val="00E02B8E"/>
    <w:rsid w:val="00E03745"/>
    <w:rsid w:val="00E041DF"/>
    <w:rsid w:val="00E04F15"/>
    <w:rsid w:val="00E14498"/>
    <w:rsid w:val="00E15002"/>
    <w:rsid w:val="00E204C6"/>
    <w:rsid w:val="00E20EDE"/>
    <w:rsid w:val="00E21CA7"/>
    <w:rsid w:val="00E23C5E"/>
    <w:rsid w:val="00E23E74"/>
    <w:rsid w:val="00E241AB"/>
    <w:rsid w:val="00E2727E"/>
    <w:rsid w:val="00E300F0"/>
    <w:rsid w:val="00E31DBA"/>
    <w:rsid w:val="00E33345"/>
    <w:rsid w:val="00E33E9D"/>
    <w:rsid w:val="00E3742D"/>
    <w:rsid w:val="00E37803"/>
    <w:rsid w:val="00E42095"/>
    <w:rsid w:val="00E428A8"/>
    <w:rsid w:val="00E4486A"/>
    <w:rsid w:val="00E50C38"/>
    <w:rsid w:val="00E510EF"/>
    <w:rsid w:val="00E56AAF"/>
    <w:rsid w:val="00E64680"/>
    <w:rsid w:val="00E6667E"/>
    <w:rsid w:val="00E7128A"/>
    <w:rsid w:val="00E71C1A"/>
    <w:rsid w:val="00E72C91"/>
    <w:rsid w:val="00E74B0D"/>
    <w:rsid w:val="00E74E6C"/>
    <w:rsid w:val="00E7521E"/>
    <w:rsid w:val="00E81D6C"/>
    <w:rsid w:val="00E83E84"/>
    <w:rsid w:val="00E83F7A"/>
    <w:rsid w:val="00E840F1"/>
    <w:rsid w:val="00E856C6"/>
    <w:rsid w:val="00E85C70"/>
    <w:rsid w:val="00E87466"/>
    <w:rsid w:val="00E87A37"/>
    <w:rsid w:val="00E92310"/>
    <w:rsid w:val="00E9332A"/>
    <w:rsid w:val="00E935AF"/>
    <w:rsid w:val="00E937B7"/>
    <w:rsid w:val="00E940DE"/>
    <w:rsid w:val="00E958E2"/>
    <w:rsid w:val="00E9750F"/>
    <w:rsid w:val="00E975E2"/>
    <w:rsid w:val="00E97BDC"/>
    <w:rsid w:val="00EA020B"/>
    <w:rsid w:val="00EA2FC9"/>
    <w:rsid w:val="00EA5040"/>
    <w:rsid w:val="00EA7C5E"/>
    <w:rsid w:val="00EB0D18"/>
    <w:rsid w:val="00EB0DA3"/>
    <w:rsid w:val="00EB308F"/>
    <w:rsid w:val="00EB38DD"/>
    <w:rsid w:val="00EB3D38"/>
    <w:rsid w:val="00EC02DD"/>
    <w:rsid w:val="00EC1570"/>
    <w:rsid w:val="00EC1F2C"/>
    <w:rsid w:val="00ED068A"/>
    <w:rsid w:val="00ED0878"/>
    <w:rsid w:val="00ED1248"/>
    <w:rsid w:val="00ED131C"/>
    <w:rsid w:val="00ED1FD3"/>
    <w:rsid w:val="00ED2070"/>
    <w:rsid w:val="00ED2F0A"/>
    <w:rsid w:val="00EE181A"/>
    <w:rsid w:val="00EE1969"/>
    <w:rsid w:val="00EE1A37"/>
    <w:rsid w:val="00EE53D6"/>
    <w:rsid w:val="00EE57B3"/>
    <w:rsid w:val="00EE7BE8"/>
    <w:rsid w:val="00EF0631"/>
    <w:rsid w:val="00EF0D02"/>
    <w:rsid w:val="00EF2430"/>
    <w:rsid w:val="00EF64CE"/>
    <w:rsid w:val="00EF6D5C"/>
    <w:rsid w:val="00EF7113"/>
    <w:rsid w:val="00F00BF6"/>
    <w:rsid w:val="00F01455"/>
    <w:rsid w:val="00F10914"/>
    <w:rsid w:val="00F10A0F"/>
    <w:rsid w:val="00F11B5A"/>
    <w:rsid w:val="00F13EFA"/>
    <w:rsid w:val="00F16078"/>
    <w:rsid w:val="00F202EF"/>
    <w:rsid w:val="00F2040A"/>
    <w:rsid w:val="00F23E5A"/>
    <w:rsid w:val="00F328C1"/>
    <w:rsid w:val="00F3348E"/>
    <w:rsid w:val="00F344BB"/>
    <w:rsid w:val="00F35EA8"/>
    <w:rsid w:val="00F37CB3"/>
    <w:rsid w:val="00F4000E"/>
    <w:rsid w:val="00F40EBA"/>
    <w:rsid w:val="00F41569"/>
    <w:rsid w:val="00F42FB5"/>
    <w:rsid w:val="00F43337"/>
    <w:rsid w:val="00F45977"/>
    <w:rsid w:val="00F47907"/>
    <w:rsid w:val="00F52E76"/>
    <w:rsid w:val="00F53E05"/>
    <w:rsid w:val="00F54D92"/>
    <w:rsid w:val="00F56F84"/>
    <w:rsid w:val="00F575AE"/>
    <w:rsid w:val="00F61E6D"/>
    <w:rsid w:val="00F62302"/>
    <w:rsid w:val="00F633BF"/>
    <w:rsid w:val="00F6463F"/>
    <w:rsid w:val="00F65052"/>
    <w:rsid w:val="00F658FC"/>
    <w:rsid w:val="00F7224F"/>
    <w:rsid w:val="00F72C30"/>
    <w:rsid w:val="00F74150"/>
    <w:rsid w:val="00F749E2"/>
    <w:rsid w:val="00F74B49"/>
    <w:rsid w:val="00F76D4A"/>
    <w:rsid w:val="00F80E25"/>
    <w:rsid w:val="00F8672B"/>
    <w:rsid w:val="00F90416"/>
    <w:rsid w:val="00F91216"/>
    <w:rsid w:val="00F92986"/>
    <w:rsid w:val="00F9318D"/>
    <w:rsid w:val="00F934F3"/>
    <w:rsid w:val="00F953EB"/>
    <w:rsid w:val="00F961F3"/>
    <w:rsid w:val="00F97EA8"/>
    <w:rsid w:val="00F97FC5"/>
    <w:rsid w:val="00FA0811"/>
    <w:rsid w:val="00FB1F97"/>
    <w:rsid w:val="00FB553E"/>
    <w:rsid w:val="00FB66D8"/>
    <w:rsid w:val="00FB6BC9"/>
    <w:rsid w:val="00FC165E"/>
    <w:rsid w:val="00FC793B"/>
    <w:rsid w:val="00FD1828"/>
    <w:rsid w:val="00FD24B3"/>
    <w:rsid w:val="00FD25DA"/>
    <w:rsid w:val="00FD30FA"/>
    <w:rsid w:val="00FD78DA"/>
    <w:rsid w:val="00FE0FE2"/>
    <w:rsid w:val="00FE450E"/>
    <w:rsid w:val="00FE4D31"/>
    <w:rsid w:val="00FE60B3"/>
    <w:rsid w:val="00FE6471"/>
    <w:rsid w:val="00FE6C6E"/>
    <w:rsid w:val="00FF0244"/>
    <w:rsid w:val="00FF2988"/>
    <w:rsid w:val="00FF37F6"/>
    <w:rsid w:val="00FF5358"/>
    <w:rsid w:val="00FF5B2B"/>
    <w:rsid w:val="00FF71F1"/>
    <w:rsid w:val="0E324171"/>
    <w:rsid w:val="6B89B39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90243"/>
  <w15:chartTrackingRefBased/>
  <w15:docId w15:val="{C9BD7E84-624F-40BE-8DAA-D0F235A90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7F6"/>
    <w:pPr>
      <w:spacing w:line="276" w:lineRule="auto"/>
      <w:jc w:val="both"/>
    </w:pPr>
    <w:rPr>
      <w:sz w:val="24"/>
    </w:rPr>
  </w:style>
  <w:style w:type="paragraph" w:styleId="Ttulo1">
    <w:name w:val="heading 1"/>
    <w:basedOn w:val="Normal"/>
    <w:link w:val="Ttulo1Car"/>
    <w:uiPriority w:val="9"/>
    <w:qFormat/>
    <w:rsid w:val="0046129A"/>
    <w:pPr>
      <w:spacing w:before="100" w:beforeAutospacing="1" w:after="100" w:afterAutospacing="1" w:line="240" w:lineRule="auto"/>
      <w:outlineLvl w:val="0"/>
    </w:pPr>
    <w:rPr>
      <w:rFonts w:ascii="Times New Roman" w:eastAsia="Times New Roman" w:hAnsi="Times New Roman" w:cs="Times New Roman"/>
      <w:b/>
      <w:bCs/>
      <w:kern w:val="36"/>
      <w:sz w:val="25"/>
      <w:szCs w:val="25"/>
      <w:lang w:eastAsia="es-ES"/>
    </w:rPr>
  </w:style>
  <w:style w:type="paragraph" w:styleId="Ttulo2">
    <w:name w:val="heading 2"/>
    <w:basedOn w:val="Normal"/>
    <w:next w:val="Normal"/>
    <w:link w:val="Ttulo2Car"/>
    <w:uiPriority w:val="9"/>
    <w:unhideWhenUsed/>
    <w:qFormat/>
    <w:rsid w:val="0046129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46129A"/>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129A"/>
    <w:rPr>
      <w:rFonts w:ascii="Times New Roman" w:eastAsia="Times New Roman" w:hAnsi="Times New Roman" w:cs="Times New Roman"/>
      <w:b/>
      <w:bCs/>
      <w:kern w:val="36"/>
      <w:sz w:val="25"/>
      <w:szCs w:val="25"/>
      <w:lang w:eastAsia="es-ES"/>
    </w:rPr>
  </w:style>
  <w:style w:type="character" w:styleId="Hipervnculo">
    <w:name w:val="Hyperlink"/>
    <w:basedOn w:val="Fuentedeprrafopredeter"/>
    <w:uiPriority w:val="99"/>
    <w:rsid w:val="0046129A"/>
    <w:rPr>
      <w:color w:val="0000FF"/>
      <w:u w:val="single"/>
    </w:rPr>
  </w:style>
  <w:style w:type="paragraph" w:styleId="Prrafodelista">
    <w:name w:val="List Paragraph"/>
    <w:aliases w:val="Titulo 2,VIÑETA,Figuras de tesis,titulo 3,Con viñetas,Normal con viñetas,3,Use Case List Paragraph,Bullet 1,List Paragraph 1,Numbered List Paragraph,Main numbered paragraph,Bullets,List Paragraph (numbered (a)),Akapit z listą BS,Liste 1"/>
    <w:basedOn w:val="Normal"/>
    <w:link w:val="PrrafodelistaCar"/>
    <w:uiPriority w:val="34"/>
    <w:qFormat/>
    <w:rsid w:val="0046129A"/>
    <w:pPr>
      <w:spacing w:after="200"/>
      <w:ind w:left="720"/>
      <w:contextualSpacing/>
    </w:pPr>
    <w:rPr>
      <w:rFonts w:eastAsiaTheme="minorEastAsia"/>
      <w:lang w:eastAsia="es-CR"/>
    </w:rPr>
  </w:style>
  <w:style w:type="character" w:customStyle="1" w:styleId="PrrafodelistaCar">
    <w:name w:val="Párrafo de lista Car"/>
    <w:aliases w:val="Titulo 2 Car,VIÑETA Car,Figuras de tesis Car,titulo 3 Car,Con viñetas Car,Normal con viñetas Car,3 Car,Use Case List Paragraph Car,Bullet 1 Car,List Paragraph 1 Car,Numbered List Paragraph Car,Main numbered paragraph Car,Bullets Car"/>
    <w:basedOn w:val="Fuentedeprrafopredeter"/>
    <w:link w:val="Prrafodelista"/>
    <w:uiPriority w:val="34"/>
    <w:locked/>
    <w:rsid w:val="0046129A"/>
    <w:rPr>
      <w:rFonts w:eastAsiaTheme="minorEastAsia"/>
      <w:lang w:eastAsia="es-CR"/>
    </w:rPr>
  </w:style>
  <w:style w:type="table" w:customStyle="1" w:styleId="Listaclara-nfasis11">
    <w:name w:val="Lista clara - Énfasis 11"/>
    <w:basedOn w:val="Tablanormal"/>
    <w:uiPriority w:val="61"/>
    <w:rsid w:val="0046129A"/>
    <w:pPr>
      <w:spacing w:line="240" w:lineRule="auto"/>
    </w:pPr>
    <w:rPr>
      <w:rFonts w:eastAsiaTheme="minorEastAsia"/>
      <w:lang w:eastAsia="es-C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xtonotapie">
    <w:name w:val="footnote text"/>
    <w:aliases w:val="Footnote Text Char2,Footnote Text Char1 Char1,Footnote Text Char Char Char,Footnote Text Char1 Char Char Char,Footnote Text Char Char Char Char Char,Footnote Text Char1 Char Char Char Char Char,Footnote Text Char,Footnote Text Char1 Char"/>
    <w:basedOn w:val="Normal"/>
    <w:link w:val="TextonotapieCar"/>
    <w:uiPriority w:val="99"/>
    <w:unhideWhenUsed/>
    <w:rsid w:val="0046129A"/>
    <w:pPr>
      <w:spacing w:line="240" w:lineRule="auto"/>
    </w:pPr>
    <w:rPr>
      <w:rFonts w:eastAsiaTheme="minorEastAsia"/>
      <w:sz w:val="20"/>
      <w:szCs w:val="20"/>
      <w:lang w:eastAsia="es-CR"/>
    </w:rPr>
  </w:style>
  <w:style w:type="character" w:customStyle="1" w:styleId="TextonotapieCar">
    <w:name w:val="Texto nota pie Car"/>
    <w:aliases w:val="Footnote Text Char2 Car,Footnote Text Char1 Char1 Car,Footnote Text Char Char Char Car,Footnote Text Char1 Char Char Char Car,Footnote Text Char Char Char Char Char Car,Footnote Text Char1 Char Char Char Char Char Car"/>
    <w:basedOn w:val="Fuentedeprrafopredeter"/>
    <w:link w:val="Textonotapie"/>
    <w:uiPriority w:val="99"/>
    <w:rsid w:val="0046129A"/>
    <w:rPr>
      <w:rFonts w:eastAsiaTheme="minorEastAsia"/>
      <w:sz w:val="20"/>
      <w:szCs w:val="20"/>
      <w:lang w:eastAsia="es-CR"/>
    </w:rPr>
  </w:style>
  <w:style w:type="character" w:styleId="Refdenotaalpie">
    <w:name w:val="footnote reference"/>
    <w:aliases w:val="Ref,de nota al pie,16 Point,Superscript 6 Point,Superscript 6 Point + 11 pt,FC,ftref,referencia nota al pie,Footnote number,Footnote Reference 2"/>
    <w:basedOn w:val="Fuentedeprrafopredeter"/>
    <w:uiPriority w:val="99"/>
    <w:unhideWhenUsed/>
    <w:rsid w:val="0046129A"/>
    <w:rPr>
      <w:vertAlign w:val="superscript"/>
    </w:rPr>
  </w:style>
  <w:style w:type="character" w:customStyle="1" w:styleId="Ttulo2Car">
    <w:name w:val="Título 2 Car"/>
    <w:basedOn w:val="Fuentedeprrafopredeter"/>
    <w:link w:val="Ttulo2"/>
    <w:uiPriority w:val="9"/>
    <w:rsid w:val="0046129A"/>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46129A"/>
    <w:rPr>
      <w:rFonts w:asciiTheme="majorHAnsi" w:eastAsiaTheme="majorEastAsia" w:hAnsiTheme="majorHAnsi" w:cstheme="majorBidi"/>
      <w:color w:val="243F60" w:themeColor="accent1" w:themeShade="7F"/>
      <w:sz w:val="24"/>
      <w:szCs w:val="24"/>
    </w:rPr>
  </w:style>
  <w:style w:type="table" w:customStyle="1" w:styleId="Cuadrculaclara-nfasis11">
    <w:name w:val="Cuadrícula clara - Énfasis 11"/>
    <w:basedOn w:val="Tablanormal"/>
    <w:uiPriority w:val="62"/>
    <w:rsid w:val="0046129A"/>
    <w:pPr>
      <w:spacing w:line="240" w:lineRule="auto"/>
    </w:pPr>
    <w:rPr>
      <w:rFonts w:eastAsiaTheme="minorEastAsia"/>
      <w:lang w:eastAsia="es-C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unhideWhenUsed/>
    <w:rsid w:val="0046129A"/>
    <w:pPr>
      <w:spacing w:before="150" w:after="100" w:afterAutospacing="1" w:line="225" w:lineRule="atLeast"/>
      <w:ind w:left="150"/>
    </w:pPr>
    <w:rPr>
      <w:rFonts w:ascii="Arial" w:eastAsia="Times New Roman" w:hAnsi="Arial" w:cs="Arial"/>
      <w:color w:val="333333"/>
      <w:sz w:val="18"/>
      <w:szCs w:val="18"/>
      <w:lang w:eastAsia="es-ES"/>
    </w:rPr>
  </w:style>
  <w:style w:type="paragraph" w:styleId="TtuloTDC">
    <w:name w:val="TOC Heading"/>
    <w:basedOn w:val="Ttulo1"/>
    <w:next w:val="Normal"/>
    <w:uiPriority w:val="39"/>
    <w:unhideWhenUsed/>
    <w:qFormat/>
    <w:rsid w:val="0046129A"/>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s-ES" w:eastAsia="es-CR"/>
    </w:rPr>
  </w:style>
  <w:style w:type="paragraph" w:styleId="TDC1">
    <w:name w:val="toc 1"/>
    <w:basedOn w:val="Normal"/>
    <w:next w:val="Normal"/>
    <w:autoRedefine/>
    <w:uiPriority w:val="39"/>
    <w:unhideWhenUsed/>
    <w:rsid w:val="0046129A"/>
    <w:pPr>
      <w:tabs>
        <w:tab w:val="right" w:leader="dot" w:pos="8828"/>
      </w:tabs>
      <w:spacing w:after="100" w:line="240" w:lineRule="auto"/>
      <w:ind w:left="284" w:hanging="284"/>
    </w:pPr>
    <w:rPr>
      <w:rFonts w:eastAsiaTheme="minorEastAsia"/>
      <w:lang w:eastAsia="es-CR"/>
    </w:rPr>
  </w:style>
  <w:style w:type="paragraph" w:styleId="TDC3">
    <w:name w:val="toc 3"/>
    <w:basedOn w:val="Normal"/>
    <w:next w:val="Normal"/>
    <w:autoRedefine/>
    <w:uiPriority w:val="39"/>
    <w:unhideWhenUsed/>
    <w:rsid w:val="0046129A"/>
    <w:pPr>
      <w:tabs>
        <w:tab w:val="left" w:pos="880"/>
        <w:tab w:val="right" w:leader="dot" w:pos="8828"/>
      </w:tabs>
      <w:spacing w:before="120" w:after="120"/>
      <w:ind w:left="426"/>
    </w:pPr>
    <w:rPr>
      <w:rFonts w:ascii="Century Gothic" w:eastAsiaTheme="minorEastAsia" w:hAnsi="Century Gothic"/>
      <w:i/>
      <w:noProof/>
      <w:sz w:val="20"/>
      <w:lang w:eastAsia="es-CR"/>
    </w:rPr>
  </w:style>
  <w:style w:type="paragraph" w:styleId="TDC2">
    <w:name w:val="toc 2"/>
    <w:basedOn w:val="Normal"/>
    <w:next w:val="Normal"/>
    <w:autoRedefine/>
    <w:uiPriority w:val="39"/>
    <w:unhideWhenUsed/>
    <w:rsid w:val="0046129A"/>
    <w:pPr>
      <w:tabs>
        <w:tab w:val="right" w:leader="dot" w:pos="8828"/>
      </w:tabs>
      <w:spacing w:after="100"/>
      <w:ind w:left="426"/>
    </w:pPr>
    <w:rPr>
      <w:rFonts w:eastAsiaTheme="minorEastAsia"/>
      <w:lang w:eastAsia="es-CR"/>
    </w:rPr>
  </w:style>
  <w:style w:type="paragraph" w:styleId="Encabezado">
    <w:name w:val="header"/>
    <w:basedOn w:val="Normal"/>
    <w:link w:val="EncabezadoCar"/>
    <w:uiPriority w:val="99"/>
    <w:unhideWhenUsed/>
    <w:rsid w:val="008C5005"/>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8C5005"/>
    <w:rPr>
      <w:sz w:val="24"/>
    </w:rPr>
  </w:style>
  <w:style w:type="paragraph" w:styleId="Piedepgina">
    <w:name w:val="footer"/>
    <w:basedOn w:val="Normal"/>
    <w:link w:val="PiedepginaCar"/>
    <w:uiPriority w:val="99"/>
    <w:unhideWhenUsed/>
    <w:rsid w:val="008C5005"/>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8C5005"/>
    <w:rPr>
      <w:sz w:val="24"/>
    </w:rPr>
  </w:style>
  <w:style w:type="character" w:styleId="Textodelmarcadordeposicin">
    <w:name w:val="Placeholder Text"/>
    <w:basedOn w:val="Fuentedeprrafopredeter"/>
    <w:uiPriority w:val="99"/>
    <w:semiHidden/>
    <w:rsid w:val="006E6D98"/>
    <w:rPr>
      <w:color w:val="808080"/>
    </w:rPr>
  </w:style>
  <w:style w:type="character" w:styleId="Hipervnculovisitado">
    <w:name w:val="FollowedHyperlink"/>
    <w:basedOn w:val="Fuentedeprrafopredeter"/>
    <w:uiPriority w:val="99"/>
    <w:semiHidden/>
    <w:unhideWhenUsed/>
    <w:rsid w:val="00B760A5"/>
    <w:rPr>
      <w:color w:val="800080" w:themeColor="followedHyperlink"/>
      <w:u w:val="single"/>
    </w:rPr>
  </w:style>
  <w:style w:type="paragraph" w:styleId="Ttulo">
    <w:name w:val="Title"/>
    <w:basedOn w:val="Normal"/>
    <w:next w:val="Normal"/>
    <w:link w:val="TtuloCar"/>
    <w:uiPriority w:val="10"/>
    <w:qFormat/>
    <w:rsid w:val="005064AA"/>
    <w:pPr>
      <w:spacing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064AA"/>
    <w:rPr>
      <w:rFonts w:asciiTheme="majorHAnsi" w:eastAsiaTheme="majorEastAsia" w:hAnsiTheme="majorHAnsi" w:cstheme="majorBidi"/>
      <w:spacing w:val="-10"/>
      <w:kern w:val="28"/>
      <w:sz w:val="56"/>
      <w:szCs w:val="56"/>
    </w:rPr>
  </w:style>
  <w:style w:type="table" w:styleId="Tablaconcuadrcula">
    <w:name w:val="Table Grid"/>
    <w:basedOn w:val="Tablanormal"/>
    <w:rsid w:val="001F2C7F"/>
    <w:pPr>
      <w:spacing w:line="240" w:lineRule="auto"/>
    </w:pPr>
    <w:rPr>
      <w:rFonts w:eastAsiaTheme="minorEastAsia"/>
      <w:lang w:eastAsia="es-C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comentario">
    <w:name w:val="annotation reference"/>
    <w:basedOn w:val="Fuentedeprrafopredeter"/>
    <w:uiPriority w:val="99"/>
    <w:unhideWhenUsed/>
    <w:rsid w:val="00D33FBE"/>
    <w:rPr>
      <w:sz w:val="16"/>
      <w:szCs w:val="16"/>
    </w:rPr>
  </w:style>
  <w:style w:type="paragraph" w:styleId="Textocomentario">
    <w:name w:val="annotation text"/>
    <w:basedOn w:val="Normal"/>
    <w:link w:val="TextocomentarioCar"/>
    <w:uiPriority w:val="99"/>
    <w:unhideWhenUsed/>
    <w:rsid w:val="00D33FBE"/>
    <w:pPr>
      <w:spacing w:line="240" w:lineRule="auto"/>
    </w:pPr>
    <w:rPr>
      <w:sz w:val="20"/>
      <w:szCs w:val="20"/>
    </w:rPr>
  </w:style>
  <w:style w:type="character" w:customStyle="1" w:styleId="TextocomentarioCar">
    <w:name w:val="Texto comentario Car"/>
    <w:basedOn w:val="Fuentedeprrafopredeter"/>
    <w:link w:val="Textocomentario"/>
    <w:uiPriority w:val="99"/>
    <w:rsid w:val="00D33FBE"/>
    <w:rPr>
      <w:sz w:val="20"/>
      <w:szCs w:val="20"/>
    </w:rPr>
  </w:style>
  <w:style w:type="paragraph" w:styleId="Asuntodelcomentario">
    <w:name w:val="annotation subject"/>
    <w:basedOn w:val="Textocomentario"/>
    <w:next w:val="Textocomentario"/>
    <w:link w:val="AsuntodelcomentarioCar"/>
    <w:uiPriority w:val="99"/>
    <w:semiHidden/>
    <w:unhideWhenUsed/>
    <w:rsid w:val="00D33FBE"/>
    <w:rPr>
      <w:b/>
      <w:bCs/>
    </w:rPr>
  </w:style>
  <w:style w:type="character" w:customStyle="1" w:styleId="AsuntodelcomentarioCar">
    <w:name w:val="Asunto del comentario Car"/>
    <w:basedOn w:val="TextocomentarioCar"/>
    <w:link w:val="Asuntodelcomentario"/>
    <w:uiPriority w:val="99"/>
    <w:semiHidden/>
    <w:rsid w:val="00D33FBE"/>
    <w:rPr>
      <w:b/>
      <w:bCs/>
      <w:sz w:val="20"/>
      <w:szCs w:val="20"/>
    </w:rPr>
  </w:style>
  <w:style w:type="paragraph" w:styleId="Textodeglobo">
    <w:name w:val="Balloon Text"/>
    <w:basedOn w:val="Normal"/>
    <w:link w:val="TextodegloboCar"/>
    <w:uiPriority w:val="99"/>
    <w:semiHidden/>
    <w:unhideWhenUsed/>
    <w:rsid w:val="00D33FB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FBE"/>
    <w:rPr>
      <w:rFonts w:ascii="Segoe UI" w:hAnsi="Segoe UI" w:cs="Segoe UI"/>
      <w:sz w:val="18"/>
      <w:szCs w:val="18"/>
    </w:rPr>
  </w:style>
  <w:style w:type="paragraph" w:customStyle="1" w:styleId="Default">
    <w:name w:val="Default"/>
    <w:rsid w:val="00A547D8"/>
    <w:pPr>
      <w:autoSpaceDE w:val="0"/>
      <w:autoSpaceDN w:val="0"/>
      <w:adjustRightInd w:val="0"/>
      <w:spacing w:line="240" w:lineRule="auto"/>
    </w:pPr>
    <w:rPr>
      <w:rFonts w:ascii="Book Antiqua" w:hAnsi="Book Antiqua" w:cs="Book Antiqua"/>
      <w:color w:val="000000"/>
      <w:sz w:val="24"/>
      <w:szCs w:val="24"/>
    </w:rPr>
  </w:style>
  <w:style w:type="paragraph" w:customStyle="1" w:styleId="PrrafoTtulosCar1">
    <w:name w:val="Párrafo Títulos Car1"/>
    <w:basedOn w:val="Normal"/>
    <w:link w:val="PrrafoTtulosCar1Car"/>
    <w:rsid w:val="008C6C48"/>
    <w:pPr>
      <w:spacing w:before="160" w:after="160" w:line="240" w:lineRule="auto"/>
      <w:ind w:left="1701"/>
    </w:pPr>
    <w:rPr>
      <w:rFonts w:ascii="Arial" w:eastAsia="Times New Roman" w:hAnsi="Arial" w:cs="Times New Roman"/>
      <w:sz w:val="20"/>
      <w:szCs w:val="24"/>
      <w:lang w:val="es-ES"/>
    </w:rPr>
  </w:style>
  <w:style w:type="character" w:customStyle="1" w:styleId="PrrafoTtulosCar1Car">
    <w:name w:val="Párrafo Títulos Car1 Car"/>
    <w:link w:val="PrrafoTtulosCar1"/>
    <w:rsid w:val="008C6C48"/>
    <w:rPr>
      <w:rFonts w:ascii="Arial" w:eastAsia="Times New Roman" w:hAnsi="Arial" w:cs="Times New Roman"/>
      <w:sz w:val="20"/>
      <w:szCs w:val="24"/>
      <w:lang w:val="es-ES"/>
    </w:rPr>
  </w:style>
  <w:style w:type="paragraph" w:styleId="Textoindependiente">
    <w:name w:val="Body Text"/>
    <w:basedOn w:val="Normal"/>
    <w:link w:val="TextoindependienteCar"/>
    <w:rsid w:val="00043E29"/>
    <w:pPr>
      <w:spacing w:line="240" w:lineRule="auto"/>
    </w:pPr>
    <w:rPr>
      <w:rFonts w:ascii="Times New Roman" w:eastAsia="Times New Roman" w:hAnsi="Times New Roman" w:cs="Times New Roman"/>
      <w:szCs w:val="20"/>
      <w:u w:val="single"/>
    </w:rPr>
  </w:style>
  <w:style w:type="character" w:customStyle="1" w:styleId="TextoindependienteCar">
    <w:name w:val="Texto independiente Car"/>
    <w:basedOn w:val="Fuentedeprrafopredeter"/>
    <w:link w:val="Textoindependiente"/>
    <w:rsid w:val="00043E29"/>
    <w:rPr>
      <w:rFonts w:ascii="Times New Roman" w:eastAsia="Times New Roman" w:hAnsi="Times New Roman" w:cs="Times New Roman"/>
      <w:sz w:val="24"/>
      <w:szCs w:val="20"/>
      <w:u w:val="single"/>
    </w:rPr>
  </w:style>
  <w:style w:type="table" w:styleId="Listaclara-nfasis1">
    <w:name w:val="Light List Accent 1"/>
    <w:basedOn w:val="Tablanormal"/>
    <w:uiPriority w:val="61"/>
    <w:rsid w:val="00803D49"/>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Textoennegrita">
    <w:name w:val="Strong"/>
    <w:basedOn w:val="Fuentedeprrafopredeter"/>
    <w:uiPriority w:val="22"/>
    <w:qFormat/>
    <w:rsid w:val="007C4ADA"/>
    <w:rPr>
      <w:b/>
      <w:bCs/>
    </w:rPr>
  </w:style>
  <w:style w:type="table" w:styleId="Tabladelista3-nfasis5">
    <w:name w:val="List Table 3 Accent 5"/>
    <w:basedOn w:val="Tablanormal"/>
    <w:uiPriority w:val="48"/>
    <w:rsid w:val="00336BB6"/>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aconcuadrcula1clara">
    <w:name w:val="Grid Table 1 Light"/>
    <w:basedOn w:val="Tablanormal"/>
    <w:uiPriority w:val="46"/>
    <w:rsid w:val="00D31288"/>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angradetextonormal">
    <w:name w:val="Body Text Indent"/>
    <w:basedOn w:val="Normal"/>
    <w:link w:val="SangradetextonormalCar"/>
    <w:uiPriority w:val="99"/>
    <w:semiHidden/>
    <w:unhideWhenUsed/>
    <w:rsid w:val="00F80E25"/>
    <w:pPr>
      <w:spacing w:after="120"/>
      <w:ind w:left="283"/>
    </w:pPr>
  </w:style>
  <w:style w:type="character" w:customStyle="1" w:styleId="SangradetextonormalCar">
    <w:name w:val="Sangría de texto normal Car"/>
    <w:basedOn w:val="Fuentedeprrafopredeter"/>
    <w:link w:val="Sangradetextonormal"/>
    <w:uiPriority w:val="99"/>
    <w:semiHidden/>
    <w:rsid w:val="00F80E25"/>
    <w:rPr>
      <w:sz w:val="24"/>
    </w:rPr>
  </w:style>
  <w:style w:type="paragraph" w:styleId="Textoindependienteprimerasangra2">
    <w:name w:val="Body Text First Indent 2"/>
    <w:basedOn w:val="Sangradetextonormal"/>
    <w:link w:val="Textoindependienteprimerasangra2Car"/>
    <w:uiPriority w:val="99"/>
    <w:semiHidden/>
    <w:unhideWhenUsed/>
    <w:rsid w:val="00F80E2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F80E25"/>
    <w:rPr>
      <w:sz w:val="24"/>
    </w:rPr>
  </w:style>
  <w:style w:type="paragraph" w:customStyle="1" w:styleId="InfoBlue">
    <w:name w:val="InfoBlue"/>
    <w:basedOn w:val="Normal"/>
    <w:next w:val="PrrafoTtulosCar1"/>
    <w:autoRedefine/>
    <w:rsid w:val="00353D3A"/>
    <w:pPr>
      <w:widowControl w:val="0"/>
      <w:spacing w:after="120" w:line="240" w:lineRule="auto"/>
      <w:ind w:left="11" w:hanging="11"/>
    </w:pPr>
    <w:rPr>
      <w:rFonts w:ascii="Arial" w:eastAsia="Times New Roman" w:hAnsi="Arial" w:cs="Arial"/>
      <w:sz w:val="20"/>
      <w:szCs w:val="24"/>
      <w:lang w:val="es-ES_tradnl"/>
    </w:rPr>
  </w:style>
  <w:style w:type="paragraph" w:styleId="Sangra2detindependiente">
    <w:name w:val="Body Text Indent 2"/>
    <w:basedOn w:val="Normal"/>
    <w:link w:val="Sangra2detindependienteCar"/>
    <w:uiPriority w:val="99"/>
    <w:semiHidden/>
    <w:unhideWhenUsed/>
    <w:rsid w:val="00487A2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87A24"/>
    <w:rPr>
      <w:sz w:val="24"/>
    </w:rPr>
  </w:style>
  <w:style w:type="character" w:customStyle="1" w:styleId="y2iqfc">
    <w:name w:val="y2iqfc"/>
    <w:basedOn w:val="Fuentedeprrafopredeter"/>
    <w:rsid w:val="00C123F3"/>
  </w:style>
  <w:style w:type="character" w:customStyle="1" w:styleId="TextoInicialChar">
    <w:name w:val="Texto Inicial Char"/>
    <w:link w:val="TextoInicial"/>
    <w:locked/>
    <w:rsid w:val="00A65950"/>
    <w:rPr>
      <w:rFonts w:ascii="Arial" w:hAnsi="Arial" w:cs="Arial"/>
      <w:b/>
      <w:sz w:val="32"/>
      <w:szCs w:val="24"/>
    </w:rPr>
  </w:style>
  <w:style w:type="paragraph" w:customStyle="1" w:styleId="TextoInicial">
    <w:name w:val="Texto Inicial"/>
    <w:basedOn w:val="Normal"/>
    <w:link w:val="TextoInicialChar"/>
    <w:rsid w:val="00A65950"/>
    <w:pPr>
      <w:spacing w:line="240" w:lineRule="auto"/>
      <w:jc w:val="left"/>
    </w:pPr>
    <w:rPr>
      <w:rFonts w:ascii="Arial" w:hAnsi="Arial" w:cs="Arial"/>
      <w:b/>
      <w:sz w:val="32"/>
      <w:szCs w:val="24"/>
    </w:rPr>
  </w:style>
  <w:style w:type="table" w:styleId="Tablaconcuadrcula1clara-nfasis1">
    <w:name w:val="Grid Table 1 Light Accent 1"/>
    <w:basedOn w:val="Tablanormal"/>
    <w:uiPriority w:val="46"/>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PrrafoListaconLetras">
    <w:name w:val="Párrafo Lista con Letras"/>
    <w:basedOn w:val="Normal"/>
    <w:rsid w:val="009D1AF8"/>
    <w:pPr>
      <w:spacing w:before="160" w:after="160" w:line="240" w:lineRule="auto"/>
      <w:ind w:left="1944"/>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1245">
      <w:bodyDiv w:val="1"/>
      <w:marLeft w:val="0"/>
      <w:marRight w:val="0"/>
      <w:marTop w:val="0"/>
      <w:marBottom w:val="0"/>
      <w:divBdr>
        <w:top w:val="none" w:sz="0" w:space="0" w:color="auto"/>
        <w:left w:val="none" w:sz="0" w:space="0" w:color="auto"/>
        <w:bottom w:val="none" w:sz="0" w:space="0" w:color="auto"/>
        <w:right w:val="none" w:sz="0" w:space="0" w:color="auto"/>
      </w:divBdr>
    </w:div>
    <w:div w:id="107630043">
      <w:bodyDiv w:val="1"/>
      <w:marLeft w:val="0"/>
      <w:marRight w:val="0"/>
      <w:marTop w:val="0"/>
      <w:marBottom w:val="0"/>
      <w:divBdr>
        <w:top w:val="none" w:sz="0" w:space="0" w:color="auto"/>
        <w:left w:val="none" w:sz="0" w:space="0" w:color="auto"/>
        <w:bottom w:val="none" w:sz="0" w:space="0" w:color="auto"/>
        <w:right w:val="none" w:sz="0" w:space="0" w:color="auto"/>
      </w:divBdr>
    </w:div>
    <w:div w:id="138959050">
      <w:bodyDiv w:val="1"/>
      <w:marLeft w:val="0"/>
      <w:marRight w:val="0"/>
      <w:marTop w:val="0"/>
      <w:marBottom w:val="0"/>
      <w:divBdr>
        <w:top w:val="none" w:sz="0" w:space="0" w:color="auto"/>
        <w:left w:val="none" w:sz="0" w:space="0" w:color="auto"/>
        <w:bottom w:val="none" w:sz="0" w:space="0" w:color="auto"/>
        <w:right w:val="none" w:sz="0" w:space="0" w:color="auto"/>
      </w:divBdr>
    </w:div>
    <w:div w:id="173343715">
      <w:bodyDiv w:val="1"/>
      <w:marLeft w:val="0"/>
      <w:marRight w:val="0"/>
      <w:marTop w:val="0"/>
      <w:marBottom w:val="0"/>
      <w:divBdr>
        <w:top w:val="none" w:sz="0" w:space="0" w:color="auto"/>
        <w:left w:val="none" w:sz="0" w:space="0" w:color="auto"/>
        <w:bottom w:val="none" w:sz="0" w:space="0" w:color="auto"/>
        <w:right w:val="none" w:sz="0" w:space="0" w:color="auto"/>
      </w:divBdr>
    </w:div>
    <w:div w:id="201983292">
      <w:bodyDiv w:val="1"/>
      <w:marLeft w:val="0"/>
      <w:marRight w:val="0"/>
      <w:marTop w:val="0"/>
      <w:marBottom w:val="0"/>
      <w:divBdr>
        <w:top w:val="none" w:sz="0" w:space="0" w:color="auto"/>
        <w:left w:val="none" w:sz="0" w:space="0" w:color="auto"/>
        <w:bottom w:val="none" w:sz="0" w:space="0" w:color="auto"/>
        <w:right w:val="none" w:sz="0" w:space="0" w:color="auto"/>
      </w:divBdr>
    </w:div>
    <w:div w:id="226495030">
      <w:bodyDiv w:val="1"/>
      <w:marLeft w:val="0"/>
      <w:marRight w:val="0"/>
      <w:marTop w:val="0"/>
      <w:marBottom w:val="0"/>
      <w:divBdr>
        <w:top w:val="none" w:sz="0" w:space="0" w:color="auto"/>
        <w:left w:val="none" w:sz="0" w:space="0" w:color="auto"/>
        <w:bottom w:val="none" w:sz="0" w:space="0" w:color="auto"/>
        <w:right w:val="none" w:sz="0" w:space="0" w:color="auto"/>
      </w:divBdr>
    </w:div>
    <w:div w:id="266933738">
      <w:bodyDiv w:val="1"/>
      <w:marLeft w:val="0"/>
      <w:marRight w:val="0"/>
      <w:marTop w:val="0"/>
      <w:marBottom w:val="0"/>
      <w:divBdr>
        <w:top w:val="none" w:sz="0" w:space="0" w:color="auto"/>
        <w:left w:val="none" w:sz="0" w:space="0" w:color="auto"/>
        <w:bottom w:val="none" w:sz="0" w:space="0" w:color="auto"/>
        <w:right w:val="none" w:sz="0" w:space="0" w:color="auto"/>
      </w:divBdr>
    </w:div>
    <w:div w:id="308093527">
      <w:bodyDiv w:val="1"/>
      <w:marLeft w:val="0"/>
      <w:marRight w:val="0"/>
      <w:marTop w:val="0"/>
      <w:marBottom w:val="0"/>
      <w:divBdr>
        <w:top w:val="none" w:sz="0" w:space="0" w:color="auto"/>
        <w:left w:val="none" w:sz="0" w:space="0" w:color="auto"/>
        <w:bottom w:val="none" w:sz="0" w:space="0" w:color="auto"/>
        <w:right w:val="none" w:sz="0" w:space="0" w:color="auto"/>
      </w:divBdr>
    </w:div>
    <w:div w:id="315301438">
      <w:bodyDiv w:val="1"/>
      <w:marLeft w:val="0"/>
      <w:marRight w:val="0"/>
      <w:marTop w:val="0"/>
      <w:marBottom w:val="0"/>
      <w:divBdr>
        <w:top w:val="none" w:sz="0" w:space="0" w:color="auto"/>
        <w:left w:val="none" w:sz="0" w:space="0" w:color="auto"/>
        <w:bottom w:val="none" w:sz="0" w:space="0" w:color="auto"/>
        <w:right w:val="none" w:sz="0" w:space="0" w:color="auto"/>
      </w:divBdr>
    </w:div>
    <w:div w:id="330761704">
      <w:bodyDiv w:val="1"/>
      <w:marLeft w:val="0"/>
      <w:marRight w:val="0"/>
      <w:marTop w:val="0"/>
      <w:marBottom w:val="0"/>
      <w:divBdr>
        <w:top w:val="none" w:sz="0" w:space="0" w:color="auto"/>
        <w:left w:val="none" w:sz="0" w:space="0" w:color="auto"/>
        <w:bottom w:val="none" w:sz="0" w:space="0" w:color="auto"/>
        <w:right w:val="none" w:sz="0" w:space="0" w:color="auto"/>
      </w:divBdr>
    </w:div>
    <w:div w:id="356198340">
      <w:bodyDiv w:val="1"/>
      <w:marLeft w:val="0"/>
      <w:marRight w:val="0"/>
      <w:marTop w:val="0"/>
      <w:marBottom w:val="0"/>
      <w:divBdr>
        <w:top w:val="none" w:sz="0" w:space="0" w:color="auto"/>
        <w:left w:val="none" w:sz="0" w:space="0" w:color="auto"/>
        <w:bottom w:val="none" w:sz="0" w:space="0" w:color="auto"/>
        <w:right w:val="none" w:sz="0" w:space="0" w:color="auto"/>
      </w:divBdr>
    </w:div>
    <w:div w:id="359165430">
      <w:bodyDiv w:val="1"/>
      <w:marLeft w:val="0"/>
      <w:marRight w:val="0"/>
      <w:marTop w:val="0"/>
      <w:marBottom w:val="0"/>
      <w:divBdr>
        <w:top w:val="none" w:sz="0" w:space="0" w:color="auto"/>
        <w:left w:val="none" w:sz="0" w:space="0" w:color="auto"/>
        <w:bottom w:val="none" w:sz="0" w:space="0" w:color="auto"/>
        <w:right w:val="none" w:sz="0" w:space="0" w:color="auto"/>
      </w:divBdr>
    </w:div>
    <w:div w:id="363481636">
      <w:bodyDiv w:val="1"/>
      <w:marLeft w:val="0"/>
      <w:marRight w:val="0"/>
      <w:marTop w:val="0"/>
      <w:marBottom w:val="0"/>
      <w:divBdr>
        <w:top w:val="none" w:sz="0" w:space="0" w:color="auto"/>
        <w:left w:val="none" w:sz="0" w:space="0" w:color="auto"/>
        <w:bottom w:val="none" w:sz="0" w:space="0" w:color="auto"/>
        <w:right w:val="none" w:sz="0" w:space="0" w:color="auto"/>
      </w:divBdr>
    </w:div>
    <w:div w:id="417096000">
      <w:bodyDiv w:val="1"/>
      <w:marLeft w:val="0"/>
      <w:marRight w:val="0"/>
      <w:marTop w:val="0"/>
      <w:marBottom w:val="0"/>
      <w:divBdr>
        <w:top w:val="none" w:sz="0" w:space="0" w:color="auto"/>
        <w:left w:val="none" w:sz="0" w:space="0" w:color="auto"/>
        <w:bottom w:val="none" w:sz="0" w:space="0" w:color="auto"/>
        <w:right w:val="none" w:sz="0" w:space="0" w:color="auto"/>
      </w:divBdr>
    </w:div>
    <w:div w:id="478965757">
      <w:bodyDiv w:val="1"/>
      <w:marLeft w:val="0"/>
      <w:marRight w:val="0"/>
      <w:marTop w:val="0"/>
      <w:marBottom w:val="0"/>
      <w:divBdr>
        <w:top w:val="none" w:sz="0" w:space="0" w:color="auto"/>
        <w:left w:val="none" w:sz="0" w:space="0" w:color="auto"/>
        <w:bottom w:val="none" w:sz="0" w:space="0" w:color="auto"/>
        <w:right w:val="none" w:sz="0" w:space="0" w:color="auto"/>
      </w:divBdr>
    </w:div>
    <w:div w:id="524710812">
      <w:bodyDiv w:val="1"/>
      <w:marLeft w:val="0"/>
      <w:marRight w:val="0"/>
      <w:marTop w:val="0"/>
      <w:marBottom w:val="0"/>
      <w:divBdr>
        <w:top w:val="none" w:sz="0" w:space="0" w:color="auto"/>
        <w:left w:val="none" w:sz="0" w:space="0" w:color="auto"/>
        <w:bottom w:val="none" w:sz="0" w:space="0" w:color="auto"/>
        <w:right w:val="none" w:sz="0" w:space="0" w:color="auto"/>
      </w:divBdr>
    </w:div>
    <w:div w:id="549196910">
      <w:bodyDiv w:val="1"/>
      <w:marLeft w:val="0"/>
      <w:marRight w:val="0"/>
      <w:marTop w:val="0"/>
      <w:marBottom w:val="0"/>
      <w:divBdr>
        <w:top w:val="none" w:sz="0" w:space="0" w:color="auto"/>
        <w:left w:val="none" w:sz="0" w:space="0" w:color="auto"/>
        <w:bottom w:val="none" w:sz="0" w:space="0" w:color="auto"/>
        <w:right w:val="none" w:sz="0" w:space="0" w:color="auto"/>
      </w:divBdr>
    </w:div>
    <w:div w:id="555704237">
      <w:bodyDiv w:val="1"/>
      <w:marLeft w:val="0"/>
      <w:marRight w:val="0"/>
      <w:marTop w:val="0"/>
      <w:marBottom w:val="0"/>
      <w:divBdr>
        <w:top w:val="none" w:sz="0" w:space="0" w:color="auto"/>
        <w:left w:val="none" w:sz="0" w:space="0" w:color="auto"/>
        <w:bottom w:val="none" w:sz="0" w:space="0" w:color="auto"/>
        <w:right w:val="none" w:sz="0" w:space="0" w:color="auto"/>
      </w:divBdr>
    </w:div>
    <w:div w:id="555747830">
      <w:bodyDiv w:val="1"/>
      <w:marLeft w:val="0"/>
      <w:marRight w:val="0"/>
      <w:marTop w:val="0"/>
      <w:marBottom w:val="0"/>
      <w:divBdr>
        <w:top w:val="none" w:sz="0" w:space="0" w:color="auto"/>
        <w:left w:val="none" w:sz="0" w:space="0" w:color="auto"/>
        <w:bottom w:val="none" w:sz="0" w:space="0" w:color="auto"/>
        <w:right w:val="none" w:sz="0" w:space="0" w:color="auto"/>
      </w:divBdr>
    </w:div>
    <w:div w:id="575285064">
      <w:bodyDiv w:val="1"/>
      <w:marLeft w:val="0"/>
      <w:marRight w:val="0"/>
      <w:marTop w:val="0"/>
      <w:marBottom w:val="0"/>
      <w:divBdr>
        <w:top w:val="none" w:sz="0" w:space="0" w:color="auto"/>
        <w:left w:val="none" w:sz="0" w:space="0" w:color="auto"/>
        <w:bottom w:val="none" w:sz="0" w:space="0" w:color="auto"/>
        <w:right w:val="none" w:sz="0" w:space="0" w:color="auto"/>
      </w:divBdr>
    </w:div>
    <w:div w:id="634455720">
      <w:bodyDiv w:val="1"/>
      <w:marLeft w:val="0"/>
      <w:marRight w:val="0"/>
      <w:marTop w:val="0"/>
      <w:marBottom w:val="0"/>
      <w:divBdr>
        <w:top w:val="none" w:sz="0" w:space="0" w:color="auto"/>
        <w:left w:val="none" w:sz="0" w:space="0" w:color="auto"/>
        <w:bottom w:val="none" w:sz="0" w:space="0" w:color="auto"/>
        <w:right w:val="none" w:sz="0" w:space="0" w:color="auto"/>
      </w:divBdr>
    </w:div>
    <w:div w:id="641807595">
      <w:bodyDiv w:val="1"/>
      <w:marLeft w:val="0"/>
      <w:marRight w:val="0"/>
      <w:marTop w:val="0"/>
      <w:marBottom w:val="0"/>
      <w:divBdr>
        <w:top w:val="none" w:sz="0" w:space="0" w:color="auto"/>
        <w:left w:val="none" w:sz="0" w:space="0" w:color="auto"/>
        <w:bottom w:val="none" w:sz="0" w:space="0" w:color="auto"/>
        <w:right w:val="none" w:sz="0" w:space="0" w:color="auto"/>
      </w:divBdr>
    </w:div>
    <w:div w:id="653224925">
      <w:bodyDiv w:val="1"/>
      <w:marLeft w:val="0"/>
      <w:marRight w:val="0"/>
      <w:marTop w:val="0"/>
      <w:marBottom w:val="0"/>
      <w:divBdr>
        <w:top w:val="none" w:sz="0" w:space="0" w:color="auto"/>
        <w:left w:val="none" w:sz="0" w:space="0" w:color="auto"/>
        <w:bottom w:val="none" w:sz="0" w:space="0" w:color="auto"/>
        <w:right w:val="none" w:sz="0" w:space="0" w:color="auto"/>
      </w:divBdr>
    </w:div>
    <w:div w:id="666397571">
      <w:bodyDiv w:val="1"/>
      <w:marLeft w:val="0"/>
      <w:marRight w:val="0"/>
      <w:marTop w:val="0"/>
      <w:marBottom w:val="0"/>
      <w:divBdr>
        <w:top w:val="none" w:sz="0" w:space="0" w:color="auto"/>
        <w:left w:val="none" w:sz="0" w:space="0" w:color="auto"/>
        <w:bottom w:val="none" w:sz="0" w:space="0" w:color="auto"/>
        <w:right w:val="none" w:sz="0" w:space="0" w:color="auto"/>
      </w:divBdr>
    </w:div>
    <w:div w:id="675763135">
      <w:bodyDiv w:val="1"/>
      <w:marLeft w:val="0"/>
      <w:marRight w:val="0"/>
      <w:marTop w:val="0"/>
      <w:marBottom w:val="0"/>
      <w:divBdr>
        <w:top w:val="none" w:sz="0" w:space="0" w:color="auto"/>
        <w:left w:val="none" w:sz="0" w:space="0" w:color="auto"/>
        <w:bottom w:val="none" w:sz="0" w:space="0" w:color="auto"/>
        <w:right w:val="none" w:sz="0" w:space="0" w:color="auto"/>
      </w:divBdr>
    </w:div>
    <w:div w:id="681006245">
      <w:bodyDiv w:val="1"/>
      <w:marLeft w:val="0"/>
      <w:marRight w:val="0"/>
      <w:marTop w:val="0"/>
      <w:marBottom w:val="0"/>
      <w:divBdr>
        <w:top w:val="none" w:sz="0" w:space="0" w:color="auto"/>
        <w:left w:val="none" w:sz="0" w:space="0" w:color="auto"/>
        <w:bottom w:val="none" w:sz="0" w:space="0" w:color="auto"/>
        <w:right w:val="none" w:sz="0" w:space="0" w:color="auto"/>
      </w:divBdr>
    </w:div>
    <w:div w:id="711419552">
      <w:bodyDiv w:val="1"/>
      <w:marLeft w:val="0"/>
      <w:marRight w:val="0"/>
      <w:marTop w:val="0"/>
      <w:marBottom w:val="0"/>
      <w:divBdr>
        <w:top w:val="none" w:sz="0" w:space="0" w:color="auto"/>
        <w:left w:val="none" w:sz="0" w:space="0" w:color="auto"/>
        <w:bottom w:val="none" w:sz="0" w:space="0" w:color="auto"/>
        <w:right w:val="none" w:sz="0" w:space="0" w:color="auto"/>
      </w:divBdr>
    </w:div>
    <w:div w:id="802311350">
      <w:bodyDiv w:val="1"/>
      <w:marLeft w:val="0"/>
      <w:marRight w:val="0"/>
      <w:marTop w:val="0"/>
      <w:marBottom w:val="0"/>
      <w:divBdr>
        <w:top w:val="none" w:sz="0" w:space="0" w:color="auto"/>
        <w:left w:val="none" w:sz="0" w:space="0" w:color="auto"/>
        <w:bottom w:val="none" w:sz="0" w:space="0" w:color="auto"/>
        <w:right w:val="none" w:sz="0" w:space="0" w:color="auto"/>
      </w:divBdr>
    </w:div>
    <w:div w:id="931161461">
      <w:bodyDiv w:val="1"/>
      <w:marLeft w:val="0"/>
      <w:marRight w:val="0"/>
      <w:marTop w:val="0"/>
      <w:marBottom w:val="0"/>
      <w:divBdr>
        <w:top w:val="none" w:sz="0" w:space="0" w:color="auto"/>
        <w:left w:val="none" w:sz="0" w:space="0" w:color="auto"/>
        <w:bottom w:val="none" w:sz="0" w:space="0" w:color="auto"/>
        <w:right w:val="none" w:sz="0" w:space="0" w:color="auto"/>
      </w:divBdr>
    </w:div>
    <w:div w:id="1048992996">
      <w:bodyDiv w:val="1"/>
      <w:marLeft w:val="0"/>
      <w:marRight w:val="0"/>
      <w:marTop w:val="0"/>
      <w:marBottom w:val="0"/>
      <w:divBdr>
        <w:top w:val="none" w:sz="0" w:space="0" w:color="auto"/>
        <w:left w:val="none" w:sz="0" w:space="0" w:color="auto"/>
        <w:bottom w:val="none" w:sz="0" w:space="0" w:color="auto"/>
        <w:right w:val="none" w:sz="0" w:space="0" w:color="auto"/>
      </w:divBdr>
    </w:div>
    <w:div w:id="1064598030">
      <w:bodyDiv w:val="1"/>
      <w:marLeft w:val="0"/>
      <w:marRight w:val="0"/>
      <w:marTop w:val="0"/>
      <w:marBottom w:val="0"/>
      <w:divBdr>
        <w:top w:val="none" w:sz="0" w:space="0" w:color="auto"/>
        <w:left w:val="none" w:sz="0" w:space="0" w:color="auto"/>
        <w:bottom w:val="none" w:sz="0" w:space="0" w:color="auto"/>
        <w:right w:val="none" w:sz="0" w:space="0" w:color="auto"/>
      </w:divBdr>
    </w:div>
    <w:div w:id="1076318147">
      <w:bodyDiv w:val="1"/>
      <w:marLeft w:val="0"/>
      <w:marRight w:val="0"/>
      <w:marTop w:val="0"/>
      <w:marBottom w:val="0"/>
      <w:divBdr>
        <w:top w:val="none" w:sz="0" w:space="0" w:color="auto"/>
        <w:left w:val="none" w:sz="0" w:space="0" w:color="auto"/>
        <w:bottom w:val="none" w:sz="0" w:space="0" w:color="auto"/>
        <w:right w:val="none" w:sz="0" w:space="0" w:color="auto"/>
      </w:divBdr>
    </w:div>
    <w:div w:id="1092245320">
      <w:bodyDiv w:val="1"/>
      <w:marLeft w:val="0"/>
      <w:marRight w:val="0"/>
      <w:marTop w:val="0"/>
      <w:marBottom w:val="0"/>
      <w:divBdr>
        <w:top w:val="none" w:sz="0" w:space="0" w:color="auto"/>
        <w:left w:val="none" w:sz="0" w:space="0" w:color="auto"/>
        <w:bottom w:val="none" w:sz="0" w:space="0" w:color="auto"/>
        <w:right w:val="none" w:sz="0" w:space="0" w:color="auto"/>
      </w:divBdr>
    </w:div>
    <w:div w:id="1095439831">
      <w:bodyDiv w:val="1"/>
      <w:marLeft w:val="0"/>
      <w:marRight w:val="0"/>
      <w:marTop w:val="0"/>
      <w:marBottom w:val="0"/>
      <w:divBdr>
        <w:top w:val="none" w:sz="0" w:space="0" w:color="auto"/>
        <w:left w:val="none" w:sz="0" w:space="0" w:color="auto"/>
        <w:bottom w:val="none" w:sz="0" w:space="0" w:color="auto"/>
        <w:right w:val="none" w:sz="0" w:space="0" w:color="auto"/>
      </w:divBdr>
    </w:div>
    <w:div w:id="1176842548">
      <w:bodyDiv w:val="1"/>
      <w:marLeft w:val="0"/>
      <w:marRight w:val="0"/>
      <w:marTop w:val="0"/>
      <w:marBottom w:val="0"/>
      <w:divBdr>
        <w:top w:val="none" w:sz="0" w:space="0" w:color="auto"/>
        <w:left w:val="none" w:sz="0" w:space="0" w:color="auto"/>
        <w:bottom w:val="none" w:sz="0" w:space="0" w:color="auto"/>
        <w:right w:val="none" w:sz="0" w:space="0" w:color="auto"/>
      </w:divBdr>
    </w:div>
    <w:div w:id="1208906233">
      <w:bodyDiv w:val="1"/>
      <w:marLeft w:val="0"/>
      <w:marRight w:val="0"/>
      <w:marTop w:val="0"/>
      <w:marBottom w:val="0"/>
      <w:divBdr>
        <w:top w:val="none" w:sz="0" w:space="0" w:color="auto"/>
        <w:left w:val="none" w:sz="0" w:space="0" w:color="auto"/>
        <w:bottom w:val="none" w:sz="0" w:space="0" w:color="auto"/>
        <w:right w:val="none" w:sz="0" w:space="0" w:color="auto"/>
      </w:divBdr>
    </w:div>
    <w:div w:id="1229851479">
      <w:bodyDiv w:val="1"/>
      <w:marLeft w:val="0"/>
      <w:marRight w:val="0"/>
      <w:marTop w:val="0"/>
      <w:marBottom w:val="0"/>
      <w:divBdr>
        <w:top w:val="none" w:sz="0" w:space="0" w:color="auto"/>
        <w:left w:val="none" w:sz="0" w:space="0" w:color="auto"/>
        <w:bottom w:val="none" w:sz="0" w:space="0" w:color="auto"/>
        <w:right w:val="none" w:sz="0" w:space="0" w:color="auto"/>
      </w:divBdr>
    </w:div>
    <w:div w:id="1275937696">
      <w:bodyDiv w:val="1"/>
      <w:marLeft w:val="0"/>
      <w:marRight w:val="0"/>
      <w:marTop w:val="0"/>
      <w:marBottom w:val="0"/>
      <w:divBdr>
        <w:top w:val="none" w:sz="0" w:space="0" w:color="auto"/>
        <w:left w:val="none" w:sz="0" w:space="0" w:color="auto"/>
        <w:bottom w:val="none" w:sz="0" w:space="0" w:color="auto"/>
        <w:right w:val="none" w:sz="0" w:space="0" w:color="auto"/>
      </w:divBdr>
    </w:div>
    <w:div w:id="1334449920">
      <w:bodyDiv w:val="1"/>
      <w:marLeft w:val="0"/>
      <w:marRight w:val="0"/>
      <w:marTop w:val="0"/>
      <w:marBottom w:val="0"/>
      <w:divBdr>
        <w:top w:val="none" w:sz="0" w:space="0" w:color="auto"/>
        <w:left w:val="none" w:sz="0" w:space="0" w:color="auto"/>
        <w:bottom w:val="none" w:sz="0" w:space="0" w:color="auto"/>
        <w:right w:val="none" w:sz="0" w:space="0" w:color="auto"/>
      </w:divBdr>
    </w:div>
    <w:div w:id="1345547440">
      <w:bodyDiv w:val="1"/>
      <w:marLeft w:val="0"/>
      <w:marRight w:val="0"/>
      <w:marTop w:val="0"/>
      <w:marBottom w:val="0"/>
      <w:divBdr>
        <w:top w:val="none" w:sz="0" w:space="0" w:color="auto"/>
        <w:left w:val="none" w:sz="0" w:space="0" w:color="auto"/>
        <w:bottom w:val="none" w:sz="0" w:space="0" w:color="auto"/>
        <w:right w:val="none" w:sz="0" w:space="0" w:color="auto"/>
      </w:divBdr>
    </w:div>
    <w:div w:id="1430200420">
      <w:bodyDiv w:val="1"/>
      <w:marLeft w:val="0"/>
      <w:marRight w:val="0"/>
      <w:marTop w:val="0"/>
      <w:marBottom w:val="0"/>
      <w:divBdr>
        <w:top w:val="none" w:sz="0" w:space="0" w:color="auto"/>
        <w:left w:val="none" w:sz="0" w:space="0" w:color="auto"/>
        <w:bottom w:val="none" w:sz="0" w:space="0" w:color="auto"/>
        <w:right w:val="none" w:sz="0" w:space="0" w:color="auto"/>
      </w:divBdr>
    </w:div>
    <w:div w:id="1474326630">
      <w:bodyDiv w:val="1"/>
      <w:marLeft w:val="0"/>
      <w:marRight w:val="0"/>
      <w:marTop w:val="0"/>
      <w:marBottom w:val="0"/>
      <w:divBdr>
        <w:top w:val="none" w:sz="0" w:space="0" w:color="auto"/>
        <w:left w:val="none" w:sz="0" w:space="0" w:color="auto"/>
        <w:bottom w:val="none" w:sz="0" w:space="0" w:color="auto"/>
        <w:right w:val="none" w:sz="0" w:space="0" w:color="auto"/>
      </w:divBdr>
    </w:div>
    <w:div w:id="1477407716">
      <w:bodyDiv w:val="1"/>
      <w:marLeft w:val="0"/>
      <w:marRight w:val="0"/>
      <w:marTop w:val="0"/>
      <w:marBottom w:val="0"/>
      <w:divBdr>
        <w:top w:val="none" w:sz="0" w:space="0" w:color="auto"/>
        <w:left w:val="none" w:sz="0" w:space="0" w:color="auto"/>
        <w:bottom w:val="none" w:sz="0" w:space="0" w:color="auto"/>
        <w:right w:val="none" w:sz="0" w:space="0" w:color="auto"/>
      </w:divBdr>
    </w:div>
    <w:div w:id="1518616730">
      <w:bodyDiv w:val="1"/>
      <w:marLeft w:val="0"/>
      <w:marRight w:val="0"/>
      <w:marTop w:val="0"/>
      <w:marBottom w:val="0"/>
      <w:divBdr>
        <w:top w:val="none" w:sz="0" w:space="0" w:color="auto"/>
        <w:left w:val="none" w:sz="0" w:space="0" w:color="auto"/>
        <w:bottom w:val="none" w:sz="0" w:space="0" w:color="auto"/>
        <w:right w:val="none" w:sz="0" w:space="0" w:color="auto"/>
      </w:divBdr>
    </w:div>
    <w:div w:id="1535539464">
      <w:bodyDiv w:val="1"/>
      <w:marLeft w:val="0"/>
      <w:marRight w:val="0"/>
      <w:marTop w:val="0"/>
      <w:marBottom w:val="0"/>
      <w:divBdr>
        <w:top w:val="none" w:sz="0" w:space="0" w:color="auto"/>
        <w:left w:val="none" w:sz="0" w:space="0" w:color="auto"/>
        <w:bottom w:val="none" w:sz="0" w:space="0" w:color="auto"/>
        <w:right w:val="none" w:sz="0" w:space="0" w:color="auto"/>
      </w:divBdr>
    </w:div>
    <w:div w:id="1701204429">
      <w:bodyDiv w:val="1"/>
      <w:marLeft w:val="0"/>
      <w:marRight w:val="0"/>
      <w:marTop w:val="0"/>
      <w:marBottom w:val="0"/>
      <w:divBdr>
        <w:top w:val="none" w:sz="0" w:space="0" w:color="auto"/>
        <w:left w:val="none" w:sz="0" w:space="0" w:color="auto"/>
        <w:bottom w:val="none" w:sz="0" w:space="0" w:color="auto"/>
        <w:right w:val="none" w:sz="0" w:space="0" w:color="auto"/>
      </w:divBdr>
    </w:div>
    <w:div w:id="1706755093">
      <w:bodyDiv w:val="1"/>
      <w:marLeft w:val="0"/>
      <w:marRight w:val="0"/>
      <w:marTop w:val="0"/>
      <w:marBottom w:val="0"/>
      <w:divBdr>
        <w:top w:val="none" w:sz="0" w:space="0" w:color="auto"/>
        <w:left w:val="none" w:sz="0" w:space="0" w:color="auto"/>
        <w:bottom w:val="none" w:sz="0" w:space="0" w:color="auto"/>
        <w:right w:val="none" w:sz="0" w:space="0" w:color="auto"/>
      </w:divBdr>
    </w:div>
    <w:div w:id="1716538207">
      <w:bodyDiv w:val="1"/>
      <w:marLeft w:val="0"/>
      <w:marRight w:val="0"/>
      <w:marTop w:val="0"/>
      <w:marBottom w:val="0"/>
      <w:divBdr>
        <w:top w:val="none" w:sz="0" w:space="0" w:color="auto"/>
        <w:left w:val="none" w:sz="0" w:space="0" w:color="auto"/>
        <w:bottom w:val="none" w:sz="0" w:space="0" w:color="auto"/>
        <w:right w:val="none" w:sz="0" w:space="0" w:color="auto"/>
      </w:divBdr>
    </w:div>
    <w:div w:id="1730306497">
      <w:bodyDiv w:val="1"/>
      <w:marLeft w:val="0"/>
      <w:marRight w:val="0"/>
      <w:marTop w:val="0"/>
      <w:marBottom w:val="0"/>
      <w:divBdr>
        <w:top w:val="none" w:sz="0" w:space="0" w:color="auto"/>
        <w:left w:val="none" w:sz="0" w:space="0" w:color="auto"/>
        <w:bottom w:val="none" w:sz="0" w:space="0" w:color="auto"/>
        <w:right w:val="none" w:sz="0" w:space="0" w:color="auto"/>
      </w:divBdr>
    </w:div>
    <w:div w:id="1803569460">
      <w:bodyDiv w:val="1"/>
      <w:marLeft w:val="0"/>
      <w:marRight w:val="0"/>
      <w:marTop w:val="0"/>
      <w:marBottom w:val="0"/>
      <w:divBdr>
        <w:top w:val="none" w:sz="0" w:space="0" w:color="auto"/>
        <w:left w:val="none" w:sz="0" w:space="0" w:color="auto"/>
        <w:bottom w:val="none" w:sz="0" w:space="0" w:color="auto"/>
        <w:right w:val="none" w:sz="0" w:space="0" w:color="auto"/>
      </w:divBdr>
    </w:div>
    <w:div w:id="1859807004">
      <w:bodyDiv w:val="1"/>
      <w:marLeft w:val="0"/>
      <w:marRight w:val="0"/>
      <w:marTop w:val="0"/>
      <w:marBottom w:val="0"/>
      <w:divBdr>
        <w:top w:val="none" w:sz="0" w:space="0" w:color="auto"/>
        <w:left w:val="none" w:sz="0" w:space="0" w:color="auto"/>
        <w:bottom w:val="none" w:sz="0" w:space="0" w:color="auto"/>
        <w:right w:val="none" w:sz="0" w:space="0" w:color="auto"/>
      </w:divBdr>
    </w:div>
    <w:div w:id="1878354360">
      <w:bodyDiv w:val="1"/>
      <w:marLeft w:val="0"/>
      <w:marRight w:val="0"/>
      <w:marTop w:val="0"/>
      <w:marBottom w:val="0"/>
      <w:divBdr>
        <w:top w:val="none" w:sz="0" w:space="0" w:color="auto"/>
        <w:left w:val="none" w:sz="0" w:space="0" w:color="auto"/>
        <w:bottom w:val="none" w:sz="0" w:space="0" w:color="auto"/>
        <w:right w:val="none" w:sz="0" w:space="0" w:color="auto"/>
      </w:divBdr>
    </w:div>
    <w:div w:id="1889143161">
      <w:bodyDiv w:val="1"/>
      <w:marLeft w:val="0"/>
      <w:marRight w:val="0"/>
      <w:marTop w:val="0"/>
      <w:marBottom w:val="0"/>
      <w:divBdr>
        <w:top w:val="none" w:sz="0" w:space="0" w:color="auto"/>
        <w:left w:val="none" w:sz="0" w:space="0" w:color="auto"/>
        <w:bottom w:val="none" w:sz="0" w:space="0" w:color="auto"/>
        <w:right w:val="none" w:sz="0" w:space="0" w:color="auto"/>
      </w:divBdr>
    </w:div>
    <w:div w:id="1931352640">
      <w:bodyDiv w:val="1"/>
      <w:marLeft w:val="0"/>
      <w:marRight w:val="0"/>
      <w:marTop w:val="0"/>
      <w:marBottom w:val="0"/>
      <w:divBdr>
        <w:top w:val="none" w:sz="0" w:space="0" w:color="auto"/>
        <w:left w:val="none" w:sz="0" w:space="0" w:color="auto"/>
        <w:bottom w:val="none" w:sz="0" w:space="0" w:color="auto"/>
        <w:right w:val="none" w:sz="0" w:space="0" w:color="auto"/>
      </w:divBdr>
    </w:div>
    <w:div w:id="1954631611">
      <w:bodyDiv w:val="1"/>
      <w:marLeft w:val="0"/>
      <w:marRight w:val="0"/>
      <w:marTop w:val="0"/>
      <w:marBottom w:val="0"/>
      <w:divBdr>
        <w:top w:val="none" w:sz="0" w:space="0" w:color="auto"/>
        <w:left w:val="none" w:sz="0" w:space="0" w:color="auto"/>
        <w:bottom w:val="none" w:sz="0" w:space="0" w:color="auto"/>
        <w:right w:val="none" w:sz="0" w:space="0" w:color="auto"/>
      </w:divBdr>
    </w:div>
    <w:div w:id="1997881282">
      <w:bodyDiv w:val="1"/>
      <w:marLeft w:val="0"/>
      <w:marRight w:val="0"/>
      <w:marTop w:val="0"/>
      <w:marBottom w:val="0"/>
      <w:divBdr>
        <w:top w:val="none" w:sz="0" w:space="0" w:color="auto"/>
        <w:left w:val="none" w:sz="0" w:space="0" w:color="auto"/>
        <w:bottom w:val="none" w:sz="0" w:space="0" w:color="auto"/>
        <w:right w:val="none" w:sz="0" w:space="0" w:color="auto"/>
      </w:divBdr>
    </w:div>
    <w:div w:id="2002460008">
      <w:bodyDiv w:val="1"/>
      <w:marLeft w:val="0"/>
      <w:marRight w:val="0"/>
      <w:marTop w:val="0"/>
      <w:marBottom w:val="0"/>
      <w:divBdr>
        <w:top w:val="none" w:sz="0" w:space="0" w:color="auto"/>
        <w:left w:val="none" w:sz="0" w:space="0" w:color="auto"/>
        <w:bottom w:val="none" w:sz="0" w:space="0" w:color="auto"/>
        <w:right w:val="none" w:sz="0" w:space="0" w:color="auto"/>
      </w:divBdr>
    </w:div>
    <w:div w:id="2018726930">
      <w:bodyDiv w:val="1"/>
      <w:marLeft w:val="0"/>
      <w:marRight w:val="0"/>
      <w:marTop w:val="0"/>
      <w:marBottom w:val="0"/>
      <w:divBdr>
        <w:top w:val="none" w:sz="0" w:space="0" w:color="auto"/>
        <w:left w:val="none" w:sz="0" w:space="0" w:color="auto"/>
        <w:bottom w:val="none" w:sz="0" w:space="0" w:color="auto"/>
        <w:right w:val="none" w:sz="0" w:space="0" w:color="auto"/>
      </w:divBdr>
    </w:div>
    <w:div w:id="2022924801">
      <w:bodyDiv w:val="1"/>
      <w:marLeft w:val="0"/>
      <w:marRight w:val="0"/>
      <w:marTop w:val="0"/>
      <w:marBottom w:val="0"/>
      <w:divBdr>
        <w:top w:val="none" w:sz="0" w:space="0" w:color="auto"/>
        <w:left w:val="none" w:sz="0" w:space="0" w:color="auto"/>
        <w:bottom w:val="none" w:sz="0" w:space="0" w:color="auto"/>
        <w:right w:val="none" w:sz="0" w:space="0" w:color="auto"/>
      </w:divBdr>
    </w:div>
    <w:div w:id="213601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9fc4df0-8f56-46e7-b005-54afe0044df7">
      <UserInfo>
        <DisplayName>MOLINA LOPEZ MELISSA</DisplayName>
        <AccountId>34</AccountId>
        <AccountType/>
      </UserInfo>
      <UserInfo>
        <DisplayName>AVENDANO JIMENEZ JOANA DE LOS ANGELES</DisplayName>
        <AccountId>816</AccountId>
        <AccountType/>
      </UserInfo>
    </SharedWithUsers>
    <FechaPublicacionDocumento xmlns="b9fc4df0-8f56-46e7-b005-54afe0044df7">2023-05-10T06:00:00+00:00</FechaPublicacionDocumento>
    <TipoContenido xmlns="b9fc4df0-8f56-46e7-b005-54afe0044df7">2</TipoContenido>
    <ContenidoMultilineaHTML xmlns="b9fc4df0-8f56-46e7-b005-54afe0044df7">&lt;p&gt;Informe Ley para Perfeccionar la Rendición de Cuentas N°9398, 2022&lt;br&gt;&lt;/p&gt;&lt;p&gt;&lt;br&gt;&lt;/p&gt;</ContenidoMultilineaHTM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ublicaciones" ma:contentTypeID="0x010100C1BE8F4CE8CB2A478C59280E0A0F46A8004DB78757853D0B47B004B473532BDC5A" ma:contentTypeVersion="8" ma:contentTypeDescription="" ma:contentTypeScope="" ma:versionID="2b70b7e3f4008bd9b03a097dbf8ff4d0">
  <xsd:schema xmlns:xsd="http://www.w3.org/2001/XMLSchema" xmlns:xs="http://www.w3.org/2001/XMLSchema" xmlns:p="http://schemas.microsoft.com/office/2006/metadata/properties" xmlns:ns2="b9fc4df0-8f56-46e7-b005-54afe0044df7" targetNamespace="http://schemas.microsoft.com/office/2006/metadata/properties" ma:root="true" ma:fieldsID="541b8d13a4c4233b0f7511f9e48f9f07" ns2:_="">
    <xsd:import namespace="b9fc4df0-8f56-46e7-b005-54afe0044df7"/>
    <xsd:element name="properties">
      <xsd:complexType>
        <xsd:sequence>
          <xsd:element name="documentManagement">
            <xsd:complexType>
              <xsd:all>
                <xsd:element ref="ns2:FechaPublicacionDocumento" minOccurs="0"/>
                <xsd:element ref="ns2:SharedWithUsers" minOccurs="0"/>
                <xsd:element ref="ns2:ContenidoMultilineaHTML"/>
                <xsd:element ref="ns2:TipoContenid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c4df0-8f56-46e7-b005-54afe0044df7" elementFormDefault="qualified">
    <xsd:import namespace="http://schemas.microsoft.com/office/2006/documentManagement/types"/>
    <xsd:import namespace="http://schemas.microsoft.com/office/infopath/2007/PartnerControls"/>
    <xsd:element name="FechaPublicacionDocumento" ma:index="8" nillable="true" ma:displayName="FechaPublicacionDocumento" ma:description="" ma:format="DateOnly" ma:internalName="FechaPublicacionDocumento">
      <xsd:simpleType>
        <xsd:restriction base="dms:DateTime"/>
      </xsd:simpleType>
    </xsd:element>
    <xsd:element name="SharedWithUsers" ma:index="9"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idoMultilineaHTML" ma:index="10" ma:displayName="ContenidoMultilineaHTML" ma:description="" ma:internalName="ContenidoMultilineaHTML">
      <xsd:simpleType>
        <xsd:restriction base="dms:Unknown"/>
      </xsd:simpleType>
    </xsd:element>
    <xsd:element name="TipoContenido" ma:index="11" nillable="true" ma:displayName="TipoContenido" ma:list="{ec55f565-d8ce-4d28-9f5f-877c6e6feccc}" ma:internalName="TipoContenido" ma:showField="Title" ma:web="b9fc4df0-8f56-46e7-b005-54afe0044df7">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11C1FA-A4E0-41C9-AEA3-8E927D2BA54E}">
  <ds:schemaRefs>
    <ds:schemaRef ds:uri="http://schemas.microsoft.com/office/2006/metadata/properties"/>
    <ds:schemaRef ds:uri="http://schemas.microsoft.com/office/infopath/2007/PartnerControls"/>
    <ds:schemaRef ds:uri="7170b6f3-b290-4c78-9379-9581a8b51104"/>
    <ds:schemaRef ds:uri="8a56ff76-225c-4154-9a1d-75cac4a5af42"/>
    <ds:schemaRef ds:uri="4f4ead7c-4846-46a9-b3e4-66d3d6970886"/>
  </ds:schemaRefs>
</ds:datastoreItem>
</file>

<file path=customXml/itemProps2.xml><?xml version="1.0" encoding="utf-8"?>
<ds:datastoreItem xmlns:ds="http://schemas.openxmlformats.org/officeDocument/2006/customXml" ds:itemID="{2547F8B6-E521-41F3-9D30-2FCEA0E69655}">
  <ds:schemaRefs>
    <ds:schemaRef ds:uri="http://schemas.microsoft.com/sharepoint/v3/contenttype/forms"/>
  </ds:schemaRefs>
</ds:datastoreItem>
</file>

<file path=customXml/itemProps3.xml><?xml version="1.0" encoding="utf-8"?>
<ds:datastoreItem xmlns:ds="http://schemas.openxmlformats.org/officeDocument/2006/customXml" ds:itemID="{9BFBA878-4D2C-43B0-ABAF-07C0DC9AC19C}">
  <ds:schemaRefs>
    <ds:schemaRef ds:uri="http://schemas.openxmlformats.org/officeDocument/2006/bibliography"/>
  </ds:schemaRefs>
</ds:datastoreItem>
</file>

<file path=customXml/itemProps4.xml><?xml version="1.0" encoding="utf-8"?>
<ds:datastoreItem xmlns:ds="http://schemas.openxmlformats.org/officeDocument/2006/customXml" ds:itemID="{045713CF-9B46-45E5-9B0E-C101ACF103CB}"/>
</file>

<file path=docProps/app.xml><?xml version="1.0" encoding="utf-8"?>
<Properties xmlns="http://schemas.openxmlformats.org/officeDocument/2006/extended-properties" xmlns:vt="http://schemas.openxmlformats.org/officeDocument/2006/docPropsVTypes">
  <Template>Normal</Template>
  <TotalTime>0</TotalTime>
  <Pages>1</Pages>
  <Words>7903</Words>
  <Characters>43469</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Informe Ley para Perfeccionar la Rendición de Cuentas N°9398</vt:lpstr>
    </vt:vector>
  </TitlesOfParts>
  <Company>Nombre de la entidad</Company>
  <LinksUpToDate>false</LinksUpToDate>
  <CharactersWithSpaces>51270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Ley para Perfeccionar la Rendición de Cuentas N°9398, 2022</dc:title>
  <dc:subject/>
  <dc:creator>CHACON ARG�ELLO GINA</dc:creator>
  <cp:keywords/>
  <dc:description/>
  <cp:lastModifiedBy>GONZALEZ HAUG CELIA MARIA</cp:lastModifiedBy>
  <cp:revision>1</cp:revision>
  <dcterms:created xsi:type="dcterms:W3CDTF">2023-05-06T17:13:00Z</dcterms:created>
  <dcterms:modified xsi:type="dcterms:W3CDTF">2023-05-06T17:13:00Z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0x010100C1BE8F4CE8CB2A478C59280E0A0F46A8004DB78757853D0B47B004B473532BDC5A</vt:lpwstr>
  </property>
  <property fmtid="{D5CDD505-2E9C-101B-9397-08002B2CF9AE}" pid="3" name="WorkflowChangePath">
    <vt:lpwstr>3c2042e4-8b07-49bf-ad75-15f29aee7af3,341;84637138-d5a7-48a7-9dd2-ac0808de8848,342;</vt:lpwstr>
  </property>
  <property fmtid="{D5CDD505-2E9C-101B-9397-08002B2CF9AE}" pid="4" name="MSIP_Label_b8b4be34-365a-4a68-b9fb-75c1b6874315_Enabled">
    <vt:lpwstr>true</vt:lpwstr>
  </property>
  <property fmtid="{D5CDD505-2E9C-101B-9397-08002B2CF9AE}" pid="5" name="MSIP_Label_b8b4be34-365a-4a68-b9fb-75c1b6874315_SetDate">
    <vt:lpwstr>2023-05-06T17:13:14Z</vt:lpwstr>
  </property>
  <property fmtid="{D5CDD505-2E9C-101B-9397-08002B2CF9AE}" pid="6" name="MSIP_Label_b8b4be34-365a-4a68-b9fb-75c1b6874315_Method">
    <vt:lpwstr>Standard</vt:lpwstr>
  </property>
  <property fmtid="{D5CDD505-2E9C-101B-9397-08002B2CF9AE}" pid="7" name="MSIP_Label_b8b4be34-365a-4a68-b9fb-75c1b6874315_Name">
    <vt:lpwstr>b8b4be34-365a-4a68-b9fb-75c1b6874315</vt:lpwstr>
  </property>
  <property fmtid="{D5CDD505-2E9C-101B-9397-08002B2CF9AE}" pid="8" name="MSIP_Label_b8b4be34-365a-4a68-b9fb-75c1b6874315_SiteId">
    <vt:lpwstr>618d0a45-25a6-4618-9f80-8f70a435ee52</vt:lpwstr>
  </property>
  <property fmtid="{D5CDD505-2E9C-101B-9397-08002B2CF9AE}" pid="9" name="MSIP_Label_b8b4be34-365a-4a68-b9fb-75c1b6874315_ActionId">
    <vt:lpwstr>12c3096d-f8ac-4e79-b7ec-000027de3753</vt:lpwstr>
  </property>
  <property fmtid="{D5CDD505-2E9C-101B-9397-08002B2CF9AE}" pid="10" name="MSIP_Label_b8b4be34-365a-4a68-b9fb-75c1b6874315_ContentBits">
    <vt:lpwstr>2</vt:lpwstr>
  </property>
</Properties>
</file>