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E3EC5" w14:textId="77777777" w:rsidR="00BF29C3" w:rsidRPr="00A82D57" w:rsidRDefault="00BF29C3" w:rsidP="00BF29C3">
      <w:pPr>
        <w:ind w:left="-567"/>
        <w:jc w:val="both"/>
        <w:rPr>
          <w:rFonts w:asciiTheme="majorHAnsi" w:hAnsiTheme="majorHAnsi"/>
          <w:i/>
          <w:color w:val="000000"/>
        </w:rPr>
      </w:pPr>
      <w:bookmarkStart w:id="0" w:name="_GoBack"/>
      <w:bookmarkEnd w:id="0"/>
      <w:r w:rsidRPr="00A82D57">
        <w:rPr>
          <w:rFonts w:asciiTheme="majorHAnsi" w:hAnsiTheme="majorHAnsi"/>
          <w:i/>
          <w:color w:val="000000"/>
        </w:rPr>
        <w:t>Tomás Soley Pérez</w:t>
      </w:r>
    </w:p>
    <w:p w14:paraId="1CDAE7A8" w14:textId="77777777" w:rsidR="00BF29C3" w:rsidRPr="00A82D57" w:rsidRDefault="00BF29C3" w:rsidP="00BF29C3">
      <w:pPr>
        <w:ind w:left="-567"/>
        <w:jc w:val="both"/>
        <w:rPr>
          <w:rFonts w:asciiTheme="majorHAnsi" w:hAnsiTheme="majorHAnsi"/>
          <w:i/>
          <w:color w:val="000000"/>
        </w:rPr>
      </w:pPr>
      <w:r w:rsidRPr="00A82D57">
        <w:rPr>
          <w:rFonts w:asciiTheme="majorHAnsi" w:hAnsiTheme="majorHAnsi"/>
          <w:i/>
          <w:color w:val="000000"/>
        </w:rPr>
        <w:t xml:space="preserve">Superintendente de Seguros </w:t>
      </w:r>
    </w:p>
    <w:p w14:paraId="14F5D494" w14:textId="77777777" w:rsidR="00BF29C3" w:rsidRPr="00726D48" w:rsidRDefault="00BF29C3" w:rsidP="00BF29C3">
      <w:pPr>
        <w:jc w:val="both"/>
        <w:rPr>
          <w:rFonts w:asciiTheme="majorHAnsi" w:hAnsiTheme="majorHAnsi"/>
          <w:color w:val="000000"/>
          <w:szCs w:val="22"/>
        </w:rPr>
      </w:pPr>
    </w:p>
    <w:p w14:paraId="35E8DC40" w14:textId="77777777" w:rsidR="00BF29C3" w:rsidRDefault="00BF29C3" w:rsidP="00BF29C3">
      <w:pPr>
        <w:jc w:val="both"/>
        <w:rPr>
          <w:rFonts w:asciiTheme="majorHAnsi" w:hAnsiTheme="majorHAnsi"/>
          <w:color w:val="000000"/>
          <w:lang w:val="es-CR"/>
        </w:rPr>
      </w:pPr>
    </w:p>
    <w:p w14:paraId="14EA7696" w14:textId="77777777" w:rsidR="00726D48" w:rsidRPr="00726D48" w:rsidRDefault="00726D48" w:rsidP="00BF29C3">
      <w:pPr>
        <w:jc w:val="both"/>
        <w:rPr>
          <w:rFonts w:asciiTheme="majorHAnsi" w:hAnsiTheme="majorHAnsi"/>
          <w:color w:val="000000"/>
          <w:lang w:val="es-CR"/>
        </w:rPr>
      </w:pPr>
    </w:p>
    <w:sdt>
      <w:sdtPr>
        <w:rPr>
          <w:rFonts w:asciiTheme="majorHAnsi" w:hAnsiTheme="majorHAnsi"/>
          <w:b/>
          <w:color w:val="000000"/>
          <w:sz w:val="28"/>
          <w:szCs w:val="28"/>
        </w:rPr>
        <w:alias w:val="Consecutivo"/>
        <w:tag w:val="Consecutivo"/>
        <w:id w:val="739599199"/>
        <w:placeholder>
          <w:docPart w:val="BFE16D172E3443979B7B26F7C59739F1"/>
        </w:placeholder>
        <w:showingPlcHdr/>
        <w:text/>
      </w:sdtPr>
      <w:sdtEndPr/>
      <w:sdtContent>
        <w:p w14:paraId="41565CB7" w14:textId="77777777" w:rsidR="00BF29C3" w:rsidRPr="00BC0302" w:rsidRDefault="00E14F6B" w:rsidP="00E14F6B">
          <w:pPr>
            <w:jc w:val="center"/>
            <w:rPr>
              <w:rFonts w:asciiTheme="majorHAnsi" w:hAnsiTheme="majorHAnsi"/>
              <w:b/>
              <w:color w:val="000000"/>
              <w:sz w:val="28"/>
              <w:szCs w:val="28"/>
            </w:rPr>
          </w:pPr>
          <w:r w:rsidRPr="00BC0302">
            <w:rPr>
              <w:rFonts w:asciiTheme="majorHAnsi" w:hAnsiTheme="majorHAnsi"/>
              <w:b/>
              <w:sz w:val="28"/>
              <w:szCs w:val="28"/>
            </w:rPr>
            <w:t>SGS-R-2260-2019</w:t>
          </w:r>
        </w:p>
      </w:sdtContent>
    </w:sdt>
    <w:p w14:paraId="292FADAD" w14:textId="77777777" w:rsidR="0049738D" w:rsidRPr="00A82D57" w:rsidRDefault="0049738D" w:rsidP="00BF29C3">
      <w:pPr>
        <w:jc w:val="both"/>
        <w:rPr>
          <w:rFonts w:asciiTheme="majorHAnsi" w:hAnsiTheme="majorHAnsi"/>
          <w:color w:val="000000"/>
        </w:rPr>
      </w:pPr>
    </w:p>
    <w:p w14:paraId="25268D7B" w14:textId="77777777" w:rsidR="00A82D57" w:rsidRPr="00726D48" w:rsidRDefault="00A82D57" w:rsidP="00A82D57">
      <w:pPr>
        <w:pStyle w:val="Prrafodelista"/>
        <w:spacing w:after="0" w:line="240" w:lineRule="auto"/>
        <w:ind w:left="0"/>
        <w:rPr>
          <w:rFonts w:asciiTheme="majorHAnsi" w:eastAsia="Times New Roman" w:hAnsiTheme="majorHAnsi" w:cs="Arial"/>
          <w:bCs/>
          <w:color w:val="000000"/>
          <w:sz w:val="24"/>
          <w:szCs w:val="24"/>
          <w:lang w:eastAsia="es-CR"/>
        </w:rPr>
      </w:pPr>
    </w:p>
    <w:p w14:paraId="530E7409" w14:textId="77777777" w:rsidR="00A82D57" w:rsidRPr="00726D48" w:rsidRDefault="00A82D57" w:rsidP="00A82D57">
      <w:pPr>
        <w:pStyle w:val="Prrafodelista"/>
        <w:spacing w:after="0" w:line="240" w:lineRule="auto"/>
        <w:ind w:left="0"/>
        <w:rPr>
          <w:rFonts w:asciiTheme="majorHAnsi" w:eastAsia="Times New Roman" w:hAnsiTheme="majorHAnsi" w:cs="Arial"/>
          <w:bCs/>
          <w:color w:val="000000"/>
          <w:sz w:val="24"/>
          <w:szCs w:val="24"/>
          <w:lang w:eastAsia="es-CR"/>
        </w:rPr>
      </w:pPr>
    </w:p>
    <w:p w14:paraId="6C865AA1" w14:textId="77777777" w:rsidR="00A82D57" w:rsidRPr="00A82D57" w:rsidRDefault="00A82D57" w:rsidP="00A82D57">
      <w:pPr>
        <w:pStyle w:val="Prrafodelista"/>
        <w:spacing w:after="0" w:line="240" w:lineRule="auto"/>
        <w:ind w:left="0"/>
        <w:jc w:val="center"/>
        <w:rPr>
          <w:rFonts w:asciiTheme="majorHAnsi" w:eastAsia="Times New Roman" w:hAnsiTheme="majorHAnsi" w:cs="Arial"/>
          <w:b/>
          <w:bCs/>
          <w:color w:val="000000"/>
          <w:sz w:val="28"/>
          <w:szCs w:val="24"/>
          <w:lang w:eastAsia="es-CR"/>
        </w:rPr>
      </w:pPr>
      <w:r w:rsidRPr="00A82D57">
        <w:rPr>
          <w:rFonts w:asciiTheme="majorHAnsi" w:eastAsia="Times New Roman" w:hAnsiTheme="majorHAnsi" w:cs="Arial"/>
          <w:b/>
          <w:bCs/>
          <w:color w:val="000000"/>
          <w:sz w:val="28"/>
          <w:szCs w:val="24"/>
          <w:lang w:eastAsia="es-CR"/>
        </w:rPr>
        <w:t>Comunicado sobre error material en resolución SGS-R-2253-2019</w:t>
      </w:r>
    </w:p>
    <w:p w14:paraId="794FB8C3" w14:textId="77777777" w:rsidR="00A82D57" w:rsidRDefault="00A82D57" w:rsidP="00A82D57">
      <w:pPr>
        <w:pStyle w:val="Prrafodelista"/>
        <w:spacing w:after="0" w:line="240" w:lineRule="auto"/>
        <w:ind w:left="0"/>
        <w:jc w:val="both"/>
        <w:rPr>
          <w:rFonts w:asciiTheme="majorHAnsi" w:eastAsia="Times New Roman" w:hAnsiTheme="majorHAnsi" w:cs="Arial"/>
          <w:bCs/>
          <w:color w:val="000000"/>
          <w:sz w:val="24"/>
          <w:szCs w:val="24"/>
          <w:lang w:eastAsia="es-CR"/>
        </w:rPr>
      </w:pPr>
    </w:p>
    <w:p w14:paraId="2B80FFFD" w14:textId="77777777" w:rsidR="00726D48" w:rsidRPr="00A82D57" w:rsidRDefault="00726D48" w:rsidP="00A82D57">
      <w:pPr>
        <w:pStyle w:val="Prrafodelista"/>
        <w:spacing w:after="0" w:line="240" w:lineRule="auto"/>
        <w:ind w:left="0"/>
        <w:jc w:val="both"/>
        <w:rPr>
          <w:rFonts w:asciiTheme="majorHAnsi" w:eastAsia="Times New Roman" w:hAnsiTheme="majorHAnsi" w:cs="Arial"/>
          <w:bCs/>
          <w:color w:val="000000"/>
          <w:sz w:val="24"/>
          <w:szCs w:val="24"/>
          <w:lang w:eastAsia="es-CR"/>
        </w:rPr>
      </w:pPr>
    </w:p>
    <w:p w14:paraId="02700ECC" w14:textId="77777777" w:rsidR="00A82D57" w:rsidRPr="00726D48" w:rsidRDefault="00A82D57" w:rsidP="00726D48">
      <w:pPr>
        <w:jc w:val="both"/>
        <w:rPr>
          <w:rFonts w:asciiTheme="majorHAnsi" w:hAnsiTheme="majorHAnsi" w:cs="Arial"/>
          <w:bCs/>
          <w:color w:val="000000"/>
          <w:lang w:eastAsia="es-CR"/>
        </w:rPr>
      </w:pPr>
    </w:p>
    <w:p w14:paraId="1FF468A0" w14:textId="20A32BF1" w:rsidR="00A82D57" w:rsidRPr="00A82D57" w:rsidRDefault="00A82D57" w:rsidP="00A82D57">
      <w:pPr>
        <w:jc w:val="both"/>
        <w:rPr>
          <w:rFonts w:asciiTheme="majorHAnsi" w:hAnsiTheme="majorHAnsi" w:cs="Arial"/>
          <w:bCs/>
          <w:color w:val="000000"/>
          <w:lang w:eastAsia="es-CR"/>
        </w:rPr>
      </w:pPr>
      <w:r w:rsidRPr="00A82D57">
        <w:rPr>
          <w:rFonts w:asciiTheme="majorHAnsi" w:hAnsiTheme="majorHAnsi" w:cs="Arial"/>
          <w:bCs/>
          <w:color w:val="000000"/>
          <w:lang w:eastAsia="es-CR"/>
        </w:rPr>
        <w:t xml:space="preserve">El Superintendente General de Seguros, a las </w:t>
      </w:r>
      <w:r w:rsidR="00726D48">
        <w:rPr>
          <w:rFonts w:asciiTheme="majorHAnsi" w:hAnsiTheme="majorHAnsi" w:cs="Arial"/>
          <w:bCs/>
          <w:color w:val="000000"/>
          <w:lang w:eastAsia="es-CR"/>
        </w:rPr>
        <w:t>catorce</w:t>
      </w:r>
      <w:r w:rsidRPr="00A82D57">
        <w:rPr>
          <w:rFonts w:asciiTheme="majorHAnsi" w:hAnsiTheme="majorHAnsi" w:cs="Arial"/>
          <w:bCs/>
          <w:color w:val="000000"/>
          <w:lang w:eastAsia="es-CR"/>
        </w:rPr>
        <w:t xml:space="preserve"> horas y del </w:t>
      </w:r>
      <w:r w:rsidR="00726D48">
        <w:rPr>
          <w:rFonts w:asciiTheme="majorHAnsi" w:hAnsiTheme="majorHAnsi" w:cs="Arial"/>
          <w:bCs/>
          <w:color w:val="000000"/>
          <w:lang w:eastAsia="es-CR"/>
        </w:rPr>
        <w:t>veintitrés</w:t>
      </w:r>
      <w:r w:rsidRPr="00A82D57">
        <w:rPr>
          <w:rFonts w:asciiTheme="majorHAnsi" w:hAnsiTheme="majorHAnsi" w:cs="Arial"/>
          <w:bCs/>
          <w:color w:val="000000"/>
          <w:lang w:eastAsia="es-CR"/>
        </w:rPr>
        <w:t xml:space="preserve"> de setiembre de 2019, considerando que: </w:t>
      </w:r>
    </w:p>
    <w:p w14:paraId="7E5E84A9" w14:textId="77777777" w:rsidR="00A82D57" w:rsidRPr="00A82D57" w:rsidRDefault="00A82D57" w:rsidP="00A82D57">
      <w:pPr>
        <w:jc w:val="both"/>
        <w:rPr>
          <w:rFonts w:asciiTheme="majorHAnsi" w:hAnsiTheme="majorHAnsi" w:cs="Arial"/>
          <w:bCs/>
          <w:color w:val="000000"/>
          <w:lang w:eastAsia="es-CR"/>
        </w:rPr>
      </w:pPr>
    </w:p>
    <w:p w14:paraId="0B1443A1" w14:textId="77777777" w:rsidR="00A82D57" w:rsidRPr="00A82D57" w:rsidRDefault="00A82D57" w:rsidP="00A82D57">
      <w:pPr>
        <w:numPr>
          <w:ilvl w:val="0"/>
          <w:numId w:val="1"/>
        </w:numPr>
        <w:ind w:left="357" w:hanging="357"/>
        <w:jc w:val="both"/>
        <w:rPr>
          <w:rFonts w:asciiTheme="majorHAnsi" w:hAnsiTheme="majorHAnsi"/>
          <w:i/>
        </w:rPr>
      </w:pPr>
      <w:r w:rsidRPr="00A82D57">
        <w:rPr>
          <w:rFonts w:asciiTheme="majorHAnsi" w:hAnsiTheme="majorHAnsi"/>
        </w:rPr>
        <w:t>Mediante resolución SGS-R-2253-2019  de</w:t>
      </w:r>
      <w:r w:rsidRPr="00A82D57">
        <w:rPr>
          <w:rFonts w:asciiTheme="majorHAnsi" w:hAnsiTheme="majorHAnsi" w:cs="Arial"/>
          <w:bCs/>
          <w:color w:val="000000"/>
          <w:lang w:eastAsia="es-CR"/>
        </w:rPr>
        <w:t xml:space="preserve"> las 12 horas y 40 minutos del veintiséis de agosto de 2019,  la Superintendencia informó a las entidades  aseguradoras supervisadas, las cuentas que,  durante el segundo semestre del 2019, debían emplearse para el registro contable derivado de las obligaciones que impone el </w:t>
      </w:r>
      <w:r w:rsidRPr="00A82D57">
        <w:rPr>
          <w:rFonts w:asciiTheme="majorHAnsi" w:hAnsiTheme="majorHAnsi"/>
        </w:rPr>
        <w:t>artículo 40 de la Ley del Benemérito Cuerpo de Bomberos, Ley N° 8228, en relación con  los aportes para el financiamiento del Instituto Nacional de Estadística y Censos (en adelante, INEC).</w:t>
      </w:r>
    </w:p>
    <w:p w14:paraId="23733143" w14:textId="77777777" w:rsidR="00A82D57" w:rsidRPr="00726D48" w:rsidRDefault="00A82D57" w:rsidP="00726D48">
      <w:pPr>
        <w:jc w:val="both"/>
        <w:rPr>
          <w:rFonts w:asciiTheme="majorHAnsi" w:hAnsiTheme="majorHAnsi"/>
        </w:rPr>
      </w:pPr>
    </w:p>
    <w:p w14:paraId="15358C8B" w14:textId="77777777" w:rsidR="00A82D57" w:rsidRPr="00A82D57" w:rsidRDefault="00A82D57" w:rsidP="00A82D57">
      <w:pPr>
        <w:pStyle w:val="Prrafodelista"/>
        <w:numPr>
          <w:ilvl w:val="0"/>
          <w:numId w:val="1"/>
        </w:numPr>
        <w:spacing w:after="0" w:line="240" w:lineRule="auto"/>
        <w:contextualSpacing w:val="0"/>
        <w:jc w:val="both"/>
        <w:rPr>
          <w:rFonts w:asciiTheme="majorHAnsi" w:hAnsiTheme="majorHAnsi"/>
          <w:sz w:val="24"/>
          <w:szCs w:val="24"/>
        </w:rPr>
      </w:pPr>
      <w:r w:rsidRPr="00A82D57">
        <w:rPr>
          <w:rFonts w:asciiTheme="majorHAnsi" w:hAnsiTheme="majorHAnsi"/>
          <w:sz w:val="24"/>
          <w:szCs w:val="24"/>
        </w:rPr>
        <w:t xml:space="preserve">La resolución señalada presenta un  </w:t>
      </w:r>
      <w:r w:rsidRPr="00A82D57">
        <w:rPr>
          <w:rFonts w:asciiTheme="majorHAnsi" w:hAnsiTheme="majorHAnsi"/>
          <w:i/>
          <w:sz w:val="24"/>
          <w:szCs w:val="24"/>
        </w:rPr>
        <w:t>error material</w:t>
      </w:r>
      <w:r w:rsidRPr="00A82D57">
        <w:rPr>
          <w:rFonts w:asciiTheme="majorHAnsi" w:hAnsiTheme="majorHAnsi"/>
          <w:sz w:val="24"/>
          <w:szCs w:val="24"/>
        </w:rPr>
        <w:t xml:space="preserve"> en el título de la quinta columna del cuadro </w:t>
      </w:r>
      <w:r w:rsidRPr="00A82D57">
        <w:rPr>
          <w:rFonts w:asciiTheme="majorHAnsi" w:hAnsiTheme="majorHAnsi"/>
          <w:i/>
          <w:sz w:val="24"/>
          <w:szCs w:val="24"/>
        </w:rPr>
        <w:t xml:space="preserve">Aporte al Instituto Nacional de Estadística y Censos (INEC), </w:t>
      </w:r>
      <w:r w:rsidRPr="00A82D57">
        <w:rPr>
          <w:rFonts w:asciiTheme="majorHAnsi" w:hAnsiTheme="majorHAnsi"/>
          <w:sz w:val="24"/>
          <w:szCs w:val="24"/>
        </w:rPr>
        <w:t xml:space="preserve"> contenido en el punto 3 del comunicado, en el tanto indica: </w:t>
      </w:r>
      <w:r w:rsidRPr="00A82D57">
        <w:rPr>
          <w:rFonts w:asciiTheme="majorHAnsi" w:hAnsiTheme="majorHAnsi"/>
          <w:i/>
          <w:sz w:val="24"/>
          <w:szCs w:val="24"/>
        </w:rPr>
        <w:t>“</w:t>
      </w:r>
      <w:r w:rsidRPr="00A82D57">
        <w:rPr>
          <w:rFonts w:asciiTheme="majorHAnsi" w:hAnsiTheme="majorHAnsi"/>
          <w:i/>
          <w:lang w:eastAsia="es-CR"/>
        </w:rPr>
        <w:t>Monto a pagar en moneda nacional (0,5% * monto primas directas)</w:t>
      </w:r>
      <w:r w:rsidRPr="00A82D57">
        <w:rPr>
          <w:rFonts w:asciiTheme="majorHAnsi" w:hAnsiTheme="majorHAnsi"/>
          <w:vertAlign w:val="superscript"/>
          <w:lang w:eastAsia="es-CR"/>
        </w:rPr>
        <w:t xml:space="preserve"> 5/</w:t>
      </w:r>
      <w:r w:rsidRPr="00A82D57">
        <w:rPr>
          <w:rFonts w:asciiTheme="majorHAnsi" w:hAnsiTheme="majorHAnsi"/>
          <w:sz w:val="24"/>
          <w:szCs w:val="24"/>
        </w:rPr>
        <w:t xml:space="preserve">, cuando lo correcto es que dicho monto a pagar se reporte en  moneda extranjera. Si bien la nota explicativa 5 del cuadro referido deja clara la necesaria equivalencia entre monedas que debe existir entre las primas directas y el monto a pagar, resulta conveniente corregir el error a efecto de evitar confusiones. Por otra parte, la redacción de la nota 5 confunde al indicar que </w:t>
      </w:r>
      <w:r w:rsidRPr="00A82D57">
        <w:rPr>
          <w:rFonts w:asciiTheme="majorHAnsi" w:hAnsiTheme="majorHAnsi"/>
          <w:i/>
          <w:sz w:val="24"/>
          <w:szCs w:val="24"/>
        </w:rPr>
        <w:t>“El monto a pagar se reporta en la misma moneda que utiliza la entidad para cancelarlo al Ministerio de Hacienda.</w:t>
      </w:r>
      <w:r w:rsidRPr="00A82D57">
        <w:rPr>
          <w:rFonts w:asciiTheme="majorHAnsi" w:hAnsiTheme="majorHAnsi"/>
          <w:sz w:val="24"/>
          <w:szCs w:val="24"/>
        </w:rPr>
        <w:t>”, pues el pago es independiente de la forma en que se debe reportar la información</w:t>
      </w:r>
    </w:p>
    <w:p w14:paraId="425D62A0" w14:textId="77777777" w:rsidR="00A82D57" w:rsidRPr="00726D48" w:rsidRDefault="00A82D57" w:rsidP="00726D48">
      <w:pPr>
        <w:rPr>
          <w:rFonts w:asciiTheme="majorHAnsi" w:hAnsiTheme="majorHAnsi"/>
        </w:rPr>
      </w:pPr>
    </w:p>
    <w:p w14:paraId="139D5B76" w14:textId="77777777" w:rsidR="00A82D57" w:rsidRPr="00A82D57" w:rsidRDefault="00A82D57" w:rsidP="00A82D57">
      <w:pPr>
        <w:pStyle w:val="Prrafodelista"/>
        <w:numPr>
          <w:ilvl w:val="0"/>
          <w:numId w:val="1"/>
        </w:numPr>
        <w:spacing w:after="0" w:line="240" w:lineRule="auto"/>
        <w:contextualSpacing w:val="0"/>
        <w:jc w:val="both"/>
        <w:rPr>
          <w:rFonts w:asciiTheme="majorHAnsi" w:hAnsiTheme="majorHAnsi"/>
          <w:sz w:val="24"/>
          <w:szCs w:val="24"/>
        </w:rPr>
      </w:pPr>
      <w:r w:rsidRPr="00A82D57">
        <w:rPr>
          <w:rFonts w:asciiTheme="majorHAnsi" w:hAnsiTheme="majorHAnsi"/>
          <w:sz w:val="24"/>
          <w:szCs w:val="24"/>
        </w:rPr>
        <w:t>Que a partir de la primera entrega, se consideró operativamente adecuado, uniformar el formato del informe que deben remitir las aseguradoras, según lo dispuesto en el  apartado 3 del comunicado en referencia.</w:t>
      </w:r>
    </w:p>
    <w:p w14:paraId="13F18D74" w14:textId="0BDE2197" w:rsidR="00726D48" w:rsidRDefault="00726D48" w:rsidP="00726D48">
      <w:pPr>
        <w:jc w:val="both"/>
        <w:rPr>
          <w:rFonts w:asciiTheme="majorHAnsi" w:hAnsiTheme="majorHAnsi"/>
        </w:rPr>
      </w:pPr>
      <w:r>
        <w:rPr>
          <w:rFonts w:asciiTheme="majorHAnsi" w:hAnsiTheme="majorHAnsi"/>
        </w:rPr>
        <w:br w:type="page"/>
      </w:r>
    </w:p>
    <w:p w14:paraId="3D1678A7" w14:textId="77777777" w:rsidR="00A82D57" w:rsidRPr="00726D48" w:rsidRDefault="00A82D57" w:rsidP="00A82D57">
      <w:pPr>
        <w:jc w:val="center"/>
        <w:rPr>
          <w:rFonts w:asciiTheme="majorHAnsi" w:hAnsiTheme="majorHAnsi"/>
          <w:b/>
          <w:sz w:val="28"/>
          <w:szCs w:val="28"/>
        </w:rPr>
      </w:pPr>
      <w:r w:rsidRPr="00726D48">
        <w:rPr>
          <w:rFonts w:asciiTheme="majorHAnsi" w:hAnsiTheme="majorHAnsi"/>
          <w:b/>
          <w:bCs/>
          <w:sz w:val="28"/>
          <w:szCs w:val="28"/>
        </w:rPr>
        <w:lastRenderedPageBreak/>
        <w:t>Comunica</w:t>
      </w:r>
      <w:r w:rsidRPr="00726D48">
        <w:rPr>
          <w:rFonts w:asciiTheme="majorHAnsi" w:hAnsiTheme="majorHAnsi"/>
          <w:b/>
          <w:sz w:val="28"/>
          <w:szCs w:val="28"/>
        </w:rPr>
        <w:t>:</w:t>
      </w:r>
    </w:p>
    <w:p w14:paraId="221F791C" w14:textId="77777777" w:rsidR="00A82D57" w:rsidRPr="00A82D57" w:rsidRDefault="00A82D57" w:rsidP="00A82D57">
      <w:pPr>
        <w:widowControl w:val="0"/>
        <w:jc w:val="both"/>
        <w:rPr>
          <w:rFonts w:asciiTheme="majorHAnsi" w:hAnsiTheme="majorHAnsi"/>
        </w:rPr>
      </w:pPr>
    </w:p>
    <w:p w14:paraId="2C75E3DE" w14:textId="77777777" w:rsidR="00A82D57" w:rsidRPr="00A82D57" w:rsidRDefault="00A82D57" w:rsidP="00A82D57">
      <w:pPr>
        <w:widowControl w:val="0"/>
        <w:jc w:val="both"/>
        <w:rPr>
          <w:rFonts w:asciiTheme="majorHAnsi" w:hAnsiTheme="majorHAnsi"/>
        </w:rPr>
      </w:pPr>
      <w:r w:rsidRPr="00A82D57">
        <w:rPr>
          <w:rFonts w:asciiTheme="majorHAnsi" w:hAnsiTheme="majorHAnsi"/>
          <w:b/>
        </w:rPr>
        <w:t>PRIMERO:</w:t>
      </w:r>
      <w:r w:rsidRPr="00A82D57">
        <w:rPr>
          <w:rFonts w:asciiTheme="majorHAnsi" w:hAnsiTheme="majorHAnsi"/>
        </w:rPr>
        <w:t xml:space="preserve"> Se modifica el punto 3 de la sección “</w:t>
      </w:r>
      <w:r w:rsidRPr="00A82D57">
        <w:rPr>
          <w:rFonts w:asciiTheme="majorHAnsi" w:hAnsiTheme="majorHAnsi"/>
          <w:i/>
        </w:rPr>
        <w:t>Comunica</w:t>
      </w:r>
      <w:r w:rsidRPr="00A82D57">
        <w:rPr>
          <w:rFonts w:asciiTheme="majorHAnsi" w:hAnsiTheme="majorHAnsi"/>
        </w:rPr>
        <w:t>” de la resolución SGS-R-2253-2019 de</w:t>
      </w:r>
      <w:r w:rsidRPr="00A82D57">
        <w:rPr>
          <w:rFonts w:asciiTheme="majorHAnsi" w:hAnsiTheme="majorHAnsi" w:cs="Arial"/>
          <w:bCs/>
          <w:color w:val="000000"/>
          <w:lang w:eastAsia="es-CR"/>
        </w:rPr>
        <w:t xml:space="preserve"> las 12 horas y 40 minutos del veintiséis de agosto de 2019</w:t>
      </w:r>
      <w:r w:rsidRPr="00A82D57">
        <w:rPr>
          <w:rFonts w:asciiTheme="majorHAnsi" w:hAnsiTheme="majorHAnsi"/>
        </w:rPr>
        <w:t>, para que en adelante se lea así:</w:t>
      </w:r>
    </w:p>
    <w:p w14:paraId="41B37412" w14:textId="77777777" w:rsidR="00A82D57" w:rsidRPr="00A82D57" w:rsidRDefault="00A82D57" w:rsidP="00A82D57">
      <w:pPr>
        <w:widowControl w:val="0"/>
        <w:jc w:val="both"/>
        <w:rPr>
          <w:rFonts w:asciiTheme="majorHAnsi" w:hAnsiTheme="majorHAnsi"/>
        </w:rPr>
      </w:pPr>
    </w:p>
    <w:p w14:paraId="1C78A7C4" w14:textId="77777777" w:rsidR="00A82D57" w:rsidRPr="00A82D57" w:rsidRDefault="00A82D57" w:rsidP="00A82D57">
      <w:pPr>
        <w:pStyle w:val="Prrafodelista"/>
        <w:tabs>
          <w:tab w:val="left" w:pos="1418"/>
        </w:tabs>
        <w:spacing w:after="0" w:line="240" w:lineRule="auto"/>
        <w:ind w:left="624" w:hanging="340"/>
        <w:jc w:val="both"/>
        <w:rPr>
          <w:rFonts w:asciiTheme="majorHAnsi" w:hAnsiTheme="majorHAnsi"/>
          <w:sz w:val="24"/>
          <w:szCs w:val="24"/>
        </w:rPr>
      </w:pPr>
      <w:r w:rsidRPr="00A82D57">
        <w:rPr>
          <w:rFonts w:asciiTheme="majorHAnsi" w:hAnsiTheme="majorHAnsi"/>
          <w:sz w:val="24"/>
          <w:szCs w:val="24"/>
        </w:rPr>
        <w:t xml:space="preserve">“3. Para el segundo semestre de 2019, en los primeros cinco días hábiles de cada mes, las entidades aseguradoras deberán remitir el siguiente informe a la dirección </w:t>
      </w:r>
      <w:hyperlink r:id="rId13" w:history="1">
        <w:r w:rsidRPr="00A82D57">
          <w:rPr>
            <w:rStyle w:val="Hipervnculo"/>
            <w:rFonts w:asciiTheme="majorHAnsi" w:hAnsiTheme="majorHAnsi"/>
            <w:sz w:val="24"/>
            <w:szCs w:val="24"/>
          </w:rPr>
          <w:t>sugese@sugese.fi.cr</w:t>
        </w:r>
      </w:hyperlink>
      <w:r w:rsidRPr="00A82D57">
        <w:rPr>
          <w:rFonts w:asciiTheme="majorHAnsi" w:hAnsiTheme="majorHAnsi"/>
          <w:sz w:val="24"/>
          <w:szCs w:val="24"/>
        </w:rPr>
        <w:t xml:space="preserve">, en formato de Excel, firmado mediante certificado digital por el representante legal y el contador de la entidad.  </w:t>
      </w:r>
    </w:p>
    <w:p w14:paraId="5BC8B9C8" w14:textId="77777777" w:rsidR="00A82D57" w:rsidRPr="00A82D57" w:rsidRDefault="00A82D57" w:rsidP="00726D48">
      <w:pPr>
        <w:rPr>
          <w:rFonts w:asciiTheme="majorHAnsi" w:hAnsiTheme="majorHAnsi"/>
          <w:b/>
        </w:rPr>
      </w:pPr>
    </w:p>
    <w:p w14:paraId="3E8C149C" w14:textId="77777777" w:rsidR="00A82D57" w:rsidRPr="00A82D57" w:rsidRDefault="00A82D57" w:rsidP="00A82D57">
      <w:pPr>
        <w:jc w:val="center"/>
        <w:rPr>
          <w:rFonts w:asciiTheme="majorHAnsi" w:hAnsiTheme="majorHAnsi"/>
          <w:b/>
        </w:rPr>
      </w:pPr>
      <w:r w:rsidRPr="00A82D57">
        <w:rPr>
          <w:rFonts w:asciiTheme="majorHAnsi" w:hAnsiTheme="majorHAnsi"/>
          <w:b/>
        </w:rPr>
        <w:t>Aporte al Instituto Nacional de Estadística y Censos (INEC)</w:t>
      </w:r>
    </w:p>
    <w:p w14:paraId="1EFF6E2E" w14:textId="77777777" w:rsidR="00A82D57" w:rsidRPr="00A82D57" w:rsidRDefault="00A82D57" w:rsidP="00A82D57">
      <w:pPr>
        <w:jc w:val="center"/>
        <w:rPr>
          <w:rFonts w:asciiTheme="majorHAnsi" w:hAnsiTheme="majorHAnsi"/>
          <w:b/>
        </w:rPr>
      </w:pPr>
      <w:r w:rsidRPr="00A82D57">
        <w:rPr>
          <w:rFonts w:asciiTheme="majorHAnsi" w:hAnsiTheme="majorHAnsi"/>
          <w:b/>
        </w:rPr>
        <w:t>Código de la Entidad</w:t>
      </w:r>
      <w:r w:rsidRPr="00A82D57">
        <w:rPr>
          <w:rFonts w:asciiTheme="majorHAnsi" w:hAnsiTheme="majorHAnsi"/>
          <w:b/>
          <w:vertAlign w:val="superscript"/>
        </w:rPr>
        <w:t>1/</w:t>
      </w:r>
    </w:p>
    <w:p w14:paraId="48329574" w14:textId="77777777" w:rsidR="00A82D57" w:rsidRPr="00A82D57" w:rsidRDefault="00A82D57" w:rsidP="00A82D57">
      <w:pPr>
        <w:jc w:val="center"/>
        <w:rPr>
          <w:rFonts w:asciiTheme="majorHAnsi" w:hAnsiTheme="majorHAnsi"/>
          <w:b/>
        </w:rPr>
      </w:pPr>
      <w:r w:rsidRPr="00A82D57">
        <w:rPr>
          <w:rFonts w:asciiTheme="majorHAnsi" w:hAnsiTheme="majorHAnsi"/>
          <w:b/>
        </w:rPr>
        <w:t>Al __ de __ de ____</w:t>
      </w:r>
      <w:r w:rsidRPr="00A82D57">
        <w:rPr>
          <w:rFonts w:asciiTheme="majorHAnsi" w:hAnsiTheme="majorHAnsi"/>
          <w:b/>
          <w:vertAlign w:val="superscript"/>
        </w:rPr>
        <w:t>2/</w:t>
      </w:r>
    </w:p>
    <w:tbl>
      <w:tblPr>
        <w:tblW w:w="9526" w:type="dxa"/>
        <w:jc w:val="center"/>
        <w:tblCellMar>
          <w:left w:w="70" w:type="dxa"/>
          <w:right w:w="70" w:type="dxa"/>
        </w:tblCellMar>
        <w:tblLook w:val="04A0" w:firstRow="1" w:lastRow="0" w:firstColumn="1" w:lastColumn="0" w:noHBand="0" w:noVBand="1"/>
      </w:tblPr>
      <w:tblGrid>
        <w:gridCol w:w="2830"/>
        <w:gridCol w:w="1559"/>
        <w:gridCol w:w="1701"/>
        <w:gridCol w:w="1559"/>
        <w:gridCol w:w="1877"/>
      </w:tblGrid>
      <w:tr w:rsidR="00A82D57" w:rsidRPr="00A82D57" w14:paraId="0E16B9EB" w14:textId="77777777" w:rsidTr="00726D48">
        <w:trPr>
          <w:trHeight w:val="465"/>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9C6C90" w14:textId="77777777" w:rsidR="00A82D57" w:rsidRPr="00A82D57" w:rsidRDefault="00A82D57" w:rsidP="009F509D">
            <w:pPr>
              <w:jc w:val="center"/>
              <w:rPr>
                <w:rFonts w:asciiTheme="majorHAnsi" w:hAnsiTheme="majorHAnsi"/>
                <w:sz w:val="20"/>
                <w:szCs w:val="20"/>
                <w:lang w:eastAsia="es-CR"/>
              </w:rPr>
            </w:pPr>
            <w:bookmarkStart w:id="1" w:name="RANGE!A1:C55"/>
            <w:r w:rsidRPr="00A82D57">
              <w:rPr>
                <w:rFonts w:asciiTheme="majorHAnsi" w:hAnsiTheme="majorHAnsi"/>
                <w:sz w:val="20"/>
                <w:szCs w:val="20"/>
                <w:lang w:eastAsia="es-CR"/>
              </w:rPr>
              <w:t>Ramo</w:t>
            </w:r>
            <w:r w:rsidRPr="00A82D57">
              <w:rPr>
                <w:rFonts w:asciiTheme="majorHAnsi" w:hAnsiTheme="majorHAnsi"/>
                <w:sz w:val="20"/>
                <w:szCs w:val="20"/>
                <w:vertAlign w:val="superscript"/>
                <w:lang w:eastAsia="es-CR"/>
              </w:rPr>
              <w:t>3/</w:t>
            </w:r>
            <w:bookmarkEnd w:id="1"/>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FDBFF5" w14:textId="77777777" w:rsidR="00A82D57" w:rsidRPr="00A82D57" w:rsidRDefault="00A82D57" w:rsidP="009F509D">
            <w:pPr>
              <w:jc w:val="center"/>
              <w:rPr>
                <w:rFonts w:asciiTheme="majorHAnsi" w:hAnsiTheme="majorHAnsi"/>
                <w:sz w:val="20"/>
                <w:szCs w:val="20"/>
                <w:lang w:eastAsia="es-CR"/>
              </w:rPr>
            </w:pPr>
            <w:r w:rsidRPr="00A82D57">
              <w:rPr>
                <w:rFonts w:asciiTheme="majorHAnsi" w:hAnsiTheme="majorHAnsi"/>
                <w:sz w:val="20"/>
                <w:szCs w:val="20"/>
                <w:lang w:eastAsia="es-CR"/>
              </w:rPr>
              <w:t>Monto Primas Directas en Moneda Nacional</w:t>
            </w:r>
            <w:r w:rsidRPr="00A82D57">
              <w:rPr>
                <w:rFonts w:asciiTheme="majorHAnsi" w:hAnsiTheme="majorHAnsi"/>
                <w:sz w:val="20"/>
                <w:szCs w:val="20"/>
                <w:vertAlign w:val="superscript"/>
                <w:lang w:eastAsia="es-CR"/>
              </w:rPr>
              <w:t>4/</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B9E634" w14:textId="77777777" w:rsidR="00A82D57" w:rsidRPr="00A82D57" w:rsidRDefault="00A82D57" w:rsidP="009F509D">
            <w:pPr>
              <w:jc w:val="center"/>
              <w:rPr>
                <w:rFonts w:asciiTheme="majorHAnsi" w:hAnsiTheme="majorHAnsi"/>
                <w:sz w:val="20"/>
                <w:szCs w:val="20"/>
                <w:lang w:eastAsia="es-CR"/>
              </w:rPr>
            </w:pPr>
            <w:r w:rsidRPr="00A82D57">
              <w:rPr>
                <w:rFonts w:asciiTheme="majorHAnsi" w:hAnsiTheme="majorHAnsi"/>
                <w:sz w:val="20"/>
                <w:szCs w:val="20"/>
                <w:lang w:eastAsia="es-CR"/>
              </w:rPr>
              <w:t>Monto a pagar en moneda nacional (0,5% * monto primas directas)</w:t>
            </w:r>
            <w:r w:rsidRPr="00A82D57">
              <w:rPr>
                <w:rFonts w:asciiTheme="majorHAnsi" w:hAnsiTheme="majorHAnsi"/>
                <w:sz w:val="20"/>
                <w:szCs w:val="20"/>
                <w:vertAlign w:val="superscript"/>
                <w:lang w:eastAsia="es-CR"/>
              </w:rPr>
              <w:t>5/</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C14EAD" w14:textId="77777777" w:rsidR="00A82D57" w:rsidRPr="00A82D57" w:rsidRDefault="00A82D57" w:rsidP="009F509D">
            <w:pPr>
              <w:jc w:val="center"/>
              <w:rPr>
                <w:rFonts w:asciiTheme="majorHAnsi" w:hAnsiTheme="majorHAnsi"/>
                <w:sz w:val="20"/>
                <w:szCs w:val="20"/>
                <w:lang w:eastAsia="es-CR"/>
              </w:rPr>
            </w:pPr>
            <w:r w:rsidRPr="00A82D57">
              <w:rPr>
                <w:rFonts w:asciiTheme="majorHAnsi" w:hAnsiTheme="majorHAnsi"/>
                <w:sz w:val="20"/>
                <w:szCs w:val="20"/>
                <w:lang w:eastAsia="es-CR"/>
              </w:rPr>
              <w:t>Monto Primas Directas en Moneda Extranjera</w:t>
            </w:r>
            <w:r w:rsidRPr="00A82D57">
              <w:rPr>
                <w:rFonts w:asciiTheme="majorHAnsi" w:hAnsiTheme="majorHAnsi"/>
                <w:sz w:val="20"/>
                <w:szCs w:val="20"/>
                <w:vertAlign w:val="superscript"/>
                <w:lang w:eastAsia="es-CR"/>
              </w:rPr>
              <w:t>4/</w:t>
            </w:r>
          </w:p>
        </w:tc>
        <w:tc>
          <w:tcPr>
            <w:tcW w:w="18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F4315F" w14:textId="77777777" w:rsidR="00A82D57" w:rsidRPr="00A82D57" w:rsidRDefault="00A82D57" w:rsidP="009F509D">
            <w:pPr>
              <w:jc w:val="center"/>
              <w:rPr>
                <w:rFonts w:asciiTheme="majorHAnsi" w:hAnsiTheme="majorHAnsi"/>
                <w:sz w:val="20"/>
                <w:szCs w:val="20"/>
                <w:lang w:eastAsia="es-CR"/>
              </w:rPr>
            </w:pPr>
            <w:r w:rsidRPr="00A82D57">
              <w:rPr>
                <w:rFonts w:asciiTheme="majorHAnsi" w:hAnsiTheme="majorHAnsi"/>
                <w:sz w:val="20"/>
                <w:szCs w:val="20"/>
                <w:lang w:eastAsia="es-CR"/>
              </w:rPr>
              <w:t>Monto a pagar en moneda extranjera (0,5% * monto primas directas)</w:t>
            </w:r>
            <w:r w:rsidRPr="00A82D57">
              <w:rPr>
                <w:rFonts w:asciiTheme="majorHAnsi" w:hAnsiTheme="majorHAnsi"/>
                <w:sz w:val="20"/>
                <w:szCs w:val="20"/>
                <w:vertAlign w:val="superscript"/>
                <w:lang w:eastAsia="es-CR"/>
              </w:rPr>
              <w:t>5/</w:t>
            </w:r>
          </w:p>
        </w:tc>
      </w:tr>
      <w:tr w:rsidR="00A82D57" w:rsidRPr="00A82D57" w14:paraId="09009063" w14:textId="77777777" w:rsidTr="009F509D">
        <w:trPr>
          <w:trHeight w:val="315"/>
          <w:jc w:val="center"/>
        </w:trPr>
        <w:tc>
          <w:tcPr>
            <w:tcW w:w="2830" w:type="dxa"/>
            <w:tcBorders>
              <w:top w:val="single" w:sz="4" w:space="0" w:color="auto"/>
              <w:left w:val="single" w:sz="8" w:space="0" w:color="1F497D"/>
              <w:bottom w:val="single" w:sz="8" w:space="0" w:color="1F497D"/>
              <w:right w:val="single" w:sz="8" w:space="0" w:color="1F497D"/>
            </w:tcBorders>
            <w:shd w:val="clear" w:color="auto" w:fill="auto"/>
            <w:noWrap/>
            <w:vAlign w:val="bottom"/>
          </w:tcPr>
          <w:p w14:paraId="18E72CE3"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Automóvil</w:t>
            </w:r>
          </w:p>
        </w:tc>
        <w:tc>
          <w:tcPr>
            <w:tcW w:w="1559" w:type="dxa"/>
            <w:tcBorders>
              <w:top w:val="single" w:sz="4" w:space="0" w:color="auto"/>
              <w:left w:val="nil"/>
              <w:bottom w:val="single" w:sz="8" w:space="0" w:color="1F497D"/>
              <w:right w:val="single" w:sz="8" w:space="0" w:color="1F497D"/>
            </w:tcBorders>
            <w:shd w:val="clear" w:color="auto" w:fill="auto"/>
            <w:noWrap/>
            <w:vAlign w:val="bottom"/>
          </w:tcPr>
          <w:p w14:paraId="77B1C300" w14:textId="77777777" w:rsidR="00A82D57" w:rsidRPr="00A82D57" w:rsidRDefault="00A82D57" w:rsidP="009F509D">
            <w:pPr>
              <w:rPr>
                <w:rFonts w:asciiTheme="majorHAnsi" w:hAnsiTheme="majorHAnsi"/>
                <w:sz w:val="20"/>
                <w:szCs w:val="20"/>
                <w:lang w:eastAsia="es-CR"/>
              </w:rPr>
            </w:pPr>
          </w:p>
        </w:tc>
        <w:tc>
          <w:tcPr>
            <w:tcW w:w="1701" w:type="dxa"/>
            <w:tcBorders>
              <w:top w:val="single" w:sz="4" w:space="0" w:color="auto"/>
              <w:left w:val="nil"/>
              <w:bottom w:val="single" w:sz="8" w:space="0" w:color="1F497D"/>
              <w:right w:val="single" w:sz="8" w:space="0" w:color="1F497D"/>
            </w:tcBorders>
            <w:shd w:val="clear" w:color="auto" w:fill="auto"/>
            <w:noWrap/>
            <w:vAlign w:val="bottom"/>
          </w:tcPr>
          <w:p w14:paraId="7992BC3A" w14:textId="77777777" w:rsidR="00A82D57" w:rsidRPr="00A82D57" w:rsidRDefault="00A82D57" w:rsidP="009F509D">
            <w:pPr>
              <w:rPr>
                <w:rFonts w:asciiTheme="majorHAnsi" w:hAnsiTheme="majorHAnsi"/>
                <w:sz w:val="20"/>
                <w:szCs w:val="20"/>
                <w:lang w:eastAsia="es-CR"/>
              </w:rPr>
            </w:pPr>
          </w:p>
        </w:tc>
        <w:tc>
          <w:tcPr>
            <w:tcW w:w="1559" w:type="dxa"/>
            <w:tcBorders>
              <w:top w:val="single" w:sz="4" w:space="0" w:color="auto"/>
              <w:left w:val="nil"/>
              <w:bottom w:val="single" w:sz="8" w:space="0" w:color="1F497D"/>
              <w:right w:val="single" w:sz="8" w:space="0" w:color="1F497D"/>
            </w:tcBorders>
          </w:tcPr>
          <w:p w14:paraId="0D4BE633" w14:textId="77777777" w:rsidR="00A82D57" w:rsidRPr="00A82D57" w:rsidRDefault="00A82D57" w:rsidP="009F509D">
            <w:pPr>
              <w:rPr>
                <w:rFonts w:asciiTheme="majorHAnsi" w:hAnsiTheme="majorHAnsi"/>
                <w:sz w:val="20"/>
                <w:szCs w:val="20"/>
                <w:lang w:eastAsia="es-CR"/>
              </w:rPr>
            </w:pPr>
          </w:p>
        </w:tc>
        <w:tc>
          <w:tcPr>
            <w:tcW w:w="1877" w:type="dxa"/>
            <w:tcBorders>
              <w:top w:val="single" w:sz="4" w:space="0" w:color="auto"/>
              <w:left w:val="nil"/>
              <w:bottom w:val="single" w:sz="8" w:space="0" w:color="1F497D"/>
              <w:right w:val="single" w:sz="8" w:space="0" w:color="1F497D"/>
            </w:tcBorders>
          </w:tcPr>
          <w:p w14:paraId="33CAE003" w14:textId="77777777" w:rsidR="00A82D57" w:rsidRPr="00A82D57" w:rsidRDefault="00A82D57" w:rsidP="009F509D">
            <w:pPr>
              <w:rPr>
                <w:rFonts w:asciiTheme="majorHAnsi" w:hAnsiTheme="majorHAnsi"/>
                <w:sz w:val="20"/>
                <w:szCs w:val="20"/>
                <w:lang w:eastAsia="es-CR"/>
              </w:rPr>
            </w:pPr>
          </w:p>
        </w:tc>
      </w:tr>
      <w:tr w:rsidR="00A82D57" w:rsidRPr="00A82D57" w14:paraId="596FBA87"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75AFC967"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Vehículos Marítimos</w:t>
            </w:r>
          </w:p>
        </w:tc>
        <w:tc>
          <w:tcPr>
            <w:tcW w:w="1559" w:type="dxa"/>
            <w:tcBorders>
              <w:top w:val="nil"/>
              <w:left w:val="nil"/>
              <w:bottom w:val="single" w:sz="8" w:space="0" w:color="1F497D"/>
              <w:right w:val="single" w:sz="8" w:space="0" w:color="1F497D"/>
            </w:tcBorders>
            <w:shd w:val="clear" w:color="auto" w:fill="auto"/>
            <w:noWrap/>
            <w:vAlign w:val="bottom"/>
          </w:tcPr>
          <w:p w14:paraId="73CE7165" w14:textId="77777777" w:rsidR="00A82D57" w:rsidRPr="00A82D57" w:rsidRDefault="00A82D57" w:rsidP="009F509D">
            <w:pPr>
              <w:rPr>
                <w:rFonts w:asciiTheme="majorHAnsi" w:hAnsiTheme="majorHAnsi"/>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1E12EFE"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46D4B77D"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699021DB" w14:textId="77777777" w:rsidR="00A82D57" w:rsidRPr="00A82D57" w:rsidRDefault="00A82D57" w:rsidP="009F509D">
            <w:pPr>
              <w:rPr>
                <w:rFonts w:asciiTheme="majorHAnsi" w:hAnsiTheme="majorHAnsi"/>
                <w:sz w:val="20"/>
                <w:szCs w:val="20"/>
                <w:lang w:eastAsia="es-CR"/>
              </w:rPr>
            </w:pPr>
          </w:p>
        </w:tc>
      </w:tr>
      <w:tr w:rsidR="00A82D57" w:rsidRPr="00A82D57" w14:paraId="3F291697"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2E53C36E"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Aviación</w:t>
            </w:r>
          </w:p>
        </w:tc>
        <w:tc>
          <w:tcPr>
            <w:tcW w:w="1559" w:type="dxa"/>
            <w:tcBorders>
              <w:top w:val="nil"/>
              <w:left w:val="nil"/>
              <w:bottom w:val="single" w:sz="8" w:space="0" w:color="1F497D"/>
              <w:right w:val="single" w:sz="8" w:space="0" w:color="1F497D"/>
            </w:tcBorders>
            <w:shd w:val="clear" w:color="auto" w:fill="auto"/>
            <w:noWrap/>
            <w:vAlign w:val="bottom"/>
          </w:tcPr>
          <w:p w14:paraId="5E7D2C80" w14:textId="77777777" w:rsidR="00A82D57" w:rsidRPr="00A82D57" w:rsidRDefault="00A82D57" w:rsidP="009F509D">
            <w:pPr>
              <w:rPr>
                <w:rFonts w:asciiTheme="majorHAnsi" w:hAnsiTheme="majorHAnsi"/>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32106AA"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25096B45"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756502CB" w14:textId="77777777" w:rsidR="00A82D57" w:rsidRPr="00A82D57" w:rsidRDefault="00A82D57" w:rsidP="009F509D">
            <w:pPr>
              <w:rPr>
                <w:rFonts w:asciiTheme="majorHAnsi" w:hAnsiTheme="majorHAnsi"/>
                <w:sz w:val="20"/>
                <w:szCs w:val="20"/>
                <w:lang w:eastAsia="es-CR"/>
              </w:rPr>
            </w:pPr>
          </w:p>
        </w:tc>
      </w:tr>
      <w:tr w:rsidR="00A82D57" w:rsidRPr="00A82D57" w14:paraId="221AD334"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2654679D"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Vehículos ferroviarios</w:t>
            </w:r>
          </w:p>
        </w:tc>
        <w:tc>
          <w:tcPr>
            <w:tcW w:w="1559" w:type="dxa"/>
            <w:tcBorders>
              <w:top w:val="nil"/>
              <w:left w:val="nil"/>
              <w:bottom w:val="single" w:sz="8" w:space="0" w:color="1F497D"/>
              <w:right w:val="single" w:sz="8" w:space="0" w:color="1F497D"/>
            </w:tcBorders>
            <w:shd w:val="clear" w:color="auto" w:fill="auto"/>
            <w:noWrap/>
            <w:vAlign w:val="bottom"/>
          </w:tcPr>
          <w:p w14:paraId="0F17B3D3" w14:textId="77777777" w:rsidR="00A82D57" w:rsidRPr="00A82D57" w:rsidRDefault="00A82D57" w:rsidP="009F509D">
            <w:pPr>
              <w:rPr>
                <w:rFonts w:asciiTheme="majorHAnsi" w:hAnsiTheme="majorHAnsi"/>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1B5A6B90"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76DD38D8"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1FDAA5E4" w14:textId="77777777" w:rsidR="00A82D57" w:rsidRPr="00A82D57" w:rsidRDefault="00A82D57" w:rsidP="009F509D">
            <w:pPr>
              <w:rPr>
                <w:rFonts w:asciiTheme="majorHAnsi" w:hAnsiTheme="majorHAnsi"/>
                <w:sz w:val="20"/>
                <w:szCs w:val="20"/>
                <w:lang w:eastAsia="es-CR"/>
              </w:rPr>
            </w:pPr>
          </w:p>
        </w:tc>
      </w:tr>
      <w:tr w:rsidR="00A82D57" w:rsidRPr="00A82D57" w14:paraId="163068FE"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7A252E48"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Mercancías Transportadas</w:t>
            </w:r>
          </w:p>
        </w:tc>
        <w:tc>
          <w:tcPr>
            <w:tcW w:w="1559" w:type="dxa"/>
            <w:tcBorders>
              <w:top w:val="nil"/>
              <w:left w:val="nil"/>
              <w:bottom w:val="single" w:sz="8" w:space="0" w:color="1F497D"/>
              <w:right w:val="single" w:sz="8" w:space="0" w:color="1F497D"/>
            </w:tcBorders>
            <w:shd w:val="clear" w:color="auto" w:fill="auto"/>
            <w:noWrap/>
            <w:vAlign w:val="bottom"/>
          </w:tcPr>
          <w:p w14:paraId="7F6D696D" w14:textId="77777777" w:rsidR="00A82D57" w:rsidRPr="00A82D57" w:rsidRDefault="00A82D57" w:rsidP="009F509D">
            <w:pPr>
              <w:rPr>
                <w:rFonts w:asciiTheme="majorHAnsi" w:hAnsiTheme="majorHAnsi"/>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237282BF"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7B0E8E82"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787E091C" w14:textId="77777777" w:rsidR="00A82D57" w:rsidRPr="00A82D57" w:rsidRDefault="00A82D57" w:rsidP="009F509D">
            <w:pPr>
              <w:rPr>
                <w:rFonts w:asciiTheme="majorHAnsi" w:hAnsiTheme="majorHAnsi"/>
                <w:sz w:val="20"/>
                <w:szCs w:val="20"/>
                <w:lang w:eastAsia="es-CR"/>
              </w:rPr>
            </w:pPr>
          </w:p>
        </w:tc>
      </w:tr>
      <w:tr w:rsidR="00A82D57" w:rsidRPr="00A82D57" w14:paraId="3542D5DF"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5A388873"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Incendio y líneas aliadas</w:t>
            </w:r>
          </w:p>
        </w:tc>
        <w:tc>
          <w:tcPr>
            <w:tcW w:w="1559" w:type="dxa"/>
            <w:tcBorders>
              <w:top w:val="nil"/>
              <w:left w:val="nil"/>
              <w:bottom w:val="single" w:sz="8" w:space="0" w:color="1F497D"/>
              <w:right w:val="single" w:sz="8" w:space="0" w:color="1F497D"/>
            </w:tcBorders>
            <w:shd w:val="clear" w:color="auto" w:fill="auto"/>
            <w:noWrap/>
            <w:vAlign w:val="bottom"/>
          </w:tcPr>
          <w:p w14:paraId="45D79C1D"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B8CD36E"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64982D6D"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3D13A236" w14:textId="77777777" w:rsidR="00A82D57" w:rsidRPr="00A82D57" w:rsidRDefault="00A82D57" w:rsidP="009F509D">
            <w:pPr>
              <w:rPr>
                <w:rFonts w:asciiTheme="majorHAnsi" w:hAnsiTheme="majorHAnsi"/>
                <w:sz w:val="20"/>
                <w:szCs w:val="20"/>
                <w:lang w:eastAsia="es-CR"/>
              </w:rPr>
            </w:pPr>
          </w:p>
        </w:tc>
      </w:tr>
      <w:tr w:rsidR="00A82D57" w:rsidRPr="00A82D57" w14:paraId="56FBB608"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6013A733"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Otros daños a los bienes</w:t>
            </w:r>
          </w:p>
        </w:tc>
        <w:tc>
          <w:tcPr>
            <w:tcW w:w="1559" w:type="dxa"/>
            <w:tcBorders>
              <w:top w:val="nil"/>
              <w:left w:val="nil"/>
              <w:bottom w:val="single" w:sz="8" w:space="0" w:color="1F497D"/>
              <w:right w:val="single" w:sz="8" w:space="0" w:color="1F497D"/>
            </w:tcBorders>
            <w:shd w:val="clear" w:color="auto" w:fill="auto"/>
            <w:noWrap/>
            <w:vAlign w:val="bottom"/>
          </w:tcPr>
          <w:p w14:paraId="6D022B89"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74D2913"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362D6C95"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07AB7031" w14:textId="77777777" w:rsidR="00A82D57" w:rsidRPr="00A82D57" w:rsidRDefault="00A82D57" w:rsidP="009F509D">
            <w:pPr>
              <w:rPr>
                <w:rFonts w:asciiTheme="majorHAnsi" w:hAnsiTheme="majorHAnsi"/>
                <w:sz w:val="20"/>
                <w:szCs w:val="20"/>
                <w:lang w:eastAsia="es-CR"/>
              </w:rPr>
            </w:pPr>
          </w:p>
        </w:tc>
      </w:tr>
      <w:tr w:rsidR="00A82D57" w:rsidRPr="00A82D57" w14:paraId="47582B05"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11832D85"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Responsabilidad Civil</w:t>
            </w:r>
          </w:p>
        </w:tc>
        <w:tc>
          <w:tcPr>
            <w:tcW w:w="1559" w:type="dxa"/>
            <w:tcBorders>
              <w:top w:val="nil"/>
              <w:left w:val="nil"/>
              <w:bottom w:val="single" w:sz="8" w:space="0" w:color="1F497D"/>
              <w:right w:val="single" w:sz="8" w:space="0" w:color="1F497D"/>
            </w:tcBorders>
            <w:shd w:val="clear" w:color="auto" w:fill="auto"/>
            <w:noWrap/>
            <w:vAlign w:val="bottom"/>
          </w:tcPr>
          <w:p w14:paraId="70760E45"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C0E6DCA"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5096E0FB"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4741EE1A" w14:textId="77777777" w:rsidR="00A82D57" w:rsidRPr="00A82D57" w:rsidRDefault="00A82D57" w:rsidP="009F509D">
            <w:pPr>
              <w:rPr>
                <w:rFonts w:asciiTheme="majorHAnsi" w:hAnsiTheme="majorHAnsi"/>
                <w:sz w:val="20"/>
                <w:szCs w:val="20"/>
                <w:lang w:eastAsia="es-CR"/>
              </w:rPr>
            </w:pPr>
          </w:p>
        </w:tc>
      </w:tr>
      <w:tr w:rsidR="00A82D57" w:rsidRPr="00A82D57" w14:paraId="4B8DB74A"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1C7734E9"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Crédito</w:t>
            </w:r>
          </w:p>
        </w:tc>
        <w:tc>
          <w:tcPr>
            <w:tcW w:w="1559" w:type="dxa"/>
            <w:tcBorders>
              <w:top w:val="nil"/>
              <w:left w:val="nil"/>
              <w:bottom w:val="single" w:sz="8" w:space="0" w:color="1F497D"/>
              <w:right w:val="single" w:sz="8" w:space="0" w:color="1F497D"/>
            </w:tcBorders>
            <w:shd w:val="clear" w:color="auto" w:fill="auto"/>
            <w:noWrap/>
            <w:vAlign w:val="bottom"/>
          </w:tcPr>
          <w:p w14:paraId="24359D2C"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7DB623F"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7654ECBD"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330B1768" w14:textId="77777777" w:rsidR="00A82D57" w:rsidRPr="00A82D57" w:rsidRDefault="00A82D57" w:rsidP="009F509D">
            <w:pPr>
              <w:rPr>
                <w:rFonts w:asciiTheme="majorHAnsi" w:hAnsiTheme="majorHAnsi"/>
                <w:sz w:val="20"/>
                <w:szCs w:val="20"/>
                <w:lang w:eastAsia="es-CR"/>
              </w:rPr>
            </w:pPr>
          </w:p>
        </w:tc>
      </w:tr>
      <w:tr w:rsidR="00A82D57" w:rsidRPr="00A82D57" w14:paraId="0B8B2DB5"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16BD68CD"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Caución</w:t>
            </w:r>
          </w:p>
        </w:tc>
        <w:tc>
          <w:tcPr>
            <w:tcW w:w="1559" w:type="dxa"/>
            <w:tcBorders>
              <w:top w:val="nil"/>
              <w:left w:val="nil"/>
              <w:bottom w:val="single" w:sz="8" w:space="0" w:color="1F497D"/>
              <w:right w:val="single" w:sz="8" w:space="0" w:color="1F497D"/>
            </w:tcBorders>
            <w:shd w:val="clear" w:color="auto" w:fill="auto"/>
            <w:noWrap/>
            <w:vAlign w:val="bottom"/>
          </w:tcPr>
          <w:p w14:paraId="7B6A4EEB"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8629465"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38E3A675"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1075A016" w14:textId="77777777" w:rsidR="00A82D57" w:rsidRPr="00A82D57" w:rsidRDefault="00A82D57" w:rsidP="009F509D">
            <w:pPr>
              <w:rPr>
                <w:rFonts w:asciiTheme="majorHAnsi" w:hAnsiTheme="majorHAnsi"/>
                <w:sz w:val="20"/>
                <w:szCs w:val="20"/>
                <w:lang w:eastAsia="es-CR"/>
              </w:rPr>
            </w:pPr>
          </w:p>
        </w:tc>
      </w:tr>
      <w:tr w:rsidR="00A82D57" w:rsidRPr="00A82D57" w14:paraId="2C058884"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756537B1"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Pérdidas pecuniarias</w:t>
            </w:r>
          </w:p>
        </w:tc>
        <w:tc>
          <w:tcPr>
            <w:tcW w:w="1559" w:type="dxa"/>
            <w:tcBorders>
              <w:top w:val="nil"/>
              <w:left w:val="nil"/>
              <w:bottom w:val="single" w:sz="8" w:space="0" w:color="1F497D"/>
              <w:right w:val="single" w:sz="8" w:space="0" w:color="1F497D"/>
            </w:tcBorders>
            <w:shd w:val="clear" w:color="auto" w:fill="auto"/>
            <w:noWrap/>
            <w:vAlign w:val="bottom"/>
          </w:tcPr>
          <w:p w14:paraId="47167152"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43061F8B"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5CF4FFA5"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3E004937" w14:textId="77777777" w:rsidR="00A82D57" w:rsidRPr="00A82D57" w:rsidRDefault="00A82D57" w:rsidP="009F509D">
            <w:pPr>
              <w:rPr>
                <w:rFonts w:asciiTheme="majorHAnsi" w:hAnsiTheme="majorHAnsi"/>
                <w:sz w:val="20"/>
                <w:szCs w:val="20"/>
                <w:lang w:eastAsia="es-CR"/>
              </w:rPr>
            </w:pPr>
          </w:p>
        </w:tc>
      </w:tr>
      <w:tr w:rsidR="00A82D57" w:rsidRPr="00A82D57" w14:paraId="14852F4E"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6B52F902"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Agrícolas y pecuarios</w:t>
            </w:r>
          </w:p>
        </w:tc>
        <w:tc>
          <w:tcPr>
            <w:tcW w:w="1559" w:type="dxa"/>
            <w:tcBorders>
              <w:top w:val="nil"/>
              <w:left w:val="nil"/>
              <w:bottom w:val="single" w:sz="8" w:space="0" w:color="1F497D"/>
              <w:right w:val="single" w:sz="8" w:space="0" w:color="1F497D"/>
            </w:tcBorders>
            <w:shd w:val="clear" w:color="auto" w:fill="auto"/>
            <w:noWrap/>
            <w:vAlign w:val="bottom"/>
          </w:tcPr>
          <w:p w14:paraId="69279F62"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01A74E7"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020396E4"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5EC05B8E" w14:textId="77777777" w:rsidR="00A82D57" w:rsidRPr="00A82D57" w:rsidRDefault="00A82D57" w:rsidP="009F509D">
            <w:pPr>
              <w:rPr>
                <w:rFonts w:asciiTheme="majorHAnsi" w:hAnsiTheme="majorHAnsi"/>
                <w:sz w:val="20"/>
                <w:szCs w:val="20"/>
                <w:lang w:eastAsia="es-CR"/>
              </w:rPr>
            </w:pPr>
          </w:p>
        </w:tc>
      </w:tr>
      <w:tr w:rsidR="00A82D57" w:rsidRPr="00A82D57" w14:paraId="05394CDB"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54749036"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Defensa Jurídica</w:t>
            </w:r>
          </w:p>
        </w:tc>
        <w:tc>
          <w:tcPr>
            <w:tcW w:w="1559" w:type="dxa"/>
            <w:tcBorders>
              <w:top w:val="nil"/>
              <w:left w:val="nil"/>
              <w:bottom w:val="single" w:sz="8" w:space="0" w:color="1F497D"/>
              <w:right w:val="single" w:sz="8" w:space="0" w:color="1F497D"/>
            </w:tcBorders>
            <w:shd w:val="clear" w:color="auto" w:fill="auto"/>
            <w:noWrap/>
            <w:vAlign w:val="bottom"/>
          </w:tcPr>
          <w:p w14:paraId="16CD4F65"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D6B9F1F"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04C44268"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78343099" w14:textId="77777777" w:rsidR="00A82D57" w:rsidRPr="00A82D57" w:rsidRDefault="00A82D57" w:rsidP="009F509D">
            <w:pPr>
              <w:rPr>
                <w:rFonts w:asciiTheme="majorHAnsi" w:hAnsiTheme="majorHAnsi"/>
                <w:sz w:val="20"/>
                <w:szCs w:val="20"/>
                <w:lang w:eastAsia="es-CR"/>
              </w:rPr>
            </w:pPr>
          </w:p>
        </w:tc>
      </w:tr>
      <w:tr w:rsidR="00A82D57" w:rsidRPr="00A82D57" w14:paraId="0E95FD2E"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024616FF"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sz w:val="20"/>
                <w:szCs w:val="20"/>
                <w:lang w:eastAsia="es-CR"/>
              </w:rPr>
              <w:t>Seguro Obligatorio Automóviles (SOA)</w:t>
            </w:r>
          </w:p>
        </w:tc>
        <w:tc>
          <w:tcPr>
            <w:tcW w:w="1559" w:type="dxa"/>
            <w:tcBorders>
              <w:top w:val="nil"/>
              <w:left w:val="nil"/>
              <w:bottom w:val="single" w:sz="8" w:space="0" w:color="1F497D"/>
              <w:right w:val="single" w:sz="8" w:space="0" w:color="1F497D"/>
            </w:tcBorders>
            <w:shd w:val="clear" w:color="auto" w:fill="auto"/>
            <w:noWrap/>
            <w:vAlign w:val="bottom"/>
          </w:tcPr>
          <w:p w14:paraId="55ECF945"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F23B497"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17D4049C"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3BC1A2F9" w14:textId="77777777" w:rsidR="00A82D57" w:rsidRPr="00A82D57" w:rsidRDefault="00A82D57" w:rsidP="009F509D">
            <w:pPr>
              <w:rPr>
                <w:rFonts w:asciiTheme="majorHAnsi" w:hAnsiTheme="majorHAnsi"/>
                <w:sz w:val="20"/>
                <w:szCs w:val="20"/>
                <w:lang w:eastAsia="es-CR"/>
              </w:rPr>
            </w:pPr>
          </w:p>
        </w:tc>
      </w:tr>
      <w:tr w:rsidR="00A82D57" w:rsidRPr="00A82D57" w14:paraId="1ABFE4FF"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2B1E9592"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Seguros de Asistencias de ramos generales</w:t>
            </w:r>
          </w:p>
        </w:tc>
        <w:tc>
          <w:tcPr>
            <w:tcW w:w="1559" w:type="dxa"/>
            <w:tcBorders>
              <w:top w:val="nil"/>
              <w:left w:val="nil"/>
              <w:bottom w:val="single" w:sz="8" w:space="0" w:color="1F497D"/>
              <w:right w:val="single" w:sz="8" w:space="0" w:color="1F497D"/>
            </w:tcBorders>
            <w:shd w:val="clear" w:color="auto" w:fill="auto"/>
            <w:noWrap/>
            <w:vAlign w:val="bottom"/>
          </w:tcPr>
          <w:p w14:paraId="4F5CBCEF"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3C8EDD3"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3E5878B1"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631AEB40" w14:textId="77777777" w:rsidR="00A82D57" w:rsidRPr="00A82D57" w:rsidRDefault="00A82D57" w:rsidP="009F509D">
            <w:pPr>
              <w:rPr>
                <w:rFonts w:asciiTheme="majorHAnsi" w:hAnsiTheme="majorHAnsi"/>
                <w:sz w:val="20"/>
                <w:szCs w:val="20"/>
                <w:lang w:eastAsia="es-CR"/>
              </w:rPr>
            </w:pPr>
          </w:p>
        </w:tc>
      </w:tr>
      <w:tr w:rsidR="00A82D57" w:rsidRPr="00A82D57" w14:paraId="35317596"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4EC0CFF2"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Seguros Misceláneos Generales</w:t>
            </w:r>
          </w:p>
        </w:tc>
        <w:tc>
          <w:tcPr>
            <w:tcW w:w="1559" w:type="dxa"/>
            <w:tcBorders>
              <w:top w:val="nil"/>
              <w:left w:val="nil"/>
              <w:bottom w:val="single" w:sz="8" w:space="0" w:color="1F497D"/>
              <w:right w:val="single" w:sz="8" w:space="0" w:color="1F497D"/>
            </w:tcBorders>
            <w:shd w:val="clear" w:color="auto" w:fill="auto"/>
            <w:noWrap/>
            <w:vAlign w:val="bottom"/>
          </w:tcPr>
          <w:p w14:paraId="55F6516D"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659EAC9F"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13512A6E"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2BD56932" w14:textId="77777777" w:rsidR="00A82D57" w:rsidRPr="00A82D57" w:rsidRDefault="00A82D57" w:rsidP="009F509D">
            <w:pPr>
              <w:rPr>
                <w:rFonts w:asciiTheme="majorHAnsi" w:hAnsiTheme="majorHAnsi"/>
                <w:sz w:val="20"/>
                <w:szCs w:val="20"/>
                <w:lang w:eastAsia="es-CR"/>
              </w:rPr>
            </w:pPr>
          </w:p>
        </w:tc>
      </w:tr>
      <w:tr w:rsidR="00A82D57" w:rsidRPr="00A82D57" w14:paraId="37B7BE0E"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4578CDD7"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lastRenderedPageBreak/>
              <w:t>Vida</w:t>
            </w:r>
          </w:p>
        </w:tc>
        <w:tc>
          <w:tcPr>
            <w:tcW w:w="1559" w:type="dxa"/>
            <w:tcBorders>
              <w:top w:val="nil"/>
              <w:left w:val="nil"/>
              <w:bottom w:val="single" w:sz="8" w:space="0" w:color="1F497D"/>
              <w:right w:val="single" w:sz="8" w:space="0" w:color="1F497D"/>
            </w:tcBorders>
            <w:shd w:val="clear" w:color="auto" w:fill="auto"/>
            <w:noWrap/>
            <w:vAlign w:val="bottom"/>
          </w:tcPr>
          <w:p w14:paraId="467D7C7C"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71D708B"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1F7379FC"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2C1B8B32" w14:textId="77777777" w:rsidR="00A82D57" w:rsidRPr="00A82D57" w:rsidRDefault="00A82D57" w:rsidP="009F509D">
            <w:pPr>
              <w:rPr>
                <w:rFonts w:asciiTheme="majorHAnsi" w:hAnsiTheme="majorHAnsi"/>
                <w:sz w:val="20"/>
                <w:szCs w:val="20"/>
                <w:lang w:eastAsia="es-CR"/>
              </w:rPr>
            </w:pPr>
          </w:p>
        </w:tc>
      </w:tr>
      <w:tr w:rsidR="00A82D57" w:rsidRPr="00A82D57" w14:paraId="60FEE3FB"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1F02DE1A"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Rentas</w:t>
            </w:r>
          </w:p>
        </w:tc>
        <w:tc>
          <w:tcPr>
            <w:tcW w:w="1559" w:type="dxa"/>
            <w:tcBorders>
              <w:top w:val="nil"/>
              <w:left w:val="nil"/>
              <w:bottom w:val="single" w:sz="8" w:space="0" w:color="1F497D"/>
              <w:right w:val="single" w:sz="8" w:space="0" w:color="1F497D"/>
            </w:tcBorders>
            <w:shd w:val="clear" w:color="auto" w:fill="auto"/>
            <w:noWrap/>
            <w:vAlign w:val="bottom"/>
          </w:tcPr>
          <w:p w14:paraId="4C0F5C11"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44BE31A"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6E5417A3"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2B1BB516" w14:textId="77777777" w:rsidR="00A82D57" w:rsidRPr="00A82D57" w:rsidRDefault="00A82D57" w:rsidP="009F509D">
            <w:pPr>
              <w:rPr>
                <w:rFonts w:asciiTheme="majorHAnsi" w:hAnsiTheme="majorHAnsi"/>
                <w:sz w:val="20"/>
                <w:szCs w:val="20"/>
                <w:lang w:eastAsia="es-CR"/>
              </w:rPr>
            </w:pPr>
          </w:p>
        </w:tc>
      </w:tr>
      <w:tr w:rsidR="00A82D57" w:rsidRPr="00A82D57" w14:paraId="23D91D2E"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2D7D0FF7"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Accidentes</w:t>
            </w:r>
          </w:p>
        </w:tc>
        <w:tc>
          <w:tcPr>
            <w:tcW w:w="1559" w:type="dxa"/>
            <w:tcBorders>
              <w:top w:val="nil"/>
              <w:left w:val="nil"/>
              <w:bottom w:val="single" w:sz="8" w:space="0" w:color="1F497D"/>
              <w:right w:val="single" w:sz="8" w:space="0" w:color="1F497D"/>
            </w:tcBorders>
            <w:shd w:val="clear" w:color="auto" w:fill="auto"/>
            <w:noWrap/>
            <w:vAlign w:val="bottom"/>
          </w:tcPr>
          <w:p w14:paraId="31DA5345"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1FB93E0F"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208E7D93"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157425C1" w14:textId="77777777" w:rsidR="00A82D57" w:rsidRPr="00A82D57" w:rsidRDefault="00A82D57" w:rsidP="009F509D">
            <w:pPr>
              <w:rPr>
                <w:rFonts w:asciiTheme="majorHAnsi" w:hAnsiTheme="majorHAnsi"/>
                <w:sz w:val="20"/>
                <w:szCs w:val="20"/>
                <w:lang w:eastAsia="es-CR"/>
              </w:rPr>
            </w:pPr>
          </w:p>
        </w:tc>
      </w:tr>
      <w:tr w:rsidR="00A82D57" w:rsidRPr="00A82D57" w14:paraId="419170F1"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5B412CCD"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Salud</w:t>
            </w:r>
          </w:p>
        </w:tc>
        <w:tc>
          <w:tcPr>
            <w:tcW w:w="1559" w:type="dxa"/>
            <w:tcBorders>
              <w:top w:val="nil"/>
              <w:left w:val="nil"/>
              <w:bottom w:val="single" w:sz="8" w:space="0" w:color="1F497D"/>
              <w:right w:val="single" w:sz="8" w:space="0" w:color="1F497D"/>
            </w:tcBorders>
            <w:shd w:val="clear" w:color="auto" w:fill="auto"/>
            <w:noWrap/>
            <w:vAlign w:val="bottom"/>
          </w:tcPr>
          <w:p w14:paraId="6E608C10"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8EA289E"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1A24F0F8"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163D1D15" w14:textId="77777777" w:rsidR="00A82D57" w:rsidRPr="00A82D57" w:rsidRDefault="00A82D57" w:rsidP="009F509D">
            <w:pPr>
              <w:rPr>
                <w:rFonts w:asciiTheme="majorHAnsi" w:hAnsiTheme="majorHAnsi"/>
                <w:sz w:val="20"/>
                <w:szCs w:val="20"/>
                <w:lang w:eastAsia="es-CR"/>
              </w:rPr>
            </w:pPr>
          </w:p>
        </w:tc>
      </w:tr>
      <w:tr w:rsidR="00A82D57" w:rsidRPr="00A82D57" w14:paraId="60CF2B77"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03A69DE1"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sz w:val="20"/>
                <w:szCs w:val="20"/>
                <w:lang w:eastAsia="es-CR"/>
              </w:rPr>
              <w:t>Seguro Obligatorio de Riesgos del Trabajo (SRT)</w:t>
            </w:r>
          </w:p>
        </w:tc>
        <w:tc>
          <w:tcPr>
            <w:tcW w:w="1559" w:type="dxa"/>
            <w:tcBorders>
              <w:top w:val="nil"/>
              <w:left w:val="nil"/>
              <w:bottom w:val="single" w:sz="8" w:space="0" w:color="1F497D"/>
              <w:right w:val="single" w:sz="8" w:space="0" w:color="1F497D"/>
            </w:tcBorders>
            <w:shd w:val="clear" w:color="auto" w:fill="auto"/>
            <w:noWrap/>
            <w:vAlign w:val="bottom"/>
          </w:tcPr>
          <w:p w14:paraId="2A03696D"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FF04646"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1FC4D6CE"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5D715B79" w14:textId="77777777" w:rsidR="00A82D57" w:rsidRPr="00A82D57" w:rsidRDefault="00A82D57" w:rsidP="009F509D">
            <w:pPr>
              <w:rPr>
                <w:rFonts w:asciiTheme="majorHAnsi" w:hAnsiTheme="majorHAnsi"/>
                <w:sz w:val="20"/>
                <w:szCs w:val="20"/>
                <w:lang w:eastAsia="es-CR"/>
              </w:rPr>
            </w:pPr>
          </w:p>
        </w:tc>
      </w:tr>
      <w:tr w:rsidR="00A82D57" w:rsidRPr="00A82D57" w14:paraId="24241983"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06C34D66"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Seguros de Asistencias de ramos personales</w:t>
            </w:r>
          </w:p>
        </w:tc>
        <w:tc>
          <w:tcPr>
            <w:tcW w:w="1559" w:type="dxa"/>
            <w:tcBorders>
              <w:top w:val="nil"/>
              <w:left w:val="nil"/>
              <w:bottom w:val="single" w:sz="8" w:space="0" w:color="1F497D"/>
              <w:right w:val="single" w:sz="8" w:space="0" w:color="1F497D"/>
            </w:tcBorders>
            <w:shd w:val="clear" w:color="auto" w:fill="auto"/>
            <w:noWrap/>
            <w:vAlign w:val="bottom"/>
          </w:tcPr>
          <w:p w14:paraId="0D7CFB61"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EC469FE"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20230021"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79C8B712" w14:textId="77777777" w:rsidR="00A82D57" w:rsidRPr="00A82D57" w:rsidRDefault="00A82D57" w:rsidP="009F509D">
            <w:pPr>
              <w:rPr>
                <w:rFonts w:asciiTheme="majorHAnsi" w:hAnsiTheme="majorHAnsi"/>
                <w:sz w:val="20"/>
                <w:szCs w:val="20"/>
                <w:lang w:eastAsia="es-CR"/>
              </w:rPr>
            </w:pPr>
          </w:p>
        </w:tc>
      </w:tr>
      <w:tr w:rsidR="00A82D57" w:rsidRPr="00A82D57" w14:paraId="2B05E2E5"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17F386B1"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Los seguros vinculados con fondos de inversión</w:t>
            </w:r>
          </w:p>
        </w:tc>
        <w:tc>
          <w:tcPr>
            <w:tcW w:w="1559" w:type="dxa"/>
            <w:tcBorders>
              <w:top w:val="nil"/>
              <w:left w:val="nil"/>
              <w:bottom w:val="single" w:sz="8" w:space="0" w:color="1F497D"/>
              <w:right w:val="single" w:sz="8" w:space="0" w:color="1F497D"/>
            </w:tcBorders>
            <w:shd w:val="clear" w:color="auto" w:fill="auto"/>
            <w:noWrap/>
            <w:vAlign w:val="bottom"/>
          </w:tcPr>
          <w:p w14:paraId="7482EE71"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E026374"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1CAE4377"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645EFC67" w14:textId="77777777" w:rsidR="00A82D57" w:rsidRPr="00A82D57" w:rsidRDefault="00A82D57" w:rsidP="009F509D">
            <w:pPr>
              <w:rPr>
                <w:rFonts w:asciiTheme="majorHAnsi" w:hAnsiTheme="majorHAnsi"/>
                <w:sz w:val="20"/>
                <w:szCs w:val="20"/>
                <w:lang w:eastAsia="es-CR"/>
              </w:rPr>
            </w:pPr>
          </w:p>
        </w:tc>
      </w:tr>
      <w:tr w:rsidR="00A82D57" w:rsidRPr="00A82D57" w14:paraId="00B7F7AD" w14:textId="77777777" w:rsidTr="009F509D">
        <w:trPr>
          <w:trHeight w:val="315"/>
          <w:jc w:val="center"/>
        </w:trPr>
        <w:tc>
          <w:tcPr>
            <w:tcW w:w="2830" w:type="dxa"/>
            <w:tcBorders>
              <w:top w:val="nil"/>
              <w:left w:val="single" w:sz="8" w:space="0" w:color="1F497D"/>
              <w:bottom w:val="single" w:sz="8" w:space="0" w:color="1F497D"/>
              <w:right w:val="single" w:sz="8" w:space="0" w:color="1F497D"/>
            </w:tcBorders>
            <w:shd w:val="clear" w:color="auto" w:fill="auto"/>
            <w:noWrap/>
            <w:vAlign w:val="bottom"/>
          </w:tcPr>
          <w:p w14:paraId="1BDE3F1D" w14:textId="77777777" w:rsidR="00A82D57" w:rsidRPr="00A82D57" w:rsidRDefault="00A82D57" w:rsidP="009F509D">
            <w:pPr>
              <w:rPr>
                <w:rFonts w:asciiTheme="majorHAnsi" w:hAnsiTheme="majorHAnsi"/>
                <w:color w:val="000000"/>
                <w:sz w:val="20"/>
                <w:szCs w:val="20"/>
                <w:lang w:eastAsia="es-CR"/>
              </w:rPr>
            </w:pPr>
            <w:r w:rsidRPr="00A82D57">
              <w:rPr>
                <w:rFonts w:asciiTheme="majorHAnsi" w:hAnsiTheme="majorHAnsi"/>
                <w:color w:val="000000"/>
                <w:sz w:val="20"/>
                <w:szCs w:val="20"/>
                <w:lang w:eastAsia="es-CR"/>
              </w:rPr>
              <w:t>Seguros Misceláneos Personales</w:t>
            </w:r>
          </w:p>
        </w:tc>
        <w:tc>
          <w:tcPr>
            <w:tcW w:w="1559" w:type="dxa"/>
            <w:tcBorders>
              <w:top w:val="nil"/>
              <w:left w:val="nil"/>
              <w:bottom w:val="single" w:sz="8" w:space="0" w:color="1F497D"/>
              <w:right w:val="single" w:sz="8" w:space="0" w:color="1F497D"/>
            </w:tcBorders>
            <w:shd w:val="clear" w:color="auto" w:fill="auto"/>
            <w:noWrap/>
            <w:vAlign w:val="bottom"/>
          </w:tcPr>
          <w:p w14:paraId="3827FFCC" w14:textId="77777777" w:rsidR="00A82D57" w:rsidRPr="00A82D57" w:rsidRDefault="00A82D57" w:rsidP="009F509D">
            <w:pPr>
              <w:rPr>
                <w:rFonts w:asciiTheme="majorHAnsi" w:hAnsiTheme="majorHAnsi"/>
                <w:color w:val="000000"/>
                <w:sz w:val="20"/>
                <w:szCs w:val="2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18CFACA" w14:textId="77777777" w:rsidR="00A82D57" w:rsidRPr="00A82D57" w:rsidRDefault="00A82D57" w:rsidP="009F509D">
            <w:pPr>
              <w:rPr>
                <w:rFonts w:asciiTheme="majorHAnsi" w:hAnsiTheme="majorHAnsi"/>
                <w:sz w:val="20"/>
                <w:szCs w:val="20"/>
                <w:lang w:eastAsia="es-CR"/>
              </w:rPr>
            </w:pPr>
          </w:p>
        </w:tc>
        <w:tc>
          <w:tcPr>
            <w:tcW w:w="1559" w:type="dxa"/>
            <w:tcBorders>
              <w:top w:val="nil"/>
              <w:left w:val="nil"/>
              <w:bottom w:val="single" w:sz="8" w:space="0" w:color="1F497D"/>
              <w:right w:val="single" w:sz="8" w:space="0" w:color="1F497D"/>
            </w:tcBorders>
          </w:tcPr>
          <w:p w14:paraId="487E14BD" w14:textId="77777777" w:rsidR="00A82D57" w:rsidRPr="00A82D57" w:rsidRDefault="00A82D57" w:rsidP="009F509D">
            <w:pPr>
              <w:rPr>
                <w:rFonts w:asciiTheme="majorHAnsi" w:hAnsiTheme="majorHAnsi"/>
                <w:sz w:val="20"/>
                <w:szCs w:val="20"/>
                <w:lang w:eastAsia="es-CR"/>
              </w:rPr>
            </w:pPr>
          </w:p>
        </w:tc>
        <w:tc>
          <w:tcPr>
            <w:tcW w:w="1877" w:type="dxa"/>
            <w:tcBorders>
              <w:top w:val="nil"/>
              <w:left w:val="nil"/>
              <w:bottom w:val="single" w:sz="8" w:space="0" w:color="1F497D"/>
              <w:right w:val="single" w:sz="8" w:space="0" w:color="1F497D"/>
            </w:tcBorders>
          </w:tcPr>
          <w:p w14:paraId="27EE6C28" w14:textId="77777777" w:rsidR="00A82D57" w:rsidRPr="00A82D57" w:rsidRDefault="00A82D57" w:rsidP="009F509D">
            <w:pPr>
              <w:rPr>
                <w:rFonts w:asciiTheme="majorHAnsi" w:hAnsiTheme="majorHAnsi"/>
                <w:sz w:val="20"/>
                <w:szCs w:val="20"/>
                <w:lang w:eastAsia="es-CR"/>
              </w:rPr>
            </w:pPr>
          </w:p>
        </w:tc>
      </w:tr>
      <w:tr w:rsidR="00A82D57" w:rsidRPr="00A82D57" w14:paraId="650F066F" w14:textId="77777777" w:rsidTr="00726D48">
        <w:trPr>
          <w:trHeight w:val="315"/>
          <w:jc w:val="center"/>
        </w:trPr>
        <w:tc>
          <w:tcPr>
            <w:tcW w:w="2830" w:type="dxa"/>
            <w:tcBorders>
              <w:top w:val="single" w:sz="4" w:space="0" w:color="1F497D"/>
              <w:left w:val="single" w:sz="4" w:space="0" w:color="1F497D"/>
              <w:bottom w:val="single" w:sz="4" w:space="0" w:color="1F497D"/>
              <w:right w:val="single" w:sz="8" w:space="0" w:color="1F497D"/>
            </w:tcBorders>
            <w:shd w:val="clear" w:color="auto" w:fill="95B3D7" w:themeFill="accent1" w:themeFillTint="99"/>
            <w:noWrap/>
            <w:vAlign w:val="bottom"/>
            <w:hideMark/>
          </w:tcPr>
          <w:p w14:paraId="2CA563B8" w14:textId="77777777" w:rsidR="00A82D57" w:rsidRPr="00A82D57" w:rsidRDefault="00A82D57" w:rsidP="009F509D">
            <w:pPr>
              <w:rPr>
                <w:rFonts w:asciiTheme="majorHAnsi" w:hAnsiTheme="majorHAnsi"/>
                <w:sz w:val="20"/>
                <w:szCs w:val="20"/>
                <w:lang w:eastAsia="es-CR"/>
              </w:rPr>
            </w:pPr>
            <w:r w:rsidRPr="00A82D57">
              <w:rPr>
                <w:rFonts w:asciiTheme="majorHAnsi" w:hAnsiTheme="majorHAnsi"/>
                <w:sz w:val="20"/>
                <w:szCs w:val="20"/>
                <w:lang w:eastAsia="es-CR"/>
              </w:rPr>
              <w:t>TOTAL</w:t>
            </w:r>
          </w:p>
        </w:tc>
        <w:tc>
          <w:tcPr>
            <w:tcW w:w="1559" w:type="dxa"/>
            <w:tcBorders>
              <w:top w:val="single" w:sz="4" w:space="0" w:color="1F497D"/>
              <w:left w:val="nil"/>
              <w:bottom w:val="single" w:sz="4" w:space="0" w:color="1F497D"/>
              <w:right w:val="single" w:sz="8" w:space="0" w:color="1F497D"/>
            </w:tcBorders>
            <w:shd w:val="clear" w:color="auto" w:fill="95B3D7" w:themeFill="accent1" w:themeFillTint="99"/>
            <w:noWrap/>
            <w:vAlign w:val="bottom"/>
            <w:hideMark/>
          </w:tcPr>
          <w:p w14:paraId="5FEF4257" w14:textId="77777777" w:rsidR="00A82D57" w:rsidRPr="00A82D57" w:rsidRDefault="00A82D57" w:rsidP="009F509D">
            <w:pPr>
              <w:rPr>
                <w:rFonts w:asciiTheme="majorHAnsi" w:hAnsiTheme="majorHAnsi"/>
                <w:sz w:val="20"/>
                <w:szCs w:val="20"/>
                <w:lang w:eastAsia="es-CR"/>
              </w:rPr>
            </w:pPr>
            <w:r w:rsidRPr="00A82D57">
              <w:rPr>
                <w:rFonts w:asciiTheme="majorHAnsi" w:hAnsiTheme="majorHAnsi"/>
                <w:sz w:val="20"/>
                <w:szCs w:val="20"/>
                <w:lang w:eastAsia="es-CR"/>
              </w:rPr>
              <w:t> </w:t>
            </w:r>
          </w:p>
        </w:tc>
        <w:tc>
          <w:tcPr>
            <w:tcW w:w="1701" w:type="dxa"/>
            <w:tcBorders>
              <w:top w:val="single" w:sz="4" w:space="0" w:color="1F497D"/>
              <w:left w:val="nil"/>
              <w:bottom w:val="single" w:sz="4" w:space="0" w:color="1F497D"/>
              <w:right w:val="single" w:sz="4" w:space="0" w:color="1F497D"/>
            </w:tcBorders>
            <w:shd w:val="clear" w:color="auto" w:fill="95B3D7" w:themeFill="accent1" w:themeFillTint="99"/>
            <w:noWrap/>
            <w:vAlign w:val="bottom"/>
            <w:hideMark/>
          </w:tcPr>
          <w:p w14:paraId="78D0E74B" w14:textId="77777777" w:rsidR="00A82D57" w:rsidRPr="00A82D57" w:rsidRDefault="00A82D57" w:rsidP="009F509D">
            <w:pPr>
              <w:rPr>
                <w:rFonts w:asciiTheme="majorHAnsi" w:hAnsiTheme="majorHAnsi"/>
                <w:sz w:val="20"/>
                <w:szCs w:val="20"/>
                <w:lang w:eastAsia="es-CR"/>
              </w:rPr>
            </w:pPr>
            <w:r w:rsidRPr="00A82D57">
              <w:rPr>
                <w:rFonts w:asciiTheme="majorHAnsi" w:hAnsiTheme="majorHAnsi"/>
                <w:sz w:val="20"/>
                <w:szCs w:val="20"/>
                <w:lang w:eastAsia="es-CR"/>
              </w:rPr>
              <w:t> </w:t>
            </w:r>
          </w:p>
        </w:tc>
        <w:tc>
          <w:tcPr>
            <w:tcW w:w="1559" w:type="dxa"/>
            <w:tcBorders>
              <w:top w:val="single" w:sz="4" w:space="0" w:color="1F497D"/>
              <w:left w:val="nil"/>
              <w:bottom w:val="single" w:sz="4" w:space="0" w:color="1F497D"/>
              <w:right w:val="single" w:sz="4" w:space="0" w:color="1F497D"/>
            </w:tcBorders>
            <w:shd w:val="clear" w:color="auto" w:fill="95B3D7" w:themeFill="accent1" w:themeFillTint="99"/>
          </w:tcPr>
          <w:p w14:paraId="01462F1F" w14:textId="77777777" w:rsidR="00A82D57" w:rsidRPr="00A82D57" w:rsidRDefault="00A82D57" w:rsidP="009F509D">
            <w:pPr>
              <w:rPr>
                <w:rFonts w:asciiTheme="majorHAnsi" w:hAnsiTheme="majorHAnsi"/>
                <w:sz w:val="20"/>
                <w:szCs w:val="20"/>
                <w:lang w:eastAsia="es-CR"/>
              </w:rPr>
            </w:pPr>
          </w:p>
        </w:tc>
        <w:tc>
          <w:tcPr>
            <w:tcW w:w="1877" w:type="dxa"/>
            <w:tcBorders>
              <w:top w:val="single" w:sz="4" w:space="0" w:color="1F497D"/>
              <w:left w:val="nil"/>
              <w:bottom w:val="single" w:sz="4" w:space="0" w:color="1F497D"/>
              <w:right w:val="single" w:sz="4" w:space="0" w:color="1F497D"/>
            </w:tcBorders>
            <w:shd w:val="clear" w:color="auto" w:fill="95B3D7" w:themeFill="accent1" w:themeFillTint="99"/>
          </w:tcPr>
          <w:p w14:paraId="7C8A69F0" w14:textId="77777777" w:rsidR="00A82D57" w:rsidRPr="00A82D57" w:rsidRDefault="00A82D57" w:rsidP="009F509D">
            <w:pPr>
              <w:rPr>
                <w:rFonts w:asciiTheme="majorHAnsi" w:hAnsiTheme="majorHAnsi"/>
                <w:sz w:val="20"/>
                <w:szCs w:val="20"/>
                <w:lang w:eastAsia="es-CR"/>
              </w:rPr>
            </w:pPr>
          </w:p>
        </w:tc>
      </w:tr>
    </w:tbl>
    <w:p w14:paraId="0C76CB6F" w14:textId="77777777" w:rsidR="00A82D57" w:rsidRPr="00A82D57" w:rsidRDefault="00A82D57" w:rsidP="00726D48">
      <w:pPr>
        <w:rPr>
          <w:rFonts w:asciiTheme="majorHAnsi" w:hAnsiTheme="majorHAnsi"/>
          <w:b/>
        </w:rPr>
      </w:pPr>
    </w:p>
    <w:p w14:paraId="44672582" w14:textId="77777777" w:rsidR="00A82D57" w:rsidRPr="00A82D57" w:rsidRDefault="00A82D57" w:rsidP="00726D48">
      <w:pPr>
        <w:ind w:left="567"/>
        <w:rPr>
          <w:rFonts w:asciiTheme="majorHAnsi" w:hAnsiTheme="majorHAnsi"/>
          <w:b/>
        </w:rPr>
      </w:pPr>
      <w:r w:rsidRPr="00A82D57">
        <w:rPr>
          <w:rFonts w:asciiTheme="majorHAnsi" w:hAnsiTheme="majorHAnsi"/>
          <w:b/>
        </w:rPr>
        <w:t>NOTAS EXPLICATIVAS:</w:t>
      </w:r>
    </w:p>
    <w:p w14:paraId="4416D14E" w14:textId="77777777" w:rsidR="00A82D57" w:rsidRPr="00A82D57" w:rsidRDefault="00A82D57" w:rsidP="00726D48">
      <w:pPr>
        <w:ind w:left="567"/>
        <w:jc w:val="both"/>
        <w:rPr>
          <w:rFonts w:asciiTheme="majorHAnsi" w:hAnsiTheme="majorHAnsi"/>
        </w:rPr>
      </w:pPr>
      <w:r w:rsidRPr="00A82D57">
        <w:rPr>
          <w:rFonts w:asciiTheme="majorHAnsi" w:hAnsiTheme="majorHAnsi"/>
        </w:rPr>
        <w:t>1/ Código de la aseguradora, corresponde a la licencia de funcionamiento.</w:t>
      </w:r>
    </w:p>
    <w:p w14:paraId="3A687873" w14:textId="77777777" w:rsidR="00A82D57" w:rsidRPr="00A82D57" w:rsidRDefault="00A82D57" w:rsidP="00726D48">
      <w:pPr>
        <w:ind w:left="567"/>
        <w:jc w:val="both"/>
        <w:rPr>
          <w:rFonts w:asciiTheme="majorHAnsi" w:hAnsiTheme="majorHAnsi"/>
        </w:rPr>
      </w:pPr>
      <w:r w:rsidRPr="00A82D57">
        <w:rPr>
          <w:rFonts w:asciiTheme="majorHAnsi" w:hAnsiTheme="majorHAnsi"/>
        </w:rPr>
        <w:t>2/ El reporte de la información es mensual, es decir, se incluye únicamente el flujo de cada mes, no es acumulativo.</w:t>
      </w:r>
    </w:p>
    <w:p w14:paraId="54E1A8D2" w14:textId="77777777" w:rsidR="00A82D57" w:rsidRPr="00A82D57" w:rsidRDefault="00A82D57" w:rsidP="00726D48">
      <w:pPr>
        <w:ind w:left="567"/>
        <w:jc w:val="both"/>
        <w:rPr>
          <w:rFonts w:asciiTheme="majorHAnsi" w:hAnsiTheme="majorHAnsi"/>
        </w:rPr>
      </w:pPr>
      <w:r w:rsidRPr="00A82D57">
        <w:rPr>
          <w:rFonts w:asciiTheme="majorHAnsi" w:hAnsiTheme="majorHAnsi"/>
        </w:rPr>
        <w:t xml:space="preserve">3/ </w:t>
      </w:r>
      <w:r w:rsidRPr="00A82D57">
        <w:rPr>
          <w:rFonts w:asciiTheme="majorHAnsi" w:hAnsiTheme="majorHAnsi"/>
          <w:iCs/>
          <w:lang w:eastAsia="es-CR"/>
        </w:rPr>
        <w:t xml:space="preserve">Clasificación de ramos vigente, de conformidad con el </w:t>
      </w:r>
      <w:r w:rsidRPr="00A82D57">
        <w:rPr>
          <w:rFonts w:asciiTheme="majorHAnsi" w:hAnsiTheme="majorHAnsi"/>
          <w:i/>
          <w:iCs/>
          <w:lang w:eastAsia="es-CR"/>
        </w:rPr>
        <w:t xml:space="preserve">Anexo 1 del Reglamento de Autorizaciones, Registros y Requisitos de Funcionamiento de Entidades Supervisadas por Sugese. </w:t>
      </w:r>
      <w:r w:rsidRPr="00A82D57">
        <w:rPr>
          <w:rFonts w:asciiTheme="majorHAnsi" w:hAnsiTheme="majorHAnsi"/>
        </w:rPr>
        <w:t xml:space="preserve">Solo debe remitirse información de aquellos ramos incluidos en la categoría autorizada por la Superintendencia y que hayan generado un ingreso por la colocación de primas. </w:t>
      </w:r>
    </w:p>
    <w:p w14:paraId="70166058" w14:textId="77777777" w:rsidR="00A82D57" w:rsidRPr="00A82D57" w:rsidRDefault="00A82D57" w:rsidP="00726D48">
      <w:pPr>
        <w:pStyle w:val="TextoJustificadoTabla"/>
        <w:spacing w:before="0" w:after="0"/>
        <w:ind w:left="567"/>
        <w:rPr>
          <w:rFonts w:asciiTheme="majorHAnsi" w:hAnsiTheme="majorHAnsi" w:cs="Arial"/>
          <w:sz w:val="24"/>
          <w:szCs w:val="24"/>
        </w:rPr>
      </w:pPr>
      <w:r w:rsidRPr="00A82D57">
        <w:rPr>
          <w:rFonts w:asciiTheme="majorHAnsi" w:hAnsiTheme="majorHAnsi"/>
          <w:sz w:val="24"/>
          <w:szCs w:val="24"/>
        </w:rPr>
        <w:t>4/</w:t>
      </w:r>
      <w:r w:rsidRPr="00A82D57">
        <w:rPr>
          <w:rFonts w:asciiTheme="majorHAnsi" w:hAnsiTheme="majorHAnsi"/>
          <w:i/>
          <w:sz w:val="24"/>
          <w:szCs w:val="24"/>
        </w:rPr>
        <w:t xml:space="preserve"> </w:t>
      </w:r>
      <w:r w:rsidRPr="00A82D57">
        <w:rPr>
          <w:rFonts w:asciiTheme="majorHAnsi" w:hAnsiTheme="majorHAnsi"/>
          <w:sz w:val="24"/>
          <w:szCs w:val="24"/>
        </w:rPr>
        <w:t xml:space="preserve">Primas directas: corresponde a las primas comerciales emitidas, de pólizas suscritas  con posterioridad al 13 de junio de 2019, por operaciones de seguro directo durante el periodo para el cual se reporta la información, efectivamente pagadas a la entidad, menos las anulaciones (siempre que haya recursos económicos de por medio) y devoluciones presentadas en dicho periodo.  No se incluyen las primas recibidas por reaseguro. Exprese el monto con, al menos, dos decimales. </w:t>
      </w:r>
      <w:r w:rsidRPr="00A82D57">
        <w:rPr>
          <w:rFonts w:asciiTheme="majorHAnsi" w:hAnsiTheme="majorHAnsi" w:cs="Arial"/>
          <w:sz w:val="24"/>
          <w:szCs w:val="24"/>
        </w:rPr>
        <w:t>Se permiten montos negativos, cero o positivos.</w:t>
      </w:r>
    </w:p>
    <w:p w14:paraId="257B0AEE" w14:textId="77777777" w:rsidR="00A82D57" w:rsidRPr="00A82D57" w:rsidRDefault="00A82D57" w:rsidP="00726D48">
      <w:pPr>
        <w:ind w:left="567"/>
        <w:jc w:val="both"/>
        <w:rPr>
          <w:rFonts w:asciiTheme="majorHAnsi" w:hAnsiTheme="majorHAnsi" w:cs="Arial"/>
        </w:rPr>
      </w:pPr>
      <w:r w:rsidRPr="00A82D57">
        <w:rPr>
          <w:rFonts w:asciiTheme="majorHAnsi" w:hAnsiTheme="majorHAnsi"/>
        </w:rPr>
        <w:t xml:space="preserve">5/ El monto a pagar se reporta en la misma moneda que está denominado el seguro que le dio origen, sea moneda nacional o en moneda extranjera, es decir, cuando el reporte corresponda a moneda extranjera, no se debe realizar la conversión a colones. En caso que se emitieran primas en diversas monedas extranjeras, deberá reportarse lo correspondiente en forma independiente. </w:t>
      </w:r>
      <w:r w:rsidRPr="00A82D57">
        <w:rPr>
          <w:rFonts w:asciiTheme="majorHAnsi" w:hAnsiTheme="majorHAnsi"/>
        </w:rPr>
        <w:lastRenderedPageBreak/>
        <w:t xml:space="preserve">Exprese el monto con, al menos, dos decimales. </w:t>
      </w:r>
      <w:r w:rsidRPr="00A82D57">
        <w:rPr>
          <w:rFonts w:asciiTheme="majorHAnsi" w:hAnsiTheme="majorHAnsi" w:cs="Arial"/>
        </w:rPr>
        <w:t>Se permiten montos negativos, cero o positivos.”</w:t>
      </w:r>
    </w:p>
    <w:p w14:paraId="7C5F02C8" w14:textId="77777777" w:rsidR="00A82D57" w:rsidRPr="00A82D57" w:rsidRDefault="00A82D57" w:rsidP="00726D48">
      <w:pPr>
        <w:jc w:val="both"/>
        <w:rPr>
          <w:rFonts w:asciiTheme="majorHAnsi" w:hAnsiTheme="majorHAnsi" w:cs="Arial"/>
        </w:rPr>
      </w:pPr>
    </w:p>
    <w:p w14:paraId="63FAA6F1" w14:textId="77777777" w:rsidR="00A82D57" w:rsidRPr="00A82D57" w:rsidRDefault="00A82D57" w:rsidP="00726D48">
      <w:pPr>
        <w:widowControl w:val="0"/>
        <w:jc w:val="both"/>
        <w:rPr>
          <w:rFonts w:asciiTheme="majorHAnsi" w:hAnsiTheme="majorHAnsi"/>
        </w:rPr>
      </w:pPr>
      <w:r w:rsidRPr="00A82D57">
        <w:rPr>
          <w:rFonts w:asciiTheme="majorHAnsi" w:hAnsiTheme="majorHAnsi"/>
          <w:b/>
        </w:rPr>
        <w:t>SEGUNDO:</w:t>
      </w:r>
      <w:r w:rsidRPr="00A82D57">
        <w:rPr>
          <w:rFonts w:asciiTheme="majorHAnsi" w:hAnsiTheme="majorHAnsi"/>
        </w:rPr>
        <w:t xml:space="preserve"> Se procede a actualizar, de conformidad con el punto anterior, la versión publicada en la página web de la Superintendencia de la resolución SGS-R-2253-2019.</w:t>
      </w:r>
    </w:p>
    <w:p w14:paraId="21E36829" w14:textId="77777777" w:rsidR="00A82D57" w:rsidRDefault="00A82D57" w:rsidP="00726D48">
      <w:pPr>
        <w:jc w:val="both"/>
        <w:rPr>
          <w:rFonts w:asciiTheme="majorHAnsi" w:hAnsiTheme="majorHAnsi"/>
        </w:rPr>
      </w:pPr>
    </w:p>
    <w:p w14:paraId="2ED973D9" w14:textId="430F23DD" w:rsidR="00726D48" w:rsidRDefault="00726D48" w:rsidP="00726D48">
      <w:pPr>
        <w:jc w:val="both"/>
        <w:rPr>
          <w:rFonts w:asciiTheme="majorHAnsi" w:hAnsiTheme="majorHAnsi"/>
        </w:rPr>
      </w:pPr>
      <w:r>
        <w:rPr>
          <w:rFonts w:asciiTheme="majorHAnsi" w:hAnsiTheme="majorHAnsi"/>
        </w:rPr>
        <w:t>Notifíquese.</w:t>
      </w:r>
    </w:p>
    <w:p w14:paraId="5A567D3B" w14:textId="77777777" w:rsidR="00726D48" w:rsidRDefault="00726D48" w:rsidP="00726D48">
      <w:pPr>
        <w:jc w:val="both"/>
        <w:rPr>
          <w:rFonts w:asciiTheme="majorHAnsi" w:hAnsiTheme="majorHAnsi"/>
        </w:rPr>
      </w:pPr>
    </w:p>
    <w:p w14:paraId="3F669B14" w14:textId="77777777" w:rsidR="00726D48" w:rsidRDefault="00726D48" w:rsidP="00726D48">
      <w:pPr>
        <w:jc w:val="both"/>
        <w:rPr>
          <w:rFonts w:asciiTheme="majorHAnsi" w:hAnsiTheme="majorHAnsi"/>
        </w:rPr>
      </w:pPr>
    </w:p>
    <w:p w14:paraId="3D7FF5B5" w14:textId="77777777" w:rsidR="00726D48" w:rsidRDefault="00726D48" w:rsidP="00726D48">
      <w:pPr>
        <w:jc w:val="both"/>
        <w:rPr>
          <w:rFonts w:asciiTheme="majorHAnsi" w:hAnsiTheme="majorHAnsi"/>
        </w:rPr>
      </w:pPr>
    </w:p>
    <w:p w14:paraId="6B754AB4" w14:textId="77777777" w:rsidR="00726D48" w:rsidRPr="00A82D57" w:rsidRDefault="00726D48" w:rsidP="00726D48">
      <w:pPr>
        <w:jc w:val="both"/>
        <w:rPr>
          <w:rFonts w:asciiTheme="majorHAnsi" w:hAnsiTheme="majorHAnsi"/>
        </w:rPr>
      </w:pPr>
    </w:p>
    <w:p w14:paraId="2C1FA2FF" w14:textId="77777777" w:rsidR="00A82D57" w:rsidRPr="00A82D57" w:rsidRDefault="00A82D57" w:rsidP="00726D48">
      <w:pPr>
        <w:jc w:val="both"/>
        <w:rPr>
          <w:rFonts w:asciiTheme="majorHAnsi" w:hAnsiTheme="majorHAnsi"/>
        </w:rPr>
      </w:pPr>
      <w:r w:rsidRPr="00A82D57">
        <w:rPr>
          <w:rFonts w:asciiTheme="majorHAnsi" w:hAnsiTheme="majorHAnsi"/>
          <w:noProof/>
          <w:lang w:val="es-CR" w:eastAsia="es-CR"/>
        </w:rPr>
        <w:drawing>
          <wp:inline distT="0" distB="0" distL="0" distR="0" wp14:anchorId="1257D521" wp14:editId="4E981C6B">
            <wp:extent cx="2499360" cy="524291"/>
            <wp:effectExtent l="0" t="0" r="0" b="9525"/>
            <wp:docPr id="3"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A82D57" w:rsidRPr="00A82D57" w:rsidSect="00A83BA5">
      <w:headerReference w:type="default"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858A2" w14:textId="77777777" w:rsidR="00A82D57" w:rsidRDefault="00A82D57" w:rsidP="005A1442">
      <w:r>
        <w:separator/>
      </w:r>
    </w:p>
  </w:endnote>
  <w:endnote w:type="continuationSeparator" w:id="0">
    <w:p w14:paraId="7C210BF2" w14:textId="77777777" w:rsidR="00A82D57" w:rsidRDefault="00A82D57"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A5D52" w14:textId="77777777" w:rsidR="00843EE4" w:rsidRDefault="00843EE4" w:rsidP="005A1442">
    <w:pPr>
      <w:pStyle w:val="Piedepgina"/>
      <w:pBdr>
        <w:top w:val="single" w:sz="4" w:space="1" w:color="auto"/>
      </w:pBdr>
      <w:rPr>
        <w:sz w:val="16"/>
        <w:szCs w:val="16"/>
      </w:rPr>
    </w:pPr>
  </w:p>
  <w:p w14:paraId="08DAFC97" w14:textId="77777777" w:rsidR="00DA320B" w:rsidRDefault="00DA320B" w:rsidP="00DA320B">
    <w:pPr>
      <w:pStyle w:val="Piedepgina"/>
      <w:jc w:val="right"/>
      <w:rPr>
        <w:rFonts w:asciiTheme="majorHAnsi" w:hAnsiTheme="majorHAnsi"/>
        <w:sz w:val="18"/>
        <w:szCs w:val="18"/>
      </w:rPr>
    </w:pPr>
    <w:r>
      <w:rPr>
        <w:rFonts w:asciiTheme="majorHAnsi" w:hAnsiTheme="majorHAnsi"/>
        <w:sz w:val="18"/>
        <w:szCs w:val="18"/>
      </w:rPr>
      <w:t>Teléfonos: 2243-5108, 2243-5103  •  Fax: 2243-5151</w:t>
    </w:r>
  </w:p>
  <w:p w14:paraId="5418F29D" w14:textId="77777777" w:rsidR="00DA320B" w:rsidRDefault="00DA320B" w:rsidP="00DA320B">
    <w:pPr>
      <w:pStyle w:val="Piedepgina"/>
      <w:jc w:val="right"/>
      <w:rPr>
        <w:rFonts w:asciiTheme="majorHAnsi" w:hAnsiTheme="majorHAnsi"/>
        <w:sz w:val="18"/>
        <w:szCs w:val="18"/>
      </w:rPr>
    </w:pPr>
    <w:r>
      <w:rPr>
        <w:rFonts w:asciiTheme="majorHAnsi" w:hAnsiTheme="majorHAnsi"/>
        <w:sz w:val="18"/>
        <w:szCs w:val="18"/>
      </w:rPr>
      <w:t>Dirección: Edificio ODMs, Barrio T</w:t>
    </w:r>
    <w:r w:rsidR="001C1888">
      <w:rPr>
        <w:rFonts w:asciiTheme="majorHAnsi" w:hAnsiTheme="majorHAnsi"/>
        <w:sz w:val="18"/>
        <w:szCs w:val="18"/>
      </w:rPr>
      <w:t>o</w:t>
    </w:r>
    <w:r>
      <w:rPr>
        <w:rFonts w:asciiTheme="majorHAnsi" w:hAnsiTheme="majorHAnsi"/>
        <w:sz w:val="18"/>
        <w:szCs w:val="18"/>
      </w:rPr>
      <w:t>urnón, Piso 4</w:t>
    </w:r>
  </w:p>
  <w:p w14:paraId="5C204EFE" w14:textId="77777777" w:rsidR="00843EE4" w:rsidRPr="00DA320B" w:rsidRDefault="004E6E76" w:rsidP="00DA320B">
    <w:pPr>
      <w:pStyle w:val="Piedepgina"/>
      <w:jc w:val="right"/>
      <w:rPr>
        <w:rFonts w:asciiTheme="majorHAnsi" w:hAnsiTheme="majorHAnsi"/>
        <w:sz w:val="18"/>
        <w:szCs w:val="18"/>
      </w:rPr>
    </w:pPr>
    <w:hyperlink r:id="rId1" w:history="1">
      <w:r w:rsidR="00DA320B">
        <w:rPr>
          <w:rStyle w:val="Hipervnculo"/>
          <w:rFonts w:asciiTheme="majorHAnsi" w:hAnsiTheme="majorHAnsi"/>
        </w:rPr>
        <w:t>sugese@sugese.fi.cr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061B" w14:textId="77777777" w:rsidR="00843EE4" w:rsidRDefault="00843EE4" w:rsidP="00A83BA5">
    <w:pPr>
      <w:pStyle w:val="Piedepgina"/>
      <w:pBdr>
        <w:top w:val="single" w:sz="4" w:space="1" w:color="auto"/>
      </w:pBdr>
      <w:rPr>
        <w:sz w:val="16"/>
        <w:szCs w:val="16"/>
      </w:rPr>
    </w:pPr>
  </w:p>
  <w:p w14:paraId="2DEC0A82" w14:textId="77777777" w:rsidR="00DA320B" w:rsidRDefault="00DA320B" w:rsidP="00DA320B">
    <w:pPr>
      <w:pStyle w:val="Piedepgina"/>
      <w:jc w:val="right"/>
      <w:rPr>
        <w:rFonts w:asciiTheme="majorHAnsi" w:hAnsiTheme="majorHAnsi"/>
        <w:sz w:val="18"/>
        <w:szCs w:val="18"/>
      </w:rPr>
    </w:pPr>
    <w:r>
      <w:rPr>
        <w:rFonts w:asciiTheme="majorHAnsi" w:hAnsiTheme="majorHAnsi"/>
        <w:sz w:val="18"/>
        <w:szCs w:val="18"/>
      </w:rPr>
      <w:t>Teléfonos: 2243-5108, 2243-5103  •  Fax: 2243-5151</w:t>
    </w:r>
  </w:p>
  <w:p w14:paraId="535BE8C1" w14:textId="77777777" w:rsidR="00DA320B" w:rsidRDefault="00DA320B" w:rsidP="00DA320B">
    <w:pPr>
      <w:pStyle w:val="Piedepgina"/>
      <w:jc w:val="right"/>
      <w:rPr>
        <w:rFonts w:asciiTheme="majorHAnsi" w:hAnsiTheme="majorHAnsi"/>
        <w:sz w:val="18"/>
        <w:szCs w:val="18"/>
      </w:rPr>
    </w:pPr>
    <w:r>
      <w:rPr>
        <w:rFonts w:asciiTheme="majorHAnsi" w:hAnsiTheme="majorHAnsi"/>
        <w:sz w:val="18"/>
        <w:szCs w:val="18"/>
      </w:rPr>
      <w:t>Dirección: Edificio ODMs, Barrio T</w:t>
    </w:r>
    <w:r w:rsidR="001C1888">
      <w:rPr>
        <w:rFonts w:asciiTheme="majorHAnsi" w:hAnsiTheme="majorHAnsi"/>
        <w:sz w:val="18"/>
        <w:szCs w:val="18"/>
      </w:rPr>
      <w:t>o</w:t>
    </w:r>
    <w:r>
      <w:rPr>
        <w:rFonts w:asciiTheme="majorHAnsi" w:hAnsiTheme="majorHAnsi"/>
        <w:sz w:val="18"/>
        <w:szCs w:val="18"/>
      </w:rPr>
      <w:t>urnón, Piso 4</w:t>
    </w:r>
  </w:p>
  <w:p w14:paraId="07FD118D" w14:textId="77777777" w:rsidR="00843EE4" w:rsidRPr="00DA320B" w:rsidRDefault="004E6E76" w:rsidP="00DA320B">
    <w:pPr>
      <w:pStyle w:val="Piedepgina"/>
      <w:jc w:val="right"/>
      <w:rPr>
        <w:rFonts w:asciiTheme="majorHAnsi" w:hAnsiTheme="majorHAnsi"/>
        <w:sz w:val="18"/>
        <w:szCs w:val="18"/>
      </w:rPr>
    </w:pPr>
    <w:hyperlink r:id="rId1" w:history="1">
      <w:r w:rsidR="00DA320B">
        <w:rPr>
          <w:rStyle w:val="Hipervnculo"/>
          <w:rFonts w:asciiTheme="majorHAnsi" w:hAnsiTheme="majorHAnsi"/>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F1F56" w14:textId="77777777" w:rsidR="00A82D57" w:rsidRDefault="00A82D57" w:rsidP="005A1442">
      <w:r>
        <w:separator/>
      </w:r>
    </w:p>
  </w:footnote>
  <w:footnote w:type="continuationSeparator" w:id="0">
    <w:p w14:paraId="3DC5E8C3" w14:textId="77777777" w:rsidR="00A82D57" w:rsidRDefault="00A82D57" w:rsidP="005A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C9C9" w14:textId="77777777" w:rsidR="00843EE4" w:rsidRDefault="00843EE4" w:rsidP="0049738D">
    <w:pPr>
      <w:pStyle w:val="Encabezado"/>
      <w:jc w:val="center"/>
    </w:pPr>
    <w:r>
      <w:rPr>
        <w:noProof/>
        <w:lang w:eastAsia="es-CR"/>
      </w:rPr>
      <w:drawing>
        <wp:inline distT="0" distB="0" distL="0" distR="0" wp14:anchorId="3F702B19" wp14:editId="4D32409D">
          <wp:extent cx="1209580" cy="971550"/>
          <wp:effectExtent l="19050" t="0" r="0"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0CD2122B" w14:textId="77777777" w:rsidR="00843EE4" w:rsidRPr="00726D48" w:rsidRDefault="00843EE4">
    <w:pPr>
      <w:pStyle w:val="Encabezado"/>
      <w:rPr>
        <w:rFonts w:asciiTheme="majorHAnsi" w:hAnsiTheme="majorHAnsi"/>
        <w:sz w:val="24"/>
        <w:szCs w:val="24"/>
      </w:rPr>
    </w:pPr>
  </w:p>
  <w:sdt>
    <w:sdtPr>
      <w:rPr>
        <w:rFonts w:asciiTheme="majorHAnsi" w:hAnsiTheme="majorHAnsi"/>
        <w:b/>
        <w:i/>
        <w:color w:val="000000"/>
      </w:rPr>
      <w:alias w:val="Consecutivo"/>
      <w:tag w:val="Consecutivo"/>
      <w:id w:val="1562136323"/>
      <w:showingPlcHdr/>
      <w:text/>
    </w:sdtPr>
    <w:sdtEndPr/>
    <w:sdtContent>
      <w:p w14:paraId="720FAF8B" w14:textId="77777777" w:rsidR="0049738D" w:rsidRPr="00BC0302" w:rsidRDefault="0049738D" w:rsidP="0049738D">
        <w:pPr>
          <w:rPr>
            <w:rFonts w:asciiTheme="majorHAnsi" w:hAnsiTheme="majorHAnsi"/>
            <w:b/>
            <w:i/>
            <w:color w:val="000000"/>
          </w:rPr>
        </w:pPr>
        <w:r w:rsidRPr="00BC0302">
          <w:rPr>
            <w:rFonts w:asciiTheme="majorHAnsi" w:hAnsiTheme="majorHAnsi"/>
            <w:b/>
            <w:i/>
          </w:rPr>
          <w:t>SGS-R-2260-2019</w:t>
        </w:r>
      </w:p>
    </w:sdtContent>
  </w:sdt>
  <w:p w14:paraId="5ECE62FA" w14:textId="09260321" w:rsidR="00843EE4" w:rsidRPr="00726D48" w:rsidRDefault="00843EE4" w:rsidP="0049738D">
    <w:pPr>
      <w:pStyle w:val="Encabezado"/>
      <w:rPr>
        <w:rFonts w:asciiTheme="majorHAnsi" w:hAnsiTheme="majorHAnsi"/>
        <w:sz w:val="24"/>
        <w:szCs w:val="24"/>
        <w:lang w:val="es-MX"/>
      </w:rPr>
    </w:pPr>
    <w:r w:rsidRPr="00726D48">
      <w:rPr>
        <w:rFonts w:asciiTheme="majorHAnsi" w:hAnsiTheme="majorHAnsi"/>
        <w:sz w:val="24"/>
        <w:szCs w:val="24"/>
        <w:lang w:val="es-MX"/>
      </w:rPr>
      <w:t xml:space="preserve">Página  </w:t>
    </w:r>
    <w:r w:rsidRPr="00726D48">
      <w:rPr>
        <w:rFonts w:asciiTheme="majorHAnsi" w:hAnsiTheme="majorHAnsi"/>
        <w:sz w:val="24"/>
        <w:szCs w:val="24"/>
        <w:lang w:val="es-MX"/>
      </w:rPr>
      <w:fldChar w:fldCharType="begin"/>
    </w:r>
    <w:r w:rsidRPr="00726D48">
      <w:rPr>
        <w:rFonts w:asciiTheme="majorHAnsi" w:hAnsiTheme="majorHAnsi"/>
        <w:sz w:val="24"/>
        <w:szCs w:val="24"/>
        <w:lang w:val="es-MX"/>
      </w:rPr>
      <w:instrText xml:space="preserve"> PAGE   \* MERGEFORMAT </w:instrText>
    </w:r>
    <w:r w:rsidRPr="00726D48">
      <w:rPr>
        <w:rFonts w:asciiTheme="majorHAnsi" w:hAnsiTheme="majorHAnsi"/>
        <w:sz w:val="24"/>
        <w:szCs w:val="24"/>
        <w:lang w:val="es-MX"/>
      </w:rPr>
      <w:fldChar w:fldCharType="separate"/>
    </w:r>
    <w:r w:rsidR="004E6E76">
      <w:rPr>
        <w:rFonts w:asciiTheme="majorHAnsi" w:hAnsiTheme="majorHAnsi"/>
        <w:noProof/>
        <w:sz w:val="24"/>
        <w:szCs w:val="24"/>
        <w:lang w:val="es-MX"/>
      </w:rPr>
      <w:t>4</w:t>
    </w:r>
    <w:r w:rsidRPr="00726D48">
      <w:rPr>
        <w:rFonts w:asciiTheme="majorHAnsi" w:hAnsiTheme="majorHAnsi"/>
        <w:sz w:val="24"/>
        <w:szCs w:val="24"/>
        <w:lang w:val="es-MX"/>
      </w:rPr>
      <w:fldChar w:fldCharType="end"/>
    </w:r>
  </w:p>
  <w:p w14:paraId="2EB7F7D9" w14:textId="77777777" w:rsidR="00843EE4" w:rsidRPr="00726D48" w:rsidRDefault="00843EE4">
    <w:pPr>
      <w:pStyle w:val="Encabezado"/>
      <w:rPr>
        <w:rFonts w:asciiTheme="majorHAnsi" w:hAnsiTheme="majorHAnsi"/>
        <w:sz w:val="24"/>
        <w:szCs w:val="2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76BC" w14:textId="77777777" w:rsidR="00843EE4" w:rsidRDefault="00843EE4" w:rsidP="0049738D">
    <w:pPr>
      <w:pStyle w:val="Encabezado"/>
      <w:jc w:val="center"/>
    </w:pPr>
    <w:r>
      <w:rPr>
        <w:noProof/>
        <w:lang w:eastAsia="es-CR"/>
      </w:rPr>
      <w:drawing>
        <wp:inline distT="0" distB="0" distL="0" distR="0" wp14:anchorId="1BE59B68" wp14:editId="5287AC7D">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952ED21" w14:textId="77777777" w:rsidR="00843EE4" w:rsidRDefault="00843E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555D"/>
    <w:multiLevelType w:val="hybridMultilevel"/>
    <w:tmpl w:val="9F16A67A"/>
    <w:lvl w:ilvl="0" w:tplc="140A000F">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57"/>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115C"/>
    <w:rsid w:val="000E78B1"/>
    <w:rsid w:val="000F4177"/>
    <w:rsid w:val="00107380"/>
    <w:rsid w:val="00112325"/>
    <w:rsid w:val="00133DA2"/>
    <w:rsid w:val="00135FBF"/>
    <w:rsid w:val="00140B90"/>
    <w:rsid w:val="00146B1D"/>
    <w:rsid w:val="001551CB"/>
    <w:rsid w:val="0016515C"/>
    <w:rsid w:val="00167B6E"/>
    <w:rsid w:val="0017138C"/>
    <w:rsid w:val="00180BA2"/>
    <w:rsid w:val="0018143B"/>
    <w:rsid w:val="001874EF"/>
    <w:rsid w:val="001A29D3"/>
    <w:rsid w:val="001A6FE9"/>
    <w:rsid w:val="001B3C85"/>
    <w:rsid w:val="001B6EE9"/>
    <w:rsid w:val="001C1888"/>
    <w:rsid w:val="001C344D"/>
    <w:rsid w:val="001D2BCA"/>
    <w:rsid w:val="001F362F"/>
    <w:rsid w:val="002048C0"/>
    <w:rsid w:val="00221996"/>
    <w:rsid w:val="00222862"/>
    <w:rsid w:val="00234ECC"/>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58F1"/>
    <w:rsid w:val="00376DE7"/>
    <w:rsid w:val="00385D10"/>
    <w:rsid w:val="00391C88"/>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219D"/>
    <w:rsid w:val="004948D8"/>
    <w:rsid w:val="00495470"/>
    <w:rsid w:val="00496C81"/>
    <w:rsid w:val="0049738D"/>
    <w:rsid w:val="004A03B7"/>
    <w:rsid w:val="004A495A"/>
    <w:rsid w:val="004B767D"/>
    <w:rsid w:val="004C3B15"/>
    <w:rsid w:val="004C4D3C"/>
    <w:rsid w:val="004D2EB0"/>
    <w:rsid w:val="004D3D77"/>
    <w:rsid w:val="004D7196"/>
    <w:rsid w:val="004E6E7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6D48"/>
    <w:rsid w:val="007272CC"/>
    <w:rsid w:val="007324F8"/>
    <w:rsid w:val="007327C9"/>
    <w:rsid w:val="0074198B"/>
    <w:rsid w:val="007437E6"/>
    <w:rsid w:val="00744A2C"/>
    <w:rsid w:val="00746E52"/>
    <w:rsid w:val="00761D54"/>
    <w:rsid w:val="00762839"/>
    <w:rsid w:val="007636BD"/>
    <w:rsid w:val="00771580"/>
    <w:rsid w:val="00792726"/>
    <w:rsid w:val="007A0A2A"/>
    <w:rsid w:val="007A1E7F"/>
    <w:rsid w:val="007A22EA"/>
    <w:rsid w:val="007A2A51"/>
    <w:rsid w:val="007B04A5"/>
    <w:rsid w:val="007C19A7"/>
    <w:rsid w:val="007D2DAF"/>
    <w:rsid w:val="007E41E5"/>
    <w:rsid w:val="007E46F1"/>
    <w:rsid w:val="007E5094"/>
    <w:rsid w:val="007E66C6"/>
    <w:rsid w:val="007F09F5"/>
    <w:rsid w:val="008022A8"/>
    <w:rsid w:val="0080328F"/>
    <w:rsid w:val="00821436"/>
    <w:rsid w:val="00822477"/>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177B"/>
    <w:rsid w:val="00A46328"/>
    <w:rsid w:val="00A57156"/>
    <w:rsid w:val="00A66E6E"/>
    <w:rsid w:val="00A81FF0"/>
    <w:rsid w:val="00A82D57"/>
    <w:rsid w:val="00A83BA5"/>
    <w:rsid w:val="00A8710B"/>
    <w:rsid w:val="00AA35AB"/>
    <w:rsid w:val="00AA4CA2"/>
    <w:rsid w:val="00AB1CD0"/>
    <w:rsid w:val="00AB33C3"/>
    <w:rsid w:val="00AC0D3F"/>
    <w:rsid w:val="00AD00BB"/>
    <w:rsid w:val="00AD6B9E"/>
    <w:rsid w:val="00AE0313"/>
    <w:rsid w:val="00B04011"/>
    <w:rsid w:val="00B12501"/>
    <w:rsid w:val="00B21C1A"/>
    <w:rsid w:val="00B2475F"/>
    <w:rsid w:val="00B25C9B"/>
    <w:rsid w:val="00B300E9"/>
    <w:rsid w:val="00B32651"/>
    <w:rsid w:val="00B32EEB"/>
    <w:rsid w:val="00B40526"/>
    <w:rsid w:val="00B45FD8"/>
    <w:rsid w:val="00B50514"/>
    <w:rsid w:val="00B70578"/>
    <w:rsid w:val="00B73C42"/>
    <w:rsid w:val="00B826E2"/>
    <w:rsid w:val="00B910A3"/>
    <w:rsid w:val="00B95233"/>
    <w:rsid w:val="00B96A9E"/>
    <w:rsid w:val="00BA2A3A"/>
    <w:rsid w:val="00BA4095"/>
    <w:rsid w:val="00BA4EB8"/>
    <w:rsid w:val="00BB64F2"/>
    <w:rsid w:val="00BC0302"/>
    <w:rsid w:val="00BC2F23"/>
    <w:rsid w:val="00BC5BBE"/>
    <w:rsid w:val="00BD18FF"/>
    <w:rsid w:val="00BE08B6"/>
    <w:rsid w:val="00BE61CE"/>
    <w:rsid w:val="00BF28E2"/>
    <w:rsid w:val="00BF29C3"/>
    <w:rsid w:val="00BF581F"/>
    <w:rsid w:val="00BF5BF7"/>
    <w:rsid w:val="00BF67A7"/>
    <w:rsid w:val="00C00485"/>
    <w:rsid w:val="00C05704"/>
    <w:rsid w:val="00C240F2"/>
    <w:rsid w:val="00C276E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2C68"/>
    <w:rsid w:val="00D74E1D"/>
    <w:rsid w:val="00D84595"/>
    <w:rsid w:val="00D858A4"/>
    <w:rsid w:val="00D92485"/>
    <w:rsid w:val="00D92CD1"/>
    <w:rsid w:val="00DA2D4F"/>
    <w:rsid w:val="00DA320B"/>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4F6B"/>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611D6"/>
    <w:rsid w:val="00F615EE"/>
    <w:rsid w:val="00F6508B"/>
    <w:rsid w:val="00F84235"/>
    <w:rsid w:val="00F87AC4"/>
    <w:rsid w:val="00F952FA"/>
    <w:rsid w:val="00FA4D98"/>
    <w:rsid w:val="00FA56C0"/>
    <w:rsid w:val="00FB6C78"/>
    <w:rsid w:val="00FC2DDB"/>
    <w:rsid w:val="00FC5636"/>
    <w:rsid w:val="00FC7C8A"/>
    <w:rsid w:val="00FD0685"/>
    <w:rsid w:val="00FE165F"/>
    <w:rsid w:val="00FE1C22"/>
    <w:rsid w:val="00FE3A47"/>
    <w:rsid w:val="00FF0066"/>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5812C"/>
  <w15:docId w15:val="{0ECF47CC-7EA1-4BA4-9870-B3C81B51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E14F6B"/>
    <w:rPr>
      <w:color w:val="808080"/>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A82D57"/>
    <w:pPr>
      <w:spacing w:after="160" w:line="259" w:lineRule="auto"/>
      <w:ind w:left="720"/>
      <w:contextualSpacing/>
    </w:pPr>
    <w:rPr>
      <w:rFonts w:asciiTheme="minorHAnsi" w:eastAsiaTheme="minorHAnsi" w:hAnsiTheme="minorHAnsi" w:cstheme="minorBidi"/>
      <w:sz w:val="22"/>
      <w:szCs w:val="22"/>
      <w:lang w:val="es-CR"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A82D57"/>
  </w:style>
  <w:style w:type="paragraph" w:customStyle="1" w:styleId="TextoJustificadoTabla">
    <w:name w:val="Texto Justificado Tabla"/>
    <w:basedOn w:val="Normal"/>
    <w:rsid w:val="00A82D57"/>
    <w:pPr>
      <w:spacing w:before="60" w:after="60"/>
      <w:ind w:left="57" w:right="57"/>
      <w:jc w:val="both"/>
    </w:pPr>
    <w:rPr>
      <w:rFonts w:ascii="Arial" w:hAnsi="Arial"/>
      <w:snapToGrid w:val="0"/>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4112">
      <w:bodyDiv w:val="1"/>
      <w:marLeft w:val="0"/>
      <w:marRight w:val="0"/>
      <w:marTop w:val="0"/>
      <w:marBottom w:val="0"/>
      <w:divBdr>
        <w:top w:val="none" w:sz="0" w:space="0" w:color="auto"/>
        <w:left w:val="none" w:sz="0" w:space="0" w:color="auto"/>
        <w:bottom w:val="none" w:sz="0" w:space="0" w:color="auto"/>
        <w:right w:val="none" w:sz="0" w:space="0" w:color="auto"/>
      </w:divBdr>
    </w:div>
    <w:div w:id="10953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gese@sugese.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SalienteSUGESEResoluciones/Forms/Correspondencia%20Externa/Plantilla-SGS-R-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E16D172E3443979B7B26F7C59739F1"/>
        <w:category>
          <w:name w:val="General"/>
          <w:gallery w:val="placeholder"/>
        </w:category>
        <w:types>
          <w:type w:val="bbPlcHdr"/>
        </w:types>
        <w:behaviors>
          <w:behavior w:val="content"/>
        </w:behaviors>
        <w:guid w:val="{D6A2A5C0-5C43-4195-A766-FE79AC5061F2}"/>
      </w:docPartPr>
      <w:docPartBody>
        <w:p w:rsidR="008D1D03" w:rsidRDefault="008D1D03">
          <w:pPr>
            <w:pStyle w:val="BFE16D172E3443979B7B26F7C59739F1"/>
          </w:pPr>
          <w:r>
            <w:rPr>
              <w:rStyle w:val="Textodelmarcadordeposicin"/>
              <w:rFonts w:eastAsiaTheme="minorHAnsi"/>
            </w:rPr>
            <w:t>SGS-R-0000-AÑO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03"/>
    <w:rsid w:val="008D1D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FE16D172E3443979B7B26F7C59739F1">
    <w:name w:val="BFE16D172E3443979B7B26F7C5973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uhkXAPLnmiILycixjpoPyp42VHOpIAkPG1/DtrZelW8=</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rNjKeLcLcgFL04wfkO3n+O80s88W2Z5b6J1WGSl6hQc=</DigestValue>
    </Reference>
  </SignedInfo>
  <SignatureValue>bx8n0wZaaFKHTjc64eepjnRZAqcfCJsj4+lM6XtzU/4dhRQRW6+/0WtUT1m4l3/UuKDOYyKntu1Q
GxNEbOyeJmpQg+tc+OJ+WzfJA5x52wxRYG1fpmxVQIGJWU45UUZGSukvVJ3WPkm/4MOSoGSGw6vU
AnH9y5xoyeqRrj+USagV4Qa0DERP/Jbc1f49PdPCnUq9XOdeh0DVRFeAUwRnc3O1Lt7wfPtmrhuI
owb0YS3lcCRV1UrGvF2uJ64J9PDHq+4pe4RzrCRGSmUYBLPqxLmh2W1F88drd1Nzb3V20KQzCVFt
/RqRSlE3gJGSenLusCg8T4C/ju/AzQHETRXriQ==</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mcQHhKxOB2qwm6k2QNZNHJceBFmetE8Y53HkwCfURaw=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VWOORb+dGDk1nrXdgrmhy248eGZiRNiu0wj5Mg1JVW0=</DigestValue>
      </Reference>
      <Reference URI="/word/document.xml?ContentType=application/vnd.openxmlformats-officedocument.wordprocessingml.document.main+xml">
        <DigestMethod Algorithm="http://www.w3.org/2001/04/xmlenc#sha256"/>
        <DigestValue>EZ3a62Yon8Zb9SrZiGNp6FODgeNv7tPBiIAdANKHz4o=</DigestValue>
      </Reference>
      <Reference URI="/word/endnotes.xml?ContentType=application/vnd.openxmlformats-officedocument.wordprocessingml.endnotes+xml">
        <DigestMethod Algorithm="http://www.w3.org/2001/04/xmlenc#sha256"/>
        <DigestValue>RnRI4A5bNnKuvFsXfKyh5vO3EVuWuuVFQiLUyBXqrLc=</DigestValue>
      </Reference>
      <Reference URI="/word/fontTable.xml?ContentType=application/vnd.openxmlformats-officedocument.wordprocessingml.fontTable+xml">
        <DigestMethod Algorithm="http://www.w3.org/2001/04/xmlenc#sha256"/>
        <DigestValue>SoaCj5F517fpCfSOzfO51JS6ycOxZ0SPTfbv9XY5fV4=</DigestValue>
      </Reference>
      <Reference URI="/word/footer1.xml?ContentType=application/vnd.openxmlformats-officedocument.wordprocessingml.footer+xml">
        <DigestMethod Algorithm="http://www.w3.org/2001/04/xmlenc#sha256"/>
        <DigestValue>npdBo5CV4AQnyfClklST9ZOWcoGUUlccPRCdGfFbgiM=</DigestValue>
      </Reference>
      <Reference URI="/word/footer2.xml?ContentType=application/vnd.openxmlformats-officedocument.wordprocessingml.footer+xml">
        <DigestMethod Algorithm="http://www.w3.org/2001/04/xmlenc#sha256"/>
        <DigestValue>B3SD0fOMCwv5qaZO7/UtMY/ct6OfKRMNIoWftvWazAQ=</DigestValue>
      </Reference>
      <Reference URI="/word/footnotes.xml?ContentType=application/vnd.openxmlformats-officedocument.wordprocessingml.footnotes+xml">
        <DigestMethod Algorithm="http://www.w3.org/2001/04/xmlenc#sha256"/>
        <DigestValue>XGPC6NAC0JM6DooVJWkon9vZHAawhnO372lf3onU5sc=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N/GmStP8vQfXp6rRWrNCX3wRahdvk0hfQNmvvnyeBjE=</DigestValue>
      </Reference>
      <Reference URI="/word/glossary/fontTable.xml?ContentType=application/vnd.openxmlformats-officedocument.wordprocessingml.fontTable+xml">
        <DigestMethod Algorithm="http://www.w3.org/2001/04/xmlenc#sha256"/>
        <DigestValue>lpBEhtTSpx8P4RWKl7mIy8qfPzeTt5GVFVbH/sjE+KU=</DigestValue>
      </Reference>
      <Reference URI="/word/glossary/settings.xml?ContentType=application/vnd.openxmlformats-officedocument.wordprocessingml.settings+xml">
        <DigestMethod Algorithm="http://www.w3.org/2001/04/xmlenc#sha256"/>
        <DigestValue>wv5w5hrh1025mK9NYnwsrz/i+E1tlnTL1QcCsTB/sPQ=</DigestValue>
      </Reference>
      <Reference URI="/word/glossary/styles.xml?ContentType=application/vnd.openxmlformats-officedocument.wordprocessingml.styles+xml">
        <DigestMethod Algorithm="http://www.w3.org/2001/04/xmlenc#sha256"/>
        <DigestValue>nadMH7jvCFj64/D/yC67hsShWwmXXtf5KSLstY1fF9M=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9Tah3Ql9VLC0SfqT0RNwqiziC5nqHidrWkVuVFr6fqU=</DigestValue>
      </Reference>
      <Reference URI="/word/header2.xml?ContentType=application/vnd.openxmlformats-officedocument.wordprocessingml.header+xml">
        <DigestMethod Algorithm="http://www.w3.org/2001/04/xmlenc#sha256"/>
        <DigestValue>WZfo/xQmWBIb0UvcNv86qUU5Ok9FWoF8ullmCBf55+Y=</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NO1JehnJWrRSk4EA81xaC4Du3bsABrInwqOAvCuarDo=</DigestValue>
      </Reference>
      <Reference URI="/word/settings.xml?ContentType=application/vnd.openxmlformats-officedocument.wordprocessingml.settings+xml">
        <DigestMethod Algorithm="http://www.w3.org/2001/04/xmlenc#sha256"/>
        <DigestValue>pYjHQHowAZPAHcvoizUZVYet6D8btcj/FwSV8GAwVNQ=</DigestValue>
      </Reference>
      <Reference URI="/word/styles.xml?ContentType=application/vnd.openxmlformats-officedocument.wordprocessingml.styles+xml">
        <DigestMethod Algorithm="http://www.w3.org/2001/04/xmlenc#sha256"/>
        <DigestValue>pTqDJ8wEuKJhQksZeOfx/3KgdhLe9FIOer3//r2uAcI=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oX1vvKurUK9fVQKfYZX9hkuNeZUTcVpOq8Oa7AFJB3w=</DigestValue>
      </Reference>
    </Manifest>
    <SignatureProperties>
      <SignatureProperty Id="idSignatureTime" Target="#idPackageSignature">
        <mdssi:SignatureTime xmlns:mdssi="http://schemas.openxmlformats.org/package/2006/digital-signature">
          <mdssi:Format>YYYY-MM-DDThh:mm:ssTZD</mdssi:Format>
          <mdssi:Value>2019-09-23T20:32:22Z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2019-09-23T20:32:22Z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sk9HMv7KBOmxD8US1kUrwQe97szDwO5c+NLYAay/mMgCBAio2YwYDzIwMTkwOTIzMjAzMjI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1mlrPma1+XcGfIyILpl8Rai1hwU=</xd:ByKey>
                  </xd:ResponderID>
                  <xd:ProducedAt>2019-09-23T16:16:42Z</xd:ProducedAt>
                </xd:OCSPIdentifier>
                <xd:DigestAlgAndValue>
                  <DigestMethod Algorithm="http://www.w3.org/2001/04/xmlenc#sha256"/>
                  <DigestValue>uZsRmOZLP2+tJz/FBqe658+7/VpSEyQ+r7gfyYsDehk=</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B4nDZ5iDMfqAG8Q3BsnXMrthXtKcyGjIzUyLxej2QMCBAio2Y0YDzIwMTkwOTIzMjAzMjI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2FEE0E91A6F847B81CB8FFB0DCDEDD" ma:contentTypeVersion="6" ma:contentTypeDescription="Crear nuevo documento." ma:contentTypeScope="" ma:versionID="bba0ae12844a9d8d0613c8ab951db7c0">
  <xsd:schema xmlns:xsd="http://www.w3.org/2001/XMLSchema" xmlns:xs="http://www.w3.org/2001/XMLSchema" xmlns:p="http://schemas.microsoft.com/office/2006/metadata/properties" xmlns:ns2="b9fc4df0-8f56-46e7-b005-54afe0044df7" targetNamespace="http://schemas.microsoft.com/office/2006/metadata/properties" ma:root="true" ma:fieldsID="2818ef00e05f55933c15bfaf52e43395" ns2:_="">
    <xsd:import namespace="b9fc4df0-8f56-46e7-b005-54afe0044df7"/>
    <xsd:element name="properties">
      <xsd:complexType>
        <xsd:sequence>
          <xsd:element name="documentManagement">
            <xsd:complexType>
              <xsd:all>
                <xsd:element ref="ns2:NumeroCircular" minOccurs="0"/>
                <xsd:element ref="ns2:ContenidoMultilineaHTML"/>
                <xsd:element ref="ns2:Legislacionrelacionada"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Circular" ma:index="8" nillable="true" ma:displayName="Número Comunicado" ma:description="" ma:internalName="NumeroCircular">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Legislacionrelacionada" ma:index="10" nillable="true" ma:displayName="Legislación relacionada" ma:internalName="Legislacionrelacionada">
      <xsd:simpleType>
        <xsd:restriction base="dms:Note">
          <xsd:maxLength value="255"/>
        </xsd:restriction>
      </xsd:simpleType>
    </xsd:element>
    <xsd:element name="FechaPublicacionDocumento" ma:index="11" nillable="true" ma:displayName="FechaPublicacionDocumento" ma:description="" ma:format="DateOnly" ma:internalName="FechaPublicacionDocumento">
      <xsd:simpleType>
        <xsd:restriction base="dms:DateTime"/>
      </xsd:simpleType>
    </xsd:element>
    <xsd:element name="TipoContenido" ma:index="12" nillable="true" ma:displayName="TipoContenido" ma:list="{ec55f565-d8ce-4d28-9f5f-877c6e6feccc}" ma:internalName="TipoContenido" ma:showField="Title" ma:web="b9fc4df0-8f56-46e7-b005-54afe0044df7">
      <xsd:simpleType>
        <xsd:restriction base="dms:Lookup"/>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2019-09-26T06:00:00+00:00</FechaPublicacionDocumento>
    <TipoContenido xmlns="b9fc4df0-8f56-46e7-b005-54afe0044df7">6</TipoContenido>
    <ContenidoMultilineaHTML xmlns="b9fc4df0-8f56-46e7-b005-54afe0044df7">​Presenta resolución de error material al comunicado para el registro y reporte de los montos a transferir por financiamiento del INEC durante el segundo semestre de 2019, en relación con la implementación de la Ley N° 9694 sobre el Sistema de Estadística Nacional (Corrige resolución SGS-R-2253-2019)&lt;br&gt;&lt;br&gt;</ContenidoMultilineaHTML>
    <NumeroCircular xmlns="b9fc4df0-8f56-46e7-b005-54afe0044df7">SGS-R-2260-2019</NumeroCircular>
    <Legislacionrelacionada xmlns="b9fc4df0-8f56-46e7-b005-54afe0044df7">&lt;div class="ExternalClass383376CA9C614C4F94EC12F4316E4F73"&gt;​​Reglamento
de Información Financiera y Ley N°9694 sobre el Sistema de Estadística Nacional&lt;br&gt;&lt;br&gt;&lt;br&gt;&lt;br&gt;&lt;/div&gt;</Legislacionrelacionada>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79" ma:contentTypeDescription="Crear nuevo documento." ma:contentTypeScope="" ma:versionID="54150d904afccaa0983f7220a677e403">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2a30ade1c9fde3a5e128ac7749938b32"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le4d0452cf914745a3be299b9fbec69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BC18EEFB-C5D6-4586-9546-CDF9534EEDD5}"/>
</file>

<file path=customXml/itemProps2.xml><?xml version="1.0" encoding="utf-8"?>
<ds:datastoreItem xmlns:ds="http://schemas.openxmlformats.org/officeDocument/2006/customXml" ds:itemID="{55249C05-6761-4900-8146-AEBD5921A9D8}"/>
</file>

<file path=customXml/itemProps3.xml><?xml version="1.0" encoding="utf-8"?>
<ds:datastoreItem xmlns:ds="http://schemas.openxmlformats.org/officeDocument/2006/customXml" ds:itemID="{E9BFDFF1-5A20-4AF1-AAD4-F731651ECA5C}"/>
</file>

<file path=customXml/itemProps4.xml><?xml version="1.0" encoding="utf-8"?>
<ds:datastoreItem xmlns:ds="http://schemas.openxmlformats.org/officeDocument/2006/customXml" ds:itemID="{C4CB7532-E031-45E7-9413-1E42CFA24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1d928bc7-afa1-4dc6-85c1-eb2d7474d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762F73-0CB5-4720-AFDC-DCE82377DC20}">
  <ds:schemaRefs>
    <ds:schemaRef ds:uri="http://schemas.microsoft.com/sharepoint/events"/>
  </ds:schemaRefs>
</ds:datastoreItem>
</file>

<file path=customXml/itemProps6.xml><?xml version="1.0" encoding="utf-8"?>
<ds:datastoreItem xmlns:ds="http://schemas.openxmlformats.org/officeDocument/2006/customXml" ds:itemID="{B6F124A5-4FBD-4B13-894D-887D45CF06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Plantilla-SGS-R-13.dotm</Template>
  <TotalTime>8</TotalTime>
  <Pages>4</Pages>
  <Words>790</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Superintendencia General de Seguros</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Error material sobre comunicado para el registro y reporte de los montos a transferir por financiamiento del INEC durante el segundo semestre de 2019</dc:title>
  <dc:creator>BOGANTES VILLALOBOS KATTYA</dc:creator>
  <cp:lastModifiedBy>SOLEY PEREZ TOMAS</cp:lastModifiedBy>
  <cp:revision>4</cp:revision>
  <dcterms:created xsi:type="dcterms:W3CDTF">2019-09-23T19:10:00Z</dcterms:created>
  <dcterms:modified xsi:type="dcterms:W3CDTF">2019-09-23T20:32:00Z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0x010100492FEE0E91A6F847B81CB8FFB0DCDEDD</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130;#Confidencial|d19c5cf3-f0e9-4d18-86d2-7bee4000e1ea</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Dirigido a (entidad externa)">
    <vt:lpwstr>292;#Aseguradoras|84cf61bd-265e-4fe1-82e5-e22fa019a8e8</vt:lpwstr>
  </property>
  <property fmtid="{D5CDD505-2E9C-101B-9397-08002B2CF9AE}" pid="9" name="Unidad de Destino">
    <vt:lpwstr/>
  </property>
  <property fmtid="{D5CDD505-2E9C-101B-9397-08002B2CF9AE}" pid="10" name="Disponibilidad">
    <vt:lpwstr>3;#Media|3f3debfe-f918-4d91-ad3c-df12ce43024d</vt:lpwstr>
  </property>
  <property fmtid="{D5CDD505-2E9C-101B-9397-08002B2CF9AE}" pid="11" name="Unidad Remitente">
    <vt:lpwstr>259;#SUGESE - Resoluciones|0d139dd2-3df2-4a97-bed0-e619428572cc</vt:lpwstr>
  </property>
  <property fmtid="{D5CDD505-2E9C-101B-9397-08002B2CF9AE}" pid="12" name="WorkflowChangePath">
    <vt:lpwstr>d42f408b-6dcf-4178-a56c-0c6ee096ab90,4;a97053c8-af3b-4208-be2b-79cdeaf83f5e,8;6953ea2b-9f63-4724-8a63-c00c20941f6a,9;</vt:lpwstr>
  </property>
  <property fmtid="{D5CDD505-2E9C-101B-9397-08002B2CF9AE}" pid="13" name="_MarkAsFinal">
    <vt:bool>true</vt:bool>
  </property>
  <property fmtid="{D5CDD505-2E9C-101B-9397-08002B2CF9AE}" pid="14" name="ecm_ItemDeleteBlockHolders">
    <vt:lpwstr/>
  </property>
  <property fmtid="{D5CDD505-2E9C-101B-9397-08002B2CF9AE}" pid="17" name="IconOverlay">
    <vt:lpwstr/>
  </property>
  <property fmtid="{D5CDD505-2E9C-101B-9397-08002B2CF9AE}" pid="18" name="ecm_RecordRestrictions">
    <vt:lpwstr/>
  </property>
  <property fmtid="{D5CDD505-2E9C-101B-9397-08002B2CF9AE}" pid="19" name="ecm_ItemLockHolders">
    <vt:lpwstr/>
  </property>
</Properties>
</file>