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6904F3" w14:textId="77777777" w:rsidR="006A3734" w:rsidRPr="006A3734" w:rsidRDefault="006A3734" w:rsidP="006A3734">
      <w:pPr>
        <w:jc w:val="both"/>
        <w:rPr>
          <w:rFonts w:ascii="Cambria" w:hAnsi="Cambria"/>
          <w:color w:val="000000"/>
        </w:rPr>
      </w:pPr>
    </w:p>
    <w:p w14:paraId="63EFCD2B" w14:textId="77777777" w:rsidR="00BF29C3" w:rsidRPr="00EC4BE6" w:rsidRDefault="00BF29C3" w:rsidP="00BF29C3">
      <w:pPr>
        <w:ind w:left="-567"/>
        <w:jc w:val="both"/>
        <w:rPr>
          <w:rFonts w:asciiTheme="majorHAnsi" w:hAnsiTheme="majorHAnsi"/>
          <w:i/>
          <w:color w:val="000000"/>
        </w:rPr>
      </w:pPr>
      <w:r>
        <w:rPr>
          <w:rFonts w:asciiTheme="majorHAnsi" w:hAnsiTheme="majorHAnsi"/>
          <w:i/>
          <w:color w:val="000000"/>
        </w:rPr>
        <w:t xml:space="preserve">Tomás </w:t>
      </w:r>
      <w:proofErr w:type="spellStart"/>
      <w:r>
        <w:rPr>
          <w:rFonts w:asciiTheme="majorHAnsi" w:hAnsiTheme="majorHAnsi"/>
          <w:i/>
          <w:color w:val="000000"/>
        </w:rPr>
        <w:t>Soley</w:t>
      </w:r>
      <w:proofErr w:type="spellEnd"/>
      <w:r>
        <w:rPr>
          <w:rFonts w:asciiTheme="majorHAnsi" w:hAnsiTheme="majorHAnsi"/>
          <w:i/>
          <w:color w:val="000000"/>
        </w:rPr>
        <w:t xml:space="preserve"> Pérez</w:t>
      </w:r>
    </w:p>
    <w:p w14:paraId="019EE43C" w14:textId="77777777" w:rsidR="00BF29C3" w:rsidRPr="00EC4BE6" w:rsidRDefault="00BF29C3" w:rsidP="00BF29C3">
      <w:pPr>
        <w:ind w:left="-567"/>
        <w:jc w:val="both"/>
        <w:rPr>
          <w:rFonts w:asciiTheme="majorHAnsi" w:hAnsiTheme="majorHAnsi"/>
          <w:i/>
          <w:color w:val="000000"/>
        </w:rPr>
      </w:pPr>
      <w:r>
        <w:rPr>
          <w:rFonts w:asciiTheme="majorHAnsi" w:hAnsiTheme="majorHAnsi"/>
          <w:i/>
          <w:color w:val="000000"/>
        </w:rPr>
        <w:t>Superin</w:t>
      </w:r>
      <w:r w:rsidRPr="00EC4BE6">
        <w:rPr>
          <w:rFonts w:asciiTheme="majorHAnsi" w:hAnsiTheme="majorHAnsi"/>
          <w:i/>
          <w:color w:val="000000"/>
        </w:rPr>
        <w:t xml:space="preserve">tendente de Seguros </w:t>
      </w:r>
    </w:p>
    <w:p w14:paraId="47A67DB4" w14:textId="77777777" w:rsidR="00BF29C3" w:rsidRDefault="00BF29C3" w:rsidP="00BF29C3">
      <w:pPr>
        <w:jc w:val="both"/>
        <w:rPr>
          <w:rFonts w:asciiTheme="majorHAnsi" w:hAnsiTheme="majorHAnsi"/>
          <w:color w:val="000000"/>
          <w:szCs w:val="22"/>
        </w:rPr>
      </w:pPr>
    </w:p>
    <w:p w14:paraId="59314D2A" w14:textId="77777777" w:rsidR="00BF29C3" w:rsidRPr="001E4EF9" w:rsidRDefault="00BF29C3" w:rsidP="00BF29C3">
      <w:pPr>
        <w:jc w:val="both"/>
        <w:rPr>
          <w:rFonts w:ascii="Cambria" w:hAnsi="Cambria"/>
          <w:b/>
          <w:i/>
          <w:color w:val="000000"/>
          <w:lang w:val="es-CR"/>
        </w:rPr>
      </w:pPr>
    </w:p>
    <w:sdt>
      <w:sdtPr>
        <w:rPr>
          <w:rFonts w:ascii="Cambria" w:hAnsi="Cambria"/>
          <w:b/>
          <w:i/>
          <w:color w:val="000000"/>
        </w:rPr>
        <w:alias w:val="Consecutivo"/>
        <w:tag w:val="Consecutivo"/>
        <w:id w:val="739599199"/>
        <w:placeholder>
          <w:docPart w:val="EA6A3887C17C4E5790B33311AB973A22"/>
        </w:placeholder>
        <w:showingPlcHdr/>
        <w:text/>
      </w:sdtPr>
      <w:sdtEndPr>
        <w:rPr>
          <w:b w:val="0"/>
          <w:i w:val="0"/>
        </w:rPr>
      </w:sdtEndPr>
      <w:sdtContent>
        <w:p w14:paraId="536A2357" w14:textId="77777777" w:rsidR="00BF29C3" w:rsidRPr="00BF16FC" w:rsidRDefault="00E14F6B" w:rsidP="00E14F6B">
          <w:pPr>
            <w:jc w:val="center"/>
            <w:rPr>
              <w:rFonts w:ascii="Cambria" w:hAnsi="Cambria"/>
              <w:color w:val="000000"/>
            </w:rPr>
          </w:pPr>
          <w:r w:rsidRPr="00A766AB">
            <w:rPr>
              <w:rFonts w:ascii="Cambria" w:hAnsi="Cambria"/>
              <w:b/>
              <w:i/>
            </w:rPr>
            <w:t>SGS-R-2253-2019</w:t>
          </w:r>
        </w:p>
      </w:sdtContent>
    </w:sdt>
    <w:p w14:paraId="400B238E" w14:textId="77777777" w:rsidR="00892881" w:rsidRDefault="00892881" w:rsidP="00892881">
      <w:pPr>
        <w:pStyle w:val="Prrafodelista"/>
        <w:spacing w:after="0" w:line="240" w:lineRule="auto"/>
        <w:ind w:left="0"/>
        <w:rPr>
          <w:rFonts w:ascii="Cambria" w:eastAsia="Times New Roman" w:hAnsi="Cambria" w:cs="Arial"/>
          <w:b/>
          <w:bCs/>
          <w:color w:val="000000"/>
          <w:sz w:val="28"/>
          <w:szCs w:val="24"/>
          <w:lang w:eastAsia="es-CR"/>
        </w:rPr>
      </w:pPr>
    </w:p>
    <w:p w14:paraId="065FD834" w14:textId="77777777" w:rsidR="00892881" w:rsidRDefault="00892881" w:rsidP="00892881">
      <w:pPr>
        <w:pStyle w:val="Prrafodelista"/>
        <w:spacing w:after="0" w:line="240" w:lineRule="auto"/>
        <w:ind w:left="0"/>
        <w:jc w:val="center"/>
        <w:rPr>
          <w:rFonts w:ascii="Cambria" w:eastAsia="Times New Roman" w:hAnsi="Cambria" w:cs="Arial"/>
          <w:b/>
          <w:bCs/>
          <w:color w:val="000000"/>
          <w:sz w:val="28"/>
          <w:szCs w:val="24"/>
          <w:lang w:eastAsia="es-CR"/>
        </w:rPr>
      </w:pPr>
      <w:r w:rsidRPr="00533291">
        <w:rPr>
          <w:rFonts w:ascii="Cambria" w:eastAsia="Times New Roman" w:hAnsi="Cambria" w:cs="Arial"/>
          <w:b/>
          <w:bCs/>
          <w:color w:val="000000"/>
          <w:sz w:val="28"/>
          <w:szCs w:val="24"/>
          <w:lang w:eastAsia="es-CR"/>
        </w:rPr>
        <w:t xml:space="preserve">Comunicado sobre el registro, durante el año 2019, </w:t>
      </w:r>
    </w:p>
    <w:p w14:paraId="25F5FFA9" w14:textId="77777777" w:rsidR="00892881" w:rsidRDefault="00892881" w:rsidP="00892881">
      <w:pPr>
        <w:pStyle w:val="Prrafodelista"/>
        <w:spacing w:after="0" w:line="240" w:lineRule="auto"/>
        <w:ind w:left="0"/>
        <w:jc w:val="center"/>
        <w:rPr>
          <w:rFonts w:ascii="Cambria" w:eastAsia="Times New Roman" w:hAnsi="Cambria" w:cs="Arial"/>
          <w:b/>
          <w:bCs/>
          <w:color w:val="000000"/>
          <w:sz w:val="28"/>
          <w:szCs w:val="24"/>
          <w:lang w:eastAsia="es-CR"/>
        </w:rPr>
      </w:pPr>
      <w:proofErr w:type="gramStart"/>
      <w:r w:rsidRPr="00533291">
        <w:rPr>
          <w:rFonts w:ascii="Cambria" w:eastAsia="Times New Roman" w:hAnsi="Cambria" w:cs="Arial"/>
          <w:b/>
          <w:bCs/>
          <w:color w:val="000000"/>
          <w:sz w:val="28"/>
          <w:szCs w:val="24"/>
          <w:lang w:eastAsia="es-CR"/>
        </w:rPr>
        <w:t>de</w:t>
      </w:r>
      <w:proofErr w:type="gramEnd"/>
      <w:r w:rsidRPr="00533291">
        <w:rPr>
          <w:rFonts w:ascii="Cambria" w:eastAsia="Times New Roman" w:hAnsi="Cambria" w:cs="Arial"/>
          <w:b/>
          <w:bCs/>
          <w:color w:val="000000"/>
          <w:sz w:val="28"/>
          <w:szCs w:val="24"/>
          <w:lang w:eastAsia="es-CR"/>
        </w:rPr>
        <w:t xml:space="preserve"> </w:t>
      </w:r>
      <w:r>
        <w:rPr>
          <w:rFonts w:ascii="Cambria" w:eastAsia="Times New Roman" w:hAnsi="Cambria" w:cs="Arial"/>
          <w:b/>
          <w:bCs/>
          <w:color w:val="000000"/>
          <w:sz w:val="28"/>
          <w:szCs w:val="24"/>
          <w:lang w:eastAsia="es-CR"/>
        </w:rPr>
        <w:t xml:space="preserve">los aportes para </w:t>
      </w:r>
      <w:r w:rsidRPr="00533291">
        <w:rPr>
          <w:rFonts w:ascii="Cambria" w:eastAsia="Times New Roman" w:hAnsi="Cambria" w:cs="Arial"/>
          <w:b/>
          <w:bCs/>
          <w:color w:val="000000"/>
          <w:sz w:val="28"/>
          <w:szCs w:val="24"/>
          <w:lang w:eastAsia="es-CR"/>
        </w:rPr>
        <w:t xml:space="preserve">el financiamiento del </w:t>
      </w:r>
    </w:p>
    <w:p w14:paraId="695DB5C8" w14:textId="77777777" w:rsidR="00892881" w:rsidRPr="00533291" w:rsidRDefault="00892881" w:rsidP="00892881">
      <w:pPr>
        <w:pStyle w:val="Prrafodelista"/>
        <w:spacing w:after="0" w:line="240" w:lineRule="auto"/>
        <w:ind w:left="0"/>
        <w:jc w:val="center"/>
        <w:rPr>
          <w:rFonts w:ascii="Cambria" w:eastAsia="Times New Roman" w:hAnsi="Cambria" w:cs="Arial"/>
          <w:b/>
          <w:bCs/>
          <w:color w:val="000000"/>
          <w:sz w:val="28"/>
          <w:szCs w:val="24"/>
          <w:lang w:eastAsia="es-CR"/>
        </w:rPr>
      </w:pPr>
      <w:r w:rsidRPr="00533291">
        <w:rPr>
          <w:rFonts w:ascii="Cambria" w:eastAsia="Times New Roman" w:hAnsi="Cambria" w:cs="Arial"/>
          <w:b/>
          <w:bCs/>
          <w:color w:val="000000"/>
          <w:sz w:val="28"/>
          <w:szCs w:val="24"/>
          <w:lang w:eastAsia="es-CR"/>
        </w:rPr>
        <w:t xml:space="preserve">Instituto Nacional de Estadística y </w:t>
      </w:r>
      <w:r>
        <w:rPr>
          <w:rFonts w:ascii="Cambria" w:eastAsia="Times New Roman" w:hAnsi="Cambria" w:cs="Arial"/>
          <w:b/>
          <w:bCs/>
          <w:color w:val="000000"/>
          <w:sz w:val="28"/>
          <w:szCs w:val="24"/>
          <w:lang w:eastAsia="es-CR"/>
        </w:rPr>
        <w:t>Censos</w:t>
      </w:r>
      <w:r w:rsidRPr="00533291">
        <w:rPr>
          <w:rFonts w:ascii="Cambria" w:eastAsia="Times New Roman" w:hAnsi="Cambria" w:cs="Arial"/>
          <w:b/>
          <w:bCs/>
          <w:color w:val="000000"/>
          <w:sz w:val="28"/>
          <w:szCs w:val="24"/>
          <w:lang w:eastAsia="es-CR"/>
        </w:rPr>
        <w:t>.</w:t>
      </w:r>
    </w:p>
    <w:p w14:paraId="4B13AD1F" w14:textId="77777777" w:rsidR="00892881" w:rsidRPr="002201CE" w:rsidRDefault="00892881" w:rsidP="00892881">
      <w:pPr>
        <w:pStyle w:val="Prrafodelista"/>
        <w:spacing w:after="0" w:line="240" w:lineRule="auto"/>
        <w:ind w:left="0"/>
        <w:jc w:val="both"/>
        <w:rPr>
          <w:rFonts w:ascii="Cambria" w:eastAsia="Times New Roman" w:hAnsi="Cambria" w:cs="Arial"/>
          <w:bCs/>
          <w:color w:val="000000"/>
          <w:sz w:val="24"/>
          <w:szCs w:val="24"/>
          <w:lang w:eastAsia="es-CR"/>
        </w:rPr>
      </w:pPr>
    </w:p>
    <w:p w14:paraId="4CE55494" w14:textId="77777777" w:rsidR="00892881" w:rsidRPr="002201CE" w:rsidRDefault="00892881" w:rsidP="00892881">
      <w:pPr>
        <w:pStyle w:val="Prrafodelista"/>
        <w:spacing w:after="0" w:line="240" w:lineRule="auto"/>
        <w:jc w:val="both"/>
        <w:rPr>
          <w:rFonts w:ascii="Cambria" w:eastAsia="Times New Roman" w:hAnsi="Cambria" w:cs="Arial"/>
          <w:bCs/>
          <w:color w:val="000000"/>
          <w:sz w:val="24"/>
          <w:szCs w:val="24"/>
          <w:lang w:eastAsia="es-CR"/>
        </w:rPr>
      </w:pPr>
    </w:p>
    <w:p w14:paraId="14EA9533" w14:textId="6FFB618D" w:rsidR="00892881" w:rsidRPr="002201CE" w:rsidRDefault="00892881" w:rsidP="00892881">
      <w:pPr>
        <w:jc w:val="both"/>
        <w:rPr>
          <w:rFonts w:ascii="Cambria" w:hAnsi="Cambria" w:cs="Arial"/>
          <w:bCs/>
          <w:color w:val="000000"/>
          <w:lang w:eastAsia="es-CR"/>
        </w:rPr>
      </w:pPr>
      <w:r w:rsidRPr="002201CE">
        <w:rPr>
          <w:rFonts w:ascii="Cambria" w:hAnsi="Cambria" w:cs="Arial"/>
          <w:bCs/>
          <w:color w:val="000000"/>
          <w:lang w:eastAsia="es-CR"/>
        </w:rPr>
        <w:t xml:space="preserve">El Superintendente General de Seguros, </w:t>
      </w:r>
      <w:r>
        <w:rPr>
          <w:rFonts w:ascii="Cambria" w:hAnsi="Cambria" w:cs="Arial"/>
          <w:bCs/>
          <w:color w:val="000000"/>
          <w:lang w:eastAsia="es-CR"/>
        </w:rPr>
        <w:t xml:space="preserve">a las </w:t>
      </w:r>
      <w:r w:rsidR="00B941E5">
        <w:rPr>
          <w:rFonts w:ascii="Cambria" w:hAnsi="Cambria" w:cs="Arial"/>
          <w:bCs/>
          <w:color w:val="000000"/>
          <w:lang w:eastAsia="es-CR"/>
        </w:rPr>
        <w:t>12</w:t>
      </w:r>
      <w:r>
        <w:rPr>
          <w:rFonts w:ascii="Cambria" w:hAnsi="Cambria" w:cs="Arial"/>
          <w:bCs/>
          <w:color w:val="000000"/>
          <w:lang w:eastAsia="es-CR"/>
        </w:rPr>
        <w:t xml:space="preserve"> horas </w:t>
      </w:r>
      <w:r w:rsidR="00B941E5">
        <w:rPr>
          <w:rFonts w:ascii="Cambria" w:hAnsi="Cambria" w:cs="Arial"/>
          <w:bCs/>
          <w:color w:val="000000"/>
          <w:lang w:eastAsia="es-CR"/>
        </w:rPr>
        <w:t xml:space="preserve">y 40 minutos </w:t>
      </w:r>
      <w:r>
        <w:rPr>
          <w:rFonts w:ascii="Cambria" w:hAnsi="Cambria" w:cs="Arial"/>
          <w:bCs/>
          <w:color w:val="000000"/>
          <w:lang w:eastAsia="es-CR"/>
        </w:rPr>
        <w:t xml:space="preserve">del </w:t>
      </w:r>
      <w:r w:rsidR="00B941E5">
        <w:rPr>
          <w:rFonts w:ascii="Cambria" w:hAnsi="Cambria" w:cs="Arial"/>
          <w:bCs/>
          <w:color w:val="000000"/>
          <w:lang w:eastAsia="es-CR"/>
        </w:rPr>
        <w:t xml:space="preserve">veintiséis </w:t>
      </w:r>
      <w:r>
        <w:rPr>
          <w:rFonts w:ascii="Cambria" w:hAnsi="Cambria" w:cs="Arial"/>
          <w:bCs/>
          <w:color w:val="000000"/>
          <w:lang w:eastAsia="es-CR"/>
        </w:rPr>
        <w:t xml:space="preserve">de </w:t>
      </w:r>
      <w:r w:rsidR="00B941E5">
        <w:rPr>
          <w:rFonts w:ascii="Cambria" w:hAnsi="Cambria" w:cs="Arial"/>
          <w:bCs/>
          <w:color w:val="000000"/>
          <w:lang w:eastAsia="es-CR"/>
        </w:rPr>
        <w:t>agosto</w:t>
      </w:r>
      <w:r>
        <w:rPr>
          <w:rFonts w:ascii="Cambria" w:hAnsi="Cambria" w:cs="Arial"/>
          <w:bCs/>
          <w:color w:val="000000"/>
          <w:lang w:eastAsia="es-CR"/>
        </w:rPr>
        <w:t xml:space="preserve"> de 2019, considerando que: </w:t>
      </w:r>
    </w:p>
    <w:p w14:paraId="066A7A6E" w14:textId="77777777" w:rsidR="00892881" w:rsidRPr="002201CE" w:rsidRDefault="00892881" w:rsidP="00892881">
      <w:pPr>
        <w:jc w:val="both"/>
        <w:rPr>
          <w:rFonts w:ascii="Cambria" w:hAnsi="Cambria" w:cs="Arial"/>
          <w:bCs/>
          <w:color w:val="000000"/>
          <w:lang w:eastAsia="es-CR"/>
        </w:rPr>
      </w:pPr>
    </w:p>
    <w:p w14:paraId="3DE78A94" w14:textId="77777777" w:rsidR="00892881" w:rsidRPr="00533291" w:rsidRDefault="00892881" w:rsidP="00892881">
      <w:pPr>
        <w:numPr>
          <w:ilvl w:val="0"/>
          <w:numId w:val="1"/>
        </w:numPr>
        <w:contextualSpacing/>
        <w:jc w:val="both"/>
        <w:rPr>
          <w:rFonts w:ascii="Cambria" w:hAnsi="Cambria"/>
          <w:i/>
        </w:rPr>
      </w:pPr>
      <w:r w:rsidRPr="00927FFA">
        <w:rPr>
          <w:rFonts w:ascii="Cambria" w:hAnsi="Cambria"/>
        </w:rPr>
        <w:t>El artículo 28 de la Ley Reguladora del Mercado de Seguros, Ley N° 8653, en concordancia con el literal ñ) del artículo 171 de la Ley Reguladora del Mercado de Valores, Ley N° 7732, otorga al Consejo Nacional de Supervisión del Sistema Financiero (CONASSIF), la potestad de aprobar las normas contables que deben observar las entidades sujetas a la regulación y supervisión de la Superintendencia General de Seguros (SUGESE).</w:t>
      </w:r>
    </w:p>
    <w:p w14:paraId="76BC2794" w14:textId="77777777" w:rsidR="00892881" w:rsidRPr="00533291" w:rsidRDefault="00892881" w:rsidP="00892881">
      <w:pPr>
        <w:ind w:left="360" w:hanging="218"/>
        <w:contextualSpacing/>
        <w:jc w:val="both"/>
        <w:rPr>
          <w:rFonts w:ascii="Cambria" w:hAnsi="Cambria"/>
          <w:i/>
        </w:rPr>
      </w:pPr>
    </w:p>
    <w:p w14:paraId="2B475479" w14:textId="77777777" w:rsidR="00892881" w:rsidRDefault="00892881" w:rsidP="00892881">
      <w:pPr>
        <w:numPr>
          <w:ilvl w:val="0"/>
          <w:numId w:val="1"/>
        </w:numPr>
        <w:contextualSpacing/>
        <w:jc w:val="both"/>
        <w:rPr>
          <w:rFonts w:ascii="Cambria" w:hAnsi="Cambria"/>
        </w:rPr>
      </w:pPr>
      <w:r w:rsidRPr="00927FFA">
        <w:rPr>
          <w:rFonts w:ascii="Cambria" w:hAnsi="Cambria"/>
        </w:rPr>
        <w:t>Mediante artículo 13, numeral 3, del acta de la sesión 811-2009, celebrada el 2 de octubre de</w:t>
      </w:r>
      <w:r>
        <w:rPr>
          <w:rFonts w:ascii="Cambria" w:hAnsi="Cambria"/>
        </w:rPr>
        <w:t xml:space="preserve"> </w:t>
      </w:r>
      <w:r w:rsidRPr="00927FFA">
        <w:rPr>
          <w:rFonts w:ascii="Cambria" w:hAnsi="Cambria"/>
        </w:rPr>
        <w:t>2009, el CONASSIF aprobó el “Plan de cuentas para entidades de seguros” que es la base para la preparación de los estados financieros y la información complementaria de las entidades supervisadas por la SUGESE.   Que el plan de cuentas mencionado para entidades de seguros, será sustituido por una nueva versión a partir del 01 de enero de 2020, según lo aprobado por el CONASSIF mediante artículos 6 y 5, de las actas de las sesiones 1442-2018 y 1443-2018, ambas celebradas el 11 de setiembre de 2018.</w:t>
      </w:r>
    </w:p>
    <w:p w14:paraId="6A807B99" w14:textId="77777777" w:rsidR="00892881" w:rsidRPr="00D770CE" w:rsidRDefault="00892881" w:rsidP="00892881">
      <w:pPr>
        <w:contextualSpacing/>
        <w:jc w:val="both"/>
        <w:rPr>
          <w:rFonts w:ascii="Cambria" w:hAnsi="Cambria"/>
        </w:rPr>
      </w:pPr>
    </w:p>
    <w:p w14:paraId="5E128E06" w14:textId="4115DA86" w:rsidR="00892881" w:rsidRDefault="00892881" w:rsidP="00892881">
      <w:pPr>
        <w:pStyle w:val="Prrafodelista"/>
        <w:numPr>
          <w:ilvl w:val="0"/>
          <w:numId w:val="1"/>
        </w:numPr>
        <w:spacing w:after="0" w:line="240" w:lineRule="auto"/>
        <w:contextualSpacing w:val="0"/>
        <w:jc w:val="both"/>
        <w:rPr>
          <w:rFonts w:ascii="Cambria" w:hAnsi="Cambria"/>
          <w:sz w:val="24"/>
          <w:szCs w:val="24"/>
        </w:rPr>
      </w:pPr>
      <w:r w:rsidRPr="00927FFA">
        <w:rPr>
          <w:rFonts w:ascii="Cambria" w:hAnsi="Cambria"/>
          <w:sz w:val="24"/>
          <w:szCs w:val="24"/>
        </w:rPr>
        <w:t>No se considera oportuno ni factible, en términos operativos, realizar cambios en el plan de cuentas vigente, debido a lo dispuesto en la Ley N° 9694 en torno al financiamiento del INEC, pues esta vers</w:t>
      </w:r>
      <w:r>
        <w:rPr>
          <w:rFonts w:ascii="Cambria" w:hAnsi="Cambria"/>
          <w:sz w:val="24"/>
          <w:szCs w:val="24"/>
        </w:rPr>
        <w:t xml:space="preserve">ión del plan de cuentas regirá </w:t>
      </w:r>
      <w:r w:rsidRPr="00927FFA">
        <w:rPr>
          <w:rFonts w:ascii="Cambria" w:hAnsi="Cambria"/>
          <w:sz w:val="24"/>
          <w:szCs w:val="24"/>
        </w:rPr>
        <w:t>hasta el 31 de diciembre de 2019.  Además, en la actualidad, los entes supervisados y la Superintendencia, se encuentran en el proceso de implementación de los cambios descritos en los anexos 1, 2, 3, 4 y 5 del Reglamento de Información Financiera para su entrada en vigencia a partir del 1° de enero de 2020. La eventual modificación del plan de cuentas vigente, por los motivos señalados, regiría solo por seis meses y podría retrasar la preparación para la implementación del nuevo plan de</w:t>
      </w:r>
      <w:r>
        <w:rPr>
          <w:rFonts w:ascii="Cambria" w:hAnsi="Cambria"/>
          <w:sz w:val="24"/>
          <w:szCs w:val="24"/>
        </w:rPr>
        <w:t xml:space="preserve"> cuentas y aumentar los costos </w:t>
      </w:r>
      <w:r w:rsidRPr="00927FFA">
        <w:rPr>
          <w:rFonts w:ascii="Cambria" w:hAnsi="Cambria"/>
          <w:sz w:val="24"/>
          <w:szCs w:val="24"/>
        </w:rPr>
        <w:t>de los regulados.</w:t>
      </w:r>
    </w:p>
    <w:p w14:paraId="08DF562C" w14:textId="77777777" w:rsidR="00892881" w:rsidRPr="00927FFA" w:rsidRDefault="00892881" w:rsidP="00892881">
      <w:pPr>
        <w:jc w:val="both"/>
        <w:rPr>
          <w:rFonts w:ascii="Cambria" w:hAnsi="Cambria"/>
        </w:rPr>
      </w:pPr>
    </w:p>
    <w:p w14:paraId="7AF98F3A" w14:textId="77777777" w:rsidR="00892881" w:rsidRDefault="00892881" w:rsidP="00892881">
      <w:pPr>
        <w:pStyle w:val="Prrafodelista"/>
        <w:numPr>
          <w:ilvl w:val="0"/>
          <w:numId w:val="1"/>
        </w:numPr>
        <w:spacing w:after="0" w:line="240" w:lineRule="auto"/>
        <w:contextualSpacing w:val="0"/>
        <w:jc w:val="both"/>
        <w:rPr>
          <w:rFonts w:ascii="Cambria" w:hAnsi="Cambria"/>
          <w:sz w:val="24"/>
          <w:szCs w:val="24"/>
        </w:rPr>
      </w:pPr>
      <w:r w:rsidRPr="00927FFA">
        <w:rPr>
          <w:rFonts w:ascii="Cambria" w:hAnsi="Cambria"/>
          <w:sz w:val="24"/>
          <w:szCs w:val="24"/>
        </w:rPr>
        <w:t>Las entidades supervisadas deben implementar las medidas necesarias para el control de las obligaciones ordenadas en el artículo 40 de la Ley del Benemérito Cuerpo de Bomberos, Ley N° 8228, sin embargo, es necesario definir las cuentas que, transitoriamente, se utilizarán para los registros contables correspondientes, bajo la estructura del “Plan de Cuentas para las Entidades Supervisadas por SUGESE” vigente.</w:t>
      </w:r>
    </w:p>
    <w:p w14:paraId="52F89B95" w14:textId="77777777" w:rsidR="00892881" w:rsidRPr="00927FFA" w:rsidRDefault="00892881" w:rsidP="00892881">
      <w:pPr>
        <w:pStyle w:val="Prrafodelista"/>
        <w:spacing w:after="0" w:line="240" w:lineRule="auto"/>
        <w:rPr>
          <w:rFonts w:ascii="Cambria" w:hAnsi="Cambria"/>
          <w:sz w:val="24"/>
          <w:szCs w:val="24"/>
        </w:rPr>
      </w:pPr>
    </w:p>
    <w:p w14:paraId="2675722E" w14:textId="77777777" w:rsidR="00892881" w:rsidRPr="00533291" w:rsidRDefault="00892881" w:rsidP="00892881">
      <w:pPr>
        <w:pStyle w:val="Prrafodelista"/>
        <w:numPr>
          <w:ilvl w:val="0"/>
          <w:numId w:val="1"/>
        </w:numPr>
        <w:spacing w:after="0" w:line="240" w:lineRule="auto"/>
        <w:contextualSpacing w:val="0"/>
        <w:jc w:val="both"/>
        <w:rPr>
          <w:rFonts w:ascii="Cambria" w:hAnsi="Cambria"/>
          <w:sz w:val="24"/>
          <w:szCs w:val="24"/>
        </w:rPr>
      </w:pPr>
      <w:r w:rsidRPr="00927FFA">
        <w:rPr>
          <w:rFonts w:ascii="Cambria" w:hAnsi="Cambria"/>
          <w:sz w:val="24"/>
          <w:szCs w:val="24"/>
        </w:rPr>
        <w:t xml:space="preserve">La Superintendencia, a efecto de implementar la operativa relacionada con el registro del aporte para el financiamiento del Instituto Nacional de Estadística y Censos tramitará, para la aprobación del CONASSIF, los cambios necesarios en los anexos del Reglamento de Información Financiera que regiría a partir de enero de 2020, lo cual será comunicado oportunamente a las entidades </w:t>
      </w:r>
      <w:r w:rsidRPr="0002025C">
        <w:rPr>
          <w:rFonts w:ascii="Cambria" w:hAnsi="Cambria"/>
          <w:sz w:val="24"/>
          <w:szCs w:val="24"/>
        </w:rPr>
        <w:t>supervisadas.</w:t>
      </w:r>
    </w:p>
    <w:p w14:paraId="02AA1A65" w14:textId="77777777" w:rsidR="00892881" w:rsidRDefault="00892881" w:rsidP="00892881">
      <w:pPr>
        <w:tabs>
          <w:tab w:val="left" w:pos="2843"/>
        </w:tabs>
        <w:jc w:val="both"/>
        <w:rPr>
          <w:rFonts w:ascii="Cambria" w:hAnsi="Cambria"/>
        </w:rPr>
      </w:pPr>
    </w:p>
    <w:p w14:paraId="52C33356" w14:textId="77777777" w:rsidR="00892881" w:rsidRPr="00533291" w:rsidRDefault="00892881" w:rsidP="00892881">
      <w:pPr>
        <w:tabs>
          <w:tab w:val="left" w:pos="2843"/>
        </w:tabs>
        <w:jc w:val="both"/>
        <w:rPr>
          <w:rFonts w:ascii="Cambria" w:hAnsi="Cambria"/>
        </w:rPr>
      </w:pPr>
    </w:p>
    <w:p w14:paraId="25954F40" w14:textId="77777777" w:rsidR="00892881" w:rsidRPr="00533291" w:rsidRDefault="00892881" w:rsidP="00892881">
      <w:pPr>
        <w:jc w:val="center"/>
        <w:rPr>
          <w:rFonts w:ascii="Cambria" w:hAnsi="Cambria"/>
          <w:b/>
        </w:rPr>
      </w:pPr>
      <w:r w:rsidRPr="00533291">
        <w:rPr>
          <w:rFonts w:ascii="Cambria" w:hAnsi="Cambria"/>
          <w:b/>
          <w:bCs/>
        </w:rPr>
        <w:t>Comunica</w:t>
      </w:r>
      <w:r w:rsidRPr="00533291">
        <w:rPr>
          <w:rFonts w:ascii="Cambria" w:hAnsi="Cambria"/>
          <w:b/>
        </w:rPr>
        <w:t>:</w:t>
      </w:r>
    </w:p>
    <w:p w14:paraId="6C0E0F08" w14:textId="77777777" w:rsidR="00892881" w:rsidRPr="00533291" w:rsidRDefault="00892881" w:rsidP="00892881">
      <w:pPr>
        <w:widowControl w:val="0"/>
        <w:jc w:val="both"/>
        <w:rPr>
          <w:rFonts w:ascii="Cambria" w:hAnsi="Cambria"/>
        </w:rPr>
      </w:pPr>
    </w:p>
    <w:p w14:paraId="72639C5D" w14:textId="77777777" w:rsidR="00892881" w:rsidRDefault="00892881" w:rsidP="00892881">
      <w:pPr>
        <w:pStyle w:val="Prrafodelista"/>
        <w:numPr>
          <w:ilvl w:val="0"/>
          <w:numId w:val="2"/>
        </w:numPr>
        <w:spacing w:after="0" w:line="240" w:lineRule="auto"/>
        <w:jc w:val="both"/>
        <w:rPr>
          <w:rFonts w:ascii="Cambria" w:hAnsi="Cambria"/>
          <w:sz w:val="24"/>
          <w:szCs w:val="24"/>
        </w:rPr>
      </w:pPr>
      <w:r w:rsidRPr="00AB18CE">
        <w:rPr>
          <w:rFonts w:ascii="Cambria" w:hAnsi="Cambria"/>
          <w:sz w:val="24"/>
          <w:szCs w:val="24"/>
        </w:rPr>
        <w:t xml:space="preserve">Durante el segundo semestre de 2019, las entidades supervisadas deberán registrar el aporte  para el financiamiento del Instituto Nacional de Estadísticas y Censos (INEC), correspondiente al cero coma cinco por ciento (0,5%) de las primas de todos los seguros </w:t>
      </w:r>
      <w:r>
        <w:rPr>
          <w:rFonts w:ascii="Cambria" w:hAnsi="Cambria"/>
          <w:sz w:val="24"/>
          <w:szCs w:val="24"/>
        </w:rPr>
        <w:t>vendidos</w:t>
      </w:r>
      <w:r w:rsidRPr="00AB18CE">
        <w:rPr>
          <w:rFonts w:ascii="Cambria" w:hAnsi="Cambria"/>
          <w:sz w:val="24"/>
          <w:szCs w:val="24"/>
        </w:rPr>
        <w:t xml:space="preserve"> en el país a partir del 13 de junio de 2019, de acuerdo con el siguiente detalle: </w:t>
      </w:r>
    </w:p>
    <w:p w14:paraId="7272A2BA" w14:textId="77777777" w:rsidR="00892881" w:rsidRPr="00AB18CE" w:rsidRDefault="00892881" w:rsidP="00892881">
      <w:pPr>
        <w:pStyle w:val="Prrafodelista"/>
        <w:spacing w:after="0" w:line="240" w:lineRule="auto"/>
        <w:ind w:left="360"/>
        <w:rPr>
          <w:rFonts w:ascii="Cambria" w:hAnsi="Cambria"/>
          <w:sz w:val="24"/>
          <w:szCs w:val="24"/>
        </w:rPr>
      </w:pPr>
    </w:p>
    <w:tbl>
      <w:tblPr>
        <w:tblStyle w:val="Tablaconcuadrcula"/>
        <w:tblW w:w="0" w:type="auto"/>
        <w:jc w:val="center"/>
        <w:tblLook w:val="04A0" w:firstRow="1" w:lastRow="0" w:firstColumn="1" w:lastColumn="0" w:noHBand="0" w:noVBand="1"/>
      </w:tblPr>
      <w:tblGrid>
        <w:gridCol w:w="2689"/>
        <w:gridCol w:w="6139"/>
      </w:tblGrid>
      <w:tr w:rsidR="00892881" w:rsidRPr="00533291" w14:paraId="6681E99F" w14:textId="77777777" w:rsidTr="002A0795">
        <w:trPr>
          <w:trHeight w:val="301"/>
          <w:tblHeader/>
          <w:jc w:val="center"/>
        </w:trPr>
        <w:tc>
          <w:tcPr>
            <w:tcW w:w="8828" w:type="dxa"/>
            <w:gridSpan w:val="2"/>
            <w:shd w:val="clear" w:color="auto" w:fill="BFBFBF" w:themeFill="background1" w:themeFillShade="BF"/>
            <w:noWrap/>
          </w:tcPr>
          <w:p w14:paraId="32D9BF05" w14:textId="77777777" w:rsidR="00892881" w:rsidRPr="00533291" w:rsidRDefault="00892881" w:rsidP="002A0795">
            <w:pPr>
              <w:widowControl w:val="0"/>
              <w:jc w:val="center"/>
              <w:rPr>
                <w:rFonts w:ascii="Cambria" w:hAnsi="Cambria"/>
                <w:b/>
                <w:bCs/>
              </w:rPr>
            </w:pPr>
            <w:r w:rsidRPr="00533291">
              <w:rPr>
                <w:rFonts w:ascii="Cambria" w:hAnsi="Cambria"/>
                <w:b/>
                <w:bCs/>
              </w:rPr>
              <w:t>Plan de Cuentas Entidades de Seguro</w:t>
            </w:r>
          </w:p>
        </w:tc>
      </w:tr>
      <w:tr w:rsidR="00892881" w:rsidRPr="00533291" w14:paraId="3CDAD761" w14:textId="77777777" w:rsidTr="002A0795">
        <w:trPr>
          <w:trHeight w:val="301"/>
          <w:jc w:val="center"/>
        </w:trPr>
        <w:tc>
          <w:tcPr>
            <w:tcW w:w="2689" w:type="dxa"/>
            <w:noWrap/>
          </w:tcPr>
          <w:p w14:paraId="20EC6B8E" w14:textId="77777777" w:rsidR="00892881" w:rsidRPr="00533291" w:rsidRDefault="00892881" w:rsidP="002A0795">
            <w:pPr>
              <w:widowControl w:val="0"/>
              <w:jc w:val="center"/>
              <w:rPr>
                <w:rFonts w:ascii="Cambria" w:hAnsi="Cambria"/>
                <w:b/>
                <w:bCs/>
              </w:rPr>
            </w:pPr>
            <w:r w:rsidRPr="00533291">
              <w:rPr>
                <w:rFonts w:ascii="Cambria" w:hAnsi="Cambria"/>
                <w:b/>
                <w:bCs/>
              </w:rPr>
              <w:t>Codificación</w:t>
            </w:r>
          </w:p>
        </w:tc>
        <w:tc>
          <w:tcPr>
            <w:tcW w:w="6139" w:type="dxa"/>
            <w:noWrap/>
            <w:hideMark/>
          </w:tcPr>
          <w:p w14:paraId="28E6E48E" w14:textId="77777777" w:rsidR="00892881" w:rsidRPr="00533291" w:rsidRDefault="00892881" w:rsidP="002A0795">
            <w:pPr>
              <w:widowControl w:val="0"/>
              <w:jc w:val="center"/>
              <w:rPr>
                <w:rFonts w:ascii="Cambria" w:hAnsi="Cambria"/>
                <w:b/>
                <w:bCs/>
              </w:rPr>
            </w:pPr>
            <w:r w:rsidRPr="00533291">
              <w:rPr>
                <w:rFonts w:ascii="Cambria" w:hAnsi="Cambria"/>
                <w:b/>
                <w:bCs/>
              </w:rPr>
              <w:t>Nombre</w:t>
            </w:r>
          </w:p>
        </w:tc>
      </w:tr>
      <w:tr w:rsidR="00892881" w:rsidRPr="00533291" w14:paraId="507E8D6B" w14:textId="77777777" w:rsidTr="002A0795">
        <w:trPr>
          <w:trHeight w:val="301"/>
          <w:jc w:val="center"/>
        </w:trPr>
        <w:tc>
          <w:tcPr>
            <w:tcW w:w="2689" w:type="dxa"/>
            <w:noWrap/>
          </w:tcPr>
          <w:p w14:paraId="32857C21" w14:textId="77777777" w:rsidR="00892881" w:rsidRPr="00533291" w:rsidRDefault="00892881" w:rsidP="002A0795">
            <w:pPr>
              <w:widowControl w:val="0"/>
              <w:jc w:val="both"/>
              <w:rPr>
                <w:rFonts w:ascii="Cambria" w:hAnsi="Cambria"/>
              </w:rPr>
            </w:pPr>
            <w:r w:rsidRPr="00533291">
              <w:rPr>
                <w:rFonts w:ascii="Cambria" w:hAnsi="Cambria"/>
              </w:rPr>
              <w:t>2.040.020.990</w:t>
            </w:r>
          </w:p>
        </w:tc>
        <w:tc>
          <w:tcPr>
            <w:tcW w:w="6139" w:type="dxa"/>
            <w:noWrap/>
            <w:hideMark/>
          </w:tcPr>
          <w:p w14:paraId="45F7DA4D" w14:textId="77777777" w:rsidR="00892881" w:rsidRPr="00533291" w:rsidRDefault="00892881" w:rsidP="002A0795">
            <w:pPr>
              <w:widowControl w:val="0"/>
              <w:jc w:val="both"/>
              <w:rPr>
                <w:rFonts w:ascii="Cambria" w:hAnsi="Cambria"/>
              </w:rPr>
            </w:pPr>
            <w:r w:rsidRPr="00AB18CE">
              <w:rPr>
                <w:rFonts w:ascii="Cambria" w:hAnsi="Cambria"/>
              </w:rPr>
              <w:t xml:space="preserve">Otras cuentas y comisiones por pagar </w:t>
            </w:r>
            <w:r w:rsidRPr="00533291">
              <w:rPr>
                <w:rFonts w:ascii="Cambria" w:hAnsi="Cambria"/>
                <w:b/>
                <w:bCs/>
              </w:rPr>
              <w:t>(i)</w:t>
            </w:r>
          </w:p>
        </w:tc>
      </w:tr>
      <w:tr w:rsidR="00892881" w:rsidRPr="00533291" w14:paraId="16BD91F5" w14:textId="77777777" w:rsidTr="002A0795">
        <w:trPr>
          <w:trHeight w:val="301"/>
          <w:jc w:val="center"/>
        </w:trPr>
        <w:tc>
          <w:tcPr>
            <w:tcW w:w="2689" w:type="dxa"/>
            <w:noWrap/>
          </w:tcPr>
          <w:p w14:paraId="22042CB9" w14:textId="77777777" w:rsidR="00892881" w:rsidRPr="00533291" w:rsidRDefault="00892881" w:rsidP="002A0795">
            <w:pPr>
              <w:widowControl w:val="0"/>
              <w:jc w:val="both"/>
              <w:rPr>
                <w:rFonts w:ascii="Cambria" w:hAnsi="Cambria"/>
              </w:rPr>
            </w:pPr>
            <w:r w:rsidRPr="00533291">
              <w:rPr>
                <w:rFonts w:ascii="Cambria" w:hAnsi="Cambria"/>
              </w:rPr>
              <w:t>4.060.090.990.M.990</w:t>
            </w:r>
          </w:p>
        </w:tc>
        <w:tc>
          <w:tcPr>
            <w:tcW w:w="6139" w:type="dxa"/>
            <w:noWrap/>
            <w:hideMark/>
          </w:tcPr>
          <w:p w14:paraId="1534696F" w14:textId="77777777" w:rsidR="00892881" w:rsidRPr="00533291" w:rsidRDefault="00892881" w:rsidP="002A0795">
            <w:pPr>
              <w:widowControl w:val="0"/>
              <w:jc w:val="both"/>
              <w:rPr>
                <w:rFonts w:ascii="Cambria" w:hAnsi="Cambria"/>
              </w:rPr>
            </w:pPr>
            <w:r w:rsidRPr="00533291">
              <w:rPr>
                <w:rFonts w:ascii="Cambria" w:hAnsi="Cambria"/>
              </w:rPr>
              <w:t>Otros gastos operativos varios</w:t>
            </w:r>
            <w:r w:rsidRPr="00533291">
              <w:rPr>
                <w:rFonts w:ascii="Cambria" w:hAnsi="Cambria"/>
                <w:b/>
                <w:bCs/>
              </w:rPr>
              <w:t>(ii)</w:t>
            </w:r>
          </w:p>
        </w:tc>
      </w:tr>
      <w:tr w:rsidR="00892881" w:rsidRPr="00C17197" w14:paraId="4F34210C" w14:textId="77777777" w:rsidTr="002A0795">
        <w:trPr>
          <w:trHeight w:val="301"/>
          <w:jc w:val="center"/>
        </w:trPr>
        <w:tc>
          <w:tcPr>
            <w:tcW w:w="8828" w:type="dxa"/>
            <w:gridSpan w:val="2"/>
            <w:noWrap/>
          </w:tcPr>
          <w:p w14:paraId="01951430" w14:textId="77777777" w:rsidR="00892881" w:rsidRPr="00C17197" w:rsidRDefault="00892881" w:rsidP="002A0795">
            <w:pPr>
              <w:widowControl w:val="0"/>
              <w:jc w:val="both"/>
              <w:rPr>
                <w:rFonts w:ascii="Cambria" w:hAnsi="Cambria"/>
                <w:b/>
                <w:bCs/>
                <w:sz w:val="20"/>
              </w:rPr>
            </w:pPr>
            <w:r w:rsidRPr="00C17197">
              <w:rPr>
                <w:rFonts w:ascii="Cambria" w:hAnsi="Cambria"/>
                <w:b/>
                <w:bCs/>
                <w:sz w:val="20"/>
              </w:rPr>
              <w:t xml:space="preserve">(i) </w:t>
            </w:r>
            <w:r w:rsidRPr="00C17197">
              <w:rPr>
                <w:rFonts w:ascii="Cambria" w:hAnsi="Cambria"/>
                <w:bCs/>
                <w:sz w:val="20"/>
              </w:rPr>
              <w:t>En esta subcuenta se registra la obligación que tiene la entidad de seguros frente al Ministerio de Hacienda, como recaudador del 0,5% ordenado en el artículo 40 de la Ley N°</w:t>
            </w:r>
            <w:r w:rsidRPr="00C17197">
              <w:rPr>
                <w:rFonts w:ascii="Cambria" w:hAnsi="Cambria" w:cs="Arial"/>
                <w:bCs/>
                <w:color w:val="000000"/>
                <w:sz w:val="20"/>
                <w:lang w:eastAsia="es-CR"/>
              </w:rPr>
              <w:t xml:space="preserve"> 8228</w:t>
            </w:r>
            <w:r w:rsidRPr="00C17197">
              <w:rPr>
                <w:rFonts w:ascii="Cambria" w:hAnsi="Cambria"/>
                <w:bCs/>
                <w:sz w:val="20"/>
              </w:rPr>
              <w:t xml:space="preserve"> para el financiamiento del Instituto Nacional de Estadística y Censos.</w:t>
            </w:r>
          </w:p>
        </w:tc>
      </w:tr>
      <w:tr w:rsidR="00892881" w:rsidRPr="00533291" w14:paraId="65B20B8B" w14:textId="77777777" w:rsidTr="002A0795">
        <w:trPr>
          <w:trHeight w:val="301"/>
          <w:jc w:val="center"/>
        </w:trPr>
        <w:tc>
          <w:tcPr>
            <w:tcW w:w="8828" w:type="dxa"/>
            <w:gridSpan w:val="2"/>
            <w:noWrap/>
          </w:tcPr>
          <w:p w14:paraId="1DE49843" w14:textId="77777777" w:rsidR="00892881" w:rsidRPr="00C17197" w:rsidRDefault="00892881" w:rsidP="002A0795">
            <w:pPr>
              <w:widowControl w:val="0"/>
              <w:jc w:val="both"/>
              <w:rPr>
                <w:rFonts w:ascii="Cambria" w:hAnsi="Cambria"/>
                <w:b/>
                <w:bCs/>
                <w:sz w:val="20"/>
              </w:rPr>
            </w:pPr>
            <w:r w:rsidRPr="00C17197">
              <w:rPr>
                <w:rFonts w:ascii="Cambria" w:hAnsi="Cambria"/>
                <w:b/>
                <w:bCs/>
                <w:sz w:val="20"/>
              </w:rPr>
              <w:t xml:space="preserve">(ii) </w:t>
            </w:r>
            <w:r w:rsidRPr="00C17197">
              <w:rPr>
                <w:rFonts w:ascii="Cambria" w:hAnsi="Cambria"/>
                <w:bCs/>
                <w:sz w:val="20"/>
              </w:rPr>
              <w:t xml:space="preserve">En esta subcuenta se registran los gastos </w:t>
            </w:r>
            <w:r>
              <w:rPr>
                <w:rFonts w:ascii="Cambria" w:hAnsi="Cambria"/>
                <w:bCs/>
                <w:sz w:val="20"/>
              </w:rPr>
              <w:t xml:space="preserve">derivados del </w:t>
            </w:r>
            <w:r w:rsidRPr="00C17197">
              <w:rPr>
                <w:rFonts w:ascii="Cambria" w:hAnsi="Cambria"/>
                <w:bCs/>
                <w:sz w:val="20"/>
              </w:rPr>
              <w:t xml:space="preserve"> 0,5% ordenado en el artículo 40 dela Ley N°</w:t>
            </w:r>
            <w:r w:rsidRPr="00C17197">
              <w:rPr>
                <w:rFonts w:ascii="Cambria" w:hAnsi="Cambria" w:cs="Arial"/>
                <w:bCs/>
                <w:color w:val="000000"/>
                <w:sz w:val="20"/>
                <w:lang w:eastAsia="es-CR"/>
              </w:rPr>
              <w:t xml:space="preserve"> 8228</w:t>
            </w:r>
            <w:r w:rsidRPr="00C17197">
              <w:rPr>
                <w:rFonts w:ascii="Cambria" w:hAnsi="Cambria"/>
                <w:bCs/>
                <w:sz w:val="20"/>
              </w:rPr>
              <w:t xml:space="preserve"> para el financiamiento del Instituto Nacional de Estadística y Censos.</w:t>
            </w:r>
          </w:p>
        </w:tc>
      </w:tr>
    </w:tbl>
    <w:p w14:paraId="7A71BF17" w14:textId="77777777" w:rsidR="00892881" w:rsidRDefault="00892881" w:rsidP="00892881">
      <w:pPr>
        <w:widowControl w:val="0"/>
        <w:jc w:val="both"/>
        <w:rPr>
          <w:rFonts w:ascii="Cambria" w:hAnsi="Cambria"/>
        </w:rPr>
      </w:pPr>
    </w:p>
    <w:p w14:paraId="78BCCF43" w14:textId="77777777" w:rsidR="00892881" w:rsidRPr="00533291" w:rsidRDefault="00892881" w:rsidP="00892881">
      <w:pPr>
        <w:widowControl w:val="0"/>
        <w:jc w:val="both"/>
        <w:rPr>
          <w:rFonts w:ascii="Cambria" w:hAnsi="Cambria"/>
        </w:rPr>
      </w:pPr>
    </w:p>
    <w:p w14:paraId="7E682B8E" w14:textId="77777777" w:rsidR="00892881" w:rsidRDefault="00892881" w:rsidP="00892881">
      <w:pPr>
        <w:pStyle w:val="Prrafodelista"/>
        <w:numPr>
          <w:ilvl w:val="0"/>
          <w:numId w:val="2"/>
        </w:numPr>
        <w:spacing w:after="0" w:line="240" w:lineRule="auto"/>
        <w:jc w:val="both"/>
        <w:rPr>
          <w:rFonts w:ascii="Cambria" w:hAnsi="Cambria"/>
          <w:sz w:val="24"/>
          <w:szCs w:val="24"/>
        </w:rPr>
      </w:pPr>
      <w:r w:rsidRPr="00533291">
        <w:rPr>
          <w:rFonts w:ascii="Cambria" w:hAnsi="Cambria"/>
          <w:sz w:val="24"/>
          <w:szCs w:val="24"/>
        </w:rPr>
        <w:t xml:space="preserve">Con el fin de implementar lo indicado y mantener el control de las obligaciones relacionados con </w:t>
      </w:r>
      <w:r w:rsidRPr="00533291">
        <w:rPr>
          <w:rFonts w:ascii="Cambria" w:hAnsi="Cambria"/>
          <w:bCs/>
          <w:sz w:val="24"/>
          <w:szCs w:val="24"/>
        </w:rPr>
        <w:t>el 0,5% de las primas a que refiere el artículo 40 de la Ley N°</w:t>
      </w:r>
      <w:r w:rsidRPr="00533291">
        <w:rPr>
          <w:rFonts w:ascii="Cambria" w:eastAsia="Times New Roman" w:hAnsi="Cambria" w:cs="Arial"/>
          <w:bCs/>
          <w:color w:val="000000"/>
          <w:sz w:val="24"/>
          <w:szCs w:val="24"/>
          <w:lang w:eastAsia="es-CR"/>
        </w:rPr>
        <w:t xml:space="preserve"> 8228</w:t>
      </w:r>
      <w:r w:rsidRPr="00533291">
        <w:rPr>
          <w:rFonts w:ascii="Cambria" w:hAnsi="Cambria"/>
          <w:bCs/>
          <w:sz w:val="24"/>
          <w:szCs w:val="24"/>
        </w:rPr>
        <w:t xml:space="preserve"> para el financiamiento del </w:t>
      </w:r>
      <w:r>
        <w:rPr>
          <w:rFonts w:ascii="Cambria" w:hAnsi="Cambria"/>
          <w:bCs/>
          <w:sz w:val="24"/>
          <w:szCs w:val="24"/>
        </w:rPr>
        <w:t>INEC</w:t>
      </w:r>
      <w:r w:rsidRPr="00533291">
        <w:rPr>
          <w:rFonts w:ascii="Cambria" w:hAnsi="Cambria"/>
          <w:sz w:val="24"/>
          <w:szCs w:val="24"/>
        </w:rPr>
        <w:t>, las entidades deberán llevar los auxiliares contables que sean necesarios.</w:t>
      </w:r>
    </w:p>
    <w:p w14:paraId="7D5BEE47" w14:textId="77777777" w:rsidR="00892881" w:rsidRDefault="00892881" w:rsidP="00892881">
      <w:pPr>
        <w:widowControl w:val="0"/>
        <w:jc w:val="both"/>
        <w:rPr>
          <w:rFonts w:ascii="Cambria" w:hAnsi="Cambria"/>
        </w:rPr>
      </w:pPr>
    </w:p>
    <w:p w14:paraId="4AD11832" w14:textId="77777777" w:rsidR="00892881" w:rsidRDefault="00892881" w:rsidP="00892881">
      <w:pPr>
        <w:widowControl w:val="0"/>
        <w:jc w:val="both"/>
        <w:rPr>
          <w:rFonts w:ascii="Cambria" w:hAnsi="Cambria"/>
        </w:rPr>
      </w:pPr>
    </w:p>
    <w:p w14:paraId="529A207D" w14:textId="42DEF4F0" w:rsidR="00892881" w:rsidRDefault="00892881" w:rsidP="00892881">
      <w:pPr>
        <w:pStyle w:val="Prrafodelista"/>
        <w:numPr>
          <w:ilvl w:val="0"/>
          <w:numId w:val="2"/>
        </w:numPr>
        <w:spacing w:after="0" w:line="240" w:lineRule="auto"/>
        <w:jc w:val="both"/>
        <w:rPr>
          <w:rFonts w:ascii="Cambria" w:hAnsi="Cambria"/>
          <w:sz w:val="24"/>
          <w:szCs w:val="24"/>
        </w:rPr>
      </w:pPr>
      <w:r>
        <w:rPr>
          <w:rFonts w:ascii="Cambria" w:hAnsi="Cambria"/>
          <w:sz w:val="24"/>
          <w:szCs w:val="24"/>
        </w:rPr>
        <w:t xml:space="preserve">Para el segundo semestre de 2019, en los primeros cinco días hábiles de cada mes, las entidades aseguradoras deberán remitir el siguiente informe a la dirección </w:t>
      </w:r>
      <w:hyperlink r:id="rId14" w:history="1">
        <w:r w:rsidRPr="00E50931">
          <w:rPr>
            <w:rStyle w:val="Hipervnculo"/>
            <w:rFonts w:ascii="Cambria" w:hAnsi="Cambria"/>
            <w:sz w:val="24"/>
            <w:szCs w:val="24"/>
          </w:rPr>
          <w:t>sugese@sugese.fi.cr</w:t>
        </w:r>
      </w:hyperlink>
      <w:r>
        <w:rPr>
          <w:rFonts w:ascii="Cambria" w:hAnsi="Cambria"/>
          <w:sz w:val="24"/>
          <w:szCs w:val="24"/>
        </w:rPr>
        <w:t>, firmado mediante certificado digital por el representante legal y el contador de la entidad.</w:t>
      </w:r>
      <w:r w:rsidR="00812C3B">
        <w:rPr>
          <w:rStyle w:val="Refdenotaalpie"/>
          <w:rFonts w:ascii="Cambria" w:hAnsi="Cambria"/>
          <w:sz w:val="24"/>
          <w:szCs w:val="24"/>
        </w:rPr>
        <w:footnoteReference w:id="1"/>
      </w:r>
      <w:r>
        <w:rPr>
          <w:rFonts w:ascii="Cambria" w:hAnsi="Cambria"/>
          <w:sz w:val="24"/>
          <w:szCs w:val="24"/>
        </w:rPr>
        <w:t xml:space="preserve">  </w:t>
      </w:r>
    </w:p>
    <w:p w14:paraId="7DDD2B94" w14:textId="77777777" w:rsidR="00892881" w:rsidRPr="00533291" w:rsidRDefault="00892881" w:rsidP="00892881">
      <w:pPr>
        <w:widowControl w:val="0"/>
        <w:jc w:val="both"/>
        <w:rPr>
          <w:rFonts w:ascii="Cambria" w:hAnsi="Cambria"/>
        </w:rPr>
      </w:pPr>
    </w:p>
    <w:p w14:paraId="28DDDA9B" w14:textId="77777777" w:rsidR="00892881" w:rsidRPr="00533291" w:rsidRDefault="00892881" w:rsidP="00892881">
      <w:pPr>
        <w:jc w:val="center"/>
        <w:rPr>
          <w:rFonts w:ascii="Cambria" w:hAnsi="Cambria"/>
          <w:b/>
        </w:rPr>
      </w:pPr>
      <w:r w:rsidRPr="00533291">
        <w:rPr>
          <w:rFonts w:ascii="Cambria" w:hAnsi="Cambria"/>
          <w:b/>
        </w:rPr>
        <w:t>Aporte al Instituto Nacional de Estadística y Censos (INEC)</w:t>
      </w:r>
    </w:p>
    <w:p w14:paraId="6218404D" w14:textId="77777777" w:rsidR="00892881" w:rsidRPr="00533291" w:rsidRDefault="00892881" w:rsidP="00892881">
      <w:pPr>
        <w:jc w:val="center"/>
        <w:rPr>
          <w:rFonts w:ascii="Cambria" w:hAnsi="Cambria"/>
          <w:b/>
        </w:rPr>
      </w:pPr>
      <w:r w:rsidRPr="00533291">
        <w:rPr>
          <w:rFonts w:ascii="Cambria" w:hAnsi="Cambria"/>
          <w:b/>
        </w:rPr>
        <w:t>Código de la Entidad</w:t>
      </w:r>
      <w:r w:rsidRPr="00533291">
        <w:rPr>
          <w:rFonts w:ascii="Cambria" w:hAnsi="Cambria"/>
          <w:b/>
          <w:vertAlign w:val="superscript"/>
        </w:rPr>
        <w:t>1/</w:t>
      </w:r>
    </w:p>
    <w:p w14:paraId="5767BB90" w14:textId="77777777" w:rsidR="00892881" w:rsidRPr="00533291" w:rsidRDefault="00892881" w:rsidP="00892881">
      <w:pPr>
        <w:jc w:val="center"/>
        <w:rPr>
          <w:rFonts w:ascii="Cambria" w:hAnsi="Cambria"/>
          <w:b/>
        </w:rPr>
      </w:pPr>
      <w:r w:rsidRPr="00533291">
        <w:rPr>
          <w:rFonts w:ascii="Cambria" w:hAnsi="Cambria"/>
          <w:b/>
        </w:rPr>
        <w:t xml:space="preserve">Al __ de __ </w:t>
      </w:r>
      <w:proofErr w:type="spellStart"/>
      <w:r w:rsidRPr="00533291">
        <w:rPr>
          <w:rFonts w:ascii="Cambria" w:hAnsi="Cambria"/>
          <w:b/>
        </w:rPr>
        <w:t>de</w:t>
      </w:r>
      <w:proofErr w:type="spellEnd"/>
      <w:r w:rsidRPr="00533291">
        <w:rPr>
          <w:rFonts w:ascii="Cambria" w:hAnsi="Cambria"/>
          <w:b/>
        </w:rPr>
        <w:t xml:space="preserve"> ____</w:t>
      </w:r>
      <w:r w:rsidRPr="00533291">
        <w:rPr>
          <w:rFonts w:ascii="Cambria" w:hAnsi="Cambria"/>
          <w:b/>
          <w:vertAlign w:val="superscript"/>
        </w:rPr>
        <w:t>2/</w:t>
      </w:r>
    </w:p>
    <w:tbl>
      <w:tblPr>
        <w:tblW w:w="8818" w:type="dxa"/>
        <w:jc w:val="center"/>
        <w:tblCellMar>
          <w:left w:w="70" w:type="dxa"/>
          <w:right w:w="70" w:type="dxa"/>
        </w:tblCellMar>
        <w:tblLook w:val="04A0" w:firstRow="1" w:lastRow="0" w:firstColumn="1" w:lastColumn="0" w:noHBand="0" w:noVBand="1"/>
      </w:tblPr>
      <w:tblGrid>
        <w:gridCol w:w="2122"/>
        <w:gridCol w:w="1559"/>
        <w:gridCol w:w="1701"/>
        <w:gridCol w:w="1559"/>
        <w:gridCol w:w="1877"/>
      </w:tblGrid>
      <w:tr w:rsidR="00892881" w:rsidRPr="00785459" w14:paraId="2DCCF886" w14:textId="77777777" w:rsidTr="002A0795">
        <w:trPr>
          <w:trHeight w:val="465"/>
          <w:tblHeader/>
          <w:jc w:val="center"/>
        </w:trPr>
        <w:tc>
          <w:tcPr>
            <w:tcW w:w="212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1936B3D" w14:textId="77777777" w:rsidR="00892881" w:rsidRPr="00785459" w:rsidRDefault="00892881" w:rsidP="002A0795">
            <w:pPr>
              <w:jc w:val="center"/>
              <w:rPr>
                <w:rFonts w:ascii="Cambria" w:hAnsi="Cambria"/>
                <w:lang w:eastAsia="es-CR"/>
              </w:rPr>
            </w:pPr>
            <w:bookmarkStart w:id="0" w:name="RANGE!A1:C55"/>
            <w:r w:rsidRPr="00785459">
              <w:rPr>
                <w:rFonts w:ascii="Cambria" w:hAnsi="Cambria"/>
                <w:lang w:eastAsia="es-CR"/>
              </w:rPr>
              <w:t>Ramo</w:t>
            </w:r>
            <w:r w:rsidRPr="00785459">
              <w:rPr>
                <w:rFonts w:ascii="Cambria" w:hAnsi="Cambria"/>
                <w:vertAlign w:val="superscript"/>
                <w:lang w:eastAsia="es-CR"/>
              </w:rPr>
              <w:t>3/</w:t>
            </w:r>
            <w:bookmarkEnd w:id="0"/>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F85DA87" w14:textId="77777777" w:rsidR="00892881" w:rsidRPr="00785459" w:rsidRDefault="00892881" w:rsidP="002A0795">
            <w:pPr>
              <w:jc w:val="center"/>
              <w:rPr>
                <w:rFonts w:ascii="Cambria" w:hAnsi="Cambria"/>
                <w:lang w:eastAsia="es-CR"/>
              </w:rPr>
            </w:pPr>
            <w:r w:rsidRPr="00785459">
              <w:rPr>
                <w:rFonts w:ascii="Cambria" w:hAnsi="Cambria"/>
                <w:lang w:eastAsia="es-CR"/>
              </w:rPr>
              <w:t>Monto Primas Directas en Moneda Nacional</w:t>
            </w:r>
            <w:r w:rsidRPr="00785459">
              <w:rPr>
                <w:rFonts w:ascii="Cambria" w:hAnsi="Cambria"/>
                <w:vertAlign w:val="superscript"/>
                <w:lang w:eastAsia="es-CR"/>
              </w:rPr>
              <w:t>4/</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D1D3EF0" w14:textId="77777777" w:rsidR="00892881" w:rsidRPr="00785459" w:rsidRDefault="00892881" w:rsidP="002A0795">
            <w:pPr>
              <w:jc w:val="center"/>
              <w:rPr>
                <w:rFonts w:ascii="Cambria" w:hAnsi="Cambria"/>
                <w:lang w:eastAsia="es-CR"/>
              </w:rPr>
            </w:pPr>
            <w:r w:rsidRPr="00785459">
              <w:rPr>
                <w:rFonts w:ascii="Cambria" w:hAnsi="Cambria"/>
                <w:lang w:eastAsia="es-CR"/>
              </w:rPr>
              <w:t>Monto a pagar en moneda nacional (0,5% * monto primas directas)</w:t>
            </w:r>
            <w:r w:rsidRPr="00785459">
              <w:rPr>
                <w:rFonts w:ascii="Cambria" w:hAnsi="Cambria"/>
                <w:vertAlign w:val="superscript"/>
                <w:lang w:eastAsia="es-CR"/>
              </w:rPr>
              <w:t>5/</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6046B7B" w14:textId="77777777" w:rsidR="00892881" w:rsidRPr="00785459" w:rsidRDefault="00892881" w:rsidP="002A0795">
            <w:pPr>
              <w:jc w:val="center"/>
              <w:rPr>
                <w:rFonts w:ascii="Cambria" w:hAnsi="Cambria"/>
                <w:lang w:eastAsia="es-CR"/>
              </w:rPr>
            </w:pPr>
            <w:r w:rsidRPr="00785459">
              <w:rPr>
                <w:rFonts w:ascii="Cambria" w:hAnsi="Cambria"/>
                <w:lang w:eastAsia="es-CR"/>
              </w:rPr>
              <w:t>Monto Primas Directas en Moneda Extranjera</w:t>
            </w:r>
            <w:r w:rsidRPr="00785459">
              <w:rPr>
                <w:rFonts w:ascii="Cambria" w:hAnsi="Cambria"/>
                <w:vertAlign w:val="superscript"/>
                <w:lang w:eastAsia="es-CR"/>
              </w:rPr>
              <w:t>4/</w:t>
            </w:r>
          </w:p>
        </w:tc>
        <w:tc>
          <w:tcPr>
            <w:tcW w:w="18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29C35E9" w14:textId="60B2B943" w:rsidR="00892881" w:rsidRPr="00785459" w:rsidRDefault="00892881" w:rsidP="00812C3B">
            <w:pPr>
              <w:jc w:val="center"/>
              <w:rPr>
                <w:rFonts w:ascii="Cambria" w:hAnsi="Cambria"/>
                <w:lang w:eastAsia="es-CR"/>
              </w:rPr>
            </w:pPr>
            <w:r w:rsidRPr="00785459">
              <w:rPr>
                <w:rFonts w:ascii="Cambria" w:hAnsi="Cambria"/>
                <w:lang w:eastAsia="es-CR"/>
              </w:rPr>
              <w:t xml:space="preserve">Monto a pagar en moneda </w:t>
            </w:r>
            <w:r w:rsidR="00812C3B">
              <w:rPr>
                <w:rFonts w:ascii="Cambria" w:hAnsi="Cambria"/>
                <w:lang w:eastAsia="es-CR"/>
              </w:rPr>
              <w:t>extranjera</w:t>
            </w:r>
            <w:r w:rsidRPr="00785459">
              <w:rPr>
                <w:rFonts w:ascii="Cambria" w:hAnsi="Cambria"/>
                <w:lang w:eastAsia="es-CR"/>
              </w:rPr>
              <w:t xml:space="preserve"> (0,5% * monto primas directas)</w:t>
            </w:r>
            <w:r w:rsidRPr="00785459">
              <w:rPr>
                <w:rFonts w:ascii="Cambria" w:hAnsi="Cambria"/>
                <w:vertAlign w:val="superscript"/>
                <w:lang w:eastAsia="es-CR"/>
              </w:rPr>
              <w:t>5/</w:t>
            </w:r>
          </w:p>
        </w:tc>
      </w:tr>
      <w:tr w:rsidR="00892881" w:rsidRPr="00785459" w14:paraId="35B38DA3" w14:textId="77777777" w:rsidTr="002A0795">
        <w:trPr>
          <w:trHeight w:val="315"/>
          <w:jc w:val="center"/>
        </w:trPr>
        <w:tc>
          <w:tcPr>
            <w:tcW w:w="2122" w:type="dxa"/>
            <w:tcBorders>
              <w:top w:val="single" w:sz="4" w:space="0" w:color="auto"/>
              <w:left w:val="single" w:sz="8" w:space="0" w:color="1F497D"/>
              <w:bottom w:val="single" w:sz="8" w:space="0" w:color="1F497D"/>
              <w:right w:val="single" w:sz="8" w:space="0" w:color="1F497D"/>
            </w:tcBorders>
            <w:shd w:val="clear" w:color="auto" w:fill="auto"/>
            <w:noWrap/>
            <w:vAlign w:val="bottom"/>
          </w:tcPr>
          <w:p w14:paraId="2B66EE18" w14:textId="77777777" w:rsidR="00892881" w:rsidRPr="00785459" w:rsidRDefault="00892881" w:rsidP="002A0795">
            <w:pPr>
              <w:rPr>
                <w:rFonts w:ascii="Cambria" w:hAnsi="Cambria"/>
                <w:color w:val="000000"/>
                <w:lang w:eastAsia="es-CR"/>
              </w:rPr>
            </w:pPr>
            <w:r w:rsidRPr="00785459">
              <w:rPr>
                <w:rFonts w:ascii="Cambria" w:hAnsi="Cambria"/>
                <w:color w:val="000000"/>
                <w:lang w:eastAsia="es-CR"/>
              </w:rPr>
              <w:t>Automóvil</w:t>
            </w:r>
          </w:p>
        </w:tc>
        <w:tc>
          <w:tcPr>
            <w:tcW w:w="1559" w:type="dxa"/>
            <w:tcBorders>
              <w:top w:val="single" w:sz="4" w:space="0" w:color="auto"/>
              <w:left w:val="nil"/>
              <w:bottom w:val="single" w:sz="8" w:space="0" w:color="1F497D"/>
              <w:right w:val="single" w:sz="8" w:space="0" w:color="1F497D"/>
            </w:tcBorders>
            <w:shd w:val="clear" w:color="auto" w:fill="auto"/>
            <w:noWrap/>
            <w:vAlign w:val="bottom"/>
          </w:tcPr>
          <w:p w14:paraId="26C8D826" w14:textId="77777777" w:rsidR="00892881" w:rsidRPr="00785459" w:rsidRDefault="00892881" w:rsidP="002A0795">
            <w:pPr>
              <w:rPr>
                <w:rFonts w:ascii="Cambria" w:hAnsi="Cambria"/>
                <w:lang w:eastAsia="es-CR"/>
              </w:rPr>
            </w:pPr>
          </w:p>
        </w:tc>
        <w:tc>
          <w:tcPr>
            <w:tcW w:w="1701" w:type="dxa"/>
            <w:tcBorders>
              <w:top w:val="single" w:sz="4" w:space="0" w:color="auto"/>
              <w:left w:val="nil"/>
              <w:bottom w:val="single" w:sz="8" w:space="0" w:color="1F497D"/>
              <w:right w:val="single" w:sz="8" w:space="0" w:color="1F497D"/>
            </w:tcBorders>
            <w:shd w:val="clear" w:color="auto" w:fill="auto"/>
            <w:noWrap/>
            <w:vAlign w:val="bottom"/>
          </w:tcPr>
          <w:p w14:paraId="021903F3" w14:textId="77777777" w:rsidR="00892881" w:rsidRPr="00785459" w:rsidRDefault="00892881" w:rsidP="002A0795">
            <w:pPr>
              <w:rPr>
                <w:rFonts w:ascii="Cambria" w:hAnsi="Cambria"/>
                <w:lang w:eastAsia="es-CR"/>
              </w:rPr>
            </w:pPr>
          </w:p>
        </w:tc>
        <w:tc>
          <w:tcPr>
            <w:tcW w:w="1559" w:type="dxa"/>
            <w:tcBorders>
              <w:top w:val="single" w:sz="4" w:space="0" w:color="auto"/>
              <w:left w:val="nil"/>
              <w:bottom w:val="single" w:sz="8" w:space="0" w:color="1F497D"/>
              <w:right w:val="single" w:sz="8" w:space="0" w:color="1F497D"/>
            </w:tcBorders>
          </w:tcPr>
          <w:p w14:paraId="14B92219" w14:textId="77777777" w:rsidR="00892881" w:rsidRPr="00785459" w:rsidRDefault="00892881" w:rsidP="002A0795">
            <w:pPr>
              <w:rPr>
                <w:rFonts w:ascii="Cambria" w:hAnsi="Cambria"/>
                <w:lang w:eastAsia="es-CR"/>
              </w:rPr>
            </w:pPr>
          </w:p>
        </w:tc>
        <w:tc>
          <w:tcPr>
            <w:tcW w:w="1877" w:type="dxa"/>
            <w:tcBorders>
              <w:top w:val="single" w:sz="4" w:space="0" w:color="auto"/>
              <w:left w:val="nil"/>
              <w:bottom w:val="single" w:sz="8" w:space="0" w:color="1F497D"/>
              <w:right w:val="single" w:sz="8" w:space="0" w:color="1F497D"/>
            </w:tcBorders>
          </w:tcPr>
          <w:p w14:paraId="1D5DE1FE" w14:textId="77777777" w:rsidR="00892881" w:rsidRPr="00785459" w:rsidRDefault="00892881" w:rsidP="002A0795">
            <w:pPr>
              <w:rPr>
                <w:rFonts w:ascii="Cambria" w:hAnsi="Cambria"/>
                <w:lang w:eastAsia="es-CR"/>
              </w:rPr>
            </w:pPr>
          </w:p>
        </w:tc>
      </w:tr>
      <w:tr w:rsidR="00892881" w:rsidRPr="00785459" w14:paraId="58AA956F" w14:textId="77777777" w:rsidTr="002A0795">
        <w:trPr>
          <w:trHeight w:val="315"/>
          <w:jc w:val="center"/>
        </w:trPr>
        <w:tc>
          <w:tcPr>
            <w:tcW w:w="2122" w:type="dxa"/>
            <w:tcBorders>
              <w:top w:val="nil"/>
              <w:left w:val="single" w:sz="8" w:space="0" w:color="1F497D"/>
              <w:bottom w:val="single" w:sz="8" w:space="0" w:color="1F497D"/>
              <w:right w:val="single" w:sz="8" w:space="0" w:color="1F497D"/>
            </w:tcBorders>
            <w:shd w:val="clear" w:color="auto" w:fill="auto"/>
            <w:noWrap/>
            <w:vAlign w:val="bottom"/>
          </w:tcPr>
          <w:p w14:paraId="444D812E" w14:textId="77777777" w:rsidR="00892881" w:rsidRPr="00785459" w:rsidRDefault="00892881" w:rsidP="002A0795">
            <w:pPr>
              <w:rPr>
                <w:rFonts w:ascii="Cambria" w:hAnsi="Cambria"/>
                <w:color w:val="000000"/>
                <w:lang w:eastAsia="es-CR"/>
              </w:rPr>
            </w:pPr>
            <w:r w:rsidRPr="00785459">
              <w:rPr>
                <w:rFonts w:ascii="Cambria" w:hAnsi="Cambria"/>
                <w:color w:val="000000"/>
                <w:lang w:eastAsia="es-CR"/>
              </w:rPr>
              <w:t>Vehículos Marítimos</w:t>
            </w:r>
          </w:p>
        </w:tc>
        <w:tc>
          <w:tcPr>
            <w:tcW w:w="1559" w:type="dxa"/>
            <w:tcBorders>
              <w:top w:val="nil"/>
              <w:left w:val="nil"/>
              <w:bottom w:val="single" w:sz="8" w:space="0" w:color="1F497D"/>
              <w:right w:val="single" w:sz="8" w:space="0" w:color="1F497D"/>
            </w:tcBorders>
            <w:shd w:val="clear" w:color="auto" w:fill="auto"/>
            <w:noWrap/>
            <w:vAlign w:val="bottom"/>
          </w:tcPr>
          <w:p w14:paraId="6C6188D1" w14:textId="77777777" w:rsidR="00892881" w:rsidRPr="00785459" w:rsidRDefault="00892881" w:rsidP="002A0795">
            <w:pPr>
              <w:rPr>
                <w:rFonts w:ascii="Cambria" w:hAnsi="Cambria"/>
                <w:lang w:eastAsia="es-CR"/>
              </w:rPr>
            </w:pPr>
          </w:p>
        </w:tc>
        <w:tc>
          <w:tcPr>
            <w:tcW w:w="1701" w:type="dxa"/>
            <w:tcBorders>
              <w:top w:val="nil"/>
              <w:left w:val="nil"/>
              <w:bottom w:val="single" w:sz="8" w:space="0" w:color="1F497D"/>
              <w:right w:val="single" w:sz="8" w:space="0" w:color="1F497D"/>
            </w:tcBorders>
            <w:shd w:val="clear" w:color="auto" w:fill="auto"/>
            <w:noWrap/>
            <w:vAlign w:val="bottom"/>
          </w:tcPr>
          <w:p w14:paraId="74CAA239" w14:textId="77777777" w:rsidR="00892881" w:rsidRPr="00785459" w:rsidRDefault="00892881" w:rsidP="002A0795">
            <w:pPr>
              <w:rPr>
                <w:rFonts w:ascii="Cambria" w:hAnsi="Cambria"/>
                <w:lang w:eastAsia="es-CR"/>
              </w:rPr>
            </w:pPr>
          </w:p>
        </w:tc>
        <w:tc>
          <w:tcPr>
            <w:tcW w:w="1559" w:type="dxa"/>
            <w:tcBorders>
              <w:top w:val="nil"/>
              <w:left w:val="nil"/>
              <w:bottom w:val="single" w:sz="8" w:space="0" w:color="1F497D"/>
              <w:right w:val="single" w:sz="8" w:space="0" w:color="1F497D"/>
            </w:tcBorders>
          </w:tcPr>
          <w:p w14:paraId="1CBE5EEB" w14:textId="77777777" w:rsidR="00892881" w:rsidRPr="00785459" w:rsidRDefault="00892881" w:rsidP="002A0795">
            <w:pPr>
              <w:rPr>
                <w:rFonts w:ascii="Cambria" w:hAnsi="Cambria"/>
                <w:lang w:eastAsia="es-CR"/>
              </w:rPr>
            </w:pPr>
          </w:p>
        </w:tc>
        <w:tc>
          <w:tcPr>
            <w:tcW w:w="1877" w:type="dxa"/>
            <w:tcBorders>
              <w:top w:val="nil"/>
              <w:left w:val="nil"/>
              <w:bottom w:val="single" w:sz="8" w:space="0" w:color="1F497D"/>
              <w:right w:val="single" w:sz="8" w:space="0" w:color="1F497D"/>
            </w:tcBorders>
          </w:tcPr>
          <w:p w14:paraId="4E4C1ABD" w14:textId="77777777" w:rsidR="00892881" w:rsidRPr="00785459" w:rsidRDefault="00892881" w:rsidP="002A0795">
            <w:pPr>
              <w:rPr>
                <w:rFonts w:ascii="Cambria" w:hAnsi="Cambria"/>
                <w:lang w:eastAsia="es-CR"/>
              </w:rPr>
            </w:pPr>
          </w:p>
        </w:tc>
      </w:tr>
      <w:tr w:rsidR="00892881" w:rsidRPr="00785459" w14:paraId="20FB6FCD" w14:textId="77777777" w:rsidTr="002A0795">
        <w:trPr>
          <w:trHeight w:val="315"/>
          <w:jc w:val="center"/>
        </w:trPr>
        <w:tc>
          <w:tcPr>
            <w:tcW w:w="2122" w:type="dxa"/>
            <w:tcBorders>
              <w:top w:val="nil"/>
              <w:left w:val="single" w:sz="8" w:space="0" w:color="1F497D"/>
              <w:bottom w:val="single" w:sz="8" w:space="0" w:color="1F497D"/>
              <w:right w:val="single" w:sz="8" w:space="0" w:color="1F497D"/>
            </w:tcBorders>
            <w:shd w:val="clear" w:color="auto" w:fill="auto"/>
            <w:noWrap/>
            <w:vAlign w:val="bottom"/>
          </w:tcPr>
          <w:p w14:paraId="233395D3" w14:textId="77777777" w:rsidR="00892881" w:rsidRPr="00785459" w:rsidRDefault="00892881" w:rsidP="002A0795">
            <w:pPr>
              <w:rPr>
                <w:rFonts w:ascii="Cambria" w:hAnsi="Cambria"/>
                <w:color w:val="000000"/>
                <w:lang w:eastAsia="es-CR"/>
              </w:rPr>
            </w:pPr>
            <w:r w:rsidRPr="00785459">
              <w:rPr>
                <w:rFonts w:ascii="Cambria" w:hAnsi="Cambria"/>
                <w:color w:val="000000"/>
                <w:lang w:eastAsia="es-CR"/>
              </w:rPr>
              <w:t>Aviación</w:t>
            </w:r>
          </w:p>
        </w:tc>
        <w:tc>
          <w:tcPr>
            <w:tcW w:w="1559" w:type="dxa"/>
            <w:tcBorders>
              <w:top w:val="nil"/>
              <w:left w:val="nil"/>
              <w:bottom w:val="single" w:sz="8" w:space="0" w:color="1F497D"/>
              <w:right w:val="single" w:sz="8" w:space="0" w:color="1F497D"/>
            </w:tcBorders>
            <w:shd w:val="clear" w:color="auto" w:fill="auto"/>
            <w:noWrap/>
            <w:vAlign w:val="bottom"/>
          </w:tcPr>
          <w:p w14:paraId="0D07729B" w14:textId="77777777" w:rsidR="00892881" w:rsidRPr="00785459" w:rsidRDefault="00892881" w:rsidP="002A0795">
            <w:pPr>
              <w:rPr>
                <w:rFonts w:ascii="Cambria" w:hAnsi="Cambria"/>
                <w:lang w:eastAsia="es-CR"/>
              </w:rPr>
            </w:pPr>
          </w:p>
        </w:tc>
        <w:tc>
          <w:tcPr>
            <w:tcW w:w="1701" w:type="dxa"/>
            <w:tcBorders>
              <w:top w:val="nil"/>
              <w:left w:val="nil"/>
              <w:bottom w:val="single" w:sz="8" w:space="0" w:color="1F497D"/>
              <w:right w:val="single" w:sz="8" w:space="0" w:color="1F497D"/>
            </w:tcBorders>
            <w:shd w:val="clear" w:color="auto" w:fill="auto"/>
            <w:noWrap/>
            <w:vAlign w:val="bottom"/>
          </w:tcPr>
          <w:p w14:paraId="71C46B90" w14:textId="77777777" w:rsidR="00892881" w:rsidRPr="00785459" w:rsidRDefault="00892881" w:rsidP="002A0795">
            <w:pPr>
              <w:rPr>
                <w:rFonts w:ascii="Cambria" w:hAnsi="Cambria"/>
                <w:lang w:eastAsia="es-CR"/>
              </w:rPr>
            </w:pPr>
          </w:p>
        </w:tc>
        <w:tc>
          <w:tcPr>
            <w:tcW w:w="1559" w:type="dxa"/>
            <w:tcBorders>
              <w:top w:val="nil"/>
              <w:left w:val="nil"/>
              <w:bottom w:val="single" w:sz="8" w:space="0" w:color="1F497D"/>
              <w:right w:val="single" w:sz="8" w:space="0" w:color="1F497D"/>
            </w:tcBorders>
          </w:tcPr>
          <w:p w14:paraId="175F698D" w14:textId="77777777" w:rsidR="00892881" w:rsidRPr="00785459" w:rsidRDefault="00892881" w:rsidP="002A0795">
            <w:pPr>
              <w:rPr>
                <w:rFonts w:ascii="Cambria" w:hAnsi="Cambria"/>
                <w:lang w:eastAsia="es-CR"/>
              </w:rPr>
            </w:pPr>
          </w:p>
        </w:tc>
        <w:tc>
          <w:tcPr>
            <w:tcW w:w="1877" w:type="dxa"/>
            <w:tcBorders>
              <w:top w:val="nil"/>
              <w:left w:val="nil"/>
              <w:bottom w:val="single" w:sz="8" w:space="0" w:color="1F497D"/>
              <w:right w:val="single" w:sz="8" w:space="0" w:color="1F497D"/>
            </w:tcBorders>
          </w:tcPr>
          <w:p w14:paraId="426111FA" w14:textId="77777777" w:rsidR="00892881" w:rsidRPr="00785459" w:rsidRDefault="00892881" w:rsidP="002A0795">
            <w:pPr>
              <w:rPr>
                <w:rFonts w:ascii="Cambria" w:hAnsi="Cambria"/>
                <w:lang w:eastAsia="es-CR"/>
              </w:rPr>
            </w:pPr>
          </w:p>
        </w:tc>
      </w:tr>
      <w:tr w:rsidR="00892881" w:rsidRPr="00785459" w14:paraId="3D49C12D" w14:textId="77777777" w:rsidTr="002A0795">
        <w:trPr>
          <w:trHeight w:val="315"/>
          <w:jc w:val="center"/>
        </w:trPr>
        <w:tc>
          <w:tcPr>
            <w:tcW w:w="2122" w:type="dxa"/>
            <w:tcBorders>
              <w:top w:val="nil"/>
              <w:left w:val="single" w:sz="8" w:space="0" w:color="1F497D"/>
              <w:bottom w:val="single" w:sz="8" w:space="0" w:color="1F497D"/>
              <w:right w:val="single" w:sz="8" w:space="0" w:color="1F497D"/>
            </w:tcBorders>
            <w:shd w:val="clear" w:color="auto" w:fill="auto"/>
            <w:noWrap/>
            <w:vAlign w:val="bottom"/>
          </w:tcPr>
          <w:p w14:paraId="68FCC5FD" w14:textId="77777777" w:rsidR="00892881" w:rsidRPr="00785459" w:rsidRDefault="00892881" w:rsidP="002A0795">
            <w:pPr>
              <w:rPr>
                <w:rFonts w:ascii="Cambria" w:hAnsi="Cambria"/>
                <w:color w:val="000000"/>
                <w:lang w:eastAsia="es-CR"/>
              </w:rPr>
            </w:pPr>
            <w:r w:rsidRPr="00785459">
              <w:rPr>
                <w:rFonts w:ascii="Cambria" w:hAnsi="Cambria"/>
                <w:color w:val="000000"/>
                <w:lang w:eastAsia="es-CR"/>
              </w:rPr>
              <w:t>Vehículos ferroviarios</w:t>
            </w:r>
          </w:p>
        </w:tc>
        <w:tc>
          <w:tcPr>
            <w:tcW w:w="1559" w:type="dxa"/>
            <w:tcBorders>
              <w:top w:val="nil"/>
              <w:left w:val="nil"/>
              <w:bottom w:val="single" w:sz="8" w:space="0" w:color="1F497D"/>
              <w:right w:val="single" w:sz="8" w:space="0" w:color="1F497D"/>
            </w:tcBorders>
            <w:shd w:val="clear" w:color="auto" w:fill="auto"/>
            <w:noWrap/>
            <w:vAlign w:val="bottom"/>
          </w:tcPr>
          <w:p w14:paraId="444475CB" w14:textId="77777777" w:rsidR="00892881" w:rsidRPr="00785459" w:rsidRDefault="00892881" w:rsidP="002A0795">
            <w:pPr>
              <w:rPr>
                <w:rFonts w:ascii="Cambria" w:hAnsi="Cambria"/>
                <w:lang w:eastAsia="es-CR"/>
              </w:rPr>
            </w:pPr>
          </w:p>
        </w:tc>
        <w:tc>
          <w:tcPr>
            <w:tcW w:w="1701" w:type="dxa"/>
            <w:tcBorders>
              <w:top w:val="nil"/>
              <w:left w:val="nil"/>
              <w:bottom w:val="single" w:sz="8" w:space="0" w:color="1F497D"/>
              <w:right w:val="single" w:sz="8" w:space="0" w:color="1F497D"/>
            </w:tcBorders>
            <w:shd w:val="clear" w:color="auto" w:fill="auto"/>
            <w:noWrap/>
            <w:vAlign w:val="bottom"/>
          </w:tcPr>
          <w:p w14:paraId="1167C264" w14:textId="77777777" w:rsidR="00892881" w:rsidRPr="00785459" w:rsidRDefault="00892881" w:rsidP="002A0795">
            <w:pPr>
              <w:rPr>
                <w:rFonts w:ascii="Cambria" w:hAnsi="Cambria"/>
                <w:lang w:eastAsia="es-CR"/>
              </w:rPr>
            </w:pPr>
          </w:p>
        </w:tc>
        <w:tc>
          <w:tcPr>
            <w:tcW w:w="1559" w:type="dxa"/>
            <w:tcBorders>
              <w:top w:val="nil"/>
              <w:left w:val="nil"/>
              <w:bottom w:val="single" w:sz="8" w:space="0" w:color="1F497D"/>
              <w:right w:val="single" w:sz="8" w:space="0" w:color="1F497D"/>
            </w:tcBorders>
          </w:tcPr>
          <w:p w14:paraId="54994168" w14:textId="77777777" w:rsidR="00892881" w:rsidRPr="00785459" w:rsidRDefault="00892881" w:rsidP="002A0795">
            <w:pPr>
              <w:rPr>
                <w:rFonts w:ascii="Cambria" w:hAnsi="Cambria"/>
                <w:lang w:eastAsia="es-CR"/>
              </w:rPr>
            </w:pPr>
          </w:p>
        </w:tc>
        <w:tc>
          <w:tcPr>
            <w:tcW w:w="1877" w:type="dxa"/>
            <w:tcBorders>
              <w:top w:val="nil"/>
              <w:left w:val="nil"/>
              <w:bottom w:val="single" w:sz="8" w:space="0" w:color="1F497D"/>
              <w:right w:val="single" w:sz="8" w:space="0" w:color="1F497D"/>
            </w:tcBorders>
          </w:tcPr>
          <w:p w14:paraId="166F0CC6" w14:textId="77777777" w:rsidR="00892881" w:rsidRPr="00785459" w:rsidRDefault="00892881" w:rsidP="002A0795">
            <w:pPr>
              <w:rPr>
                <w:rFonts w:ascii="Cambria" w:hAnsi="Cambria"/>
                <w:lang w:eastAsia="es-CR"/>
              </w:rPr>
            </w:pPr>
          </w:p>
        </w:tc>
      </w:tr>
      <w:tr w:rsidR="00892881" w:rsidRPr="00785459" w14:paraId="5290A14B" w14:textId="77777777" w:rsidTr="002A0795">
        <w:trPr>
          <w:trHeight w:val="315"/>
          <w:jc w:val="center"/>
        </w:trPr>
        <w:tc>
          <w:tcPr>
            <w:tcW w:w="2122" w:type="dxa"/>
            <w:tcBorders>
              <w:top w:val="nil"/>
              <w:left w:val="single" w:sz="8" w:space="0" w:color="1F497D"/>
              <w:bottom w:val="single" w:sz="8" w:space="0" w:color="1F497D"/>
              <w:right w:val="single" w:sz="8" w:space="0" w:color="1F497D"/>
            </w:tcBorders>
            <w:shd w:val="clear" w:color="auto" w:fill="auto"/>
            <w:noWrap/>
            <w:vAlign w:val="bottom"/>
          </w:tcPr>
          <w:p w14:paraId="5184AC7F" w14:textId="77777777" w:rsidR="00892881" w:rsidRPr="00785459" w:rsidRDefault="00892881" w:rsidP="002A0795">
            <w:pPr>
              <w:rPr>
                <w:rFonts w:ascii="Cambria" w:hAnsi="Cambria"/>
                <w:color w:val="000000"/>
                <w:lang w:eastAsia="es-CR"/>
              </w:rPr>
            </w:pPr>
            <w:r w:rsidRPr="00785459">
              <w:rPr>
                <w:rFonts w:ascii="Cambria" w:hAnsi="Cambria"/>
                <w:color w:val="000000"/>
                <w:lang w:eastAsia="es-CR"/>
              </w:rPr>
              <w:t>Mercancías Transportadas</w:t>
            </w:r>
          </w:p>
        </w:tc>
        <w:tc>
          <w:tcPr>
            <w:tcW w:w="1559" w:type="dxa"/>
            <w:tcBorders>
              <w:top w:val="nil"/>
              <w:left w:val="nil"/>
              <w:bottom w:val="single" w:sz="8" w:space="0" w:color="1F497D"/>
              <w:right w:val="single" w:sz="8" w:space="0" w:color="1F497D"/>
            </w:tcBorders>
            <w:shd w:val="clear" w:color="auto" w:fill="auto"/>
            <w:noWrap/>
            <w:vAlign w:val="bottom"/>
          </w:tcPr>
          <w:p w14:paraId="69DA531C" w14:textId="77777777" w:rsidR="00892881" w:rsidRPr="00785459" w:rsidRDefault="00892881" w:rsidP="002A0795">
            <w:pPr>
              <w:rPr>
                <w:rFonts w:ascii="Cambria" w:hAnsi="Cambria"/>
                <w:lang w:eastAsia="es-CR"/>
              </w:rPr>
            </w:pPr>
          </w:p>
        </w:tc>
        <w:tc>
          <w:tcPr>
            <w:tcW w:w="1701" w:type="dxa"/>
            <w:tcBorders>
              <w:top w:val="nil"/>
              <w:left w:val="nil"/>
              <w:bottom w:val="single" w:sz="8" w:space="0" w:color="1F497D"/>
              <w:right w:val="single" w:sz="8" w:space="0" w:color="1F497D"/>
            </w:tcBorders>
            <w:shd w:val="clear" w:color="auto" w:fill="auto"/>
            <w:noWrap/>
            <w:vAlign w:val="bottom"/>
          </w:tcPr>
          <w:p w14:paraId="77B3443E" w14:textId="77777777" w:rsidR="00892881" w:rsidRPr="00785459" w:rsidRDefault="00892881" w:rsidP="002A0795">
            <w:pPr>
              <w:rPr>
                <w:rFonts w:ascii="Cambria" w:hAnsi="Cambria"/>
                <w:lang w:eastAsia="es-CR"/>
              </w:rPr>
            </w:pPr>
          </w:p>
        </w:tc>
        <w:tc>
          <w:tcPr>
            <w:tcW w:w="1559" w:type="dxa"/>
            <w:tcBorders>
              <w:top w:val="nil"/>
              <w:left w:val="nil"/>
              <w:bottom w:val="single" w:sz="8" w:space="0" w:color="1F497D"/>
              <w:right w:val="single" w:sz="8" w:space="0" w:color="1F497D"/>
            </w:tcBorders>
          </w:tcPr>
          <w:p w14:paraId="334DEE05" w14:textId="77777777" w:rsidR="00892881" w:rsidRPr="00785459" w:rsidRDefault="00892881" w:rsidP="002A0795">
            <w:pPr>
              <w:rPr>
                <w:rFonts w:ascii="Cambria" w:hAnsi="Cambria"/>
                <w:lang w:eastAsia="es-CR"/>
              </w:rPr>
            </w:pPr>
          </w:p>
        </w:tc>
        <w:tc>
          <w:tcPr>
            <w:tcW w:w="1877" w:type="dxa"/>
            <w:tcBorders>
              <w:top w:val="nil"/>
              <w:left w:val="nil"/>
              <w:bottom w:val="single" w:sz="8" w:space="0" w:color="1F497D"/>
              <w:right w:val="single" w:sz="8" w:space="0" w:color="1F497D"/>
            </w:tcBorders>
          </w:tcPr>
          <w:p w14:paraId="4FB0F415" w14:textId="77777777" w:rsidR="00892881" w:rsidRPr="00785459" w:rsidRDefault="00892881" w:rsidP="002A0795">
            <w:pPr>
              <w:rPr>
                <w:rFonts w:ascii="Cambria" w:hAnsi="Cambria"/>
                <w:lang w:eastAsia="es-CR"/>
              </w:rPr>
            </w:pPr>
          </w:p>
        </w:tc>
      </w:tr>
      <w:tr w:rsidR="00892881" w:rsidRPr="00785459" w14:paraId="5CC87A3A" w14:textId="77777777" w:rsidTr="002A0795">
        <w:trPr>
          <w:trHeight w:val="315"/>
          <w:jc w:val="center"/>
        </w:trPr>
        <w:tc>
          <w:tcPr>
            <w:tcW w:w="2122" w:type="dxa"/>
            <w:tcBorders>
              <w:top w:val="nil"/>
              <w:left w:val="single" w:sz="8" w:space="0" w:color="1F497D"/>
              <w:bottom w:val="single" w:sz="8" w:space="0" w:color="1F497D"/>
              <w:right w:val="single" w:sz="8" w:space="0" w:color="1F497D"/>
            </w:tcBorders>
            <w:shd w:val="clear" w:color="auto" w:fill="auto"/>
            <w:noWrap/>
            <w:vAlign w:val="bottom"/>
          </w:tcPr>
          <w:p w14:paraId="1188A805" w14:textId="77777777" w:rsidR="00892881" w:rsidRPr="00785459" w:rsidRDefault="00892881" w:rsidP="002A0795">
            <w:pPr>
              <w:rPr>
                <w:rFonts w:ascii="Cambria" w:hAnsi="Cambria"/>
                <w:color w:val="000000"/>
                <w:lang w:eastAsia="es-CR"/>
              </w:rPr>
            </w:pPr>
            <w:r w:rsidRPr="00785459">
              <w:rPr>
                <w:rFonts w:ascii="Cambria" w:hAnsi="Cambria"/>
                <w:color w:val="000000"/>
                <w:lang w:eastAsia="es-CR"/>
              </w:rPr>
              <w:t>Incendio y líneas aliadas</w:t>
            </w:r>
          </w:p>
        </w:tc>
        <w:tc>
          <w:tcPr>
            <w:tcW w:w="1559" w:type="dxa"/>
            <w:tcBorders>
              <w:top w:val="nil"/>
              <w:left w:val="nil"/>
              <w:bottom w:val="single" w:sz="8" w:space="0" w:color="1F497D"/>
              <w:right w:val="single" w:sz="8" w:space="0" w:color="1F497D"/>
            </w:tcBorders>
            <w:shd w:val="clear" w:color="auto" w:fill="auto"/>
            <w:noWrap/>
            <w:vAlign w:val="bottom"/>
          </w:tcPr>
          <w:p w14:paraId="42A27F43" w14:textId="77777777" w:rsidR="00892881" w:rsidRPr="00785459" w:rsidRDefault="00892881" w:rsidP="002A0795">
            <w:pPr>
              <w:rPr>
                <w:rFonts w:ascii="Cambria" w:hAnsi="Cambria"/>
                <w:color w:val="000000"/>
                <w:lang w:eastAsia="es-CR"/>
              </w:rPr>
            </w:pPr>
          </w:p>
        </w:tc>
        <w:tc>
          <w:tcPr>
            <w:tcW w:w="1701" w:type="dxa"/>
            <w:tcBorders>
              <w:top w:val="nil"/>
              <w:left w:val="nil"/>
              <w:bottom w:val="single" w:sz="8" w:space="0" w:color="1F497D"/>
              <w:right w:val="single" w:sz="8" w:space="0" w:color="1F497D"/>
            </w:tcBorders>
            <w:shd w:val="clear" w:color="auto" w:fill="auto"/>
            <w:noWrap/>
            <w:vAlign w:val="bottom"/>
          </w:tcPr>
          <w:p w14:paraId="6EF91710" w14:textId="77777777" w:rsidR="00892881" w:rsidRPr="00785459" w:rsidRDefault="00892881" w:rsidP="002A0795">
            <w:pPr>
              <w:rPr>
                <w:rFonts w:ascii="Cambria" w:hAnsi="Cambria"/>
                <w:lang w:eastAsia="es-CR"/>
              </w:rPr>
            </w:pPr>
          </w:p>
        </w:tc>
        <w:tc>
          <w:tcPr>
            <w:tcW w:w="1559" w:type="dxa"/>
            <w:tcBorders>
              <w:top w:val="nil"/>
              <w:left w:val="nil"/>
              <w:bottom w:val="single" w:sz="8" w:space="0" w:color="1F497D"/>
              <w:right w:val="single" w:sz="8" w:space="0" w:color="1F497D"/>
            </w:tcBorders>
          </w:tcPr>
          <w:p w14:paraId="64F6A5F7" w14:textId="77777777" w:rsidR="00892881" w:rsidRPr="00785459" w:rsidRDefault="00892881" w:rsidP="002A0795">
            <w:pPr>
              <w:rPr>
                <w:rFonts w:ascii="Cambria" w:hAnsi="Cambria"/>
                <w:lang w:eastAsia="es-CR"/>
              </w:rPr>
            </w:pPr>
          </w:p>
        </w:tc>
        <w:tc>
          <w:tcPr>
            <w:tcW w:w="1877" w:type="dxa"/>
            <w:tcBorders>
              <w:top w:val="nil"/>
              <w:left w:val="nil"/>
              <w:bottom w:val="single" w:sz="8" w:space="0" w:color="1F497D"/>
              <w:right w:val="single" w:sz="8" w:space="0" w:color="1F497D"/>
            </w:tcBorders>
          </w:tcPr>
          <w:p w14:paraId="6549D6F6" w14:textId="77777777" w:rsidR="00892881" w:rsidRPr="00785459" w:rsidRDefault="00892881" w:rsidP="002A0795">
            <w:pPr>
              <w:rPr>
                <w:rFonts w:ascii="Cambria" w:hAnsi="Cambria"/>
                <w:lang w:eastAsia="es-CR"/>
              </w:rPr>
            </w:pPr>
          </w:p>
        </w:tc>
      </w:tr>
      <w:tr w:rsidR="00892881" w:rsidRPr="00785459" w14:paraId="7198D4D8" w14:textId="77777777" w:rsidTr="002A0795">
        <w:trPr>
          <w:trHeight w:val="315"/>
          <w:jc w:val="center"/>
        </w:trPr>
        <w:tc>
          <w:tcPr>
            <w:tcW w:w="2122" w:type="dxa"/>
            <w:tcBorders>
              <w:top w:val="nil"/>
              <w:left w:val="single" w:sz="8" w:space="0" w:color="1F497D"/>
              <w:bottom w:val="single" w:sz="8" w:space="0" w:color="1F497D"/>
              <w:right w:val="single" w:sz="8" w:space="0" w:color="1F497D"/>
            </w:tcBorders>
            <w:shd w:val="clear" w:color="auto" w:fill="auto"/>
            <w:noWrap/>
            <w:vAlign w:val="bottom"/>
          </w:tcPr>
          <w:p w14:paraId="1205DB44" w14:textId="77777777" w:rsidR="00892881" w:rsidRPr="00785459" w:rsidRDefault="00892881" w:rsidP="002A0795">
            <w:pPr>
              <w:rPr>
                <w:rFonts w:ascii="Cambria" w:hAnsi="Cambria"/>
                <w:color w:val="000000"/>
                <w:lang w:eastAsia="es-CR"/>
              </w:rPr>
            </w:pPr>
            <w:r w:rsidRPr="00785459">
              <w:rPr>
                <w:rFonts w:ascii="Cambria" w:hAnsi="Cambria"/>
                <w:color w:val="000000"/>
                <w:lang w:eastAsia="es-CR"/>
              </w:rPr>
              <w:t>Otros daños a los bienes</w:t>
            </w:r>
          </w:p>
        </w:tc>
        <w:tc>
          <w:tcPr>
            <w:tcW w:w="1559" w:type="dxa"/>
            <w:tcBorders>
              <w:top w:val="nil"/>
              <w:left w:val="nil"/>
              <w:bottom w:val="single" w:sz="8" w:space="0" w:color="1F497D"/>
              <w:right w:val="single" w:sz="8" w:space="0" w:color="1F497D"/>
            </w:tcBorders>
            <w:shd w:val="clear" w:color="auto" w:fill="auto"/>
            <w:noWrap/>
            <w:vAlign w:val="bottom"/>
          </w:tcPr>
          <w:p w14:paraId="05B96B2A" w14:textId="77777777" w:rsidR="00892881" w:rsidRPr="00785459" w:rsidRDefault="00892881" w:rsidP="002A0795">
            <w:pPr>
              <w:rPr>
                <w:rFonts w:ascii="Cambria" w:hAnsi="Cambria"/>
                <w:color w:val="000000"/>
                <w:lang w:eastAsia="es-CR"/>
              </w:rPr>
            </w:pPr>
          </w:p>
        </w:tc>
        <w:tc>
          <w:tcPr>
            <w:tcW w:w="1701" w:type="dxa"/>
            <w:tcBorders>
              <w:top w:val="nil"/>
              <w:left w:val="nil"/>
              <w:bottom w:val="single" w:sz="8" w:space="0" w:color="1F497D"/>
              <w:right w:val="single" w:sz="8" w:space="0" w:color="1F497D"/>
            </w:tcBorders>
            <w:shd w:val="clear" w:color="auto" w:fill="auto"/>
            <w:noWrap/>
            <w:vAlign w:val="bottom"/>
          </w:tcPr>
          <w:p w14:paraId="3550EB39" w14:textId="77777777" w:rsidR="00892881" w:rsidRPr="00785459" w:rsidRDefault="00892881" w:rsidP="002A0795">
            <w:pPr>
              <w:rPr>
                <w:rFonts w:ascii="Cambria" w:hAnsi="Cambria"/>
                <w:lang w:eastAsia="es-CR"/>
              </w:rPr>
            </w:pPr>
          </w:p>
        </w:tc>
        <w:tc>
          <w:tcPr>
            <w:tcW w:w="1559" w:type="dxa"/>
            <w:tcBorders>
              <w:top w:val="nil"/>
              <w:left w:val="nil"/>
              <w:bottom w:val="single" w:sz="8" w:space="0" w:color="1F497D"/>
              <w:right w:val="single" w:sz="8" w:space="0" w:color="1F497D"/>
            </w:tcBorders>
          </w:tcPr>
          <w:p w14:paraId="7C5CAFB0" w14:textId="77777777" w:rsidR="00892881" w:rsidRPr="00785459" w:rsidRDefault="00892881" w:rsidP="002A0795">
            <w:pPr>
              <w:rPr>
                <w:rFonts w:ascii="Cambria" w:hAnsi="Cambria"/>
                <w:lang w:eastAsia="es-CR"/>
              </w:rPr>
            </w:pPr>
          </w:p>
        </w:tc>
        <w:tc>
          <w:tcPr>
            <w:tcW w:w="1877" w:type="dxa"/>
            <w:tcBorders>
              <w:top w:val="nil"/>
              <w:left w:val="nil"/>
              <w:bottom w:val="single" w:sz="8" w:space="0" w:color="1F497D"/>
              <w:right w:val="single" w:sz="8" w:space="0" w:color="1F497D"/>
            </w:tcBorders>
          </w:tcPr>
          <w:p w14:paraId="0ACCE5CE" w14:textId="77777777" w:rsidR="00892881" w:rsidRPr="00785459" w:rsidRDefault="00892881" w:rsidP="002A0795">
            <w:pPr>
              <w:rPr>
                <w:rFonts w:ascii="Cambria" w:hAnsi="Cambria"/>
                <w:lang w:eastAsia="es-CR"/>
              </w:rPr>
            </w:pPr>
          </w:p>
        </w:tc>
      </w:tr>
      <w:tr w:rsidR="00892881" w:rsidRPr="00785459" w14:paraId="1BF6BF34" w14:textId="77777777" w:rsidTr="002A0795">
        <w:trPr>
          <w:trHeight w:val="315"/>
          <w:jc w:val="center"/>
        </w:trPr>
        <w:tc>
          <w:tcPr>
            <w:tcW w:w="2122" w:type="dxa"/>
            <w:tcBorders>
              <w:top w:val="nil"/>
              <w:left w:val="single" w:sz="8" w:space="0" w:color="1F497D"/>
              <w:bottom w:val="single" w:sz="8" w:space="0" w:color="1F497D"/>
              <w:right w:val="single" w:sz="8" w:space="0" w:color="1F497D"/>
            </w:tcBorders>
            <w:shd w:val="clear" w:color="auto" w:fill="auto"/>
            <w:noWrap/>
            <w:vAlign w:val="bottom"/>
          </w:tcPr>
          <w:p w14:paraId="0F2A477A" w14:textId="77777777" w:rsidR="00892881" w:rsidRPr="00785459" w:rsidRDefault="00892881" w:rsidP="002A0795">
            <w:pPr>
              <w:rPr>
                <w:rFonts w:ascii="Cambria" w:hAnsi="Cambria"/>
                <w:color w:val="000000"/>
                <w:lang w:eastAsia="es-CR"/>
              </w:rPr>
            </w:pPr>
            <w:r w:rsidRPr="00785459">
              <w:rPr>
                <w:rFonts w:ascii="Cambria" w:hAnsi="Cambria"/>
                <w:color w:val="000000"/>
                <w:lang w:eastAsia="es-CR"/>
              </w:rPr>
              <w:t>Responsabilidad Civil</w:t>
            </w:r>
          </w:p>
        </w:tc>
        <w:tc>
          <w:tcPr>
            <w:tcW w:w="1559" w:type="dxa"/>
            <w:tcBorders>
              <w:top w:val="nil"/>
              <w:left w:val="nil"/>
              <w:bottom w:val="single" w:sz="8" w:space="0" w:color="1F497D"/>
              <w:right w:val="single" w:sz="8" w:space="0" w:color="1F497D"/>
            </w:tcBorders>
            <w:shd w:val="clear" w:color="auto" w:fill="auto"/>
            <w:noWrap/>
            <w:vAlign w:val="bottom"/>
          </w:tcPr>
          <w:p w14:paraId="6404C11A" w14:textId="77777777" w:rsidR="00892881" w:rsidRPr="00785459" w:rsidRDefault="00892881" w:rsidP="002A0795">
            <w:pPr>
              <w:rPr>
                <w:rFonts w:ascii="Cambria" w:hAnsi="Cambria"/>
                <w:color w:val="000000"/>
                <w:lang w:eastAsia="es-CR"/>
              </w:rPr>
            </w:pPr>
          </w:p>
        </w:tc>
        <w:tc>
          <w:tcPr>
            <w:tcW w:w="1701" w:type="dxa"/>
            <w:tcBorders>
              <w:top w:val="nil"/>
              <w:left w:val="nil"/>
              <w:bottom w:val="single" w:sz="8" w:space="0" w:color="1F497D"/>
              <w:right w:val="single" w:sz="8" w:space="0" w:color="1F497D"/>
            </w:tcBorders>
            <w:shd w:val="clear" w:color="auto" w:fill="auto"/>
            <w:noWrap/>
            <w:vAlign w:val="bottom"/>
          </w:tcPr>
          <w:p w14:paraId="2570DB9D" w14:textId="77777777" w:rsidR="00892881" w:rsidRPr="00785459" w:rsidRDefault="00892881" w:rsidP="002A0795">
            <w:pPr>
              <w:rPr>
                <w:rFonts w:ascii="Cambria" w:hAnsi="Cambria"/>
                <w:lang w:eastAsia="es-CR"/>
              </w:rPr>
            </w:pPr>
          </w:p>
        </w:tc>
        <w:tc>
          <w:tcPr>
            <w:tcW w:w="1559" w:type="dxa"/>
            <w:tcBorders>
              <w:top w:val="nil"/>
              <w:left w:val="nil"/>
              <w:bottom w:val="single" w:sz="8" w:space="0" w:color="1F497D"/>
              <w:right w:val="single" w:sz="8" w:space="0" w:color="1F497D"/>
            </w:tcBorders>
          </w:tcPr>
          <w:p w14:paraId="75A5CF5A" w14:textId="77777777" w:rsidR="00892881" w:rsidRPr="00785459" w:rsidRDefault="00892881" w:rsidP="002A0795">
            <w:pPr>
              <w:rPr>
                <w:rFonts w:ascii="Cambria" w:hAnsi="Cambria"/>
                <w:lang w:eastAsia="es-CR"/>
              </w:rPr>
            </w:pPr>
          </w:p>
        </w:tc>
        <w:tc>
          <w:tcPr>
            <w:tcW w:w="1877" w:type="dxa"/>
            <w:tcBorders>
              <w:top w:val="nil"/>
              <w:left w:val="nil"/>
              <w:bottom w:val="single" w:sz="8" w:space="0" w:color="1F497D"/>
              <w:right w:val="single" w:sz="8" w:space="0" w:color="1F497D"/>
            </w:tcBorders>
          </w:tcPr>
          <w:p w14:paraId="7510AE2C" w14:textId="77777777" w:rsidR="00892881" w:rsidRPr="00785459" w:rsidRDefault="00892881" w:rsidP="002A0795">
            <w:pPr>
              <w:rPr>
                <w:rFonts w:ascii="Cambria" w:hAnsi="Cambria"/>
                <w:lang w:eastAsia="es-CR"/>
              </w:rPr>
            </w:pPr>
          </w:p>
        </w:tc>
      </w:tr>
      <w:tr w:rsidR="00892881" w:rsidRPr="00785459" w14:paraId="6D944F05" w14:textId="77777777" w:rsidTr="002A0795">
        <w:trPr>
          <w:trHeight w:val="315"/>
          <w:jc w:val="center"/>
        </w:trPr>
        <w:tc>
          <w:tcPr>
            <w:tcW w:w="2122" w:type="dxa"/>
            <w:tcBorders>
              <w:top w:val="nil"/>
              <w:left w:val="single" w:sz="8" w:space="0" w:color="1F497D"/>
              <w:bottom w:val="single" w:sz="8" w:space="0" w:color="1F497D"/>
              <w:right w:val="single" w:sz="8" w:space="0" w:color="1F497D"/>
            </w:tcBorders>
            <w:shd w:val="clear" w:color="auto" w:fill="auto"/>
            <w:noWrap/>
            <w:vAlign w:val="bottom"/>
          </w:tcPr>
          <w:p w14:paraId="6411F30C" w14:textId="77777777" w:rsidR="00892881" w:rsidRPr="00785459" w:rsidRDefault="00892881" w:rsidP="002A0795">
            <w:pPr>
              <w:rPr>
                <w:rFonts w:ascii="Cambria" w:hAnsi="Cambria"/>
                <w:color w:val="000000"/>
                <w:lang w:eastAsia="es-CR"/>
              </w:rPr>
            </w:pPr>
            <w:r w:rsidRPr="00785459">
              <w:rPr>
                <w:rFonts w:ascii="Cambria" w:hAnsi="Cambria"/>
                <w:color w:val="000000"/>
                <w:lang w:eastAsia="es-CR"/>
              </w:rPr>
              <w:t>Crédito</w:t>
            </w:r>
          </w:p>
        </w:tc>
        <w:tc>
          <w:tcPr>
            <w:tcW w:w="1559" w:type="dxa"/>
            <w:tcBorders>
              <w:top w:val="nil"/>
              <w:left w:val="nil"/>
              <w:bottom w:val="single" w:sz="8" w:space="0" w:color="1F497D"/>
              <w:right w:val="single" w:sz="8" w:space="0" w:color="1F497D"/>
            </w:tcBorders>
            <w:shd w:val="clear" w:color="auto" w:fill="auto"/>
            <w:noWrap/>
            <w:vAlign w:val="bottom"/>
          </w:tcPr>
          <w:p w14:paraId="1FA6064D" w14:textId="77777777" w:rsidR="00892881" w:rsidRPr="00785459" w:rsidRDefault="00892881" w:rsidP="002A0795">
            <w:pPr>
              <w:rPr>
                <w:rFonts w:ascii="Cambria" w:hAnsi="Cambria"/>
                <w:color w:val="000000"/>
                <w:lang w:eastAsia="es-CR"/>
              </w:rPr>
            </w:pPr>
          </w:p>
        </w:tc>
        <w:tc>
          <w:tcPr>
            <w:tcW w:w="1701" w:type="dxa"/>
            <w:tcBorders>
              <w:top w:val="nil"/>
              <w:left w:val="nil"/>
              <w:bottom w:val="single" w:sz="8" w:space="0" w:color="1F497D"/>
              <w:right w:val="single" w:sz="8" w:space="0" w:color="1F497D"/>
            </w:tcBorders>
            <w:shd w:val="clear" w:color="auto" w:fill="auto"/>
            <w:noWrap/>
            <w:vAlign w:val="bottom"/>
          </w:tcPr>
          <w:p w14:paraId="3F4C83E0" w14:textId="77777777" w:rsidR="00892881" w:rsidRPr="00785459" w:rsidRDefault="00892881" w:rsidP="002A0795">
            <w:pPr>
              <w:rPr>
                <w:rFonts w:ascii="Cambria" w:hAnsi="Cambria"/>
                <w:lang w:eastAsia="es-CR"/>
              </w:rPr>
            </w:pPr>
          </w:p>
        </w:tc>
        <w:tc>
          <w:tcPr>
            <w:tcW w:w="1559" w:type="dxa"/>
            <w:tcBorders>
              <w:top w:val="nil"/>
              <w:left w:val="nil"/>
              <w:bottom w:val="single" w:sz="8" w:space="0" w:color="1F497D"/>
              <w:right w:val="single" w:sz="8" w:space="0" w:color="1F497D"/>
            </w:tcBorders>
          </w:tcPr>
          <w:p w14:paraId="756C0249" w14:textId="77777777" w:rsidR="00892881" w:rsidRPr="00785459" w:rsidRDefault="00892881" w:rsidP="002A0795">
            <w:pPr>
              <w:rPr>
                <w:rFonts w:ascii="Cambria" w:hAnsi="Cambria"/>
                <w:lang w:eastAsia="es-CR"/>
              </w:rPr>
            </w:pPr>
          </w:p>
        </w:tc>
        <w:tc>
          <w:tcPr>
            <w:tcW w:w="1877" w:type="dxa"/>
            <w:tcBorders>
              <w:top w:val="nil"/>
              <w:left w:val="nil"/>
              <w:bottom w:val="single" w:sz="8" w:space="0" w:color="1F497D"/>
              <w:right w:val="single" w:sz="8" w:space="0" w:color="1F497D"/>
            </w:tcBorders>
          </w:tcPr>
          <w:p w14:paraId="4BA0A986" w14:textId="77777777" w:rsidR="00892881" w:rsidRPr="00785459" w:rsidRDefault="00892881" w:rsidP="002A0795">
            <w:pPr>
              <w:rPr>
                <w:rFonts w:ascii="Cambria" w:hAnsi="Cambria"/>
                <w:lang w:eastAsia="es-CR"/>
              </w:rPr>
            </w:pPr>
          </w:p>
        </w:tc>
      </w:tr>
      <w:tr w:rsidR="00892881" w:rsidRPr="00785459" w14:paraId="693B9FCC" w14:textId="77777777" w:rsidTr="002A0795">
        <w:trPr>
          <w:trHeight w:val="315"/>
          <w:jc w:val="center"/>
        </w:trPr>
        <w:tc>
          <w:tcPr>
            <w:tcW w:w="2122" w:type="dxa"/>
            <w:tcBorders>
              <w:top w:val="nil"/>
              <w:left w:val="single" w:sz="8" w:space="0" w:color="1F497D"/>
              <w:bottom w:val="single" w:sz="8" w:space="0" w:color="1F497D"/>
              <w:right w:val="single" w:sz="8" w:space="0" w:color="1F497D"/>
            </w:tcBorders>
            <w:shd w:val="clear" w:color="auto" w:fill="auto"/>
            <w:noWrap/>
            <w:vAlign w:val="bottom"/>
          </w:tcPr>
          <w:p w14:paraId="6DA86EBF" w14:textId="77777777" w:rsidR="00892881" w:rsidRPr="00785459" w:rsidRDefault="00892881" w:rsidP="002A0795">
            <w:pPr>
              <w:rPr>
                <w:rFonts w:ascii="Cambria" w:hAnsi="Cambria"/>
                <w:color w:val="000000"/>
                <w:lang w:eastAsia="es-CR"/>
              </w:rPr>
            </w:pPr>
            <w:r w:rsidRPr="00785459">
              <w:rPr>
                <w:rFonts w:ascii="Cambria" w:hAnsi="Cambria"/>
                <w:color w:val="000000"/>
                <w:lang w:eastAsia="es-CR"/>
              </w:rPr>
              <w:t>Caución</w:t>
            </w:r>
          </w:p>
        </w:tc>
        <w:tc>
          <w:tcPr>
            <w:tcW w:w="1559" w:type="dxa"/>
            <w:tcBorders>
              <w:top w:val="nil"/>
              <w:left w:val="nil"/>
              <w:bottom w:val="single" w:sz="8" w:space="0" w:color="1F497D"/>
              <w:right w:val="single" w:sz="8" w:space="0" w:color="1F497D"/>
            </w:tcBorders>
            <w:shd w:val="clear" w:color="auto" w:fill="auto"/>
            <w:noWrap/>
            <w:vAlign w:val="bottom"/>
          </w:tcPr>
          <w:p w14:paraId="71AD8002" w14:textId="77777777" w:rsidR="00892881" w:rsidRPr="00785459" w:rsidRDefault="00892881" w:rsidP="002A0795">
            <w:pPr>
              <w:rPr>
                <w:rFonts w:ascii="Cambria" w:hAnsi="Cambria"/>
                <w:color w:val="000000"/>
                <w:lang w:eastAsia="es-CR"/>
              </w:rPr>
            </w:pPr>
          </w:p>
        </w:tc>
        <w:tc>
          <w:tcPr>
            <w:tcW w:w="1701" w:type="dxa"/>
            <w:tcBorders>
              <w:top w:val="nil"/>
              <w:left w:val="nil"/>
              <w:bottom w:val="single" w:sz="8" w:space="0" w:color="1F497D"/>
              <w:right w:val="single" w:sz="8" w:space="0" w:color="1F497D"/>
            </w:tcBorders>
            <w:shd w:val="clear" w:color="auto" w:fill="auto"/>
            <w:noWrap/>
            <w:vAlign w:val="bottom"/>
          </w:tcPr>
          <w:p w14:paraId="2814B8DA" w14:textId="77777777" w:rsidR="00892881" w:rsidRPr="00785459" w:rsidRDefault="00892881" w:rsidP="002A0795">
            <w:pPr>
              <w:rPr>
                <w:rFonts w:ascii="Cambria" w:hAnsi="Cambria"/>
                <w:lang w:eastAsia="es-CR"/>
              </w:rPr>
            </w:pPr>
          </w:p>
        </w:tc>
        <w:tc>
          <w:tcPr>
            <w:tcW w:w="1559" w:type="dxa"/>
            <w:tcBorders>
              <w:top w:val="nil"/>
              <w:left w:val="nil"/>
              <w:bottom w:val="single" w:sz="8" w:space="0" w:color="1F497D"/>
              <w:right w:val="single" w:sz="8" w:space="0" w:color="1F497D"/>
            </w:tcBorders>
          </w:tcPr>
          <w:p w14:paraId="3E043ADE" w14:textId="77777777" w:rsidR="00892881" w:rsidRPr="00785459" w:rsidRDefault="00892881" w:rsidP="002A0795">
            <w:pPr>
              <w:rPr>
                <w:rFonts w:ascii="Cambria" w:hAnsi="Cambria"/>
                <w:lang w:eastAsia="es-CR"/>
              </w:rPr>
            </w:pPr>
          </w:p>
        </w:tc>
        <w:tc>
          <w:tcPr>
            <w:tcW w:w="1877" w:type="dxa"/>
            <w:tcBorders>
              <w:top w:val="nil"/>
              <w:left w:val="nil"/>
              <w:bottom w:val="single" w:sz="8" w:space="0" w:color="1F497D"/>
              <w:right w:val="single" w:sz="8" w:space="0" w:color="1F497D"/>
            </w:tcBorders>
          </w:tcPr>
          <w:p w14:paraId="43532EEA" w14:textId="77777777" w:rsidR="00892881" w:rsidRPr="00785459" w:rsidRDefault="00892881" w:rsidP="002A0795">
            <w:pPr>
              <w:rPr>
                <w:rFonts w:ascii="Cambria" w:hAnsi="Cambria"/>
                <w:lang w:eastAsia="es-CR"/>
              </w:rPr>
            </w:pPr>
          </w:p>
        </w:tc>
      </w:tr>
      <w:tr w:rsidR="00892881" w:rsidRPr="00785459" w14:paraId="26F08B47" w14:textId="77777777" w:rsidTr="002A0795">
        <w:trPr>
          <w:trHeight w:val="315"/>
          <w:jc w:val="center"/>
        </w:trPr>
        <w:tc>
          <w:tcPr>
            <w:tcW w:w="2122" w:type="dxa"/>
            <w:tcBorders>
              <w:top w:val="nil"/>
              <w:left w:val="single" w:sz="8" w:space="0" w:color="1F497D"/>
              <w:bottom w:val="single" w:sz="8" w:space="0" w:color="1F497D"/>
              <w:right w:val="single" w:sz="8" w:space="0" w:color="1F497D"/>
            </w:tcBorders>
            <w:shd w:val="clear" w:color="auto" w:fill="auto"/>
            <w:noWrap/>
            <w:vAlign w:val="bottom"/>
          </w:tcPr>
          <w:p w14:paraId="2F6E3851" w14:textId="77777777" w:rsidR="00892881" w:rsidRPr="00785459" w:rsidRDefault="00892881" w:rsidP="002A0795">
            <w:pPr>
              <w:rPr>
                <w:rFonts w:ascii="Cambria" w:hAnsi="Cambria"/>
                <w:color w:val="000000"/>
                <w:lang w:eastAsia="es-CR"/>
              </w:rPr>
            </w:pPr>
            <w:r w:rsidRPr="00785459">
              <w:rPr>
                <w:rFonts w:ascii="Cambria" w:hAnsi="Cambria"/>
                <w:color w:val="000000"/>
                <w:lang w:eastAsia="es-CR"/>
              </w:rPr>
              <w:t>Pérdidas pecuniarias</w:t>
            </w:r>
          </w:p>
        </w:tc>
        <w:tc>
          <w:tcPr>
            <w:tcW w:w="1559" w:type="dxa"/>
            <w:tcBorders>
              <w:top w:val="nil"/>
              <w:left w:val="nil"/>
              <w:bottom w:val="single" w:sz="8" w:space="0" w:color="1F497D"/>
              <w:right w:val="single" w:sz="8" w:space="0" w:color="1F497D"/>
            </w:tcBorders>
            <w:shd w:val="clear" w:color="auto" w:fill="auto"/>
            <w:noWrap/>
            <w:vAlign w:val="bottom"/>
          </w:tcPr>
          <w:p w14:paraId="327341C9" w14:textId="77777777" w:rsidR="00892881" w:rsidRPr="00785459" w:rsidRDefault="00892881" w:rsidP="002A0795">
            <w:pPr>
              <w:rPr>
                <w:rFonts w:ascii="Cambria" w:hAnsi="Cambria"/>
                <w:color w:val="000000"/>
                <w:lang w:eastAsia="es-CR"/>
              </w:rPr>
            </w:pPr>
          </w:p>
        </w:tc>
        <w:tc>
          <w:tcPr>
            <w:tcW w:w="1701" w:type="dxa"/>
            <w:tcBorders>
              <w:top w:val="nil"/>
              <w:left w:val="nil"/>
              <w:bottom w:val="single" w:sz="8" w:space="0" w:color="1F497D"/>
              <w:right w:val="single" w:sz="8" w:space="0" w:color="1F497D"/>
            </w:tcBorders>
            <w:shd w:val="clear" w:color="auto" w:fill="auto"/>
            <w:noWrap/>
            <w:vAlign w:val="bottom"/>
          </w:tcPr>
          <w:p w14:paraId="0AAF8501" w14:textId="77777777" w:rsidR="00892881" w:rsidRPr="00785459" w:rsidRDefault="00892881" w:rsidP="002A0795">
            <w:pPr>
              <w:rPr>
                <w:rFonts w:ascii="Cambria" w:hAnsi="Cambria"/>
                <w:lang w:eastAsia="es-CR"/>
              </w:rPr>
            </w:pPr>
          </w:p>
        </w:tc>
        <w:tc>
          <w:tcPr>
            <w:tcW w:w="1559" w:type="dxa"/>
            <w:tcBorders>
              <w:top w:val="nil"/>
              <w:left w:val="nil"/>
              <w:bottom w:val="single" w:sz="8" w:space="0" w:color="1F497D"/>
              <w:right w:val="single" w:sz="8" w:space="0" w:color="1F497D"/>
            </w:tcBorders>
          </w:tcPr>
          <w:p w14:paraId="0A8E27B2" w14:textId="77777777" w:rsidR="00892881" w:rsidRPr="00785459" w:rsidRDefault="00892881" w:rsidP="002A0795">
            <w:pPr>
              <w:rPr>
                <w:rFonts w:ascii="Cambria" w:hAnsi="Cambria"/>
                <w:lang w:eastAsia="es-CR"/>
              </w:rPr>
            </w:pPr>
          </w:p>
        </w:tc>
        <w:tc>
          <w:tcPr>
            <w:tcW w:w="1877" w:type="dxa"/>
            <w:tcBorders>
              <w:top w:val="nil"/>
              <w:left w:val="nil"/>
              <w:bottom w:val="single" w:sz="8" w:space="0" w:color="1F497D"/>
              <w:right w:val="single" w:sz="8" w:space="0" w:color="1F497D"/>
            </w:tcBorders>
          </w:tcPr>
          <w:p w14:paraId="0A959136" w14:textId="77777777" w:rsidR="00892881" w:rsidRPr="00785459" w:rsidRDefault="00892881" w:rsidP="002A0795">
            <w:pPr>
              <w:rPr>
                <w:rFonts w:ascii="Cambria" w:hAnsi="Cambria"/>
                <w:lang w:eastAsia="es-CR"/>
              </w:rPr>
            </w:pPr>
          </w:p>
        </w:tc>
      </w:tr>
      <w:tr w:rsidR="00892881" w:rsidRPr="00785459" w14:paraId="7766BA54" w14:textId="77777777" w:rsidTr="002A0795">
        <w:trPr>
          <w:trHeight w:val="315"/>
          <w:jc w:val="center"/>
        </w:trPr>
        <w:tc>
          <w:tcPr>
            <w:tcW w:w="2122" w:type="dxa"/>
            <w:tcBorders>
              <w:top w:val="nil"/>
              <w:left w:val="single" w:sz="8" w:space="0" w:color="1F497D"/>
              <w:bottom w:val="single" w:sz="8" w:space="0" w:color="1F497D"/>
              <w:right w:val="single" w:sz="8" w:space="0" w:color="1F497D"/>
            </w:tcBorders>
            <w:shd w:val="clear" w:color="auto" w:fill="auto"/>
            <w:noWrap/>
            <w:vAlign w:val="bottom"/>
          </w:tcPr>
          <w:p w14:paraId="751BE148" w14:textId="77777777" w:rsidR="00892881" w:rsidRPr="00785459" w:rsidRDefault="00892881" w:rsidP="002A0795">
            <w:pPr>
              <w:rPr>
                <w:rFonts w:ascii="Cambria" w:hAnsi="Cambria"/>
                <w:color w:val="000000"/>
                <w:lang w:eastAsia="es-CR"/>
              </w:rPr>
            </w:pPr>
            <w:r w:rsidRPr="00785459">
              <w:rPr>
                <w:rFonts w:ascii="Cambria" w:hAnsi="Cambria"/>
                <w:color w:val="000000"/>
                <w:lang w:eastAsia="es-CR"/>
              </w:rPr>
              <w:t>Agrícolas y pecuarios</w:t>
            </w:r>
          </w:p>
        </w:tc>
        <w:tc>
          <w:tcPr>
            <w:tcW w:w="1559" w:type="dxa"/>
            <w:tcBorders>
              <w:top w:val="nil"/>
              <w:left w:val="nil"/>
              <w:bottom w:val="single" w:sz="8" w:space="0" w:color="1F497D"/>
              <w:right w:val="single" w:sz="8" w:space="0" w:color="1F497D"/>
            </w:tcBorders>
            <w:shd w:val="clear" w:color="auto" w:fill="auto"/>
            <w:noWrap/>
            <w:vAlign w:val="bottom"/>
          </w:tcPr>
          <w:p w14:paraId="499E73BA" w14:textId="77777777" w:rsidR="00892881" w:rsidRPr="00785459" w:rsidRDefault="00892881" w:rsidP="002A0795">
            <w:pPr>
              <w:rPr>
                <w:rFonts w:ascii="Cambria" w:hAnsi="Cambria"/>
                <w:color w:val="000000"/>
                <w:lang w:eastAsia="es-CR"/>
              </w:rPr>
            </w:pPr>
          </w:p>
        </w:tc>
        <w:tc>
          <w:tcPr>
            <w:tcW w:w="1701" w:type="dxa"/>
            <w:tcBorders>
              <w:top w:val="nil"/>
              <w:left w:val="nil"/>
              <w:bottom w:val="single" w:sz="8" w:space="0" w:color="1F497D"/>
              <w:right w:val="single" w:sz="8" w:space="0" w:color="1F497D"/>
            </w:tcBorders>
            <w:shd w:val="clear" w:color="auto" w:fill="auto"/>
            <w:noWrap/>
            <w:vAlign w:val="bottom"/>
          </w:tcPr>
          <w:p w14:paraId="5ECA880D" w14:textId="77777777" w:rsidR="00892881" w:rsidRPr="00785459" w:rsidRDefault="00892881" w:rsidP="002A0795">
            <w:pPr>
              <w:rPr>
                <w:rFonts w:ascii="Cambria" w:hAnsi="Cambria"/>
                <w:lang w:eastAsia="es-CR"/>
              </w:rPr>
            </w:pPr>
          </w:p>
        </w:tc>
        <w:tc>
          <w:tcPr>
            <w:tcW w:w="1559" w:type="dxa"/>
            <w:tcBorders>
              <w:top w:val="nil"/>
              <w:left w:val="nil"/>
              <w:bottom w:val="single" w:sz="8" w:space="0" w:color="1F497D"/>
              <w:right w:val="single" w:sz="8" w:space="0" w:color="1F497D"/>
            </w:tcBorders>
          </w:tcPr>
          <w:p w14:paraId="1AD240A1" w14:textId="77777777" w:rsidR="00892881" w:rsidRPr="00785459" w:rsidRDefault="00892881" w:rsidP="002A0795">
            <w:pPr>
              <w:rPr>
                <w:rFonts w:ascii="Cambria" w:hAnsi="Cambria"/>
                <w:lang w:eastAsia="es-CR"/>
              </w:rPr>
            </w:pPr>
          </w:p>
        </w:tc>
        <w:tc>
          <w:tcPr>
            <w:tcW w:w="1877" w:type="dxa"/>
            <w:tcBorders>
              <w:top w:val="nil"/>
              <w:left w:val="nil"/>
              <w:bottom w:val="single" w:sz="8" w:space="0" w:color="1F497D"/>
              <w:right w:val="single" w:sz="8" w:space="0" w:color="1F497D"/>
            </w:tcBorders>
          </w:tcPr>
          <w:p w14:paraId="0F06152B" w14:textId="77777777" w:rsidR="00892881" w:rsidRPr="00785459" w:rsidRDefault="00892881" w:rsidP="002A0795">
            <w:pPr>
              <w:rPr>
                <w:rFonts w:ascii="Cambria" w:hAnsi="Cambria"/>
                <w:lang w:eastAsia="es-CR"/>
              </w:rPr>
            </w:pPr>
          </w:p>
        </w:tc>
      </w:tr>
      <w:tr w:rsidR="00892881" w:rsidRPr="00785459" w14:paraId="37B4AFF5" w14:textId="77777777" w:rsidTr="002A0795">
        <w:trPr>
          <w:trHeight w:val="315"/>
          <w:jc w:val="center"/>
        </w:trPr>
        <w:tc>
          <w:tcPr>
            <w:tcW w:w="2122" w:type="dxa"/>
            <w:tcBorders>
              <w:top w:val="nil"/>
              <w:left w:val="single" w:sz="8" w:space="0" w:color="1F497D"/>
              <w:bottom w:val="single" w:sz="8" w:space="0" w:color="1F497D"/>
              <w:right w:val="single" w:sz="8" w:space="0" w:color="1F497D"/>
            </w:tcBorders>
            <w:shd w:val="clear" w:color="auto" w:fill="auto"/>
            <w:noWrap/>
            <w:vAlign w:val="bottom"/>
          </w:tcPr>
          <w:p w14:paraId="3B07330F" w14:textId="77777777" w:rsidR="00892881" w:rsidRPr="00785459" w:rsidRDefault="00892881" w:rsidP="002A0795">
            <w:pPr>
              <w:rPr>
                <w:rFonts w:ascii="Cambria" w:hAnsi="Cambria"/>
                <w:color w:val="000000"/>
                <w:lang w:eastAsia="es-CR"/>
              </w:rPr>
            </w:pPr>
            <w:r w:rsidRPr="00785459">
              <w:rPr>
                <w:rFonts w:ascii="Cambria" w:hAnsi="Cambria"/>
                <w:color w:val="000000"/>
                <w:lang w:eastAsia="es-CR"/>
              </w:rPr>
              <w:lastRenderedPageBreak/>
              <w:t>Defensa Jurídica</w:t>
            </w:r>
          </w:p>
        </w:tc>
        <w:tc>
          <w:tcPr>
            <w:tcW w:w="1559" w:type="dxa"/>
            <w:tcBorders>
              <w:top w:val="nil"/>
              <w:left w:val="nil"/>
              <w:bottom w:val="single" w:sz="8" w:space="0" w:color="1F497D"/>
              <w:right w:val="single" w:sz="8" w:space="0" w:color="1F497D"/>
            </w:tcBorders>
            <w:shd w:val="clear" w:color="auto" w:fill="auto"/>
            <w:noWrap/>
            <w:vAlign w:val="bottom"/>
          </w:tcPr>
          <w:p w14:paraId="1E3E9ABF" w14:textId="77777777" w:rsidR="00892881" w:rsidRPr="00785459" w:rsidRDefault="00892881" w:rsidP="002A0795">
            <w:pPr>
              <w:rPr>
                <w:rFonts w:ascii="Cambria" w:hAnsi="Cambria"/>
                <w:color w:val="000000"/>
                <w:lang w:eastAsia="es-CR"/>
              </w:rPr>
            </w:pPr>
          </w:p>
        </w:tc>
        <w:tc>
          <w:tcPr>
            <w:tcW w:w="1701" w:type="dxa"/>
            <w:tcBorders>
              <w:top w:val="nil"/>
              <w:left w:val="nil"/>
              <w:bottom w:val="single" w:sz="8" w:space="0" w:color="1F497D"/>
              <w:right w:val="single" w:sz="8" w:space="0" w:color="1F497D"/>
            </w:tcBorders>
            <w:shd w:val="clear" w:color="auto" w:fill="auto"/>
            <w:noWrap/>
            <w:vAlign w:val="bottom"/>
          </w:tcPr>
          <w:p w14:paraId="62C3521F" w14:textId="77777777" w:rsidR="00892881" w:rsidRPr="00785459" w:rsidRDefault="00892881" w:rsidP="002A0795">
            <w:pPr>
              <w:rPr>
                <w:rFonts w:ascii="Cambria" w:hAnsi="Cambria"/>
                <w:lang w:eastAsia="es-CR"/>
              </w:rPr>
            </w:pPr>
          </w:p>
        </w:tc>
        <w:tc>
          <w:tcPr>
            <w:tcW w:w="1559" w:type="dxa"/>
            <w:tcBorders>
              <w:top w:val="nil"/>
              <w:left w:val="nil"/>
              <w:bottom w:val="single" w:sz="8" w:space="0" w:color="1F497D"/>
              <w:right w:val="single" w:sz="8" w:space="0" w:color="1F497D"/>
            </w:tcBorders>
          </w:tcPr>
          <w:p w14:paraId="7A326D10" w14:textId="77777777" w:rsidR="00892881" w:rsidRPr="00785459" w:rsidRDefault="00892881" w:rsidP="002A0795">
            <w:pPr>
              <w:rPr>
                <w:rFonts w:ascii="Cambria" w:hAnsi="Cambria"/>
                <w:lang w:eastAsia="es-CR"/>
              </w:rPr>
            </w:pPr>
          </w:p>
        </w:tc>
        <w:tc>
          <w:tcPr>
            <w:tcW w:w="1877" w:type="dxa"/>
            <w:tcBorders>
              <w:top w:val="nil"/>
              <w:left w:val="nil"/>
              <w:bottom w:val="single" w:sz="8" w:space="0" w:color="1F497D"/>
              <w:right w:val="single" w:sz="8" w:space="0" w:color="1F497D"/>
            </w:tcBorders>
          </w:tcPr>
          <w:p w14:paraId="7B8EFE0A" w14:textId="77777777" w:rsidR="00892881" w:rsidRPr="00785459" w:rsidRDefault="00892881" w:rsidP="002A0795">
            <w:pPr>
              <w:rPr>
                <w:rFonts w:ascii="Cambria" w:hAnsi="Cambria"/>
                <w:lang w:eastAsia="es-CR"/>
              </w:rPr>
            </w:pPr>
          </w:p>
        </w:tc>
      </w:tr>
      <w:tr w:rsidR="00892881" w:rsidRPr="00785459" w14:paraId="32214FF4" w14:textId="77777777" w:rsidTr="002A0795">
        <w:trPr>
          <w:trHeight w:val="315"/>
          <w:jc w:val="center"/>
        </w:trPr>
        <w:tc>
          <w:tcPr>
            <w:tcW w:w="2122" w:type="dxa"/>
            <w:tcBorders>
              <w:top w:val="nil"/>
              <w:left w:val="single" w:sz="8" w:space="0" w:color="1F497D"/>
              <w:bottom w:val="single" w:sz="8" w:space="0" w:color="1F497D"/>
              <w:right w:val="single" w:sz="8" w:space="0" w:color="1F497D"/>
            </w:tcBorders>
            <w:shd w:val="clear" w:color="auto" w:fill="auto"/>
            <w:noWrap/>
            <w:vAlign w:val="bottom"/>
          </w:tcPr>
          <w:p w14:paraId="29CF1A41" w14:textId="77777777" w:rsidR="00892881" w:rsidRPr="00785459" w:rsidRDefault="00892881" w:rsidP="002A0795">
            <w:pPr>
              <w:rPr>
                <w:rFonts w:ascii="Cambria" w:hAnsi="Cambria"/>
                <w:color w:val="000000"/>
                <w:lang w:eastAsia="es-CR"/>
              </w:rPr>
            </w:pPr>
            <w:r w:rsidRPr="00785459">
              <w:rPr>
                <w:rFonts w:ascii="Cambria" w:hAnsi="Cambria"/>
                <w:lang w:eastAsia="es-CR"/>
              </w:rPr>
              <w:t>Seguro Obligatorio Automóviles (SOA)</w:t>
            </w:r>
          </w:p>
        </w:tc>
        <w:tc>
          <w:tcPr>
            <w:tcW w:w="1559" w:type="dxa"/>
            <w:tcBorders>
              <w:top w:val="nil"/>
              <w:left w:val="nil"/>
              <w:bottom w:val="single" w:sz="8" w:space="0" w:color="1F497D"/>
              <w:right w:val="single" w:sz="8" w:space="0" w:color="1F497D"/>
            </w:tcBorders>
            <w:shd w:val="clear" w:color="auto" w:fill="auto"/>
            <w:noWrap/>
            <w:vAlign w:val="bottom"/>
          </w:tcPr>
          <w:p w14:paraId="092EF7B3" w14:textId="77777777" w:rsidR="00892881" w:rsidRPr="00785459" w:rsidRDefault="00892881" w:rsidP="002A0795">
            <w:pPr>
              <w:rPr>
                <w:rFonts w:ascii="Cambria" w:hAnsi="Cambria"/>
                <w:color w:val="000000"/>
                <w:lang w:eastAsia="es-CR"/>
              </w:rPr>
            </w:pPr>
          </w:p>
        </w:tc>
        <w:tc>
          <w:tcPr>
            <w:tcW w:w="1701" w:type="dxa"/>
            <w:tcBorders>
              <w:top w:val="nil"/>
              <w:left w:val="nil"/>
              <w:bottom w:val="single" w:sz="8" w:space="0" w:color="1F497D"/>
              <w:right w:val="single" w:sz="8" w:space="0" w:color="1F497D"/>
            </w:tcBorders>
            <w:shd w:val="clear" w:color="auto" w:fill="auto"/>
            <w:noWrap/>
            <w:vAlign w:val="bottom"/>
          </w:tcPr>
          <w:p w14:paraId="69E13776" w14:textId="77777777" w:rsidR="00892881" w:rsidRPr="00785459" w:rsidRDefault="00892881" w:rsidP="002A0795">
            <w:pPr>
              <w:rPr>
                <w:rFonts w:ascii="Cambria" w:hAnsi="Cambria"/>
                <w:lang w:eastAsia="es-CR"/>
              </w:rPr>
            </w:pPr>
          </w:p>
        </w:tc>
        <w:tc>
          <w:tcPr>
            <w:tcW w:w="1559" w:type="dxa"/>
            <w:tcBorders>
              <w:top w:val="nil"/>
              <w:left w:val="nil"/>
              <w:bottom w:val="single" w:sz="8" w:space="0" w:color="1F497D"/>
              <w:right w:val="single" w:sz="8" w:space="0" w:color="1F497D"/>
            </w:tcBorders>
          </w:tcPr>
          <w:p w14:paraId="001994DE" w14:textId="77777777" w:rsidR="00892881" w:rsidRPr="00785459" w:rsidRDefault="00892881" w:rsidP="002A0795">
            <w:pPr>
              <w:rPr>
                <w:rFonts w:ascii="Cambria" w:hAnsi="Cambria"/>
                <w:lang w:eastAsia="es-CR"/>
              </w:rPr>
            </w:pPr>
          </w:p>
        </w:tc>
        <w:tc>
          <w:tcPr>
            <w:tcW w:w="1877" w:type="dxa"/>
            <w:tcBorders>
              <w:top w:val="nil"/>
              <w:left w:val="nil"/>
              <w:bottom w:val="single" w:sz="8" w:space="0" w:color="1F497D"/>
              <w:right w:val="single" w:sz="8" w:space="0" w:color="1F497D"/>
            </w:tcBorders>
          </w:tcPr>
          <w:p w14:paraId="7070CACF" w14:textId="77777777" w:rsidR="00892881" w:rsidRPr="00785459" w:rsidRDefault="00892881" w:rsidP="002A0795">
            <w:pPr>
              <w:rPr>
                <w:rFonts w:ascii="Cambria" w:hAnsi="Cambria"/>
                <w:lang w:eastAsia="es-CR"/>
              </w:rPr>
            </w:pPr>
          </w:p>
        </w:tc>
      </w:tr>
      <w:tr w:rsidR="00892881" w:rsidRPr="00785459" w14:paraId="0EBDF7BF" w14:textId="77777777" w:rsidTr="002A0795">
        <w:trPr>
          <w:trHeight w:val="315"/>
          <w:jc w:val="center"/>
        </w:trPr>
        <w:tc>
          <w:tcPr>
            <w:tcW w:w="2122" w:type="dxa"/>
            <w:tcBorders>
              <w:top w:val="nil"/>
              <w:left w:val="single" w:sz="8" w:space="0" w:color="1F497D"/>
              <w:bottom w:val="single" w:sz="8" w:space="0" w:color="1F497D"/>
              <w:right w:val="single" w:sz="8" w:space="0" w:color="1F497D"/>
            </w:tcBorders>
            <w:shd w:val="clear" w:color="auto" w:fill="auto"/>
            <w:noWrap/>
            <w:vAlign w:val="bottom"/>
          </w:tcPr>
          <w:p w14:paraId="4305025B" w14:textId="77777777" w:rsidR="00892881" w:rsidRPr="00785459" w:rsidRDefault="00892881" w:rsidP="002A0795">
            <w:pPr>
              <w:rPr>
                <w:rFonts w:ascii="Cambria" w:hAnsi="Cambria"/>
                <w:color w:val="000000"/>
                <w:lang w:eastAsia="es-CR"/>
              </w:rPr>
            </w:pPr>
            <w:r w:rsidRPr="00785459">
              <w:rPr>
                <w:rFonts w:ascii="Cambria" w:hAnsi="Cambria"/>
                <w:color w:val="000000"/>
                <w:lang w:eastAsia="es-CR"/>
              </w:rPr>
              <w:t>Seguros de Asistencias de ramos generales</w:t>
            </w:r>
          </w:p>
        </w:tc>
        <w:tc>
          <w:tcPr>
            <w:tcW w:w="1559" w:type="dxa"/>
            <w:tcBorders>
              <w:top w:val="nil"/>
              <w:left w:val="nil"/>
              <w:bottom w:val="single" w:sz="8" w:space="0" w:color="1F497D"/>
              <w:right w:val="single" w:sz="8" w:space="0" w:color="1F497D"/>
            </w:tcBorders>
            <w:shd w:val="clear" w:color="auto" w:fill="auto"/>
            <w:noWrap/>
            <w:vAlign w:val="bottom"/>
          </w:tcPr>
          <w:p w14:paraId="3238382C" w14:textId="77777777" w:rsidR="00892881" w:rsidRPr="00785459" w:rsidRDefault="00892881" w:rsidP="002A0795">
            <w:pPr>
              <w:rPr>
                <w:rFonts w:ascii="Cambria" w:hAnsi="Cambria"/>
                <w:color w:val="000000"/>
                <w:lang w:eastAsia="es-CR"/>
              </w:rPr>
            </w:pPr>
          </w:p>
        </w:tc>
        <w:tc>
          <w:tcPr>
            <w:tcW w:w="1701" w:type="dxa"/>
            <w:tcBorders>
              <w:top w:val="nil"/>
              <w:left w:val="nil"/>
              <w:bottom w:val="single" w:sz="8" w:space="0" w:color="1F497D"/>
              <w:right w:val="single" w:sz="8" w:space="0" w:color="1F497D"/>
            </w:tcBorders>
            <w:shd w:val="clear" w:color="auto" w:fill="auto"/>
            <w:noWrap/>
            <w:vAlign w:val="bottom"/>
          </w:tcPr>
          <w:p w14:paraId="31CFC507" w14:textId="77777777" w:rsidR="00892881" w:rsidRPr="00785459" w:rsidRDefault="00892881" w:rsidP="002A0795">
            <w:pPr>
              <w:rPr>
                <w:rFonts w:ascii="Cambria" w:hAnsi="Cambria"/>
                <w:lang w:eastAsia="es-CR"/>
              </w:rPr>
            </w:pPr>
          </w:p>
        </w:tc>
        <w:tc>
          <w:tcPr>
            <w:tcW w:w="1559" w:type="dxa"/>
            <w:tcBorders>
              <w:top w:val="nil"/>
              <w:left w:val="nil"/>
              <w:bottom w:val="single" w:sz="8" w:space="0" w:color="1F497D"/>
              <w:right w:val="single" w:sz="8" w:space="0" w:color="1F497D"/>
            </w:tcBorders>
          </w:tcPr>
          <w:p w14:paraId="0AC67D9B" w14:textId="77777777" w:rsidR="00892881" w:rsidRPr="00785459" w:rsidRDefault="00892881" w:rsidP="002A0795">
            <w:pPr>
              <w:rPr>
                <w:rFonts w:ascii="Cambria" w:hAnsi="Cambria"/>
                <w:lang w:eastAsia="es-CR"/>
              </w:rPr>
            </w:pPr>
          </w:p>
        </w:tc>
        <w:tc>
          <w:tcPr>
            <w:tcW w:w="1877" w:type="dxa"/>
            <w:tcBorders>
              <w:top w:val="nil"/>
              <w:left w:val="nil"/>
              <w:bottom w:val="single" w:sz="8" w:space="0" w:color="1F497D"/>
              <w:right w:val="single" w:sz="8" w:space="0" w:color="1F497D"/>
            </w:tcBorders>
          </w:tcPr>
          <w:p w14:paraId="7BCD5189" w14:textId="77777777" w:rsidR="00892881" w:rsidRPr="00785459" w:rsidRDefault="00892881" w:rsidP="002A0795">
            <w:pPr>
              <w:rPr>
                <w:rFonts w:ascii="Cambria" w:hAnsi="Cambria"/>
                <w:lang w:eastAsia="es-CR"/>
              </w:rPr>
            </w:pPr>
          </w:p>
        </w:tc>
      </w:tr>
      <w:tr w:rsidR="00892881" w:rsidRPr="00785459" w14:paraId="6EC70A59" w14:textId="77777777" w:rsidTr="002A0795">
        <w:trPr>
          <w:trHeight w:val="315"/>
          <w:jc w:val="center"/>
        </w:trPr>
        <w:tc>
          <w:tcPr>
            <w:tcW w:w="2122" w:type="dxa"/>
            <w:tcBorders>
              <w:top w:val="nil"/>
              <w:left w:val="single" w:sz="8" w:space="0" w:color="1F497D"/>
              <w:bottom w:val="single" w:sz="8" w:space="0" w:color="1F497D"/>
              <w:right w:val="single" w:sz="8" w:space="0" w:color="1F497D"/>
            </w:tcBorders>
            <w:shd w:val="clear" w:color="auto" w:fill="auto"/>
            <w:noWrap/>
            <w:vAlign w:val="bottom"/>
          </w:tcPr>
          <w:p w14:paraId="28D62158" w14:textId="77777777" w:rsidR="00892881" w:rsidRPr="00785459" w:rsidRDefault="00892881" w:rsidP="002A0795">
            <w:pPr>
              <w:rPr>
                <w:rFonts w:ascii="Cambria" w:hAnsi="Cambria"/>
                <w:color w:val="000000"/>
                <w:lang w:eastAsia="es-CR"/>
              </w:rPr>
            </w:pPr>
            <w:r w:rsidRPr="00785459">
              <w:rPr>
                <w:rFonts w:ascii="Cambria" w:hAnsi="Cambria"/>
                <w:color w:val="000000"/>
                <w:lang w:eastAsia="es-CR"/>
              </w:rPr>
              <w:t>Seguros Misceláneos Generales</w:t>
            </w:r>
          </w:p>
        </w:tc>
        <w:tc>
          <w:tcPr>
            <w:tcW w:w="1559" w:type="dxa"/>
            <w:tcBorders>
              <w:top w:val="nil"/>
              <w:left w:val="nil"/>
              <w:bottom w:val="single" w:sz="8" w:space="0" w:color="1F497D"/>
              <w:right w:val="single" w:sz="8" w:space="0" w:color="1F497D"/>
            </w:tcBorders>
            <w:shd w:val="clear" w:color="auto" w:fill="auto"/>
            <w:noWrap/>
            <w:vAlign w:val="bottom"/>
          </w:tcPr>
          <w:p w14:paraId="39CA0755" w14:textId="77777777" w:rsidR="00892881" w:rsidRPr="00785459" w:rsidRDefault="00892881" w:rsidP="002A0795">
            <w:pPr>
              <w:rPr>
                <w:rFonts w:ascii="Cambria" w:hAnsi="Cambria"/>
                <w:color w:val="000000"/>
                <w:lang w:eastAsia="es-CR"/>
              </w:rPr>
            </w:pPr>
          </w:p>
        </w:tc>
        <w:tc>
          <w:tcPr>
            <w:tcW w:w="1701" w:type="dxa"/>
            <w:tcBorders>
              <w:top w:val="nil"/>
              <w:left w:val="nil"/>
              <w:bottom w:val="single" w:sz="8" w:space="0" w:color="1F497D"/>
              <w:right w:val="single" w:sz="8" w:space="0" w:color="1F497D"/>
            </w:tcBorders>
            <w:shd w:val="clear" w:color="auto" w:fill="auto"/>
            <w:noWrap/>
            <w:vAlign w:val="bottom"/>
          </w:tcPr>
          <w:p w14:paraId="168823F8" w14:textId="77777777" w:rsidR="00892881" w:rsidRPr="00785459" w:rsidRDefault="00892881" w:rsidP="002A0795">
            <w:pPr>
              <w:rPr>
                <w:rFonts w:ascii="Cambria" w:hAnsi="Cambria"/>
                <w:lang w:eastAsia="es-CR"/>
              </w:rPr>
            </w:pPr>
          </w:p>
        </w:tc>
        <w:tc>
          <w:tcPr>
            <w:tcW w:w="1559" w:type="dxa"/>
            <w:tcBorders>
              <w:top w:val="nil"/>
              <w:left w:val="nil"/>
              <w:bottom w:val="single" w:sz="8" w:space="0" w:color="1F497D"/>
              <w:right w:val="single" w:sz="8" w:space="0" w:color="1F497D"/>
            </w:tcBorders>
          </w:tcPr>
          <w:p w14:paraId="7FD89DA2" w14:textId="77777777" w:rsidR="00892881" w:rsidRPr="00785459" w:rsidRDefault="00892881" w:rsidP="002A0795">
            <w:pPr>
              <w:rPr>
                <w:rFonts w:ascii="Cambria" w:hAnsi="Cambria"/>
                <w:lang w:eastAsia="es-CR"/>
              </w:rPr>
            </w:pPr>
          </w:p>
        </w:tc>
        <w:tc>
          <w:tcPr>
            <w:tcW w:w="1877" w:type="dxa"/>
            <w:tcBorders>
              <w:top w:val="nil"/>
              <w:left w:val="nil"/>
              <w:bottom w:val="single" w:sz="8" w:space="0" w:color="1F497D"/>
              <w:right w:val="single" w:sz="8" w:space="0" w:color="1F497D"/>
            </w:tcBorders>
          </w:tcPr>
          <w:p w14:paraId="34244710" w14:textId="77777777" w:rsidR="00892881" w:rsidRPr="00785459" w:rsidRDefault="00892881" w:rsidP="002A0795">
            <w:pPr>
              <w:rPr>
                <w:rFonts w:ascii="Cambria" w:hAnsi="Cambria"/>
                <w:lang w:eastAsia="es-CR"/>
              </w:rPr>
            </w:pPr>
          </w:p>
        </w:tc>
      </w:tr>
      <w:tr w:rsidR="00892881" w:rsidRPr="00785459" w14:paraId="739C70AC" w14:textId="77777777" w:rsidTr="002A0795">
        <w:trPr>
          <w:trHeight w:val="315"/>
          <w:jc w:val="center"/>
        </w:trPr>
        <w:tc>
          <w:tcPr>
            <w:tcW w:w="2122" w:type="dxa"/>
            <w:tcBorders>
              <w:top w:val="nil"/>
              <w:left w:val="single" w:sz="8" w:space="0" w:color="1F497D"/>
              <w:bottom w:val="single" w:sz="8" w:space="0" w:color="1F497D"/>
              <w:right w:val="single" w:sz="8" w:space="0" w:color="1F497D"/>
            </w:tcBorders>
            <w:shd w:val="clear" w:color="auto" w:fill="auto"/>
            <w:noWrap/>
            <w:vAlign w:val="bottom"/>
          </w:tcPr>
          <w:p w14:paraId="64E4FADB" w14:textId="77777777" w:rsidR="00892881" w:rsidRPr="00785459" w:rsidRDefault="00892881" w:rsidP="002A0795">
            <w:pPr>
              <w:rPr>
                <w:rFonts w:ascii="Cambria" w:hAnsi="Cambria"/>
                <w:color w:val="000000"/>
                <w:lang w:eastAsia="es-CR"/>
              </w:rPr>
            </w:pPr>
            <w:r w:rsidRPr="00785459">
              <w:rPr>
                <w:rFonts w:ascii="Cambria" w:hAnsi="Cambria"/>
                <w:color w:val="000000"/>
                <w:lang w:eastAsia="es-CR"/>
              </w:rPr>
              <w:t>Vida</w:t>
            </w:r>
          </w:p>
        </w:tc>
        <w:tc>
          <w:tcPr>
            <w:tcW w:w="1559" w:type="dxa"/>
            <w:tcBorders>
              <w:top w:val="nil"/>
              <w:left w:val="nil"/>
              <w:bottom w:val="single" w:sz="8" w:space="0" w:color="1F497D"/>
              <w:right w:val="single" w:sz="8" w:space="0" w:color="1F497D"/>
            </w:tcBorders>
            <w:shd w:val="clear" w:color="auto" w:fill="auto"/>
            <w:noWrap/>
            <w:vAlign w:val="bottom"/>
          </w:tcPr>
          <w:p w14:paraId="3F788D95" w14:textId="77777777" w:rsidR="00892881" w:rsidRPr="00785459" w:rsidRDefault="00892881" w:rsidP="002A0795">
            <w:pPr>
              <w:rPr>
                <w:rFonts w:ascii="Cambria" w:hAnsi="Cambria"/>
                <w:color w:val="000000"/>
                <w:lang w:eastAsia="es-CR"/>
              </w:rPr>
            </w:pPr>
          </w:p>
        </w:tc>
        <w:tc>
          <w:tcPr>
            <w:tcW w:w="1701" w:type="dxa"/>
            <w:tcBorders>
              <w:top w:val="nil"/>
              <w:left w:val="nil"/>
              <w:bottom w:val="single" w:sz="8" w:space="0" w:color="1F497D"/>
              <w:right w:val="single" w:sz="8" w:space="0" w:color="1F497D"/>
            </w:tcBorders>
            <w:shd w:val="clear" w:color="auto" w:fill="auto"/>
            <w:noWrap/>
            <w:vAlign w:val="bottom"/>
          </w:tcPr>
          <w:p w14:paraId="0EDC67CC" w14:textId="77777777" w:rsidR="00892881" w:rsidRPr="00785459" w:rsidRDefault="00892881" w:rsidP="002A0795">
            <w:pPr>
              <w:rPr>
                <w:rFonts w:ascii="Cambria" w:hAnsi="Cambria"/>
                <w:lang w:eastAsia="es-CR"/>
              </w:rPr>
            </w:pPr>
          </w:p>
        </w:tc>
        <w:tc>
          <w:tcPr>
            <w:tcW w:w="1559" w:type="dxa"/>
            <w:tcBorders>
              <w:top w:val="nil"/>
              <w:left w:val="nil"/>
              <w:bottom w:val="single" w:sz="8" w:space="0" w:color="1F497D"/>
              <w:right w:val="single" w:sz="8" w:space="0" w:color="1F497D"/>
            </w:tcBorders>
          </w:tcPr>
          <w:p w14:paraId="3886A858" w14:textId="77777777" w:rsidR="00892881" w:rsidRPr="00785459" w:rsidRDefault="00892881" w:rsidP="002A0795">
            <w:pPr>
              <w:rPr>
                <w:rFonts w:ascii="Cambria" w:hAnsi="Cambria"/>
                <w:lang w:eastAsia="es-CR"/>
              </w:rPr>
            </w:pPr>
          </w:p>
        </w:tc>
        <w:tc>
          <w:tcPr>
            <w:tcW w:w="1877" w:type="dxa"/>
            <w:tcBorders>
              <w:top w:val="nil"/>
              <w:left w:val="nil"/>
              <w:bottom w:val="single" w:sz="8" w:space="0" w:color="1F497D"/>
              <w:right w:val="single" w:sz="8" w:space="0" w:color="1F497D"/>
            </w:tcBorders>
          </w:tcPr>
          <w:p w14:paraId="20F50A64" w14:textId="77777777" w:rsidR="00892881" w:rsidRPr="00785459" w:rsidRDefault="00892881" w:rsidP="002A0795">
            <w:pPr>
              <w:rPr>
                <w:rFonts w:ascii="Cambria" w:hAnsi="Cambria"/>
                <w:lang w:eastAsia="es-CR"/>
              </w:rPr>
            </w:pPr>
          </w:p>
        </w:tc>
      </w:tr>
      <w:tr w:rsidR="00892881" w:rsidRPr="00785459" w14:paraId="433B53BD" w14:textId="77777777" w:rsidTr="002A0795">
        <w:trPr>
          <w:trHeight w:val="315"/>
          <w:jc w:val="center"/>
        </w:trPr>
        <w:tc>
          <w:tcPr>
            <w:tcW w:w="2122" w:type="dxa"/>
            <w:tcBorders>
              <w:top w:val="nil"/>
              <w:left w:val="single" w:sz="8" w:space="0" w:color="1F497D"/>
              <w:bottom w:val="single" w:sz="8" w:space="0" w:color="1F497D"/>
              <w:right w:val="single" w:sz="8" w:space="0" w:color="1F497D"/>
            </w:tcBorders>
            <w:shd w:val="clear" w:color="auto" w:fill="auto"/>
            <w:noWrap/>
            <w:vAlign w:val="bottom"/>
          </w:tcPr>
          <w:p w14:paraId="539B683A" w14:textId="77777777" w:rsidR="00892881" w:rsidRPr="00785459" w:rsidRDefault="00892881" w:rsidP="002A0795">
            <w:pPr>
              <w:rPr>
                <w:rFonts w:ascii="Cambria" w:hAnsi="Cambria"/>
                <w:color w:val="000000"/>
                <w:lang w:eastAsia="es-CR"/>
              </w:rPr>
            </w:pPr>
            <w:r w:rsidRPr="00785459">
              <w:rPr>
                <w:rFonts w:ascii="Cambria" w:hAnsi="Cambria"/>
                <w:color w:val="000000"/>
                <w:lang w:eastAsia="es-CR"/>
              </w:rPr>
              <w:t>Rentas</w:t>
            </w:r>
          </w:p>
        </w:tc>
        <w:tc>
          <w:tcPr>
            <w:tcW w:w="1559" w:type="dxa"/>
            <w:tcBorders>
              <w:top w:val="nil"/>
              <w:left w:val="nil"/>
              <w:bottom w:val="single" w:sz="8" w:space="0" w:color="1F497D"/>
              <w:right w:val="single" w:sz="8" w:space="0" w:color="1F497D"/>
            </w:tcBorders>
            <w:shd w:val="clear" w:color="auto" w:fill="auto"/>
            <w:noWrap/>
            <w:vAlign w:val="bottom"/>
          </w:tcPr>
          <w:p w14:paraId="0BFA48B9" w14:textId="77777777" w:rsidR="00892881" w:rsidRPr="00785459" w:rsidRDefault="00892881" w:rsidP="002A0795">
            <w:pPr>
              <w:rPr>
                <w:rFonts w:ascii="Cambria" w:hAnsi="Cambria"/>
                <w:color w:val="000000"/>
                <w:lang w:eastAsia="es-CR"/>
              </w:rPr>
            </w:pPr>
          </w:p>
        </w:tc>
        <w:tc>
          <w:tcPr>
            <w:tcW w:w="1701" w:type="dxa"/>
            <w:tcBorders>
              <w:top w:val="nil"/>
              <w:left w:val="nil"/>
              <w:bottom w:val="single" w:sz="8" w:space="0" w:color="1F497D"/>
              <w:right w:val="single" w:sz="8" w:space="0" w:color="1F497D"/>
            </w:tcBorders>
            <w:shd w:val="clear" w:color="auto" w:fill="auto"/>
            <w:noWrap/>
            <w:vAlign w:val="bottom"/>
          </w:tcPr>
          <w:p w14:paraId="1BC497E8" w14:textId="77777777" w:rsidR="00892881" w:rsidRPr="00785459" w:rsidRDefault="00892881" w:rsidP="002A0795">
            <w:pPr>
              <w:rPr>
                <w:rFonts w:ascii="Cambria" w:hAnsi="Cambria"/>
                <w:lang w:eastAsia="es-CR"/>
              </w:rPr>
            </w:pPr>
          </w:p>
        </w:tc>
        <w:tc>
          <w:tcPr>
            <w:tcW w:w="1559" w:type="dxa"/>
            <w:tcBorders>
              <w:top w:val="nil"/>
              <w:left w:val="nil"/>
              <w:bottom w:val="single" w:sz="8" w:space="0" w:color="1F497D"/>
              <w:right w:val="single" w:sz="8" w:space="0" w:color="1F497D"/>
            </w:tcBorders>
          </w:tcPr>
          <w:p w14:paraId="600469AF" w14:textId="77777777" w:rsidR="00892881" w:rsidRPr="00785459" w:rsidRDefault="00892881" w:rsidP="002A0795">
            <w:pPr>
              <w:rPr>
                <w:rFonts w:ascii="Cambria" w:hAnsi="Cambria"/>
                <w:lang w:eastAsia="es-CR"/>
              </w:rPr>
            </w:pPr>
          </w:p>
        </w:tc>
        <w:tc>
          <w:tcPr>
            <w:tcW w:w="1877" w:type="dxa"/>
            <w:tcBorders>
              <w:top w:val="nil"/>
              <w:left w:val="nil"/>
              <w:bottom w:val="single" w:sz="8" w:space="0" w:color="1F497D"/>
              <w:right w:val="single" w:sz="8" w:space="0" w:color="1F497D"/>
            </w:tcBorders>
          </w:tcPr>
          <w:p w14:paraId="24574694" w14:textId="77777777" w:rsidR="00892881" w:rsidRPr="00785459" w:rsidRDefault="00892881" w:rsidP="002A0795">
            <w:pPr>
              <w:rPr>
                <w:rFonts w:ascii="Cambria" w:hAnsi="Cambria"/>
                <w:lang w:eastAsia="es-CR"/>
              </w:rPr>
            </w:pPr>
          </w:p>
        </w:tc>
      </w:tr>
      <w:tr w:rsidR="00892881" w:rsidRPr="00785459" w14:paraId="59160E70" w14:textId="77777777" w:rsidTr="002A0795">
        <w:trPr>
          <w:trHeight w:val="315"/>
          <w:jc w:val="center"/>
        </w:trPr>
        <w:tc>
          <w:tcPr>
            <w:tcW w:w="2122" w:type="dxa"/>
            <w:tcBorders>
              <w:top w:val="nil"/>
              <w:left w:val="single" w:sz="8" w:space="0" w:color="1F497D"/>
              <w:bottom w:val="single" w:sz="8" w:space="0" w:color="1F497D"/>
              <w:right w:val="single" w:sz="8" w:space="0" w:color="1F497D"/>
            </w:tcBorders>
            <w:shd w:val="clear" w:color="auto" w:fill="auto"/>
            <w:noWrap/>
            <w:vAlign w:val="bottom"/>
          </w:tcPr>
          <w:p w14:paraId="5608476F" w14:textId="77777777" w:rsidR="00892881" w:rsidRPr="00785459" w:rsidRDefault="00892881" w:rsidP="002A0795">
            <w:pPr>
              <w:rPr>
                <w:rFonts w:ascii="Cambria" w:hAnsi="Cambria"/>
                <w:color w:val="000000"/>
                <w:lang w:eastAsia="es-CR"/>
              </w:rPr>
            </w:pPr>
            <w:r w:rsidRPr="00785459">
              <w:rPr>
                <w:rFonts w:ascii="Cambria" w:hAnsi="Cambria"/>
                <w:color w:val="000000"/>
                <w:lang w:eastAsia="es-CR"/>
              </w:rPr>
              <w:t>Accidentes</w:t>
            </w:r>
          </w:p>
        </w:tc>
        <w:tc>
          <w:tcPr>
            <w:tcW w:w="1559" w:type="dxa"/>
            <w:tcBorders>
              <w:top w:val="nil"/>
              <w:left w:val="nil"/>
              <w:bottom w:val="single" w:sz="8" w:space="0" w:color="1F497D"/>
              <w:right w:val="single" w:sz="8" w:space="0" w:color="1F497D"/>
            </w:tcBorders>
            <w:shd w:val="clear" w:color="auto" w:fill="auto"/>
            <w:noWrap/>
            <w:vAlign w:val="bottom"/>
          </w:tcPr>
          <w:p w14:paraId="16A95BFF" w14:textId="77777777" w:rsidR="00892881" w:rsidRPr="00785459" w:rsidRDefault="00892881" w:rsidP="002A0795">
            <w:pPr>
              <w:rPr>
                <w:rFonts w:ascii="Cambria" w:hAnsi="Cambria"/>
                <w:color w:val="000000"/>
                <w:lang w:eastAsia="es-CR"/>
              </w:rPr>
            </w:pPr>
          </w:p>
        </w:tc>
        <w:tc>
          <w:tcPr>
            <w:tcW w:w="1701" w:type="dxa"/>
            <w:tcBorders>
              <w:top w:val="nil"/>
              <w:left w:val="nil"/>
              <w:bottom w:val="single" w:sz="8" w:space="0" w:color="1F497D"/>
              <w:right w:val="single" w:sz="8" w:space="0" w:color="1F497D"/>
            </w:tcBorders>
            <w:shd w:val="clear" w:color="auto" w:fill="auto"/>
            <w:noWrap/>
            <w:vAlign w:val="bottom"/>
          </w:tcPr>
          <w:p w14:paraId="7A3B03F9" w14:textId="77777777" w:rsidR="00892881" w:rsidRPr="00785459" w:rsidRDefault="00892881" w:rsidP="002A0795">
            <w:pPr>
              <w:rPr>
                <w:rFonts w:ascii="Cambria" w:hAnsi="Cambria"/>
                <w:lang w:eastAsia="es-CR"/>
              </w:rPr>
            </w:pPr>
          </w:p>
        </w:tc>
        <w:tc>
          <w:tcPr>
            <w:tcW w:w="1559" w:type="dxa"/>
            <w:tcBorders>
              <w:top w:val="nil"/>
              <w:left w:val="nil"/>
              <w:bottom w:val="single" w:sz="8" w:space="0" w:color="1F497D"/>
              <w:right w:val="single" w:sz="8" w:space="0" w:color="1F497D"/>
            </w:tcBorders>
          </w:tcPr>
          <w:p w14:paraId="45146C74" w14:textId="77777777" w:rsidR="00892881" w:rsidRPr="00785459" w:rsidRDefault="00892881" w:rsidP="002A0795">
            <w:pPr>
              <w:rPr>
                <w:rFonts w:ascii="Cambria" w:hAnsi="Cambria"/>
                <w:lang w:eastAsia="es-CR"/>
              </w:rPr>
            </w:pPr>
          </w:p>
        </w:tc>
        <w:tc>
          <w:tcPr>
            <w:tcW w:w="1877" w:type="dxa"/>
            <w:tcBorders>
              <w:top w:val="nil"/>
              <w:left w:val="nil"/>
              <w:bottom w:val="single" w:sz="8" w:space="0" w:color="1F497D"/>
              <w:right w:val="single" w:sz="8" w:space="0" w:color="1F497D"/>
            </w:tcBorders>
          </w:tcPr>
          <w:p w14:paraId="3B9187DD" w14:textId="77777777" w:rsidR="00892881" w:rsidRPr="00785459" w:rsidRDefault="00892881" w:rsidP="002A0795">
            <w:pPr>
              <w:rPr>
                <w:rFonts w:ascii="Cambria" w:hAnsi="Cambria"/>
                <w:lang w:eastAsia="es-CR"/>
              </w:rPr>
            </w:pPr>
          </w:p>
        </w:tc>
      </w:tr>
      <w:tr w:rsidR="00892881" w:rsidRPr="00785459" w14:paraId="7A60ADB1" w14:textId="77777777" w:rsidTr="002A0795">
        <w:trPr>
          <w:trHeight w:val="315"/>
          <w:jc w:val="center"/>
        </w:trPr>
        <w:tc>
          <w:tcPr>
            <w:tcW w:w="2122" w:type="dxa"/>
            <w:tcBorders>
              <w:top w:val="nil"/>
              <w:left w:val="single" w:sz="8" w:space="0" w:color="1F497D"/>
              <w:bottom w:val="single" w:sz="8" w:space="0" w:color="1F497D"/>
              <w:right w:val="single" w:sz="8" w:space="0" w:color="1F497D"/>
            </w:tcBorders>
            <w:shd w:val="clear" w:color="auto" w:fill="auto"/>
            <w:noWrap/>
            <w:vAlign w:val="bottom"/>
          </w:tcPr>
          <w:p w14:paraId="3E34C0C5" w14:textId="77777777" w:rsidR="00892881" w:rsidRPr="00785459" w:rsidRDefault="00892881" w:rsidP="002A0795">
            <w:pPr>
              <w:rPr>
                <w:rFonts w:ascii="Cambria" w:hAnsi="Cambria"/>
                <w:color w:val="000000"/>
                <w:lang w:eastAsia="es-CR"/>
              </w:rPr>
            </w:pPr>
            <w:r w:rsidRPr="00785459">
              <w:rPr>
                <w:rFonts w:ascii="Cambria" w:hAnsi="Cambria"/>
                <w:color w:val="000000"/>
                <w:lang w:eastAsia="es-CR"/>
              </w:rPr>
              <w:t>Salud</w:t>
            </w:r>
          </w:p>
        </w:tc>
        <w:tc>
          <w:tcPr>
            <w:tcW w:w="1559" w:type="dxa"/>
            <w:tcBorders>
              <w:top w:val="nil"/>
              <w:left w:val="nil"/>
              <w:bottom w:val="single" w:sz="8" w:space="0" w:color="1F497D"/>
              <w:right w:val="single" w:sz="8" w:space="0" w:color="1F497D"/>
            </w:tcBorders>
            <w:shd w:val="clear" w:color="auto" w:fill="auto"/>
            <w:noWrap/>
            <w:vAlign w:val="bottom"/>
          </w:tcPr>
          <w:p w14:paraId="08D4167E" w14:textId="77777777" w:rsidR="00892881" w:rsidRPr="00785459" w:rsidRDefault="00892881" w:rsidP="002A0795">
            <w:pPr>
              <w:rPr>
                <w:rFonts w:ascii="Cambria" w:hAnsi="Cambria"/>
                <w:color w:val="000000"/>
                <w:lang w:eastAsia="es-CR"/>
              </w:rPr>
            </w:pPr>
          </w:p>
        </w:tc>
        <w:tc>
          <w:tcPr>
            <w:tcW w:w="1701" w:type="dxa"/>
            <w:tcBorders>
              <w:top w:val="nil"/>
              <w:left w:val="nil"/>
              <w:bottom w:val="single" w:sz="8" w:space="0" w:color="1F497D"/>
              <w:right w:val="single" w:sz="8" w:space="0" w:color="1F497D"/>
            </w:tcBorders>
            <w:shd w:val="clear" w:color="auto" w:fill="auto"/>
            <w:noWrap/>
            <w:vAlign w:val="bottom"/>
          </w:tcPr>
          <w:p w14:paraId="4B6F99D8" w14:textId="77777777" w:rsidR="00892881" w:rsidRPr="00785459" w:rsidRDefault="00892881" w:rsidP="002A0795">
            <w:pPr>
              <w:rPr>
                <w:rFonts w:ascii="Cambria" w:hAnsi="Cambria"/>
                <w:lang w:eastAsia="es-CR"/>
              </w:rPr>
            </w:pPr>
          </w:p>
        </w:tc>
        <w:tc>
          <w:tcPr>
            <w:tcW w:w="1559" w:type="dxa"/>
            <w:tcBorders>
              <w:top w:val="nil"/>
              <w:left w:val="nil"/>
              <w:bottom w:val="single" w:sz="8" w:space="0" w:color="1F497D"/>
              <w:right w:val="single" w:sz="8" w:space="0" w:color="1F497D"/>
            </w:tcBorders>
          </w:tcPr>
          <w:p w14:paraId="136DC48B" w14:textId="77777777" w:rsidR="00892881" w:rsidRPr="00785459" w:rsidRDefault="00892881" w:rsidP="002A0795">
            <w:pPr>
              <w:rPr>
                <w:rFonts w:ascii="Cambria" w:hAnsi="Cambria"/>
                <w:lang w:eastAsia="es-CR"/>
              </w:rPr>
            </w:pPr>
          </w:p>
        </w:tc>
        <w:tc>
          <w:tcPr>
            <w:tcW w:w="1877" w:type="dxa"/>
            <w:tcBorders>
              <w:top w:val="nil"/>
              <w:left w:val="nil"/>
              <w:bottom w:val="single" w:sz="8" w:space="0" w:color="1F497D"/>
              <w:right w:val="single" w:sz="8" w:space="0" w:color="1F497D"/>
            </w:tcBorders>
          </w:tcPr>
          <w:p w14:paraId="7519D080" w14:textId="77777777" w:rsidR="00892881" w:rsidRPr="00785459" w:rsidRDefault="00892881" w:rsidP="002A0795">
            <w:pPr>
              <w:rPr>
                <w:rFonts w:ascii="Cambria" w:hAnsi="Cambria"/>
                <w:lang w:eastAsia="es-CR"/>
              </w:rPr>
            </w:pPr>
          </w:p>
        </w:tc>
      </w:tr>
      <w:tr w:rsidR="00892881" w:rsidRPr="00785459" w14:paraId="20F667A2" w14:textId="77777777" w:rsidTr="002A0795">
        <w:trPr>
          <w:trHeight w:val="315"/>
          <w:jc w:val="center"/>
        </w:trPr>
        <w:tc>
          <w:tcPr>
            <w:tcW w:w="2122" w:type="dxa"/>
            <w:tcBorders>
              <w:top w:val="nil"/>
              <w:left w:val="single" w:sz="8" w:space="0" w:color="1F497D"/>
              <w:bottom w:val="single" w:sz="8" w:space="0" w:color="1F497D"/>
              <w:right w:val="single" w:sz="8" w:space="0" w:color="1F497D"/>
            </w:tcBorders>
            <w:shd w:val="clear" w:color="auto" w:fill="auto"/>
            <w:noWrap/>
            <w:vAlign w:val="bottom"/>
          </w:tcPr>
          <w:p w14:paraId="69F44E6B" w14:textId="77777777" w:rsidR="00892881" w:rsidRPr="00785459" w:rsidRDefault="00892881" w:rsidP="002A0795">
            <w:pPr>
              <w:rPr>
                <w:rFonts w:ascii="Cambria" w:hAnsi="Cambria"/>
                <w:color w:val="000000"/>
                <w:lang w:eastAsia="es-CR"/>
              </w:rPr>
            </w:pPr>
            <w:r w:rsidRPr="00785459">
              <w:rPr>
                <w:rFonts w:ascii="Cambria" w:hAnsi="Cambria"/>
                <w:lang w:eastAsia="es-CR"/>
              </w:rPr>
              <w:t>Seguro Obligatorio de Riesgos del Trabajo (SRT)</w:t>
            </w:r>
          </w:p>
        </w:tc>
        <w:tc>
          <w:tcPr>
            <w:tcW w:w="1559" w:type="dxa"/>
            <w:tcBorders>
              <w:top w:val="nil"/>
              <w:left w:val="nil"/>
              <w:bottom w:val="single" w:sz="8" w:space="0" w:color="1F497D"/>
              <w:right w:val="single" w:sz="8" w:space="0" w:color="1F497D"/>
            </w:tcBorders>
            <w:shd w:val="clear" w:color="auto" w:fill="auto"/>
            <w:noWrap/>
            <w:vAlign w:val="bottom"/>
          </w:tcPr>
          <w:p w14:paraId="5C714718" w14:textId="77777777" w:rsidR="00892881" w:rsidRPr="00785459" w:rsidRDefault="00892881" w:rsidP="002A0795">
            <w:pPr>
              <w:rPr>
                <w:rFonts w:ascii="Cambria" w:hAnsi="Cambria"/>
                <w:color w:val="000000"/>
                <w:lang w:eastAsia="es-CR"/>
              </w:rPr>
            </w:pPr>
          </w:p>
        </w:tc>
        <w:tc>
          <w:tcPr>
            <w:tcW w:w="1701" w:type="dxa"/>
            <w:tcBorders>
              <w:top w:val="nil"/>
              <w:left w:val="nil"/>
              <w:bottom w:val="single" w:sz="8" w:space="0" w:color="1F497D"/>
              <w:right w:val="single" w:sz="8" w:space="0" w:color="1F497D"/>
            </w:tcBorders>
            <w:shd w:val="clear" w:color="auto" w:fill="auto"/>
            <w:noWrap/>
            <w:vAlign w:val="bottom"/>
          </w:tcPr>
          <w:p w14:paraId="00C156F6" w14:textId="77777777" w:rsidR="00892881" w:rsidRPr="00785459" w:rsidRDefault="00892881" w:rsidP="002A0795">
            <w:pPr>
              <w:rPr>
                <w:rFonts w:ascii="Cambria" w:hAnsi="Cambria"/>
                <w:lang w:eastAsia="es-CR"/>
              </w:rPr>
            </w:pPr>
          </w:p>
        </w:tc>
        <w:tc>
          <w:tcPr>
            <w:tcW w:w="1559" w:type="dxa"/>
            <w:tcBorders>
              <w:top w:val="nil"/>
              <w:left w:val="nil"/>
              <w:bottom w:val="single" w:sz="8" w:space="0" w:color="1F497D"/>
              <w:right w:val="single" w:sz="8" w:space="0" w:color="1F497D"/>
            </w:tcBorders>
          </w:tcPr>
          <w:p w14:paraId="1431DCC8" w14:textId="77777777" w:rsidR="00892881" w:rsidRPr="00785459" w:rsidRDefault="00892881" w:rsidP="002A0795">
            <w:pPr>
              <w:rPr>
                <w:rFonts w:ascii="Cambria" w:hAnsi="Cambria"/>
                <w:lang w:eastAsia="es-CR"/>
              </w:rPr>
            </w:pPr>
          </w:p>
        </w:tc>
        <w:tc>
          <w:tcPr>
            <w:tcW w:w="1877" w:type="dxa"/>
            <w:tcBorders>
              <w:top w:val="nil"/>
              <w:left w:val="nil"/>
              <w:bottom w:val="single" w:sz="8" w:space="0" w:color="1F497D"/>
              <w:right w:val="single" w:sz="8" w:space="0" w:color="1F497D"/>
            </w:tcBorders>
          </w:tcPr>
          <w:p w14:paraId="57EFAE16" w14:textId="77777777" w:rsidR="00892881" w:rsidRPr="00785459" w:rsidRDefault="00892881" w:rsidP="002A0795">
            <w:pPr>
              <w:rPr>
                <w:rFonts w:ascii="Cambria" w:hAnsi="Cambria"/>
                <w:lang w:eastAsia="es-CR"/>
              </w:rPr>
            </w:pPr>
          </w:p>
        </w:tc>
      </w:tr>
      <w:tr w:rsidR="00892881" w:rsidRPr="00785459" w14:paraId="5D9F69D3" w14:textId="77777777" w:rsidTr="002A0795">
        <w:trPr>
          <w:trHeight w:val="315"/>
          <w:jc w:val="center"/>
        </w:trPr>
        <w:tc>
          <w:tcPr>
            <w:tcW w:w="2122" w:type="dxa"/>
            <w:tcBorders>
              <w:top w:val="nil"/>
              <w:left w:val="single" w:sz="8" w:space="0" w:color="1F497D"/>
              <w:bottom w:val="single" w:sz="8" w:space="0" w:color="1F497D"/>
              <w:right w:val="single" w:sz="8" w:space="0" w:color="1F497D"/>
            </w:tcBorders>
            <w:shd w:val="clear" w:color="auto" w:fill="auto"/>
            <w:noWrap/>
            <w:vAlign w:val="bottom"/>
          </w:tcPr>
          <w:p w14:paraId="27F287B9" w14:textId="77777777" w:rsidR="00892881" w:rsidRPr="00785459" w:rsidRDefault="00892881" w:rsidP="002A0795">
            <w:pPr>
              <w:rPr>
                <w:rFonts w:ascii="Cambria" w:hAnsi="Cambria"/>
                <w:color w:val="000000"/>
                <w:lang w:eastAsia="es-CR"/>
              </w:rPr>
            </w:pPr>
            <w:r w:rsidRPr="00785459">
              <w:rPr>
                <w:rFonts w:ascii="Cambria" w:hAnsi="Cambria"/>
                <w:color w:val="000000"/>
                <w:lang w:eastAsia="es-CR"/>
              </w:rPr>
              <w:t>Seguros de Asistencias de ramos personales</w:t>
            </w:r>
          </w:p>
        </w:tc>
        <w:tc>
          <w:tcPr>
            <w:tcW w:w="1559" w:type="dxa"/>
            <w:tcBorders>
              <w:top w:val="nil"/>
              <w:left w:val="nil"/>
              <w:bottom w:val="single" w:sz="8" w:space="0" w:color="1F497D"/>
              <w:right w:val="single" w:sz="8" w:space="0" w:color="1F497D"/>
            </w:tcBorders>
            <w:shd w:val="clear" w:color="auto" w:fill="auto"/>
            <w:noWrap/>
            <w:vAlign w:val="bottom"/>
          </w:tcPr>
          <w:p w14:paraId="1E4D7DD4" w14:textId="77777777" w:rsidR="00892881" w:rsidRPr="00785459" w:rsidRDefault="00892881" w:rsidP="002A0795">
            <w:pPr>
              <w:rPr>
                <w:rFonts w:ascii="Cambria" w:hAnsi="Cambria"/>
                <w:color w:val="000000"/>
                <w:lang w:eastAsia="es-CR"/>
              </w:rPr>
            </w:pPr>
          </w:p>
        </w:tc>
        <w:tc>
          <w:tcPr>
            <w:tcW w:w="1701" w:type="dxa"/>
            <w:tcBorders>
              <w:top w:val="nil"/>
              <w:left w:val="nil"/>
              <w:bottom w:val="single" w:sz="8" w:space="0" w:color="1F497D"/>
              <w:right w:val="single" w:sz="8" w:space="0" w:color="1F497D"/>
            </w:tcBorders>
            <w:shd w:val="clear" w:color="auto" w:fill="auto"/>
            <w:noWrap/>
            <w:vAlign w:val="bottom"/>
          </w:tcPr>
          <w:p w14:paraId="1DE0FBA5" w14:textId="77777777" w:rsidR="00892881" w:rsidRPr="00785459" w:rsidRDefault="00892881" w:rsidP="002A0795">
            <w:pPr>
              <w:rPr>
                <w:rFonts w:ascii="Cambria" w:hAnsi="Cambria"/>
                <w:lang w:eastAsia="es-CR"/>
              </w:rPr>
            </w:pPr>
          </w:p>
        </w:tc>
        <w:tc>
          <w:tcPr>
            <w:tcW w:w="1559" w:type="dxa"/>
            <w:tcBorders>
              <w:top w:val="nil"/>
              <w:left w:val="nil"/>
              <w:bottom w:val="single" w:sz="8" w:space="0" w:color="1F497D"/>
              <w:right w:val="single" w:sz="8" w:space="0" w:color="1F497D"/>
            </w:tcBorders>
          </w:tcPr>
          <w:p w14:paraId="5B22A34F" w14:textId="77777777" w:rsidR="00892881" w:rsidRPr="00785459" w:rsidRDefault="00892881" w:rsidP="002A0795">
            <w:pPr>
              <w:rPr>
                <w:rFonts w:ascii="Cambria" w:hAnsi="Cambria"/>
                <w:lang w:eastAsia="es-CR"/>
              </w:rPr>
            </w:pPr>
          </w:p>
        </w:tc>
        <w:tc>
          <w:tcPr>
            <w:tcW w:w="1877" w:type="dxa"/>
            <w:tcBorders>
              <w:top w:val="nil"/>
              <w:left w:val="nil"/>
              <w:bottom w:val="single" w:sz="8" w:space="0" w:color="1F497D"/>
              <w:right w:val="single" w:sz="8" w:space="0" w:color="1F497D"/>
            </w:tcBorders>
          </w:tcPr>
          <w:p w14:paraId="5ADFFAA5" w14:textId="77777777" w:rsidR="00892881" w:rsidRPr="00785459" w:rsidRDefault="00892881" w:rsidP="002A0795">
            <w:pPr>
              <w:rPr>
                <w:rFonts w:ascii="Cambria" w:hAnsi="Cambria"/>
                <w:lang w:eastAsia="es-CR"/>
              </w:rPr>
            </w:pPr>
          </w:p>
        </w:tc>
      </w:tr>
      <w:tr w:rsidR="00892881" w:rsidRPr="00785459" w14:paraId="0A5F011F" w14:textId="77777777" w:rsidTr="002A0795">
        <w:trPr>
          <w:trHeight w:val="315"/>
          <w:jc w:val="center"/>
        </w:trPr>
        <w:tc>
          <w:tcPr>
            <w:tcW w:w="2122" w:type="dxa"/>
            <w:tcBorders>
              <w:top w:val="nil"/>
              <w:left w:val="single" w:sz="8" w:space="0" w:color="1F497D"/>
              <w:bottom w:val="single" w:sz="8" w:space="0" w:color="1F497D"/>
              <w:right w:val="single" w:sz="8" w:space="0" w:color="1F497D"/>
            </w:tcBorders>
            <w:shd w:val="clear" w:color="auto" w:fill="auto"/>
            <w:noWrap/>
            <w:vAlign w:val="bottom"/>
          </w:tcPr>
          <w:p w14:paraId="47ABB458" w14:textId="77777777" w:rsidR="00892881" w:rsidRPr="00785459" w:rsidRDefault="00892881" w:rsidP="002A0795">
            <w:pPr>
              <w:rPr>
                <w:rFonts w:ascii="Cambria" w:hAnsi="Cambria"/>
                <w:color w:val="000000"/>
                <w:lang w:eastAsia="es-CR"/>
              </w:rPr>
            </w:pPr>
            <w:r w:rsidRPr="00785459">
              <w:rPr>
                <w:rFonts w:ascii="Cambria" w:hAnsi="Cambria"/>
                <w:color w:val="000000"/>
                <w:lang w:eastAsia="es-CR"/>
              </w:rPr>
              <w:t>Los seguros vinculados con fondos de inversión</w:t>
            </w:r>
          </w:p>
        </w:tc>
        <w:tc>
          <w:tcPr>
            <w:tcW w:w="1559" w:type="dxa"/>
            <w:tcBorders>
              <w:top w:val="nil"/>
              <w:left w:val="nil"/>
              <w:bottom w:val="single" w:sz="8" w:space="0" w:color="1F497D"/>
              <w:right w:val="single" w:sz="8" w:space="0" w:color="1F497D"/>
            </w:tcBorders>
            <w:shd w:val="clear" w:color="auto" w:fill="auto"/>
            <w:noWrap/>
            <w:vAlign w:val="bottom"/>
          </w:tcPr>
          <w:p w14:paraId="21327501" w14:textId="77777777" w:rsidR="00892881" w:rsidRPr="00785459" w:rsidRDefault="00892881" w:rsidP="002A0795">
            <w:pPr>
              <w:rPr>
                <w:rFonts w:ascii="Cambria" w:hAnsi="Cambria"/>
                <w:color w:val="000000"/>
                <w:lang w:eastAsia="es-CR"/>
              </w:rPr>
            </w:pPr>
          </w:p>
        </w:tc>
        <w:tc>
          <w:tcPr>
            <w:tcW w:w="1701" w:type="dxa"/>
            <w:tcBorders>
              <w:top w:val="nil"/>
              <w:left w:val="nil"/>
              <w:bottom w:val="single" w:sz="8" w:space="0" w:color="1F497D"/>
              <w:right w:val="single" w:sz="8" w:space="0" w:color="1F497D"/>
            </w:tcBorders>
            <w:shd w:val="clear" w:color="auto" w:fill="auto"/>
            <w:noWrap/>
            <w:vAlign w:val="bottom"/>
          </w:tcPr>
          <w:p w14:paraId="27BF6375" w14:textId="77777777" w:rsidR="00892881" w:rsidRPr="00785459" w:rsidRDefault="00892881" w:rsidP="002A0795">
            <w:pPr>
              <w:rPr>
                <w:rFonts w:ascii="Cambria" w:hAnsi="Cambria"/>
                <w:lang w:eastAsia="es-CR"/>
              </w:rPr>
            </w:pPr>
          </w:p>
        </w:tc>
        <w:tc>
          <w:tcPr>
            <w:tcW w:w="1559" w:type="dxa"/>
            <w:tcBorders>
              <w:top w:val="nil"/>
              <w:left w:val="nil"/>
              <w:bottom w:val="single" w:sz="8" w:space="0" w:color="1F497D"/>
              <w:right w:val="single" w:sz="8" w:space="0" w:color="1F497D"/>
            </w:tcBorders>
          </w:tcPr>
          <w:p w14:paraId="74574CE7" w14:textId="77777777" w:rsidR="00892881" w:rsidRPr="00785459" w:rsidRDefault="00892881" w:rsidP="002A0795">
            <w:pPr>
              <w:rPr>
                <w:rFonts w:ascii="Cambria" w:hAnsi="Cambria"/>
                <w:lang w:eastAsia="es-CR"/>
              </w:rPr>
            </w:pPr>
          </w:p>
        </w:tc>
        <w:tc>
          <w:tcPr>
            <w:tcW w:w="1877" w:type="dxa"/>
            <w:tcBorders>
              <w:top w:val="nil"/>
              <w:left w:val="nil"/>
              <w:bottom w:val="single" w:sz="8" w:space="0" w:color="1F497D"/>
              <w:right w:val="single" w:sz="8" w:space="0" w:color="1F497D"/>
            </w:tcBorders>
          </w:tcPr>
          <w:p w14:paraId="542E2C1C" w14:textId="77777777" w:rsidR="00892881" w:rsidRPr="00785459" w:rsidRDefault="00892881" w:rsidP="002A0795">
            <w:pPr>
              <w:rPr>
                <w:rFonts w:ascii="Cambria" w:hAnsi="Cambria"/>
                <w:lang w:eastAsia="es-CR"/>
              </w:rPr>
            </w:pPr>
          </w:p>
        </w:tc>
      </w:tr>
      <w:tr w:rsidR="00892881" w:rsidRPr="00785459" w14:paraId="3B038288" w14:textId="77777777" w:rsidTr="002A0795">
        <w:trPr>
          <w:trHeight w:val="315"/>
          <w:jc w:val="center"/>
        </w:trPr>
        <w:tc>
          <w:tcPr>
            <w:tcW w:w="2122" w:type="dxa"/>
            <w:tcBorders>
              <w:top w:val="nil"/>
              <w:left w:val="single" w:sz="8" w:space="0" w:color="1F497D"/>
              <w:bottom w:val="single" w:sz="8" w:space="0" w:color="1F497D"/>
              <w:right w:val="single" w:sz="8" w:space="0" w:color="1F497D"/>
            </w:tcBorders>
            <w:shd w:val="clear" w:color="auto" w:fill="auto"/>
            <w:noWrap/>
            <w:vAlign w:val="bottom"/>
          </w:tcPr>
          <w:p w14:paraId="79BAB8A8" w14:textId="77777777" w:rsidR="00892881" w:rsidRPr="00785459" w:rsidRDefault="00892881" w:rsidP="002A0795">
            <w:pPr>
              <w:rPr>
                <w:rFonts w:ascii="Cambria" w:hAnsi="Cambria"/>
                <w:color w:val="000000"/>
                <w:lang w:eastAsia="es-CR"/>
              </w:rPr>
            </w:pPr>
            <w:r w:rsidRPr="00785459">
              <w:rPr>
                <w:rFonts w:ascii="Cambria" w:hAnsi="Cambria"/>
                <w:color w:val="000000"/>
                <w:lang w:eastAsia="es-CR"/>
              </w:rPr>
              <w:t>Seguros Misceláneos Personales</w:t>
            </w:r>
          </w:p>
        </w:tc>
        <w:tc>
          <w:tcPr>
            <w:tcW w:w="1559" w:type="dxa"/>
            <w:tcBorders>
              <w:top w:val="nil"/>
              <w:left w:val="nil"/>
              <w:bottom w:val="single" w:sz="8" w:space="0" w:color="1F497D"/>
              <w:right w:val="single" w:sz="8" w:space="0" w:color="1F497D"/>
            </w:tcBorders>
            <w:shd w:val="clear" w:color="auto" w:fill="auto"/>
            <w:noWrap/>
            <w:vAlign w:val="bottom"/>
          </w:tcPr>
          <w:p w14:paraId="0B4B004B" w14:textId="77777777" w:rsidR="00892881" w:rsidRPr="00785459" w:rsidRDefault="00892881" w:rsidP="002A0795">
            <w:pPr>
              <w:rPr>
                <w:rFonts w:ascii="Cambria" w:hAnsi="Cambria"/>
                <w:color w:val="000000"/>
                <w:lang w:eastAsia="es-CR"/>
              </w:rPr>
            </w:pPr>
          </w:p>
        </w:tc>
        <w:tc>
          <w:tcPr>
            <w:tcW w:w="1701" w:type="dxa"/>
            <w:tcBorders>
              <w:top w:val="nil"/>
              <w:left w:val="nil"/>
              <w:bottom w:val="single" w:sz="8" w:space="0" w:color="1F497D"/>
              <w:right w:val="single" w:sz="8" w:space="0" w:color="1F497D"/>
            </w:tcBorders>
            <w:shd w:val="clear" w:color="auto" w:fill="auto"/>
            <w:noWrap/>
            <w:vAlign w:val="bottom"/>
          </w:tcPr>
          <w:p w14:paraId="5756E914" w14:textId="77777777" w:rsidR="00892881" w:rsidRPr="00785459" w:rsidRDefault="00892881" w:rsidP="002A0795">
            <w:pPr>
              <w:rPr>
                <w:rFonts w:ascii="Cambria" w:hAnsi="Cambria"/>
                <w:lang w:eastAsia="es-CR"/>
              </w:rPr>
            </w:pPr>
          </w:p>
        </w:tc>
        <w:tc>
          <w:tcPr>
            <w:tcW w:w="1559" w:type="dxa"/>
            <w:tcBorders>
              <w:top w:val="nil"/>
              <w:left w:val="nil"/>
              <w:bottom w:val="single" w:sz="8" w:space="0" w:color="1F497D"/>
              <w:right w:val="single" w:sz="8" w:space="0" w:color="1F497D"/>
            </w:tcBorders>
          </w:tcPr>
          <w:p w14:paraId="3C388812" w14:textId="77777777" w:rsidR="00892881" w:rsidRPr="00785459" w:rsidRDefault="00892881" w:rsidP="002A0795">
            <w:pPr>
              <w:rPr>
                <w:rFonts w:ascii="Cambria" w:hAnsi="Cambria"/>
                <w:lang w:eastAsia="es-CR"/>
              </w:rPr>
            </w:pPr>
          </w:p>
        </w:tc>
        <w:tc>
          <w:tcPr>
            <w:tcW w:w="1877" w:type="dxa"/>
            <w:tcBorders>
              <w:top w:val="nil"/>
              <w:left w:val="nil"/>
              <w:bottom w:val="single" w:sz="8" w:space="0" w:color="1F497D"/>
              <w:right w:val="single" w:sz="8" w:space="0" w:color="1F497D"/>
            </w:tcBorders>
          </w:tcPr>
          <w:p w14:paraId="5FC8F247" w14:textId="77777777" w:rsidR="00892881" w:rsidRPr="00785459" w:rsidRDefault="00892881" w:rsidP="002A0795">
            <w:pPr>
              <w:rPr>
                <w:rFonts w:ascii="Cambria" w:hAnsi="Cambria"/>
                <w:lang w:eastAsia="es-CR"/>
              </w:rPr>
            </w:pPr>
          </w:p>
        </w:tc>
      </w:tr>
      <w:tr w:rsidR="00892881" w:rsidRPr="00785459" w14:paraId="3C9F3E97" w14:textId="77777777" w:rsidTr="002A0795">
        <w:trPr>
          <w:trHeight w:val="315"/>
          <w:jc w:val="center"/>
        </w:trPr>
        <w:tc>
          <w:tcPr>
            <w:tcW w:w="2122" w:type="dxa"/>
            <w:tcBorders>
              <w:top w:val="single" w:sz="4" w:space="0" w:color="1F497D"/>
              <w:left w:val="single" w:sz="4" w:space="0" w:color="1F497D"/>
              <w:bottom w:val="single" w:sz="4" w:space="0" w:color="1F497D"/>
              <w:right w:val="single" w:sz="8" w:space="0" w:color="1F497D"/>
            </w:tcBorders>
            <w:shd w:val="clear" w:color="auto" w:fill="BFBFBF" w:themeFill="background1" w:themeFillShade="BF"/>
            <w:noWrap/>
            <w:vAlign w:val="bottom"/>
            <w:hideMark/>
          </w:tcPr>
          <w:p w14:paraId="10B37519" w14:textId="77777777" w:rsidR="00892881" w:rsidRPr="00785459" w:rsidRDefault="00892881" w:rsidP="002A0795">
            <w:pPr>
              <w:rPr>
                <w:rFonts w:ascii="Cambria" w:hAnsi="Cambria"/>
                <w:lang w:eastAsia="es-CR"/>
              </w:rPr>
            </w:pPr>
            <w:r w:rsidRPr="00785459">
              <w:rPr>
                <w:rFonts w:ascii="Cambria" w:hAnsi="Cambria"/>
                <w:lang w:eastAsia="es-CR"/>
              </w:rPr>
              <w:t>TOTAL</w:t>
            </w:r>
          </w:p>
        </w:tc>
        <w:tc>
          <w:tcPr>
            <w:tcW w:w="1559" w:type="dxa"/>
            <w:tcBorders>
              <w:top w:val="single" w:sz="4" w:space="0" w:color="1F497D"/>
              <w:left w:val="nil"/>
              <w:bottom w:val="single" w:sz="4" w:space="0" w:color="1F497D"/>
              <w:right w:val="single" w:sz="8" w:space="0" w:color="1F497D"/>
            </w:tcBorders>
            <w:shd w:val="clear" w:color="auto" w:fill="BFBFBF" w:themeFill="background1" w:themeFillShade="BF"/>
            <w:noWrap/>
            <w:vAlign w:val="bottom"/>
            <w:hideMark/>
          </w:tcPr>
          <w:p w14:paraId="4FA003D1" w14:textId="77777777" w:rsidR="00892881" w:rsidRPr="00785459" w:rsidRDefault="00892881" w:rsidP="002A0795">
            <w:pPr>
              <w:rPr>
                <w:rFonts w:ascii="Cambria" w:hAnsi="Cambria"/>
                <w:lang w:eastAsia="es-CR"/>
              </w:rPr>
            </w:pPr>
            <w:r w:rsidRPr="00785459">
              <w:rPr>
                <w:rFonts w:ascii="Cambria" w:hAnsi="Cambria"/>
                <w:lang w:eastAsia="es-CR"/>
              </w:rPr>
              <w:t> </w:t>
            </w:r>
          </w:p>
        </w:tc>
        <w:tc>
          <w:tcPr>
            <w:tcW w:w="1701" w:type="dxa"/>
            <w:tcBorders>
              <w:top w:val="single" w:sz="4" w:space="0" w:color="1F497D"/>
              <w:left w:val="nil"/>
              <w:bottom w:val="single" w:sz="4" w:space="0" w:color="1F497D"/>
              <w:right w:val="single" w:sz="4" w:space="0" w:color="1F497D"/>
            </w:tcBorders>
            <w:shd w:val="clear" w:color="auto" w:fill="BFBFBF" w:themeFill="background1" w:themeFillShade="BF"/>
            <w:noWrap/>
            <w:vAlign w:val="bottom"/>
            <w:hideMark/>
          </w:tcPr>
          <w:p w14:paraId="48BF4A8F" w14:textId="77777777" w:rsidR="00892881" w:rsidRPr="00785459" w:rsidRDefault="00892881" w:rsidP="002A0795">
            <w:pPr>
              <w:rPr>
                <w:rFonts w:ascii="Cambria" w:hAnsi="Cambria"/>
                <w:lang w:eastAsia="es-CR"/>
              </w:rPr>
            </w:pPr>
            <w:r w:rsidRPr="00785459">
              <w:rPr>
                <w:rFonts w:ascii="Cambria" w:hAnsi="Cambria"/>
                <w:lang w:eastAsia="es-CR"/>
              </w:rPr>
              <w:t> </w:t>
            </w:r>
          </w:p>
        </w:tc>
        <w:tc>
          <w:tcPr>
            <w:tcW w:w="1559" w:type="dxa"/>
            <w:tcBorders>
              <w:top w:val="single" w:sz="4" w:space="0" w:color="1F497D"/>
              <w:left w:val="nil"/>
              <w:bottom w:val="single" w:sz="4" w:space="0" w:color="1F497D"/>
              <w:right w:val="single" w:sz="4" w:space="0" w:color="1F497D"/>
            </w:tcBorders>
            <w:shd w:val="clear" w:color="auto" w:fill="BFBFBF" w:themeFill="background1" w:themeFillShade="BF"/>
          </w:tcPr>
          <w:p w14:paraId="6D9C1D6C" w14:textId="77777777" w:rsidR="00892881" w:rsidRPr="00785459" w:rsidRDefault="00892881" w:rsidP="002A0795">
            <w:pPr>
              <w:rPr>
                <w:rFonts w:ascii="Cambria" w:hAnsi="Cambria"/>
                <w:lang w:eastAsia="es-CR"/>
              </w:rPr>
            </w:pPr>
          </w:p>
        </w:tc>
        <w:tc>
          <w:tcPr>
            <w:tcW w:w="1877" w:type="dxa"/>
            <w:tcBorders>
              <w:top w:val="single" w:sz="4" w:space="0" w:color="1F497D"/>
              <w:left w:val="nil"/>
              <w:bottom w:val="single" w:sz="4" w:space="0" w:color="1F497D"/>
              <w:right w:val="single" w:sz="4" w:space="0" w:color="1F497D"/>
            </w:tcBorders>
            <w:shd w:val="clear" w:color="auto" w:fill="BFBFBF" w:themeFill="background1" w:themeFillShade="BF"/>
          </w:tcPr>
          <w:p w14:paraId="1921B165" w14:textId="77777777" w:rsidR="00892881" w:rsidRPr="00785459" w:rsidRDefault="00892881" w:rsidP="002A0795">
            <w:pPr>
              <w:rPr>
                <w:rFonts w:ascii="Cambria" w:hAnsi="Cambria"/>
                <w:lang w:eastAsia="es-CR"/>
              </w:rPr>
            </w:pPr>
          </w:p>
        </w:tc>
      </w:tr>
    </w:tbl>
    <w:p w14:paraId="44310AF6" w14:textId="77777777" w:rsidR="00892881" w:rsidRDefault="00892881" w:rsidP="00892881">
      <w:pPr>
        <w:ind w:left="567"/>
        <w:rPr>
          <w:rFonts w:ascii="Cambria" w:hAnsi="Cambria"/>
          <w:b/>
        </w:rPr>
      </w:pPr>
    </w:p>
    <w:p w14:paraId="287E4C9F" w14:textId="77777777" w:rsidR="00892881" w:rsidRPr="00C5096C" w:rsidRDefault="00892881" w:rsidP="00892881">
      <w:pPr>
        <w:ind w:left="567"/>
        <w:rPr>
          <w:rFonts w:ascii="Cambria" w:hAnsi="Cambria"/>
          <w:b/>
        </w:rPr>
      </w:pPr>
      <w:r w:rsidRPr="00C5096C">
        <w:rPr>
          <w:rFonts w:ascii="Cambria" w:hAnsi="Cambria"/>
          <w:b/>
        </w:rPr>
        <w:t>NOTAS EXPLICATIVAS:</w:t>
      </w:r>
    </w:p>
    <w:p w14:paraId="104E2DA8" w14:textId="77777777" w:rsidR="00892881" w:rsidRPr="00A71200" w:rsidRDefault="00892881" w:rsidP="00892881">
      <w:pPr>
        <w:ind w:left="567"/>
        <w:jc w:val="both"/>
        <w:rPr>
          <w:rFonts w:ascii="Cambria" w:hAnsi="Cambria"/>
        </w:rPr>
      </w:pPr>
      <w:r w:rsidRPr="00A71200">
        <w:rPr>
          <w:rFonts w:ascii="Cambria" w:hAnsi="Cambria"/>
        </w:rPr>
        <w:t>1/ Código de la aseguradora, corresponde a la licencia de funcionamiento.</w:t>
      </w:r>
    </w:p>
    <w:p w14:paraId="223A3ADC" w14:textId="77777777" w:rsidR="00892881" w:rsidRPr="00A71200" w:rsidRDefault="00892881" w:rsidP="00892881">
      <w:pPr>
        <w:ind w:left="567"/>
        <w:jc w:val="both"/>
        <w:rPr>
          <w:rFonts w:ascii="Cambria" w:hAnsi="Cambria"/>
        </w:rPr>
      </w:pPr>
      <w:r w:rsidRPr="00A71200">
        <w:rPr>
          <w:rFonts w:ascii="Cambria" w:hAnsi="Cambria"/>
        </w:rPr>
        <w:lastRenderedPageBreak/>
        <w:t>2/ El reporte de la información es mensual, es decir, se incluye únicamente el flujo de cada mes, no es acumulativo.</w:t>
      </w:r>
    </w:p>
    <w:p w14:paraId="2EF0BF92" w14:textId="77777777" w:rsidR="00892881" w:rsidRPr="00A71200" w:rsidRDefault="00892881" w:rsidP="00892881">
      <w:pPr>
        <w:ind w:left="567"/>
        <w:jc w:val="both"/>
        <w:rPr>
          <w:rFonts w:ascii="Cambria" w:hAnsi="Cambria"/>
        </w:rPr>
      </w:pPr>
      <w:r w:rsidRPr="00A71200">
        <w:rPr>
          <w:rFonts w:ascii="Cambria" w:hAnsi="Cambria"/>
        </w:rPr>
        <w:t xml:space="preserve">3/ </w:t>
      </w:r>
      <w:r w:rsidRPr="00A71200">
        <w:rPr>
          <w:rFonts w:ascii="Cambria" w:hAnsi="Cambria"/>
          <w:iCs/>
          <w:lang w:eastAsia="es-CR"/>
        </w:rPr>
        <w:t xml:space="preserve">Clasificación de ramos vigente, de conformidad con el </w:t>
      </w:r>
      <w:r w:rsidRPr="00A71200">
        <w:rPr>
          <w:rFonts w:ascii="Cambria" w:hAnsi="Cambria"/>
          <w:i/>
          <w:iCs/>
          <w:lang w:eastAsia="es-CR"/>
        </w:rPr>
        <w:t xml:space="preserve">Anexo 1 del Reglamento de Autorizaciones, Registros y Requisitos de Funcionamiento de Entidades Supervisadas por Sugese. </w:t>
      </w:r>
      <w:r w:rsidRPr="00A71200">
        <w:rPr>
          <w:rFonts w:ascii="Cambria" w:hAnsi="Cambria"/>
        </w:rPr>
        <w:t xml:space="preserve">Solo debe remitirse información de aquellos ramos incluidos en la categoría autorizada por la Superintendencia y que hayan generado un ingreso por la colocación de primas. </w:t>
      </w:r>
    </w:p>
    <w:p w14:paraId="64F21FF9" w14:textId="77777777" w:rsidR="00892881" w:rsidRPr="00A71200" w:rsidRDefault="00892881" w:rsidP="00892881">
      <w:pPr>
        <w:pStyle w:val="TextoJustificadoTabla"/>
        <w:spacing w:before="0" w:after="0"/>
        <w:ind w:left="567"/>
        <w:rPr>
          <w:rFonts w:ascii="Cambria" w:hAnsi="Cambria" w:cs="Arial"/>
          <w:sz w:val="24"/>
          <w:szCs w:val="24"/>
        </w:rPr>
      </w:pPr>
      <w:r w:rsidRPr="00A71200">
        <w:rPr>
          <w:rFonts w:ascii="Cambria" w:hAnsi="Cambria"/>
          <w:sz w:val="24"/>
          <w:szCs w:val="24"/>
        </w:rPr>
        <w:t>4/</w:t>
      </w:r>
      <w:r w:rsidRPr="00A71200">
        <w:rPr>
          <w:rFonts w:ascii="Cambria" w:hAnsi="Cambria"/>
          <w:i/>
          <w:sz w:val="24"/>
          <w:szCs w:val="24"/>
        </w:rPr>
        <w:t xml:space="preserve"> </w:t>
      </w:r>
      <w:r w:rsidRPr="00A71200">
        <w:rPr>
          <w:rFonts w:ascii="Cambria" w:hAnsi="Cambria"/>
          <w:sz w:val="24"/>
          <w:szCs w:val="24"/>
        </w:rPr>
        <w:t xml:space="preserve">Primas directas: corresponde a las primas comerciales emitidas, de pólizas suscritas  con posterioridad al 13 de junio de 2019, por operaciones de seguro directo durante el periodo para el cual se reporta la información, efectivamente pagadas a la entidad, menos las anulaciones (siempre que haya recursos económicos de por medio) y devoluciones presentadas en dicho periodo.  No se incluyen las primas recibidas por reaseguro. Exprese el monto con, al menos, dos decimales. </w:t>
      </w:r>
      <w:bookmarkStart w:id="1" w:name="_GoBack"/>
      <w:bookmarkEnd w:id="1"/>
      <w:r w:rsidRPr="00A71200">
        <w:rPr>
          <w:rFonts w:ascii="Cambria" w:hAnsi="Cambria" w:cs="Arial"/>
          <w:sz w:val="24"/>
          <w:szCs w:val="24"/>
        </w:rPr>
        <w:t>Se permiten montos negativos, cero o positivos.</w:t>
      </w:r>
    </w:p>
    <w:p w14:paraId="37C18ECA" w14:textId="1EF54A25" w:rsidR="00892881" w:rsidRPr="00A71200" w:rsidRDefault="00A71200" w:rsidP="00892881">
      <w:pPr>
        <w:ind w:left="567"/>
        <w:jc w:val="both"/>
        <w:rPr>
          <w:rFonts w:ascii="Cambria" w:hAnsi="Cambria"/>
        </w:rPr>
      </w:pPr>
      <w:r w:rsidRPr="00A71200">
        <w:rPr>
          <w:rStyle w:val="Refdenotaalpie"/>
          <w:rFonts w:ascii="Cambria" w:hAnsi="Cambria"/>
        </w:rPr>
        <w:footnoteReference w:id="2"/>
      </w:r>
      <w:r w:rsidR="00892881" w:rsidRPr="00A71200">
        <w:rPr>
          <w:rFonts w:ascii="Cambria" w:hAnsi="Cambria"/>
        </w:rPr>
        <w:t xml:space="preserve">5/ </w:t>
      </w:r>
      <w:r w:rsidRPr="00A71200">
        <w:rPr>
          <w:rFonts w:asciiTheme="majorHAnsi" w:hAnsiTheme="majorHAnsi"/>
        </w:rPr>
        <w:t>El monto a pagar se reporta en la misma moneda que está denominado el seguro que le dio origen, sea moneda nacional o en moneda extranjera, es decir, cuando el reporte corresponda a moneda extranjera, no se debe realizar la conversión a colones. En caso que se emitieran primas en diversas monedas extranjeras, deberá reportarse lo correspondiente en forma independiente</w:t>
      </w:r>
      <w:r w:rsidR="00892881" w:rsidRPr="00A71200">
        <w:rPr>
          <w:rFonts w:ascii="Cambria" w:hAnsi="Cambria" w:cs="Arial"/>
        </w:rPr>
        <w:t>.</w:t>
      </w:r>
    </w:p>
    <w:p w14:paraId="7F0B5EAB" w14:textId="77777777" w:rsidR="00892881" w:rsidRDefault="00892881" w:rsidP="00892881">
      <w:pPr>
        <w:rPr>
          <w:rFonts w:ascii="Cambria" w:hAnsi="Cambria"/>
        </w:rPr>
      </w:pPr>
    </w:p>
    <w:p w14:paraId="723BC8B8" w14:textId="77777777" w:rsidR="00892881" w:rsidRDefault="00892881" w:rsidP="00892881">
      <w:pPr>
        <w:pStyle w:val="Prrafodelista"/>
        <w:numPr>
          <w:ilvl w:val="0"/>
          <w:numId w:val="2"/>
        </w:numPr>
        <w:spacing w:after="0" w:line="240" w:lineRule="auto"/>
        <w:jc w:val="both"/>
        <w:rPr>
          <w:rFonts w:ascii="Cambria" w:hAnsi="Cambria"/>
          <w:sz w:val="24"/>
          <w:szCs w:val="24"/>
        </w:rPr>
      </w:pPr>
      <w:r>
        <w:rPr>
          <w:rFonts w:ascii="Cambria" w:hAnsi="Cambria"/>
          <w:sz w:val="24"/>
          <w:szCs w:val="24"/>
        </w:rPr>
        <w:t xml:space="preserve">Para el periodo comprendido entre el 13 de junio  y el 31 de agosto  de 2019, las entidades aseguradoras deben enviar el informe  consignado en el apartado anterior,  a más tardar el 13 de setiembre de 2019, a la dirección </w:t>
      </w:r>
      <w:hyperlink r:id="rId15" w:history="1">
        <w:r w:rsidRPr="00E50931">
          <w:rPr>
            <w:rStyle w:val="Hipervnculo"/>
            <w:rFonts w:ascii="Cambria" w:hAnsi="Cambria"/>
            <w:sz w:val="24"/>
            <w:szCs w:val="24"/>
          </w:rPr>
          <w:t>sugese@sugese.fi.cr</w:t>
        </w:r>
      </w:hyperlink>
      <w:r>
        <w:rPr>
          <w:rFonts w:ascii="Cambria" w:hAnsi="Cambria"/>
          <w:sz w:val="24"/>
          <w:szCs w:val="24"/>
        </w:rPr>
        <w:t xml:space="preserve">, firmado mediante certificado digital por el representante legal y por el contador de la entidad.  </w:t>
      </w:r>
    </w:p>
    <w:p w14:paraId="404DD380" w14:textId="77777777" w:rsidR="0049738D" w:rsidRDefault="0049738D" w:rsidP="007F09F5">
      <w:pPr>
        <w:jc w:val="both"/>
        <w:rPr>
          <w:rFonts w:ascii="Cambria" w:hAnsi="Cambria"/>
        </w:rPr>
      </w:pPr>
    </w:p>
    <w:p w14:paraId="0F1FB337" w14:textId="77777777" w:rsidR="0049738D" w:rsidRDefault="0049738D" w:rsidP="007F09F5">
      <w:pPr>
        <w:jc w:val="both"/>
        <w:rPr>
          <w:rFonts w:ascii="Cambria" w:hAnsi="Cambria"/>
        </w:rPr>
      </w:pPr>
    </w:p>
    <w:p w14:paraId="4E2AF7DB" w14:textId="77777777" w:rsidR="005876B5" w:rsidRDefault="005876B5" w:rsidP="007F09F5">
      <w:pPr>
        <w:jc w:val="both"/>
        <w:rPr>
          <w:rFonts w:ascii="Cambria" w:hAnsi="Cambria"/>
        </w:rPr>
      </w:pPr>
    </w:p>
    <w:p w14:paraId="4E47E358" w14:textId="4B53F745" w:rsidR="00761D54" w:rsidRDefault="005876B5" w:rsidP="007F09F5">
      <w:pPr>
        <w:jc w:val="both"/>
        <w:rPr>
          <w:rFonts w:ascii="Cambria" w:hAnsi="Cambria"/>
        </w:rPr>
      </w:pPr>
      <w:r>
        <w:rPr>
          <w:noProof/>
          <w:lang w:val="es-CR" w:eastAsia="es-CR"/>
        </w:rPr>
        <w:drawing>
          <wp:inline distT="0" distB="0" distL="0" distR="0" wp14:anchorId="39F354DC" wp14:editId="470B4BA5">
            <wp:extent cx="2499360" cy="524291"/>
            <wp:effectExtent l="0" t="0" r="0" b="9525"/>
            <wp:docPr id="1" name="0 Imagen"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descr="image00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99360" cy="524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36E99484" w14:textId="77777777" w:rsidR="00761D54" w:rsidRPr="006A3734" w:rsidRDefault="00761D54" w:rsidP="007F09F5">
      <w:pPr>
        <w:jc w:val="both"/>
        <w:rPr>
          <w:rFonts w:ascii="Cambria" w:hAnsi="Cambria"/>
        </w:rPr>
      </w:pPr>
    </w:p>
    <w:sectPr w:rsidR="00761D54" w:rsidRPr="006A3734" w:rsidSect="00A83BA5">
      <w:headerReference w:type="even" r:id="rId17"/>
      <w:headerReference w:type="default" r:id="rId18"/>
      <w:footerReference w:type="even" r:id="rId19"/>
      <w:footerReference w:type="default" r:id="rId20"/>
      <w:headerReference w:type="first" r:id="rId21"/>
      <w:footerReference w:type="first" r:id="rId22"/>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6931DD" w14:textId="77777777" w:rsidR="004B0877" w:rsidRDefault="004B0877" w:rsidP="005A1442">
      <w:r>
        <w:separator/>
      </w:r>
    </w:p>
  </w:endnote>
  <w:endnote w:type="continuationSeparator" w:id="0">
    <w:p w14:paraId="175574E1" w14:textId="77777777" w:rsidR="004B0877" w:rsidRDefault="004B0877" w:rsidP="005A1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D4303" w14:textId="77777777" w:rsidR="00E92473" w:rsidRDefault="00E9247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C70A0" w14:textId="77777777" w:rsidR="00843EE4" w:rsidRDefault="00843EE4" w:rsidP="005A1442">
    <w:pPr>
      <w:pStyle w:val="Piedepgina"/>
      <w:pBdr>
        <w:top w:val="single" w:sz="4" w:space="1" w:color="auto"/>
      </w:pBdr>
      <w:rPr>
        <w:sz w:val="16"/>
        <w:szCs w:val="16"/>
      </w:rPr>
    </w:pPr>
  </w:p>
  <w:p w14:paraId="03797150" w14:textId="77777777" w:rsidR="00843EE4" w:rsidRDefault="00843EE4" w:rsidP="005A1442">
    <w:pPr>
      <w:pStyle w:val="Piedepgina"/>
      <w:tabs>
        <w:tab w:val="clear" w:pos="8838"/>
      </w:tabs>
      <w:jc w:val="right"/>
      <w:rPr>
        <w:rFonts w:ascii="Baskerville Old Face" w:hAnsi="Baskerville Old Face"/>
        <w:sz w:val="18"/>
        <w:szCs w:val="18"/>
      </w:rPr>
    </w:pPr>
    <w:r w:rsidRPr="00121F8C">
      <w:rPr>
        <w:rFonts w:ascii="Baskerville Old Face" w:hAnsi="Baskerville Old Face"/>
        <w:sz w:val="18"/>
        <w:szCs w:val="18"/>
      </w:rPr>
      <w:t>Teléfonos: 2243-5108</w:t>
    </w:r>
    <w:r>
      <w:rPr>
        <w:rFonts w:ascii="Baskerville Old Face" w:hAnsi="Baskerville Old Face"/>
        <w:sz w:val="18"/>
        <w:szCs w:val="18"/>
      </w:rPr>
      <w:t xml:space="preserve">, </w:t>
    </w:r>
    <w:r w:rsidRPr="00121F8C">
      <w:rPr>
        <w:rFonts w:ascii="Baskerville Old Face" w:hAnsi="Baskerville Old Face"/>
        <w:sz w:val="18"/>
        <w:szCs w:val="18"/>
      </w:rPr>
      <w:t>2243-5103  •  Fax: 2243-5151</w:t>
    </w:r>
  </w:p>
  <w:p w14:paraId="64FCAC9A" w14:textId="1BC2871D" w:rsidR="00843EE4" w:rsidRDefault="00843EE4" w:rsidP="005A1442">
    <w:pPr>
      <w:pStyle w:val="Piedepgina"/>
      <w:tabs>
        <w:tab w:val="clear" w:pos="8838"/>
      </w:tabs>
      <w:jc w:val="right"/>
      <w:rPr>
        <w:rFonts w:ascii="Baskerville Old Face" w:hAnsi="Baskerville Old Face"/>
        <w:sz w:val="18"/>
        <w:szCs w:val="18"/>
      </w:rPr>
    </w:pPr>
    <w:r w:rsidRPr="00121F8C">
      <w:rPr>
        <w:rFonts w:ascii="Baskerville Old Face" w:hAnsi="Baskerville Old Face"/>
        <w:sz w:val="18"/>
        <w:szCs w:val="18"/>
      </w:rPr>
      <w:t xml:space="preserve">Dirección: </w:t>
    </w:r>
    <w:r w:rsidR="00E92473">
      <w:rPr>
        <w:rFonts w:ascii="Cambria" w:hAnsi="Cambria"/>
        <w:sz w:val="18"/>
        <w:szCs w:val="18"/>
      </w:rPr>
      <w:t xml:space="preserve">Edificio </w:t>
    </w:r>
    <w:proofErr w:type="spellStart"/>
    <w:r w:rsidR="00E92473">
      <w:rPr>
        <w:rFonts w:ascii="Cambria" w:hAnsi="Cambria"/>
        <w:sz w:val="18"/>
        <w:szCs w:val="18"/>
      </w:rPr>
      <w:t>ODMs</w:t>
    </w:r>
    <w:proofErr w:type="spellEnd"/>
    <w:r w:rsidR="00E92473">
      <w:rPr>
        <w:rFonts w:ascii="Cambria" w:hAnsi="Cambria"/>
        <w:sz w:val="18"/>
        <w:szCs w:val="18"/>
      </w:rPr>
      <w:t xml:space="preserve">, Barrio </w:t>
    </w:r>
    <w:proofErr w:type="spellStart"/>
    <w:r w:rsidR="00E92473">
      <w:rPr>
        <w:rFonts w:ascii="Cambria" w:hAnsi="Cambria"/>
        <w:sz w:val="18"/>
        <w:szCs w:val="18"/>
      </w:rPr>
      <w:t>Turnón</w:t>
    </w:r>
    <w:proofErr w:type="spellEnd"/>
    <w:r w:rsidR="00E92473">
      <w:rPr>
        <w:rFonts w:ascii="Cambria" w:hAnsi="Cambria"/>
        <w:sz w:val="18"/>
        <w:szCs w:val="18"/>
      </w:rPr>
      <w:t>, Piso 4</w:t>
    </w:r>
  </w:p>
  <w:p w14:paraId="4C768608" w14:textId="77777777" w:rsidR="00843EE4" w:rsidRPr="005A1442" w:rsidRDefault="004B0877" w:rsidP="005A1442">
    <w:pPr>
      <w:pStyle w:val="Piedepgina"/>
      <w:tabs>
        <w:tab w:val="clear" w:pos="8838"/>
      </w:tabs>
      <w:jc w:val="right"/>
      <w:rPr>
        <w:rFonts w:ascii="Baskerville Old Face" w:hAnsi="Baskerville Old Face"/>
        <w:sz w:val="18"/>
        <w:szCs w:val="18"/>
      </w:rPr>
    </w:pPr>
    <w:hyperlink r:id="rId1" w:history="1">
      <w:r w:rsidR="00843EE4" w:rsidRPr="00121F8C">
        <w:rPr>
          <w:rStyle w:val="Hipervnculo"/>
          <w:rFonts w:ascii="Baskerville Old Face" w:hAnsi="Baskerville Old Face"/>
          <w:sz w:val="18"/>
          <w:szCs w:val="18"/>
        </w:rPr>
        <w:t>sugese@sugese.fi.cr</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EDB9A" w14:textId="77777777" w:rsidR="00843EE4" w:rsidRDefault="00843EE4" w:rsidP="00A83BA5">
    <w:pPr>
      <w:pStyle w:val="Piedepgina"/>
      <w:pBdr>
        <w:top w:val="single" w:sz="4" w:space="1" w:color="auto"/>
      </w:pBdr>
      <w:rPr>
        <w:sz w:val="16"/>
        <w:szCs w:val="16"/>
      </w:rPr>
    </w:pPr>
  </w:p>
  <w:p w14:paraId="42EB4783" w14:textId="77777777" w:rsidR="00843EE4" w:rsidRDefault="00843EE4" w:rsidP="00A83BA5">
    <w:pPr>
      <w:pStyle w:val="Piedepgina"/>
      <w:tabs>
        <w:tab w:val="clear" w:pos="8838"/>
      </w:tabs>
      <w:jc w:val="right"/>
      <w:rPr>
        <w:rFonts w:ascii="Baskerville Old Face" w:hAnsi="Baskerville Old Face"/>
        <w:sz w:val="18"/>
        <w:szCs w:val="18"/>
      </w:rPr>
    </w:pPr>
    <w:r w:rsidRPr="00121F8C">
      <w:rPr>
        <w:rFonts w:ascii="Baskerville Old Face" w:hAnsi="Baskerville Old Face"/>
        <w:sz w:val="18"/>
        <w:szCs w:val="18"/>
      </w:rPr>
      <w:t>Teléfonos: 2243-5108</w:t>
    </w:r>
    <w:r>
      <w:rPr>
        <w:rFonts w:ascii="Baskerville Old Face" w:hAnsi="Baskerville Old Face"/>
        <w:sz w:val="18"/>
        <w:szCs w:val="18"/>
      </w:rPr>
      <w:t xml:space="preserve">, </w:t>
    </w:r>
    <w:r w:rsidRPr="00121F8C">
      <w:rPr>
        <w:rFonts w:ascii="Baskerville Old Face" w:hAnsi="Baskerville Old Face"/>
        <w:sz w:val="18"/>
        <w:szCs w:val="18"/>
      </w:rPr>
      <w:t>2243-5103  •  Fax: 2243-5151</w:t>
    </w:r>
  </w:p>
  <w:p w14:paraId="7B932394" w14:textId="77777777" w:rsidR="00E92473" w:rsidRDefault="00843EE4" w:rsidP="00A83BA5">
    <w:pPr>
      <w:pStyle w:val="Piedepgina"/>
      <w:tabs>
        <w:tab w:val="clear" w:pos="8838"/>
      </w:tabs>
      <w:jc w:val="right"/>
      <w:rPr>
        <w:rFonts w:ascii="Cambria" w:hAnsi="Cambria"/>
        <w:sz w:val="18"/>
        <w:szCs w:val="18"/>
      </w:rPr>
    </w:pPr>
    <w:r w:rsidRPr="00121F8C">
      <w:rPr>
        <w:rFonts w:ascii="Baskerville Old Face" w:hAnsi="Baskerville Old Face"/>
        <w:sz w:val="18"/>
        <w:szCs w:val="18"/>
      </w:rPr>
      <w:t xml:space="preserve">Dirección: </w:t>
    </w:r>
    <w:r w:rsidR="00E92473">
      <w:rPr>
        <w:rFonts w:ascii="Cambria" w:hAnsi="Cambria"/>
        <w:sz w:val="18"/>
        <w:szCs w:val="18"/>
      </w:rPr>
      <w:t xml:space="preserve">Edificio </w:t>
    </w:r>
    <w:proofErr w:type="spellStart"/>
    <w:r w:rsidR="00E92473">
      <w:rPr>
        <w:rFonts w:ascii="Cambria" w:hAnsi="Cambria"/>
        <w:sz w:val="18"/>
        <w:szCs w:val="18"/>
      </w:rPr>
      <w:t>ODMs</w:t>
    </w:r>
    <w:proofErr w:type="spellEnd"/>
    <w:r w:rsidR="00E92473">
      <w:rPr>
        <w:rFonts w:ascii="Cambria" w:hAnsi="Cambria"/>
        <w:sz w:val="18"/>
        <w:szCs w:val="18"/>
      </w:rPr>
      <w:t xml:space="preserve">, Barrio </w:t>
    </w:r>
    <w:proofErr w:type="spellStart"/>
    <w:r w:rsidR="00E92473">
      <w:rPr>
        <w:rFonts w:ascii="Cambria" w:hAnsi="Cambria"/>
        <w:sz w:val="18"/>
        <w:szCs w:val="18"/>
      </w:rPr>
      <w:t>Turnón</w:t>
    </w:r>
    <w:proofErr w:type="spellEnd"/>
    <w:r w:rsidR="00E92473">
      <w:rPr>
        <w:rFonts w:ascii="Cambria" w:hAnsi="Cambria"/>
        <w:sz w:val="18"/>
        <w:szCs w:val="18"/>
      </w:rPr>
      <w:t>, Piso 4</w:t>
    </w:r>
  </w:p>
  <w:p w14:paraId="7D40D36D" w14:textId="56C8E950" w:rsidR="00843EE4" w:rsidRPr="00A83BA5" w:rsidRDefault="004B0877" w:rsidP="00A83BA5">
    <w:pPr>
      <w:pStyle w:val="Piedepgina"/>
      <w:tabs>
        <w:tab w:val="clear" w:pos="8838"/>
      </w:tabs>
      <w:jc w:val="right"/>
      <w:rPr>
        <w:rFonts w:ascii="Baskerville Old Face" w:hAnsi="Baskerville Old Face"/>
        <w:sz w:val="18"/>
        <w:szCs w:val="18"/>
      </w:rPr>
    </w:pPr>
    <w:hyperlink r:id="rId1" w:history="1">
      <w:r w:rsidR="00843EE4" w:rsidRPr="00121F8C">
        <w:rPr>
          <w:rStyle w:val="Hipervnculo"/>
          <w:rFonts w:ascii="Baskerville Old Face" w:hAnsi="Baskerville Old Face"/>
          <w:sz w:val="18"/>
          <w:szCs w:val="18"/>
        </w:rPr>
        <w:t>sugese@sugese.fi.cr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8ED9E2" w14:textId="77777777" w:rsidR="004B0877" w:rsidRDefault="004B0877" w:rsidP="005A1442">
      <w:r>
        <w:separator/>
      </w:r>
    </w:p>
  </w:footnote>
  <w:footnote w:type="continuationSeparator" w:id="0">
    <w:p w14:paraId="3FFD373C" w14:textId="77777777" w:rsidR="004B0877" w:rsidRDefault="004B0877" w:rsidP="005A1442">
      <w:r>
        <w:continuationSeparator/>
      </w:r>
    </w:p>
  </w:footnote>
  <w:footnote w:id="1">
    <w:p w14:paraId="7E676BF5" w14:textId="4D782A9C" w:rsidR="00812C3B" w:rsidRPr="00812C3B" w:rsidRDefault="00812C3B">
      <w:pPr>
        <w:pStyle w:val="Textonotapie"/>
        <w:rPr>
          <w:lang w:val="es-CR"/>
        </w:rPr>
      </w:pPr>
      <w:r>
        <w:rPr>
          <w:rStyle w:val="Refdenotaalpie"/>
        </w:rPr>
        <w:footnoteRef/>
      </w:r>
      <w:r>
        <w:t xml:space="preserve"> </w:t>
      </w:r>
      <w:r>
        <w:rPr>
          <w:lang w:val="es-CR"/>
        </w:rPr>
        <w:t>Modificado mediante resolución SGS-R-2260-2019 del 23 de setiembre de 2019.</w:t>
      </w:r>
    </w:p>
  </w:footnote>
  <w:footnote w:id="2">
    <w:p w14:paraId="432A2A82" w14:textId="54436AC9" w:rsidR="00A71200" w:rsidRPr="00A71200" w:rsidRDefault="00A71200">
      <w:pPr>
        <w:pStyle w:val="Textonotapie"/>
        <w:rPr>
          <w:lang w:val="es-CR"/>
        </w:rPr>
      </w:pPr>
      <w:r>
        <w:rPr>
          <w:rStyle w:val="Refdenotaalpie"/>
        </w:rPr>
        <w:footnoteRef/>
      </w:r>
      <w:r>
        <w:t xml:space="preserve"> </w:t>
      </w:r>
      <w:r>
        <w:rPr>
          <w:lang w:val="es-CR"/>
        </w:rPr>
        <w:t>Modificado mediante resolución SGS-R-2260-2019 del 23 de setiembre de 2019</w:t>
      </w:r>
      <w:r>
        <w:rPr>
          <w:lang w:val="es-C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847D0" w14:textId="77777777" w:rsidR="00E92473" w:rsidRDefault="00E9247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5A0FC" w14:textId="77777777" w:rsidR="00843EE4" w:rsidRDefault="00843EE4" w:rsidP="0049738D">
    <w:pPr>
      <w:pStyle w:val="Encabezado"/>
      <w:jc w:val="center"/>
    </w:pPr>
    <w:r>
      <w:rPr>
        <w:noProof/>
        <w:lang w:eastAsia="es-CR"/>
      </w:rPr>
      <w:drawing>
        <wp:inline distT="0" distB="0" distL="0" distR="0" wp14:anchorId="069F247B" wp14:editId="224743F3">
          <wp:extent cx="1209580" cy="971550"/>
          <wp:effectExtent l="19050" t="0" r="0" b="0"/>
          <wp:docPr id="2" name="1 Imagen" descr="logo sugese reduci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se reducido.jpg"/>
                  <pic:cNvPicPr/>
                </pic:nvPicPr>
                <pic:blipFill>
                  <a:blip r:embed="rId1"/>
                  <a:stretch>
                    <a:fillRect/>
                  </a:stretch>
                </pic:blipFill>
                <pic:spPr>
                  <a:xfrm>
                    <a:off x="0" y="0"/>
                    <a:ext cx="1209580" cy="971550"/>
                  </a:xfrm>
                  <a:prstGeom prst="rect">
                    <a:avLst/>
                  </a:prstGeom>
                </pic:spPr>
              </pic:pic>
            </a:graphicData>
          </a:graphic>
        </wp:inline>
      </w:drawing>
    </w:r>
  </w:p>
  <w:p w14:paraId="40DDDFB4" w14:textId="77777777" w:rsidR="00843EE4" w:rsidRDefault="00843EE4">
    <w:pPr>
      <w:pStyle w:val="Encabezado"/>
    </w:pPr>
  </w:p>
  <w:sdt>
    <w:sdtPr>
      <w:rPr>
        <w:rFonts w:asciiTheme="majorHAnsi" w:hAnsiTheme="majorHAnsi"/>
        <w:b/>
        <w:i/>
        <w:color w:val="000000"/>
      </w:rPr>
      <w:alias w:val="Consecutivo"/>
      <w:tag w:val="Consecutivo"/>
      <w:id w:val="1562136323"/>
      <w:showingPlcHdr/>
      <w:text/>
    </w:sdtPr>
    <w:sdtEndPr/>
    <w:sdtContent>
      <w:p w14:paraId="1ADBD568" w14:textId="77777777" w:rsidR="0049738D" w:rsidRPr="00EA055C" w:rsidRDefault="0049738D" w:rsidP="0049738D">
        <w:pPr>
          <w:rPr>
            <w:rFonts w:asciiTheme="majorHAnsi" w:hAnsiTheme="majorHAnsi"/>
            <w:b/>
            <w:i/>
            <w:color w:val="000000"/>
          </w:rPr>
        </w:pPr>
        <w:r w:rsidRPr="00EA055C">
          <w:rPr>
            <w:rFonts w:asciiTheme="majorHAnsi" w:hAnsiTheme="majorHAnsi"/>
            <w:b/>
            <w:i/>
          </w:rPr>
          <w:t>SGS-R-2253-2019</w:t>
        </w:r>
      </w:p>
    </w:sdtContent>
  </w:sdt>
  <w:p w14:paraId="7E96C886" w14:textId="77777777" w:rsidR="00843EE4" w:rsidRPr="0049738D" w:rsidRDefault="0049738D" w:rsidP="0049738D">
    <w:pPr>
      <w:pStyle w:val="Encabezado"/>
      <w:rPr>
        <w:rFonts w:asciiTheme="majorHAnsi" w:hAnsiTheme="majorHAnsi"/>
        <w:lang w:val="es-MX"/>
      </w:rPr>
    </w:pPr>
    <w:r w:rsidRPr="0049738D">
      <w:rPr>
        <w:rFonts w:asciiTheme="majorHAnsi" w:hAnsiTheme="majorHAnsi"/>
        <w:lang w:val="es-MX"/>
      </w:rPr>
      <w:t xml:space="preserve"> </w:t>
    </w:r>
    <w:r w:rsidR="00843EE4" w:rsidRPr="0049738D">
      <w:rPr>
        <w:rFonts w:asciiTheme="majorHAnsi" w:hAnsiTheme="majorHAnsi"/>
        <w:lang w:val="es-MX"/>
      </w:rPr>
      <w:t xml:space="preserve">Página  </w:t>
    </w:r>
    <w:r w:rsidR="00843EE4" w:rsidRPr="0049738D">
      <w:rPr>
        <w:rFonts w:asciiTheme="majorHAnsi" w:hAnsiTheme="majorHAnsi"/>
        <w:lang w:val="es-MX"/>
      </w:rPr>
      <w:fldChar w:fldCharType="begin"/>
    </w:r>
    <w:r w:rsidR="00843EE4" w:rsidRPr="0049738D">
      <w:rPr>
        <w:rFonts w:asciiTheme="majorHAnsi" w:hAnsiTheme="majorHAnsi"/>
        <w:lang w:val="es-MX"/>
      </w:rPr>
      <w:instrText xml:space="preserve"> PAGE   \* MERGEFORMAT </w:instrText>
    </w:r>
    <w:r w:rsidR="00843EE4" w:rsidRPr="0049738D">
      <w:rPr>
        <w:rFonts w:asciiTheme="majorHAnsi" w:hAnsiTheme="majorHAnsi"/>
        <w:lang w:val="es-MX"/>
      </w:rPr>
      <w:fldChar w:fldCharType="separate"/>
    </w:r>
    <w:r w:rsidR="00A71200">
      <w:rPr>
        <w:rFonts w:asciiTheme="majorHAnsi" w:hAnsiTheme="majorHAnsi"/>
        <w:noProof/>
        <w:lang w:val="es-MX"/>
      </w:rPr>
      <w:t>5</w:t>
    </w:r>
    <w:r w:rsidR="00843EE4" w:rsidRPr="0049738D">
      <w:rPr>
        <w:rFonts w:asciiTheme="majorHAnsi" w:hAnsiTheme="majorHAnsi"/>
        <w:lang w:val="es-MX"/>
      </w:rPr>
      <w:fldChar w:fldCharType="end"/>
    </w:r>
  </w:p>
  <w:p w14:paraId="7997C366" w14:textId="77777777" w:rsidR="00843EE4" w:rsidRPr="005B70A7" w:rsidRDefault="00843EE4">
    <w:pPr>
      <w:pStyle w:val="Encabezado"/>
      <w:rPr>
        <w:lang w:val="es-MX"/>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FF179" w14:textId="77777777" w:rsidR="00843EE4" w:rsidRDefault="00843EE4" w:rsidP="0049738D">
    <w:pPr>
      <w:pStyle w:val="Encabezado"/>
      <w:jc w:val="center"/>
    </w:pPr>
    <w:r>
      <w:rPr>
        <w:noProof/>
        <w:lang w:eastAsia="es-CR"/>
      </w:rPr>
      <w:drawing>
        <wp:inline distT="0" distB="0" distL="0" distR="0" wp14:anchorId="23067CC6" wp14:editId="4AED73F2">
          <wp:extent cx="1209580" cy="971550"/>
          <wp:effectExtent l="19050" t="0" r="0" b="0"/>
          <wp:docPr id="5" name="1 Imagen" descr="logo sugese reduci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se reducido.jpg"/>
                  <pic:cNvPicPr/>
                </pic:nvPicPr>
                <pic:blipFill>
                  <a:blip r:embed="rId1"/>
                  <a:stretch>
                    <a:fillRect/>
                  </a:stretch>
                </pic:blipFill>
                <pic:spPr>
                  <a:xfrm>
                    <a:off x="0" y="0"/>
                    <a:ext cx="1209580" cy="971550"/>
                  </a:xfrm>
                  <a:prstGeom prst="rect">
                    <a:avLst/>
                  </a:prstGeom>
                </pic:spPr>
              </pic:pic>
            </a:graphicData>
          </a:graphic>
        </wp:inline>
      </w:drawing>
    </w:r>
  </w:p>
  <w:p w14:paraId="4F2F711E" w14:textId="77777777" w:rsidR="00843EE4" w:rsidRDefault="00843EE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87555D"/>
    <w:multiLevelType w:val="hybridMultilevel"/>
    <w:tmpl w:val="9F16A67A"/>
    <w:lvl w:ilvl="0" w:tplc="140A000F">
      <w:start w:val="1"/>
      <w:numFmt w:val="decimal"/>
      <w:lvlText w:val="%1."/>
      <w:lvlJc w:val="left"/>
      <w:pPr>
        <w:ind w:left="360" w:hanging="360"/>
      </w:pPr>
      <w:rPr>
        <w:b/>
        <w:i w:val="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 w15:restartNumberingAfterBreak="0">
    <w:nsid w:val="57E77366"/>
    <w:multiLevelType w:val="hybridMultilevel"/>
    <w:tmpl w:val="9F16A67A"/>
    <w:lvl w:ilvl="0" w:tplc="140A000F">
      <w:start w:val="1"/>
      <w:numFmt w:val="decimal"/>
      <w:lvlText w:val="%1."/>
      <w:lvlJc w:val="left"/>
      <w:pPr>
        <w:ind w:left="360" w:hanging="360"/>
      </w:pPr>
      <w:rPr>
        <w:b/>
        <w:i w:val="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24D"/>
    <w:rsid w:val="00003EEF"/>
    <w:rsid w:val="000076D1"/>
    <w:rsid w:val="000105FD"/>
    <w:rsid w:val="00015CC4"/>
    <w:rsid w:val="000230EC"/>
    <w:rsid w:val="00037F14"/>
    <w:rsid w:val="00043989"/>
    <w:rsid w:val="000476C1"/>
    <w:rsid w:val="00055413"/>
    <w:rsid w:val="00067CF6"/>
    <w:rsid w:val="000752F9"/>
    <w:rsid w:val="000760ED"/>
    <w:rsid w:val="00083A78"/>
    <w:rsid w:val="0008604D"/>
    <w:rsid w:val="000A2288"/>
    <w:rsid w:val="000B2E1D"/>
    <w:rsid w:val="000B4150"/>
    <w:rsid w:val="000C7644"/>
    <w:rsid w:val="000D4883"/>
    <w:rsid w:val="000E115C"/>
    <w:rsid w:val="000E78B1"/>
    <w:rsid w:val="000F4177"/>
    <w:rsid w:val="00107380"/>
    <w:rsid w:val="00112325"/>
    <w:rsid w:val="00133DA2"/>
    <w:rsid w:val="00135FBF"/>
    <w:rsid w:val="00140B90"/>
    <w:rsid w:val="00146B1D"/>
    <w:rsid w:val="001551CB"/>
    <w:rsid w:val="0016515C"/>
    <w:rsid w:val="00167B6E"/>
    <w:rsid w:val="0017138C"/>
    <w:rsid w:val="00180BA2"/>
    <w:rsid w:val="0018143B"/>
    <w:rsid w:val="001874EF"/>
    <w:rsid w:val="001A29D3"/>
    <w:rsid w:val="001A6FE9"/>
    <w:rsid w:val="001B3C85"/>
    <w:rsid w:val="001B6EE9"/>
    <w:rsid w:val="001C344D"/>
    <w:rsid w:val="001D2BCA"/>
    <w:rsid w:val="001F362F"/>
    <w:rsid w:val="002048C0"/>
    <w:rsid w:val="00221996"/>
    <w:rsid w:val="00222862"/>
    <w:rsid w:val="00234ECC"/>
    <w:rsid w:val="002440B8"/>
    <w:rsid w:val="00247E9E"/>
    <w:rsid w:val="00267429"/>
    <w:rsid w:val="0028286F"/>
    <w:rsid w:val="00286975"/>
    <w:rsid w:val="002878BA"/>
    <w:rsid w:val="00291CE7"/>
    <w:rsid w:val="002A04A2"/>
    <w:rsid w:val="002C3B80"/>
    <w:rsid w:val="002C3DDE"/>
    <w:rsid w:val="002C572C"/>
    <w:rsid w:val="002C76DF"/>
    <w:rsid w:val="002D7832"/>
    <w:rsid w:val="002E02EC"/>
    <w:rsid w:val="002E6AFE"/>
    <w:rsid w:val="002F22F3"/>
    <w:rsid w:val="002F2345"/>
    <w:rsid w:val="002F51B5"/>
    <w:rsid w:val="00304DCB"/>
    <w:rsid w:val="0030537C"/>
    <w:rsid w:val="00305398"/>
    <w:rsid w:val="00317C1E"/>
    <w:rsid w:val="00333BA8"/>
    <w:rsid w:val="00336659"/>
    <w:rsid w:val="00343523"/>
    <w:rsid w:val="00343D0D"/>
    <w:rsid w:val="003623F7"/>
    <w:rsid w:val="0036475D"/>
    <w:rsid w:val="00366016"/>
    <w:rsid w:val="003758F1"/>
    <w:rsid w:val="00376DE7"/>
    <w:rsid w:val="00385D10"/>
    <w:rsid w:val="00391C88"/>
    <w:rsid w:val="003A39BC"/>
    <w:rsid w:val="003A53B0"/>
    <w:rsid w:val="003B043B"/>
    <w:rsid w:val="003B6304"/>
    <w:rsid w:val="003B721F"/>
    <w:rsid w:val="003B7CC2"/>
    <w:rsid w:val="003D3009"/>
    <w:rsid w:val="003E469F"/>
    <w:rsid w:val="003E62CB"/>
    <w:rsid w:val="003E721F"/>
    <w:rsid w:val="004263F9"/>
    <w:rsid w:val="004277B9"/>
    <w:rsid w:val="00432474"/>
    <w:rsid w:val="00450703"/>
    <w:rsid w:val="00454C55"/>
    <w:rsid w:val="0047219D"/>
    <w:rsid w:val="004948D8"/>
    <w:rsid w:val="00495470"/>
    <w:rsid w:val="00496C81"/>
    <w:rsid w:val="0049738D"/>
    <w:rsid w:val="004A03B7"/>
    <w:rsid w:val="004A495A"/>
    <w:rsid w:val="004B0877"/>
    <w:rsid w:val="004B767D"/>
    <w:rsid w:val="004C3B15"/>
    <w:rsid w:val="004C4D3C"/>
    <w:rsid w:val="004D2EB0"/>
    <w:rsid w:val="004D3D77"/>
    <w:rsid w:val="004D7196"/>
    <w:rsid w:val="004E7104"/>
    <w:rsid w:val="004F5023"/>
    <w:rsid w:val="004F6969"/>
    <w:rsid w:val="0050151B"/>
    <w:rsid w:val="0050185B"/>
    <w:rsid w:val="00501E0F"/>
    <w:rsid w:val="005078E4"/>
    <w:rsid w:val="00514940"/>
    <w:rsid w:val="005241EE"/>
    <w:rsid w:val="00524C83"/>
    <w:rsid w:val="0053290C"/>
    <w:rsid w:val="00533746"/>
    <w:rsid w:val="005442FF"/>
    <w:rsid w:val="00545CD6"/>
    <w:rsid w:val="00556620"/>
    <w:rsid w:val="00560026"/>
    <w:rsid w:val="0056158A"/>
    <w:rsid w:val="0056224B"/>
    <w:rsid w:val="0056751A"/>
    <w:rsid w:val="00576230"/>
    <w:rsid w:val="005876B5"/>
    <w:rsid w:val="005A1442"/>
    <w:rsid w:val="005B70A7"/>
    <w:rsid w:val="005C5B11"/>
    <w:rsid w:val="005C69FA"/>
    <w:rsid w:val="005C7CD2"/>
    <w:rsid w:val="005D13DD"/>
    <w:rsid w:val="005E7FD4"/>
    <w:rsid w:val="005F395A"/>
    <w:rsid w:val="00602EC0"/>
    <w:rsid w:val="00604DED"/>
    <w:rsid w:val="00621BF4"/>
    <w:rsid w:val="00626ECF"/>
    <w:rsid w:val="00632C9E"/>
    <w:rsid w:val="006428F4"/>
    <w:rsid w:val="00646CD3"/>
    <w:rsid w:val="00650488"/>
    <w:rsid w:val="00650E64"/>
    <w:rsid w:val="00652E5B"/>
    <w:rsid w:val="0065628B"/>
    <w:rsid w:val="00663DB8"/>
    <w:rsid w:val="00664692"/>
    <w:rsid w:val="0066556D"/>
    <w:rsid w:val="006655C3"/>
    <w:rsid w:val="006678C2"/>
    <w:rsid w:val="006679E1"/>
    <w:rsid w:val="00671DEB"/>
    <w:rsid w:val="00672C4A"/>
    <w:rsid w:val="00673269"/>
    <w:rsid w:val="00674F4F"/>
    <w:rsid w:val="006772DD"/>
    <w:rsid w:val="006829C1"/>
    <w:rsid w:val="0068417D"/>
    <w:rsid w:val="006848D6"/>
    <w:rsid w:val="006943A2"/>
    <w:rsid w:val="006A1A25"/>
    <w:rsid w:val="006A3734"/>
    <w:rsid w:val="006B4EA1"/>
    <w:rsid w:val="006C12D6"/>
    <w:rsid w:val="006C624C"/>
    <w:rsid w:val="006C76B1"/>
    <w:rsid w:val="006D0952"/>
    <w:rsid w:val="006D59D3"/>
    <w:rsid w:val="006E01DB"/>
    <w:rsid w:val="006E1EC2"/>
    <w:rsid w:val="006F4CAF"/>
    <w:rsid w:val="006F4D20"/>
    <w:rsid w:val="006F64FC"/>
    <w:rsid w:val="00706543"/>
    <w:rsid w:val="00712FFB"/>
    <w:rsid w:val="00715BD0"/>
    <w:rsid w:val="007170ED"/>
    <w:rsid w:val="00717F1A"/>
    <w:rsid w:val="00725048"/>
    <w:rsid w:val="00725493"/>
    <w:rsid w:val="00726CEB"/>
    <w:rsid w:val="007272CC"/>
    <w:rsid w:val="007324F8"/>
    <w:rsid w:val="007327C9"/>
    <w:rsid w:val="0074198B"/>
    <w:rsid w:val="007437E6"/>
    <w:rsid w:val="00744A2C"/>
    <w:rsid w:val="00746E52"/>
    <w:rsid w:val="00761D54"/>
    <w:rsid w:val="00762839"/>
    <w:rsid w:val="007636BD"/>
    <w:rsid w:val="00771580"/>
    <w:rsid w:val="00792726"/>
    <w:rsid w:val="007A0A2A"/>
    <w:rsid w:val="007A1E7F"/>
    <w:rsid w:val="007A22EA"/>
    <w:rsid w:val="007A2A51"/>
    <w:rsid w:val="007B04A5"/>
    <w:rsid w:val="007C19A7"/>
    <w:rsid w:val="007D2DAF"/>
    <w:rsid w:val="007E41E5"/>
    <w:rsid w:val="007E46F1"/>
    <w:rsid w:val="007E5094"/>
    <w:rsid w:val="007E66C6"/>
    <w:rsid w:val="007F09F5"/>
    <w:rsid w:val="008022A8"/>
    <w:rsid w:val="0080328F"/>
    <w:rsid w:val="00812C3B"/>
    <w:rsid w:val="00821436"/>
    <w:rsid w:val="00822477"/>
    <w:rsid w:val="008259A0"/>
    <w:rsid w:val="008370FF"/>
    <w:rsid w:val="00843EE4"/>
    <w:rsid w:val="0085586B"/>
    <w:rsid w:val="00857125"/>
    <w:rsid w:val="00857848"/>
    <w:rsid w:val="00857AD8"/>
    <w:rsid w:val="008605C0"/>
    <w:rsid w:val="00866B92"/>
    <w:rsid w:val="008704B7"/>
    <w:rsid w:val="008747C3"/>
    <w:rsid w:val="008778EF"/>
    <w:rsid w:val="00877EB5"/>
    <w:rsid w:val="00892881"/>
    <w:rsid w:val="00895D99"/>
    <w:rsid w:val="008962DC"/>
    <w:rsid w:val="00896B04"/>
    <w:rsid w:val="008974D8"/>
    <w:rsid w:val="008A3070"/>
    <w:rsid w:val="008A591C"/>
    <w:rsid w:val="008D17A9"/>
    <w:rsid w:val="008D2116"/>
    <w:rsid w:val="008D2BC8"/>
    <w:rsid w:val="008F727F"/>
    <w:rsid w:val="00901240"/>
    <w:rsid w:val="00915452"/>
    <w:rsid w:val="00922C3E"/>
    <w:rsid w:val="00947CCD"/>
    <w:rsid w:val="0095414B"/>
    <w:rsid w:val="009565BF"/>
    <w:rsid w:val="00963CA8"/>
    <w:rsid w:val="00964169"/>
    <w:rsid w:val="0097368D"/>
    <w:rsid w:val="00975A49"/>
    <w:rsid w:val="00987B3B"/>
    <w:rsid w:val="009A2106"/>
    <w:rsid w:val="009A6A84"/>
    <w:rsid w:val="009B35A6"/>
    <w:rsid w:val="009D11AB"/>
    <w:rsid w:val="009D5FAF"/>
    <w:rsid w:val="009F37D9"/>
    <w:rsid w:val="00A07AB5"/>
    <w:rsid w:val="00A12AE9"/>
    <w:rsid w:val="00A16168"/>
    <w:rsid w:val="00A2009B"/>
    <w:rsid w:val="00A33527"/>
    <w:rsid w:val="00A4177B"/>
    <w:rsid w:val="00A46328"/>
    <w:rsid w:val="00A57156"/>
    <w:rsid w:val="00A66E6E"/>
    <w:rsid w:val="00A71200"/>
    <w:rsid w:val="00A766AB"/>
    <w:rsid w:val="00A81FF0"/>
    <w:rsid w:val="00A83BA5"/>
    <w:rsid w:val="00A8710B"/>
    <w:rsid w:val="00AA35AB"/>
    <w:rsid w:val="00AA4CA2"/>
    <w:rsid w:val="00AB1CD0"/>
    <w:rsid w:val="00AB33C3"/>
    <w:rsid w:val="00AC0D3F"/>
    <w:rsid w:val="00AD00BB"/>
    <w:rsid w:val="00AD6B9E"/>
    <w:rsid w:val="00AE0313"/>
    <w:rsid w:val="00B04011"/>
    <w:rsid w:val="00B12501"/>
    <w:rsid w:val="00B21C1A"/>
    <w:rsid w:val="00B2475F"/>
    <w:rsid w:val="00B25C9B"/>
    <w:rsid w:val="00B300E9"/>
    <w:rsid w:val="00B32651"/>
    <w:rsid w:val="00B32EEB"/>
    <w:rsid w:val="00B40526"/>
    <w:rsid w:val="00B45FD8"/>
    <w:rsid w:val="00B50514"/>
    <w:rsid w:val="00B70578"/>
    <w:rsid w:val="00B73C42"/>
    <w:rsid w:val="00B826E2"/>
    <w:rsid w:val="00B910A3"/>
    <w:rsid w:val="00B941E5"/>
    <w:rsid w:val="00B95233"/>
    <w:rsid w:val="00B96A9E"/>
    <w:rsid w:val="00BA2A3A"/>
    <w:rsid w:val="00BA4095"/>
    <w:rsid w:val="00BA4EB8"/>
    <w:rsid w:val="00BB64F2"/>
    <w:rsid w:val="00BC2F23"/>
    <w:rsid w:val="00BC5BBE"/>
    <w:rsid w:val="00BD18FF"/>
    <w:rsid w:val="00BE08B6"/>
    <w:rsid w:val="00BE61CE"/>
    <w:rsid w:val="00BF28E2"/>
    <w:rsid w:val="00BF29C3"/>
    <w:rsid w:val="00BF581F"/>
    <w:rsid w:val="00BF5BF7"/>
    <w:rsid w:val="00BF67A7"/>
    <w:rsid w:val="00C00485"/>
    <w:rsid w:val="00C05704"/>
    <w:rsid w:val="00C240F2"/>
    <w:rsid w:val="00C276E6"/>
    <w:rsid w:val="00C52BC9"/>
    <w:rsid w:val="00C64061"/>
    <w:rsid w:val="00C73E1C"/>
    <w:rsid w:val="00C7547D"/>
    <w:rsid w:val="00C82150"/>
    <w:rsid w:val="00C846AA"/>
    <w:rsid w:val="00C84A0C"/>
    <w:rsid w:val="00C85E4F"/>
    <w:rsid w:val="00CA7870"/>
    <w:rsid w:val="00CA7AE4"/>
    <w:rsid w:val="00CB0CC5"/>
    <w:rsid w:val="00CC4427"/>
    <w:rsid w:val="00CC5D7F"/>
    <w:rsid w:val="00CE3032"/>
    <w:rsid w:val="00CF181A"/>
    <w:rsid w:val="00CF516F"/>
    <w:rsid w:val="00D06152"/>
    <w:rsid w:val="00D13047"/>
    <w:rsid w:val="00D15050"/>
    <w:rsid w:val="00D15CCE"/>
    <w:rsid w:val="00D20E5C"/>
    <w:rsid w:val="00D24975"/>
    <w:rsid w:val="00D27227"/>
    <w:rsid w:val="00D332E9"/>
    <w:rsid w:val="00D36B9F"/>
    <w:rsid w:val="00D6484A"/>
    <w:rsid w:val="00D70C14"/>
    <w:rsid w:val="00D72C68"/>
    <w:rsid w:val="00D74E1D"/>
    <w:rsid w:val="00D84595"/>
    <w:rsid w:val="00D858A4"/>
    <w:rsid w:val="00D92485"/>
    <w:rsid w:val="00D92CD1"/>
    <w:rsid w:val="00DA2D4F"/>
    <w:rsid w:val="00DA5032"/>
    <w:rsid w:val="00DB041E"/>
    <w:rsid w:val="00DB1CE2"/>
    <w:rsid w:val="00DB4D57"/>
    <w:rsid w:val="00DB63A8"/>
    <w:rsid w:val="00DC1346"/>
    <w:rsid w:val="00DC26B0"/>
    <w:rsid w:val="00DC2FD3"/>
    <w:rsid w:val="00DC37EE"/>
    <w:rsid w:val="00DD035E"/>
    <w:rsid w:val="00DD1A0E"/>
    <w:rsid w:val="00DD480F"/>
    <w:rsid w:val="00DD4EE4"/>
    <w:rsid w:val="00DF1CE6"/>
    <w:rsid w:val="00DF2BE9"/>
    <w:rsid w:val="00DF3ABA"/>
    <w:rsid w:val="00E04EAD"/>
    <w:rsid w:val="00E06E7D"/>
    <w:rsid w:val="00E06F9A"/>
    <w:rsid w:val="00E14F6B"/>
    <w:rsid w:val="00E157FF"/>
    <w:rsid w:val="00E20D65"/>
    <w:rsid w:val="00E25B90"/>
    <w:rsid w:val="00E2643F"/>
    <w:rsid w:val="00E320DA"/>
    <w:rsid w:val="00E37A14"/>
    <w:rsid w:val="00E40FF3"/>
    <w:rsid w:val="00E42E5A"/>
    <w:rsid w:val="00E43276"/>
    <w:rsid w:val="00E51B7E"/>
    <w:rsid w:val="00E645D5"/>
    <w:rsid w:val="00E67EDC"/>
    <w:rsid w:val="00E75421"/>
    <w:rsid w:val="00E8166D"/>
    <w:rsid w:val="00E86F7B"/>
    <w:rsid w:val="00E913C9"/>
    <w:rsid w:val="00E92473"/>
    <w:rsid w:val="00E93FB0"/>
    <w:rsid w:val="00EA03A0"/>
    <w:rsid w:val="00EA055C"/>
    <w:rsid w:val="00EA0A06"/>
    <w:rsid w:val="00EA1A46"/>
    <w:rsid w:val="00EB1C88"/>
    <w:rsid w:val="00EB5517"/>
    <w:rsid w:val="00EC0737"/>
    <w:rsid w:val="00EC1421"/>
    <w:rsid w:val="00EE6EF6"/>
    <w:rsid w:val="00EF0B3D"/>
    <w:rsid w:val="00EF5858"/>
    <w:rsid w:val="00F04463"/>
    <w:rsid w:val="00F046DF"/>
    <w:rsid w:val="00F0751F"/>
    <w:rsid w:val="00F14C3C"/>
    <w:rsid w:val="00F17004"/>
    <w:rsid w:val="00F1744F"/>
    <w:rsid w:val="00F178E2"/>
    <w:rsid w:val="00F17E74"/>
    <w:rsid w:val="00F30C6B"/>
    <w:rsid w:val="00F33704"/>
    <w:rsid w:val="00F34196"/>
    <w:rsid w:val="00F36332"/>
    <w:rsid w:val="00F41D5A"/>
    <w:rsid w:val="00F43651"/>
    <w:rsid w:val="00F465B9"/>
    <w:rsid w:val="00F46E76"/>
    <w:rsid w:val="00F47064"/>
    <w:rsid w:val="00F5124D"/>
    <w:rsid w:val="00F5139D"/>
    <w:rsid w:val="00F5386D"/>
    <w:rsid w:val="00F611D6"/>
    <w:rsid w:val="00F615EE"/>
    <w:rsid w:val="00F6508B"/>
    <w:rsid w:val="00F84235"/>
    <w:rsid w:val="00F87AC4"/>
    <w:rsid w:val="00F952FA"/>
    <w:rsid w:val="00FA4D98"/>
    <w:rsid w:val="00FA56C0"/>
    <w:rsid w:val="00FB6C78"/>
    <w:rsid w:val="00FC2DDB"/>
    <w:rsid w:val="00FC5636"/>
    <w:rsid w:val="00FC7C8A"/>
    <w:rsid w:val="00FD0685"/>
    <w:rsid w:val="00FE165F"/>
    <w:rsid w:val="00FE1C22"/>
    <w:rsid w:val="00FE3A47"/>
    <w:rsid w:val="00FF0066"/>
    <w:rsid w:val="00FF04D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CD111"/>
  <w15:docId w15:val="{1F31A122-3024-45BF-BC49-7DB1837B1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44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1442"/>
    <w:pPr>
      <w:tabs>
        <w:tab w:val="center" w:pos="4419"/>
        <w:tab w:val="right" w:pos="8838"/>
      </w:tabs>
    </w:pPr>
    <w:rPr>
      <w:rFonts w:asciiTheme="minorHAnsi" w:eastAsiaTheme="minorHAnsi" w:hAnsiTheme="minorHAnsi" w:cstheme="minorBidi"/>
      <w:sz w:val="22"/>
      <w:szCs w:val="22"/>
      <w:lang w:val="es-CR" w:eastAsia="en-US"/>
    </w:rPr>
  </w:style>
  <w:style w:type="character" w:customStyle="1" w:styleId="EncabezadoCar">
    <w:name w:val="Encabezado Car"/>
    <w:basedOn w:val="Fuentedeprrafopredeter"/>
    <w:link w:val="Encabezado"/>
    <w:uiPriority w:val="99"/>
    <w:rsid w:val="005A1442"/>
  </w:style>
  <w:style w:type="paragraph" w:styleId="Piedepgina">
    <w:name w:val="footer"/>
    <w:basedOn w:val="Normal"/>
    <w:link w:val="PiedepginaCar"/>
    <w:unhideWhenUsed/>
    <w:rsid w:val="005A1442"/>
    <w:pPr>
      <w:tabs>
        <w:tab w:val="center" w:pos="4419"/>
        <w:tab w:val="right" w:pos="8838"/>
      </w:tabs>
    </w:pPr>
    <w:rPr>
      <w:rFonts w:asciiTheme="minorHAnsi" w:eastAsiaTheme="minorHAnsi" w:hAnsiTheme="minorHAnsi" w:cstheme="minorBidi"/>
      <w:sz w:val="22"/>
      <w:szCs w:val="22"/>
      <w:lang w:val="es-CR" w:eastAsia="en-US"/>
    </w:rPr>
  </w:style>
  <w:style w:type="character" w:customStyle="1" w:styleId="PiedepginaCar">
    <w:name w:val="Pie de página Car"/>
    <w:basedOn w:val="Fuentedeprrafopredeter"/>
    <w:link w:val="Piedepgina"/>
    <w:rsid w:val="005A1442"/>
  </w:style>
  <w:style w:type="paragraph" w:styleId="Textodeglobo">
    <w:name w:val="Balloon Text"/>
    <w:basedOn w:val="Normal"/>
    <w:link w:val="TextodegloboCar"/>
    <w:uiPriority w:val="99"/>
    <w:semiHidden/>
    <w:unhideWhenUsed/>
    <w:rsid w:val="005A1442"/>
    <w:rPr>
      <w:rFonts w:ascii="Tahoma" w:eastAsiaTheme="minorHAnsi" w:hAnsi="Tahoma" w:cs="Tahoma"/>
      <w:sz w:val="16"/>
      <w:szCs w:val="16"/>
      <w:lang w:val="es-CR" w:eastAsia="en-US"/>
    </w:rPr>
  </w:style>
  <w:style w:type="character" w:customStyle="1" w:styleId="TextodegloboCar">
    <w:name w:val="Texto de globo Car"/>
    <w:basedOn w:val="Fuentedeprrafopredeter"/>
    <w:link w:val="Textodeglobo"/>
    <w:uiPriority w:val="99"/>
    <w:semiHidden/>
    <w:rsid w:val="005A1442"/>
    <w:rPr>
      <w:rFonts w:ascii="Tahoma" w:hAnsi="Tahoma" w:cs="Tahoma"/>
      <w:sz w:val="16"/>
      <w:szCs w:val="16"/>
    </w:rPr>
  </w:style>
  <w:style w:type="character" w:styleId="Hipervnculo">
    <w:name w:val="Hyperlink"/>
    <w:basedOn w:val="Fuentedeprrafopredeter"/>
    <w:uiPriority w:val="99"/>
    <w:rsid w:val="005A1442"/>
    <w:rPr>
      <w:color w:val="0000FF"/>
      <w:u w:val="single"/>
    </w:rPr>
  </w:style>
  <w:style w:type="paragraph" w:styleId="Textonotapie">
    <w:name w:val="footnote text"/>
    <w:basedOn w:val="Normal"/>
    <w:link w:val="TextonotapieCar"/>
    <w:uiPriority w:val="99"/>
    <w:rsid w:val="004C3B15"/>
    <w:rPr>
      <w:sz w:val="20"/>
    </w:rPr>
  </w:style>
  <w:style w:type="character" w:customStyle="1" w:styleId="TextonotapieCar">
    <w:name w:val="Texto nota pie Car"/>
    <w:basedOn w:val="Fuentedeprrafopredeter"/>
    <w:link w:val="Textonotapie"/>
    <w:uiPriority w:val="99"/>
    <w:rsid w:val="004C3B15"/>
    <w:rPr>
      <w:rFonts w:ascii="Times New Roman" w:eastAsia="Times New Roman" w:hAnsi="Times New Roman" w:cs="Times New Roman"/>
      <w:sz w:val="20"/>
      <w:szCs w:val="24"/>
      <w:lang w:val="es-ES" w:eastAsia="es-ES"/>
    </w:rPr>
  </w:style>
  <w:style w:type="character" w:styleId="Refdenotaalpie">
    <w:name w:val="footnote reference"/>
    <w:basedOn w:val="Fuentedeprrafopredeter"/>
    <w:uiPriority w:val="99"/>
    <w:rsid w:val="004C3B15"/>
    <w:rPr>
      <w:vertAlign w:val="superscript"/>
    </w:rPr>
  </w:style>
  <w:style w:type="table" w:styleId="Tablaconcuadrcula">
    <w:name w:val="Table Grid"/>
    <w:basedOn w:val="Tablanormal"/>
    <w:uiPriority w:val="39"/>
    <w:rsid w:val="004C3B1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F09F5"/>
    <w:pPr>
      <w:autoSpaceDE w:val="0"/>
      <w:autoSpaceDN w:val="0"/>
      <w:adjustRightInd w:val="0"/>
      <w:spacing w:after="0" w:line="240" w:lineRule="auto"/>
    </w:pPr>
    <w:rPr>
      <w:rFonts w:ascii="Calibri" w:eastAsia="Times New Roman" w:hAnsi="Calibri" w:cs="Calibri"/>
      <w:color w:val="000000"/>
      <w:sz w:val="24"/>
      <w:szCs w:val="24"/>
    </w:rPr>
  </w:style>
  <w:style w:type="character" w:styleId="Textodelmarcadordeposicin">
    <w:name w:val="Placeholder Text"/>
    <w:basedOn w:val="Fuentedeprrafopredeter"/>
    <w:uiPriority w:val="99"/>
    <w:semiHidden/>
    <w:rsid w:val="00E14F6B"/>
    <w:rPr>
      <w:color w:val="808080"/>
    </w:rPr>
  </w:style>
  <w:style w:type="paragraph" w:styleId="Prrafodelista">
    <w:name w:val="List Paragraph"/>
    <w:aliases w:val="Informe,Con viñetas,Normal con viñetas,3,Use Case List Paragraph,Bullet 1,titulo 3,figuras y gráficos,Viñetas,Bulletr List Paragraph"/>
    <w:basedOn w:val="Normal"/>
    <w:link w:val="PrrafodelistaCar"/>
    <w:uiPriority w:val="34"/>
    <w:qFormat/>
    <w:rsid w:val="00892881"/>
    <w:pPr>
      <w:spacing w:after="160" w:line="259" w:lineRule="auto"/>
      <w:ind w:left="720"/>
      <w:contextualSpacing/>
    </w:pPr>
    <w:rPr>
      <w:rFonts w:asciiTheme="minorHAnsi" w:eastAsiaTheme="minorHAnsi" w:hAnsiTheme="minorHAnsi" w:cstheme="minorBidi"/>
      <w:sz w:val="22"/>
      <w:szCs w:val="22"/>
      <w:lang w:val="es-CR" w:eastAsia="en-US"/>
    </w:rPr>
  </w:style>
  <w:style w:type="character" w:customStyle="1" w:styleId="PrrafodelistaCar">
    <w:name w:val="Párrafo de lista Car"/>
    <w:aliases w:val="Informe Car,Con viñetas Car,Normal con viñetas Car,3 Car,Use Case List Paragraph Car,Bullet 1 Car,titulo 3 Car,figuras y gráficos Car,Viñetas Car,Bulletr List Paragraph Car"/>
    <w:link w:val="Prrafodelista"/>
    <w:uiPriority w:val="34"/>
    <w:locked/>
    <w:rsid w:val="00892881"/>
  </w:style>
  <w:style w:type="paragraph" w:customStyle="1" w:styleId="TextoJustificadoTabla">
    <w:name w:val="Texto Justificado Tabla"/>
    <w:basedOn w:val="Normal"/>
    <w:rsid w:val="00892881"/>
    <w:pPr>
      <w:spacing w:before="60" w:after="60"/>
      <w:ind w:left="57" w:right="57"/>
      <w:jc w:val="both"/>
    </w:pPr>
    <w:rPr>
      <w:rFonts w:ascii="Arial" w:hAnsi="Arial"/>
      <w:snapToGrid w:val="0"/>
      <w:sz w:val="16"/>
      <w:szCs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24" Type="http://schemas.openxmlformats.org/officeDocument/2006/relationships/glossaryDocument" Target="glossary/document.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sugese@sugese.fi.cr"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22" Type="http://schemas.openxmlformats.org/officeDocument/2006/relationships/footer" Target="footer3.xml"/><Relationship Id="rId9" Type="http://schemas.openxmlformats.org/officeDocument/2006/relationships/styles" Target="styles.xml"/><Relationship Id="rId14" Type="http://schemas.openxmlformats.org/officeDocument/2006/relationships/hyperlink" Target="mailto:sugese@sugese.fi.c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ugese@sugese.fi.c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sugese@sugese.fi.c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http://intranet/sites/GEC/SalienteSUGESEResoluciones/Forms/Correspondencia%20Externa/Plantilla-SGS-R-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A6A3887C17C4E5790B33311AB973A22"/>
        <w:category>
          <w:name w:val="General"/>
          <w:gallery w:val="placeholder"/>
        </w:category>
        <w:types>
          <w:type w:val="bbPlcHdr"/>
        </w:types>
        <w:behaviors>
          <w:behavior w:val="content"/>
        </w:behaviors>
        <w:guid w:val="{8F3C2B7A-6BA4-40B9-9552-21D3D38E9D4A}"/>
      </w:docPartPr>
      <w:docPartBody>
        <w:p w:rsidR="00EE5438" w:rsidRDefault="00EE5438">
          <w:pPr>
            <w:pStyle w:val="EA6A3887C17C4E5790B33311AB973A22"/>
          </w:pPr>
          <w:r>
            <w:rPr>
              <w:rStyle w:val="Textodelmarcadordeposicin"/>
              <w:rFonts w:eastAsiaTheme="minorHAnsi"/>
            </w:rPr>
            <w:t>SGS-R-0000-AÑO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438"/>
    <w:rsid w:val="003E7403"/>
    <w:rsid w:val="00567AC2"/>
    <w:rsid w:val="009E2534"/>
    <w:rsid w:val="00EE543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EA6A3887C17C4E5790B33311AB973A22">
    <w:name w:val="EA6A3887C17C4E5790B33311AB973A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echaPublicacionDocumento xmlns="b9fc4df0-8f56-46e7-b005-54afe0044df7">2019-08-30T06:00:00+00:00</FechaPublicacionDocumento>
    <TipoContenido xmlns="b9fc4df0-8f56-46e7-b005-54afe0044df7" xsi:nil="true"/>
    <ContenidoMultilineaHTML xmlns="b9fc4df0-8f56-46e7-b005-54afe0044df7">​Comunicado para el registro y reporte de los montos a transferir por financiamiento del INEC durante el segundo semestre de 2019&lt;br&gt;&lt;br&gt;</ContenidoMultilineaHTML>
    <NumeroCircular xmlns="b9fc4df0-8f56-46e7-b005-54afe0044df7">SGS-R-2253-2019</NumeroCircular>
    <Legislacionrelacionada xmlns="b9fc4df0-8f56-46e7-b005-54afe0044df7">&lt;div class="ExternalClassAAABAC904D4743C6A19AE0518F159496"&gt;&lt;p&gt;​&lt;span&gt;Reglamento
de Información Financiera&amp;#160;y Ley N°9694 sobre el Sistema de Estadística
Nacional&amp;#160;&lt;/span&gt;&lt;/p&gt;&lt;/div&gt;</Legislacionrelacionada>
  </documentManagement>
</p:properties>
</file>

<file path=customXml/item4.xml><?xml version="1.0" encoding="utf-8"?>
<?mso-contentType ?>
<SharedContentType xmlns="Microsoft.SharePoint.Taxonomy.ContentTypeSync" SourceId="031b4bb2-0db7-40b3-a341-fc1511e9642d" ContentTypeId="0x010100E97154E09FCE6A4E8EAEBD5C54DD1AE402" PreviousValue="false"/>
</file>

<file path=customXml/item5.xml><?xml version="1.0" encoding="utf-8"?>
<ct:contentTypeSchema xmlns:ct="http://schemas.microsoft.com/office/2006/metadata/contentType" xmlns:ma="http://schemas.microsoft.com/office/2006/metadata/properties/metaAttributes" ct:_="" ma:_="" ma:contentTypeName="Documento" ma:contentTypeID="0x010100492FEE0E91A6F847B81CB8FFB0DCDEDD" ma:contentTypeVersion="6" ma:contentTypeDescription="Crear nuevo documento." ma:contentTypeScope="" ma:versionID="bba0ae12844a9d8d0613c8ab951db7c0">
  <xsd:schema xmlns:xsd="http://www.w3.org/2001/XMLSchema" xmlns:xs="http://www.w3.org/2001/XMLSchema" xmlns:p="http://schemas.microsoft.com/office/2006/metadata/properties" xmlns:ns2="b9fc4df0-8f56-46e7-b005-54afe0044df7" targetNamespace="http://schemas.microsoft.com/office/2006/metadata/properties" ma:root="true" ma:fieldsID="2818ef00e05f55933c15bfaf52e43395" ns2:_="">
    <xsd:import namespace="b9fc4df0-8f56-46e7-b005-54afe0044df7"/>
    <xsd:element name="properties">
      <xsd:complexType>
        <xsd:sequence>
          <xsd:element name="documentManagement">
            <xsd:complexType>
              <xsd:all>
                <xsd:element ref="ns2:NumeroCircular" minOccurs="0"/>
                <xsd:element ref="ns2:ContenidoMultilineaHTML"/>
                <xsd:element ref="ns2:Legislacionrelacionada" minOccurs="0"/>
                <xsd:element ref="ns2:FechaPublicacionDocumento" minOccurs="0"/>
                <xsd:element ref="ns2:TipoContenido"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fc4df0-8f56-46e7-b005-54afe0044df7" elementFormDefault="qualified">
    <xsd:import namespace="http://schemas.microsoft.com/office/2006/documentManagement/types"/>
    <xsd:import namespace="http://schemas.microsoft.com/office/infopath/2007/PartnerControls"/>
    <xsd:element name="NumeroCircular" ma:index="8" nillable="true" ma:displayName="Número Comunicado" ma:description="" ma:internalName="NumeroCircular">
      <xsd:simpleType>
        <xsd:restriction base="dms:Text"/>
      </xsd:simpleType>
    </xsd:element>
    <xsd:element name="ContenidoMultilineaHTML" ma:index="9" ma:displayName="ContenidoMultilineaHTML" ma:description="" ma:internalName="ContenidoMultilineaHTML">
      <xsd:simpleType>
        <xsd:restriction base="dms:Unknown"/>
      </xsd:simpleType>
    </xsd:element>
    <xsd:element name="Legislacionrelacionada" ma:index="10" nillable="true" ma:displayName="Legislación relacionada" ma:internalName="Legislacionrelacionada">
      <xsd:simpleType>
        <xsd:restriction base="dms:Note">
          <xsd:maxLength value="255"/>
        </xsd:restriction>
      </xsd:simpleType>
    </xsd:element>
    <xsd:element name="FechaPublicacionDocumento" ma:index="11" nillable="true" ma:displayName="FechaPublicacionDocumento" ma:description="" ma:format="DateOnly" ma:internalName="FechaPublicacionDocumento">
      <xsd:simpleType>
        <xsd:restriction base="dms:DateTime"/>
      </xsd:simpleType>
    </xsd:element>
    <xsd:element name="TipoContenido" ma:index="12" nillable="true" ma:displayName="TipoContenido" ma:list="{ec55f565-d8ce-4d28-9f5f-877c6e6feccc}" ma:internalName="TipoContenido" ma:showField="Title" ma:web="b9fc4df0-8f56-46e7-b005-54afe0044df7">
      <xsd:simpleType>
        <xsd:restriction base="dms:Lookup"/>
      </xsd:simpleType>
    </xsd:element>
    <xsd:element name="SharedWithUsers" ma:index="13"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62F73-0CB5-4720-AFDC-DCE82377DC20}">
  <ds:schemaRefs>
    <ds:schemaRef ds:uri="http://schemas.microsoft.com/sharepoint/events"/>
  </ds:schemaRefs>
</ds:datastoreItem>
</file>

<file path=customXml/itemProps2.xml><?xml version="1.0" encoding="utf-8"?>
<ds:datastoreItem xmlns:ds="http://schemas.openxmlformats.org/officeDocument/2006/customXml" ds:itemID="{55249C05-6761-4900-8146-AEBD5921A9D8}"/>
</file>

<file path=customXml/itemProps3.xml><?xml version="1.0" encoding="utf-8"?>
<ds:datastoreItem xmlns:ds="http://schemas.openxmlformats.org/officeDocument/2006/customXml" ds:itemID="{E9BFDFF1-5A20-4AF1-AAD4-F731651ECA5C}"/>
</file>

<file path=customXml/itemProps4.xml><?xml version="1.0" encoding="utf-8"?>
<ds:datastoreItem xmlns:ds="http://schemas.openxmlformats.org/officeDocument/2006/customXml" ds:itemID="{3000ECC2-89C5-45EA-B7F3-60B5303D8045}">
  <ds:schemaRefs>
    <ds:schemaRef ds:uri="Microsoft.SharePoint.Taxonomy.ContentTypeSync"/>
  </ds:schemaRefs>
</ds:datastoreItem>
</file>

<file path=customXml/itemProps5.xml><?xml version="1.0" encoding="utf-8"?>
<ds:datastoreItem xmlns:ds="http://schemas.openxmlformats.org/officeDocument/2006/customXml" ds:itemID="{2BF904B5-3FB7-4E0D-92EA-ECF46C8D4A91}"/>
</file>

<file path=customXml/itemProps6.xml><?xml version="1.0" encoding="utf-8"?>
<ds:datastoreItem xmlns:ds="http://schemas.openxmlformats.org/officeDocument/2006/customXml" ds:itemID="{B6F124A5-4FBD-4B13-894D-887D45CF06C4}">
  <ds:schemaRefs>
    <ds:schemaRef ds:uri="office.server.policy"/>
  </ds:schemaRefs>
</ds:datastoreItem>
</file>

<file path=customXml/itemProps7.xml><?xml version="1.0" encoding="utf-8"?>
<ds:datastoreItem xmlns:ds="http://schemas.openxmlformats.org/officeDocument/2006/customXml" ds:itemID="{7EBD2BD7-5330-47F8-9F7C-5B0777F0EF9A}"/>
</file>

<file path=docProps/app.xml><?xml version="1.0" encoding="utf-8"?>
<Properties xmlns="http://schemas.openxmlformats.org/officeDocument/2006/extended-properties" xmlns:vt="http://schemas.openxmlformats.org/officeDocument/2006/docPropsVTypes">
  <Template>Plantilla-SGS-R-13</Template>
  <TotalTime>3</TotalTime>
  <Pages>5</Pages>
  <Words>1135</Words>
  <Characters>6248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Superintendencia General de Seguros</Company>
  <LinksUpToDate>false</LinksUpToDate>
  <CharactersWithSpaces>7369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Comunicado para el registro y reporte de los montos a transferir por financiamiento del INEC durante el segundo semestre de 2019</dc:title>
  <dc:creator>CASTILLO SOLIS LAURA</dc:creator>
  <cp:lastModifiedBy>SABORIO ROJAS JUAN CARLOS</cp:lastModifiedBy>
  <cp:revision>5</cp:revision>
  <dcterms:created xsi:type="dcterms:W3CDTF">2019-08-29T16:11:00Z</dcterms:created>
  <dcterms:modified xsi:type="dcterms:W3CDTF">2019-12-02T16:36:00Z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0x010100492FEE0E91A6F847B81CB8FFB0DCDEDD</vt:lpwstr>
  </property>
  <property fmtid="{D5CDD505-2E9C-101B-9397-08002B2CF9AE}" pid="3" name="_dlc_policyId">
    <vt:lpwstr>0x010100E97154E09FCE6A4E8EAEBD5C54DD1AE4|-1695030217</vt:lpwstr>
  </property>
  <property fmtid="{D5CDD505-2E9C-101B-9397-08002B2CF9AE}" pid="4"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5" name="Confidencialidad">
    <vt:lpwstr>130;#Confidencial|d19c5cf3-f0e9-4d18-86d2-7bee4000e1ea</vt:lpwstr>
  </property>
  <property fmtid="{D5CDD505-2E9C-101B-9397-08002B2CF9AE}" pid="6" name="Integridad">
    <vt:lpwstr>2;#Media|7c263feb-a1d7-4b26-9b28-09e7514882c1</vt:lpwstr>
  </property>
  <property fmtid="{D5CDD505-2E9C-101B-9397-08002B2CF9AE}" pid="7" name="Tipo Documental">
    <vt:lpwstr>126;#Oficio|417b7e3a-1426-4267-afb3-20be5f4d6412</vt:lpwstr>
  </property>
  <property fmtid="{D5CDD505-2E9C-101B-9397-08002B2CF9AE}" pid="8" name="Dirigido a (entidad externa)">
    <vt:lpwstr>292;#Aseguradoras|84cf61bd-265e-4fe1-82e5-e22fa019a8e8</vt:lpwstr>
  </property>
  <property fmtid="{D5CDD505-2E9C-101B-9397-08002B2CF9AE}" pid="9" name="Unidad de Destino">
    <vt:lpwstr/>
  </property>
  <property fmtid="{D5CDD505-2E9C-101B-9397-08002B2CF9AE}" pid="10" name="Disponibilidad">
    <vt:lpwstr>3;#Media|3f3debfe-f918-4d91-ad3c-df12ce43024d</vt:lpwstr>
  </property>
  <property fmtid="{D5CDD505-2E9C-101B-9397-08002B2CF9AE}" pid="11" name="Unidad Remitente">
    <vt:lpwstr>259;#SUGESE - Resoluciones|0d139dd2-3df2-4a97-bed0-e619428572cc</vt:lpwstr>
  </property>
  <property fmtid="{D5CDD505-2E9C-101B-9397-08002B2CF9AE}" pid="12" name="WorkflowChangePath">
    <vt:lpwstr>d42f408b-6dcf-4178-a56c-0c6ee096ab90,4;a97053c8-af3b-4208-be2b-79cdeaf83f5e,8;6953ea2b-9f63-4724-8a63-c00c20941f6a,9;</vt:lpwstr>
  </property>
  <property fmtid="{D5CDD505-2E9C-101B-9397-08002B2CF9AE}" pid="13" name="ecm_ItemDeleteBlockHolders">
    <vt:lpwstr>ecm_InPlaceRecordLock</vt:lpwstr>
  </property>
  <property fmtid="{D5CDD505-2E9C-101B-9397-08002B2CF9AE}" pid="14" name="_vti_ItemDeclaredRecord">
    <vt:filetime>2019-08-26T18:45:52Z</vt:filetime>
  </property>
  <property fmtid="{D5CDD505-2E9C-101B-9397-08002B2CF9AE}" pid="15" name="_vti_ItemHoldRecordStatus">
    <vt:i4>273</vt:i4>
  </property>
  <property fmtid="{D5CDD505-2E9C-101B-9397-08002B2CF9AE}" pid="16" name="IconOverlay">
    <vt:lpwstr>|docx|lockoverlay.png</vt:lpwstr>
  </property>
  <property fmtid="{D5CDD505-2E9C-101B-9397-08002B2CF9AE}" pid="17" name="ecm_RecordRestrictions">
    <vt:lpwstr>BlockDelete, BlockEdit</vt:lpwstr>
  </property>
  <property fmtid="{D5CDD505-2E9C-101B-9397-08002B2CF9AE}" pid="18" name="ecm_ItemLockHolders">
    <vt:lpwstr>ecm_InPlaceRecordLock</vt:lpwstr>
  </property>
  <property fmtid="{D5CDD505-2E9C-101B-9397-08002B2CF9AE}" pid="19" name="_MarkAsFinal">
    <vt:bool>true</vt:bool>
  </property>
</Properties>
</file>