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45D3" w14:textId="77777777" w:rsidR="00C966DF" w:rsidRPr="00C966DF" w:rsidRDefault="00C966DF" w:rsidP="00C966DF">
      <w:pPr>
        <w:contextualSpacing/>
        <w:jc w:val="center"/>
        <w:rPr>
          <w:rFonts w:ascii="Cambria" w:hAnsi="Cambria" w:cs="Arial"/>
          <w:b/>
        </w:rPr>
      </w:pPr>
      <w:r w:rsidRPr="00C966DF">
        <w:rPr>
          <w:rFonts w:ascii="Cambria" w:hAnsi="Cambria" w:cs="Arial"/>
          <w:b/>
        </w:rPr>
        <w:t xml:space="preserve">MATRIZ DE OBSERVACIONES </w:t>
      </w:r>
      <w:r w:rsidRPr="00C966DF">
        <w:rPr>
          <w:rStyle w:val="Refdenotaalpie"/>
          <w:rFonts w:ascii="Cambria" w:eastAsiaTheme="majorEastAsia" w:hAnsi="Cambria" w:cs="Arial"/>
          <w:b/>
        </w:rPr>
        <w:footnoteReference w:id="1"/>
      </w:r>
    </w:p>
    <w:p w14:paraId="15509D33" w14:textId="77777777" w:rsidR="00C966DF" w:rsidRPr="00C966DF" w:rsidRDefault="00C966DF" w:rsidP="00C966DF">
      <w:pPr>
        <w:contextualSpacing/>
        <w:jc w:val="center"/>
        <w:rPr>
          <w:rFonts w:ascii="Cambria" w:hAnsi="Cambria" w:cs="Arial"/>
          <w:b/>
        </w:rPr>
      </w:pPr>
      <w:r w:rsidRPr="00C966DF">
        <w:rPr>
          <w:rFonts w:ascii="Cambria" w:hAnsi="Cambria" w:cs="Arial"/>
          <w:b/>
        </w:rPr>
        <w:t>PROPUESTA DE ACUERDO DE SUPERINTENDENTE</w:t>
      </w:r>
    </w:p>
    <w:p w14:paraId="296A24AB" w14:textId="77777777" w:rsidR="0054318C" w:rsidRPr="00C966DF" w:rsidRDefault="0054318C" w:rsidP="0054318C">
      <w:pPr>
        <w:contextualSpacing/>
        <w:jc w:val="center"/>
        <w:rPr>
          <w:rFonts w:ascii="Cambria" w:hAnsi="Cambria"/>
          <w:b/>
          <w:bCs/>
          <w:sz w:val="20"/>
          <w:szCs w:val="20"/>
        </w:rPr>
      </w:pPr>
      <w:r w:rsidRPr="00C966DF">
        <w:rPr>
          <w:rFonts w:ascii="Cambria" w:hAnsi="Cambria"/>
          <w:b/>
          <w:bCs/>
          <w:sz w:val="20"/>
          <w:szCs w:val="20"/>
        </w:rPr>
        <w:t>MODIFICACIONES AL ACUERDO SGS-A-021-2013, PARA NORMAR LA REMISIÓN DE INFORMACIÓN CREDITICIA DE CONFORMIDAD CON EL REGLAMENTO SOBRE EL CÁLCULO DE ESTIMACIONES CREDITICIAS (CONASSIF 14-21)</w:t>
      </w:r>
    </w:p>
    <w:p w14:paraId="5CF10FCA" w14:textId="77777777" w:rsidR="00C966DF" w:rsidRPr="00C966DF" w:rsidRDefault="00C966DF" w:rsidP="00C966DF">
      <w:pPr>
        <w:contextualSpacing/>
        <w:rPr>
          <w:rFonts w:ascii="Cambria" w:hAnsi="Cambria" w:cs="Arial"/>
          <w:b/>
        </w:rPr>
      </w:pPr>
    </w:p>
    <w:p w14:paraId="26F7942C" w14:textId="77777777" w:rsidR="00C966DF" w:rsidRPr="00C966DF" w:rsidRDefault="00C966DF" w:rsidP="00C966DF">
      <w:pPr>
        <w:pStyle w:val="Prrafodelista"/>
        <w:numPr>
          <w:ilvl w:val="0"/>
          <w:numId w:val="3"/>
        </w:numPr>
        <w:ind w:left="567" w:hanging="567"/>
        <w:rPr>
          <w:rFonts w:ascii="Cambria" w:hAnsi="Cambria" w:cs="Arial"/>
          <w:b/>
          <w:szCs w:val="28"/>
        </w:rPr>
      </w:pPr>
      <w:r w:rsidRPr="00C966DF">
        <w:rPr>
          <w:rFonts w:ascii="Cambria" w:hAnsi="Cambria" w:cs="Arial"/>
          <w:b/>
          <w:szCs w:val="28"/>
        </w:rPr>
        <w:t xml:space="preserve">ENTIDADES QUE ATENDIERON LA CONSULTA </w:t>
      </w:r>
    </w:p>
    <w:tbl>
      <w:tblPr>
        <w:tblStyle w:val="Tablaconcuadrcula"/>
        <w:tblW w:w="5000" w:type="pct"/>
        <w:jc w:val="center"/>
        <w:tblLook w:val="04A0" w:firstRow="1" w:lastRow="0" w:firstColumn="1" w:lastColumn="0" w:noHBand="0" w:noVBand="1"/>
      </w:tblPr>
      <w:tblGrid>
        <w:gridCol w:w="2719"/>
        <w:gridCol w:w="2157"/>
        <w:gridCol w:w="1929"/>
        <w:gridCol w:w="1557"/>
        <w:gridCol w:w="1944"/>
        <w:gridCol w:w="2690"/>
      </w:tblGrid>
      <w:tr w:rsidR="00C966DF" w:rsidRPr="00C966DF" w14:paraId="43FD6147" w14:textId="77777777" w:rsidTr="00C966DF">
        <w:trPr>
          <w:trHeight w:val="20"/>
          <w:tblHeader/>
          <w:jc w:val="center"/>
        </w:trPr>
        <w:tc>
          <w:tcPr>
            <w:tcW w:w="1046" w:type="pct"/>
            <w:shd w:val="clear" w:color="auto" w:fill="4472C4" w:themeFill="accent1"/>
          </w:tcPr>
          <w:p w14:paraId="02FC2305" w14:textId="77777777" w:rsidR="00C966DF" w:rsidRPr="00C966DF" w:rsidRDefault="00C966DF" w:rsidP="008D7F6A">
            <w:pPr>
              <w:pStyle w:val="Prrafodelista"/>
              <w:ind w:left="0"/>
              <w:jc w:val="center"/>
              <w:rPr>
                <w:rFonts w:ascii="Cambria" w:hAnsi="Cambria" w:cs="Arial"/>
                <w:b/>
                <w:color w:val="FFFFFF" w:themeColor="background1"/>
                <w:sz w:val="20"/>
                <w:szCs w:val="20"/>
              </w:rPr>
            </w:pPr>
            <w:r w:rsidRPr="00C966DF">
              <w:rPr>
                <w:rFonts w:ascii="Cambria" w:hAnsi="Cambria" w:cs="Arial"/>
                <w:b/>
                <w:color w:val="FFFFFF" w:themeColor="background1"/>
                <w:sz w:val="20"/>
                <w:szCs w:val="20"/>
              </w:rPr>
              <w:t>ENTIDAD</w:t>
            </w:r>
          </w:p>
        </w:tc>
        <w:tc>
          <w:tcPr>
            <w:tcW w:w="830" w:type="pct"/>
            <w:shd w:val="clear" w:color="auto" w:fill="4472C4" w:themeFill="accent1"/>
          </w:tcPr>
          <w:p w14:paraId="1DD831CA" w14:textId="77777777" w:rsidR="00C966DF" w:rsidRPr="00C966DF" w:rsidRDefault="00C966DF" w:rsidP="008D7F6A">
            <w:pPr>
              <w:pStyle w:val="Prrafodelista"/>
              <w:ind w:left="0"/>
              <w:jc w:val="center"/>
              <w:rPr>
                <w:rFonts w:ascii="Cambria" w:hAnsi="Cambria" w:cs="Arial"/>
                <w:b/>
                <w:color w:val="FFFFFF" w:themeColor="background1"/>
                <w:sz w:val="20"/>
                <w:szCs w:val="20"/>
              </w:rPr>
            </w:pPr>
            <w:r w:rsidRPr="00C966DF">
              <w:rPr>
                <w:rFonts w:ascii="Cambria" w:hAnsi="Cambria" w:cs="Arial"/>
                <w:b/>
                <w:color w:val="FFFFFF" w:themeColor="background1"/>
                <w:sz w:val="20"/>
                <w:szCs w:val="20"/>
              </w:rPr>
              <w:t>REMITENTE</w:t>
            </w:r>
          </w:p>
        </w:tc>
        <w:tc>
          <w:tcPr>
            <w:tcW w:w="742" w:type="pct"/>
            <w:shd w:val="clear" w:color="auto" w:fill="4472C4" w:themeFill="accent1"/>
          </w:tcPr>
          <w:p w14:paraId="09FAC3FE" w14:textId="77777777" w:rsidR="00C966DF" w:rsidRPr="00C966DF" w:rsidRDefault="00C966DF" w:rsidP="008D7F6A">
            <w:pPr>
              <w:pStyle w:val="Prrafodelista"/>
              <w:ind w:left="0"/>
              <w:jc w:val="center"/>
              <w:rPr>
                <w:rFonts w:ascii="Cambria" w:hAnsi="Cambria" w:cs="Arial"/>
                <w:b/>
                <w:color w:val="FFFFFF" w:themeColor="background1"/>
                <w:sz w:val="20"/>
                <w:szCs w:val="20"/>
              </w:rPr>
            </w:pPr>
            <w:r w:rsidRPr="00C966DF">
              <w:rPr>
                <w:rFonts w:ascii="Cambria" w:hAnsi="Cambria" w:cs="Arial"/>
                <w:b/>
                <w:color w:val="FFFFFF" w:themeColor="background1"/>
                <w:sz w:val="20"/>
                <w:szCs w:val="20"/>
              </w:rPr>
              <w:t>REFERENCIA DEL OFICIO</w:t>
            </w:r>
          </w:p>
        </w:tc>
        <w:tc>
          <w:tcPr>
            <w:tcW w:w="599" w:type="pct"/>
            <w:shd w:val="clear" w:color="auto" w:fill="4472C4" w:themeFill="accent1"/>
          </w:tcPr>
          <w:p w14:paraId="743D94D4" w14:textId="77777777" w:rsidR="00C966DF" w:rsidRPr="00C966DF" w:rsidRDefault="00C966DF" w:rsidP="008D7F6A">
            <w:pPr>
              <w:pStyle w:val="Prrafodelista"/>
              <w:ind w:left="0"/>
              <w:jc w:val="center"/>
              <w:rPr>
                <w:rFonts w:ascii="Cambria" w:hAnsi="Cambria" w:cs="Arial"/>
                <w:b/>
                <w:color w:val="FFFFFF" w:themeColor="background1"/>
                <w:sz w:val="20"/>
                <w:szCs w:val="20"/>
              </w:rPr>
            </w:pPr>
            <w:r w:rsidRPr="00C966DF">
              <w:rPr>
                <w:rFonts w:ascii="Cambria" w:hAnsi="Cambria" w:cs="Arial"/>
                <w:b/>
                <w:color w:val="FFFFFF" w:themeColor="background1"/>
                <w:sz w:val="20"/>
                <w:szCs w:val="20"/>
              </w:rPr>
              <w:t>FECHA DEL OFICIO</w:t>
            </w:r>
          </w:p>
        </w:tc>
        <w:tc>
          <w:tcPr>
            <w:tcW w:w="748" w:type="pct"/>
            <w:shd w:val="clear" w:color="auto" w:fill="4472C4" w:themeFill="accent1"/>
          </w:tcPr>
          <w:p w14:paraId="798373A3" w14:textId="77777777" w:rsidR="00C966DF" w:rsidRPr="00C966DF" w:rsidRDefault="00C966DF" w:rsidP="008D7F6A">
            <w:pPr>
              <w:pStyle w:val="Prrafodelista"/>
              <w:ind w:left="0"/>
              <w:jc w:val="center"/>
              <w:rPr>
                <w:rFonts w:ascii="Cambria" w:hAnsi="Cambria" w:cs="Arial"/>
                <w:b/>
                <w:color w:val="FFFFFF" w:themeColor="background1"/>
                <w:sz w:val="20"/>
                <w:szCs w:val="20"/>
              </w:rPr>
            </w:pPr>
            <w:r w:rsidRPr="00C966DF">
              <w:rPr>
                <w:rFonts w:ascii="Cambria" w:hAnsi="Cambria" w:cs="Arial"/>
                <w:b/>
                <w:color w:val="FFFFFF" w:themeColor="background1"/>
                <w:sz w:val="20"/>
                <w:szCs w:val="20"/>
              </w:rPr>
              <w:t>REFERENCIA DEL INGRESO A SUGESE</w:t>
            </w:r>
          </w:p>
        </w:tc>
        <w:tc>
          <w:tcPr>
            <w:tcW w:w="1035" w:type="pct"/>
            <w:shd w:val="clear" w:color="auto" w:fill="4472C4" w:themeFill="accent1"/>
          </w:tcPr>
          <w:p w14:paraId="42F82056" w14:textId="77777777" w:rsidR="00C966DF" w:rsidRPr="00C966DF" w:rsidRDefault="00C966DF" w:rsidP="008D7F6A">
            <w:pPr>
              <w:pStyle w:val="Prrafodelista"/>
              <w:ind w:left="0"/>
              <w:jc w:val="center"/>
              <w:rPr>
                <w:rFonts w:ascii="Cambria" w:hAnsi="Cambria" w:cs="Arial"/>
                <w:b/>
                <w:color w:val="FFFFFF" w:themeColor="background1"/>
                <w:sz w:val="20"/>
                <w:szCs w:val="20"/>
              </w:rPr>
            </w:pPr>
            <w:r w:rsidRPr="00C966DF">
              <w:rPr>
                <w:rFonts w:ascii="Cambria" w:hAnsi="Cambria" w:cs="Arial"/>
                <w:b/>
                <w:color w:val="FFFFFF" w:themeColor="background1"/>
                <w:sz w:val="20"/>
                <w:szCs w:val="20"/>
              </w:rPr>
              <w:t>COMENTARIOS</w:t>
            </w:r>
          </w:p>
        </w:tc>
      </w:tr>
      <w:tr w:rsidR="00C966DF" w:rsidRPr="00C966DF" w14:paraId="70601ED2" w14:textId="77777777" w:rsidTr="00C966DF">
        <w:trPr>
          <w:trHeight w:val="20"/>
          <w:tblHeader/>
          <w:jc w:val="center"/>
        </w:trPr>
        <w:tc>
          <w:tcPr>
            <w:tcW w:w="1046" w:type="pct"/>
          </w:tcPr>
          <w:p w14:paraId="6A89B90E" w14:textId="50A53360" w:rsidR="00C966DF" w:rsidRPr="00C966DF" w:rsidRDefault="00F74408" w:rsidP="008D7F6A">
            <w:pPr>
              <w:widowControl w:val="0"/>
              <w:jc w:val="both"/>
              <w:rPr>
                <w:rFonts w:ascii="Cambria" w:hAnsi="Cambria" w:cs="Arial"/>
                <w:spacing w:val="20"/>
                <w:sz w:val="20"/>
                <w:szCs w:val="20"/>
              </w:rPr>
            </w:pPr>
            <w:r>
              <w:rPr>
                <w:rFonts w:ascii="Cambria" w:hAnsi="Cambria" w:cs="Arial"/>
                <w:spacing w:val="20"/>
                <w:sz w:val="20"/>
                <w:szCs w:val="20"/>
              </w:rPr>
              <w:t>INSTITUTO NACIONAL DE SEGUROS</w:t>
            </w:r>
          </w:p>
        </w:tc>
        <w:tc>
          <w:tcPr>
            <w:tcW w:w="830" w:type="pct"/>
          </w:tcPr>
          <w:p w14:paraId="75FFC823" w14:textId="77777777" w:rsidR="00F74408" w:rsidRPr="00F74408" w:rsidRDefault="00F74408" w:rsidP="00F74408">
            <w:pPr>
              <w:jc w:val="both"/>
              <w:rPr>
                <w:rFonts w:ascii="Cambria" w:eastAsia="Calibri" w:hAnsi="Cambria" w:cs="Arial"/>
                <w:spacing w:val="20"/>
                <w:sz w:val="20"/>
                <w:szCs w:val="20"/>
              </w:rPr>
            </w:pPr>
            <w:r w:rsidRPr="00F74408">
              <w:rPr>
                <w:rFonts w:ascii="Cambria" w:eastAsia="Calibri" w:hAnsi="Cambria" w:cs="Arial"/>
                <w:spacing w:val="20"/>
                <w:sz w:val="20"/>
                <w:szCs w:val="20"/>
              </w:rPr>
              <w:t>Lic. Luis Fernando Monge Salas</w:t>
            </w:r>
          </w:p>
          <w:p w14:paraId="408D4D3D" w14:textId="70ADE963" w:rsidR="00C966DF" w:rsidRPr="00C966DF" w:rsidRDefault="00F74408" w:rsidP="00F74408">
            <w:pPr>
              <w:jc w:val="both"/>
              <w:rPr>
                <w:rFonts w:ascii="Cambria" w:eastAsia="Calibri" w:hAnsi="Cambria" w:cs="Arial"/>
                <w:spacing w:val="20"/>
                <w:sz w:val="20"/>
                <w:szCs w:val="20"/>
              </w:rPr>
            </w:pPr>
            <w:r w:rsidRPr="00F74408">
              <w:rPr>
                <w:rFonts w:ascii="Cambria" w:eastAsia="Calibri" w:hAnsi="Cambria" w:cs="Arial"/>
                <w:spacing w:val="20"/>
                <w:sz w:val="20"/>
                <w:szCs w:val="20"/>
              </w:rPr>
              <w:t>Gerente General</w:t>
            </w:r>
          </w:p>
        </w:tc>
        <w:tc>
          <w:tcPr>
            <w:tcW w:w="742" w:type="pct"/>
          </w:tcPr>
          <w:p w14:paraId="07D9005E" w14:textId="6200A5B3" w:rsidR="00C966DF" w:rsidRPr="00C966DF" w:rsidRDefault="00F74408" w:rsidP="008D7F6A">
            <w:pPr>
              <w:rPr>
                <w:rFonts w:ascii="Cambria" w:hAnsi="Cambria"/>
                <w:sz w:val="20"/>
                <w:szCs w:val="20"/>
              </w:rPr>
            </w:pPr>
            <w:r w:rsidRPr="00F74408">
              <w:rPr>
                <w:rFonts w:ascii="Cambria" w:hAnsi="Cambria"/>
                <w:sz w:val="20"/>
                <w:szCs w:val="20"/>
              </w:rPr>
              <w:t>G-01784-2023</w:t>
            </w:r>
          </w:p>
        </w:tc>
        <w:tc>
          <w:tcPr>
            <w:tcW w:w="599" w:type="pct"/>
          </w:tcPr>
          <w:p w14:paraId="2AEFDC82" w14:textId="1B645082" w:rsidR="00F74408" w:rsidRPr="00C966DF" w:rsidRDefault="00F74408" w:rsidP="008D7F6A">
            <w:pPr>
              <w:pStyle w:val="Prrafodelista"/>
              <w:ind w:left="0"/>
              <w:rPr>
                <w:rFonts w:ascii="Cambria" w:hAnsi="Cambria" w:cs="Arial"/>
                <w:spacing w:val="20"/>
                <w:sz w:val="20"/>
                <w:szCs w:val="20"/>
              </w:rPr>
            </w:pPr>
            <w:r>
              <w:rPr>
                <w:rFonts w:ascii="Cambria" w:hAnsi="Cambria" w:cs="Arial"/>
                <w:spacing w:val="20"/>
                <w:sz w:val="20"/>
                <w:szCs w:val="20"/>
              </w:rPr>
              <w:t>03/05/2023</w:t>
            </w:r>
          </w:p>
        </w:tc>
        <w:tc>
          <w:tcPr>
            <w:tcW w:w="748" w:type="pct"/>
          </w:tcPr>
          <w:p w14:paraId="4EEB3035" w14:textId="156883E3" w:rsidR="00C966DF" w:rsidRPr="00C966DF" w:rsidRDefault="00CF1692" w:rsidP="008D7F6A">
            <w:pPr>
              <w:rPr>
                <w:rFonts w:ascii="Cambria" w:hAnsi="Cambria"/>
                <w:sz w:val="20"/>
                <w:szCs w:val="20"/>
              </w:rPr>
            </w:pPr>
            <w:hyperlink r:id="rId11" w:tgtFrame="_blank" w:history="1">
              <w:r w:rsidR="00F74408" w:rsidRPr="00F74408">
                <w:rPr>
                  <w:rStyle w:val="Hipervnculo"/>
                  <w:rFonts w:ascii="Arial" w:hAnsi="Arial" w:cs="Arial"/>
                  <w:b/>
                  <w:bCs/>
                  <w:sz w:val="14"/>
                  <w:szCs w:val="14"/>
                </w:rPr>
                <w:t>SGS-ENT-0933-2023.msg</w:t>
              </w:r>
            </w:hyperlink>
          </w:p>
        </w:tc>
        <w:tc>
          <w:tcPr>
            <w:tcW w:w="1035" w:type="pct"/>
          </w:tcPr>
          <w:p w14:paraId="2FA537F2" w14:textId="62470F3E" w:rsidR="00C966DF" w:rsidRPr="00C966DF" w:rsidRDefault="00F74408" w:rsidP="008D7F6A">
            <w:pPr>
              <w:pStyle w:val="Prrafodelista"/>
              <w:ind w:left="0"/>
              <w:jc w:val="both"/>
              <w:rPr>
                <w:rFonts w:ascii="Cambria" w:hAnsi="Cambria" w:cs="Arial"/>
                <w:spacing w:val="20"/>
                <w:sz w:val="20"/>
                <w:szCs w:val="20"/>
              </w:rPr>
            </w:pPr>
            <w:r>
              <w:rPr>
                <w:rFonts w:ascii="Cambria" w:hAnsi="Cambria" w:cs="Arial"/>
                <w:spacing w:val="20"/>
                <w:sz w:val="20"/>
                <w:szCs w:val="20"/>
              </w:rPr>
              <w:t>No hay comentarios generales.</w:t>
            </w:r>
          </w:p>
        </w:tc>
      </w:tr>
      <w:tr w:rsidR="00C966DF" w:rsidRPr="00C966DF" w14:paraId="16E3444F" w14:textId="77777777" w:rsidTr="00C966DF">
        <w:trPr>
          <w:trHeight w:val="20"/>
          <w:tblHeader/>
          <w:jc w:val="center"/>
        </w:trPr>
        <w:tc>
          <w:tcPr>
            <w:tcW w:w="1046" w:type="pct"/>
          </w:tcPr>
          <w:p w14:paraId="5AC1AD5A" w14:textId="3C84D21A" w:rsidR="00C966DF" w:rsidRPr="00C966DF" w:rsidRDefault="00C966DF" w:rsidP="008D7F6A">
            <w:pPr>
              <w:widowControl w:val="0"/>
              <w:jc w:val="both"/>
              <w:rPr>
                <w:rFonts w:ascii="Cambria" w:hAnsi="Cambria" w:cs="Arial"/>
                <w:spacing w:val="20"/>
                <w:sz w:val="20"/>
                <w:szCs w:val="20"/>
              </w:rPr>
            </w:pPr>
          </w:p>
        </w:tc>
        <w:tc>
          <w:tcPr>
            <w:tcW w:w="830" w:type="pct"/>
          </w:tcPr>
          <w:p w14:paraId="53242F29" w14:textId="0C127E52" w:rsidR="00C966DF" w:rsidRPr="00C966DF" w:rsidRDefault="00C966DF" w:rsidP="008D7F6A">
            <w:pPr>
              <w:jc w:val="both"/>
              <w:rPr>
                <w:rFonts w:ascii="Cambria" w:eastAsia="Calibri" w:hAnsi="Cambria" w:cs="Arial"/>
                <w:spacing w:val="20"/>
                <w:sz w:val="20"/>
                <w:szCs w:val="20"/>
              </w:rPr>
            </w:pPr>
          </w:p>
        </w:tc>
        <w:tc>
          <w:tcPr>
            <w:tcW w:w="742" w:type="pct"/>
          </w:tcPr>
          <w:p w14:paraId="2E320D17" w14:textId="51E9A958" w:rsidR="00C966DF" w:rsidRPr="00C966DF" w:rsidRDefault="00C966DF" w:rsidP="008D7F6A">
            <w:pPr>
              <w:pStyle w:val="Prrafodelista"/>
              <w:ind w:left="0"/>
              <w:rPr>
                <w:rFonts w:ascii="Cambria" w:hAnsi="Cambria"/>
              </w:rPr>
            </w:pPr>
          </w:p>
        </w:tc>
        <w:tc>
          <w:tcPr>
            <w:tcW w:w="599" w:type="pct"/>
          </w:tcPr>
          <w:p w14:paraId="512CF2FC" w14:textId="3B9B5A72" w:rsidR="00C966DF" w:rsidRPr="00C966DF" w:rsidRDefault="00C966DF" w:rsidP="008D7F6A">
            <w:pPr>
              <w:pStyle w:val="Prrafodelista"/>
              <w:ind w:left="0"/>
              <w:rPr>
                <w:rFonts w:ascii="Cambria" w:hAnsi="Cambria" w:cs="Arial"/>
                <w:spacing w:val="20"/>
                <w:sz w:val="20"/>
                <w:szCs w:val="20"/>
              </w:rPr>
            </w:pPr>
          </w:p>
        </w:tc>
        <w:tc>
          <w:tcPr>
            <w:tcW w:w="748" w:type="pct"/>
          </w:tcPr>
          <w:p w14:paraId="4472A043" w14:textId="452F1DE9" w:rsidR="00C966DF" w:rsidRPr="00C966DF" w:rsidRDefault="00C966DF" w:rsidP="008D7F6A">
            <w:pPr>
              <w:pStyle w:val="Prrafodelista"/>
              <w:ind w:left="0"/>
              <w:rPr>
                <w:rFonts w:ascii="Cambria" w:hAnsi="Cambria" w:cs="Arial"/>
                <w:bCs/>
                <w:spacing w:val="20"/>
                <w:sz w:val="20"/>
                <w:szCs w:val="20"/>
              </w:rPr>
            </w:pPr>
          </w:p>
        </w:tc>
        <w:tc>
          <w:tcPr>
            <w:tcW w:w="1035" w:type="pct"/>
          </w:tcPr>
          <w:p w14:paraId="7C7B07B2" w14:textId="4D94167A" w:rsidR="00C966DF" w:rsidRPr="00C966DF" w:rsidRDefault="00C966DF" w:rsidP="008D7F6A">
            <w:pPr>
              <w:pStyle w:val="Prrafodelista"/>
              <w:ind w:left="0"/>
              <w:jc w:val="both"/>
              <w:rPr>
                <w:rFonts w:ascii="Cambria" w:hAnsi="Cambria" w:cs="Arial"/>
                <w:spacing w:val="20"/>
                <w:sz w:val="20"/>
                <w:szCs w:val="20"/>
              </w:rPr>
            </w:pPr>
          </w:p>
        </w:tc>
      </w:tr>
    </w:tbl>
    <w:p w14:paraId="27C03BEE" w14:textId="77777777" w:rsidR="00C966DF" w:rsidRPr="00C966DF" w:rsidRDefault="00C966DF" w:rsidP="00C966DF">
      <w:pPr>
        <w:contextualSpacing/>
        <w:rPr>
          <w:rFonts w:ascii="Cambria" w:hAnsi="Cambria"/>
          <w:b/>
        </w:rPr>
      </w:pPr>
    </w:p>
    <w:p w14:paraId="14C7D9E7" w14:textId="77777777" w:rsidR="00C966DF" w:rsidRPr="00C966DF" w:rsidRDefault="00C966DF" w:rsidP="00C966DF">
      <w:pPr>
        <w:contextualSpacing/>
        <w:rPr>
          <w:rFonts w:ascii="Cambria" w:hAnsi="Cambria"/>
          <w:b/>
        </w:rPr>
      </w:pPr>
    </w:p>
    <w:p w14:paraId="51FF2E7C" w14:textId="77777777" w:rsidR="00C966DF" w:rsidRPr="00C966DF" w:rsidRDefault="00C966DF" w:rsidP="00C966DF">
      <w:pPr>
        <w:contextualSpacing/>
        <w:rPr>
          <w:rFonts w:ascii="Cambria" w:hAnsi="Cambria"/>
          <w:b/>
        </w:rPr>
      </w:pPr>
    </w:p>
    <w:p w14:paraId="45A73465" w14:textId="77777777" w:rsidR="00C966DF" w:rsidRPr="00C966DF" w:rsidRDefault="00C966DF" w:rsidP="00C966DF">
      <w:pPr>
        <w:contextualSpacing/>
        <w:rPr>
          <w:rFonts w:ascii="Cambria" w:hAnsi="Cambria"/>
          <w:b/>
        </w:rPr>
      </w:pPr>
    </w:p>
    <w:p w14:paraId="3A91EF5E" w14:textId="77777777" w:rsidR="00C966DF" w:rsidRPr="00C966DF" w:rsidRDefault="00C966DF" w:rsidP="00C966DF">
      <w:pPr>
        <w:pStyle w:val="Prrafodelista"/>
        <w:numPr>
          <w:ilvl w:val="0"/>
          <w:numId w:val="4"/>
        </w:numPr>
        <w:ind w:left="567" w:hanging="567"/>
        <w:rPr>
          <w:rFonts w:ascii="Cambria" w:hAnsi="Cambria"/>
          <w:b/>
          <w:szCs w:val="28"/>
        </w:rPr>
      </w:pPr>
      <w:r w:rsidRPr="00C966DF">
        <w:rPr>
          <w:rFonts w:ascii="Cambria" w:hAnsi="Cambria"/>
          <w:b/>
          <w:szCs w:val="28"/>
        </w:rPr>
        <w:t>OBSERVACIONES ESPECÍFICAS-PROYECTO DE ACUERDO DE SUPERINTENDENTE</w:t>
      </w:r>
    </w:p>
    <w:p w14:paraId="31B98131" w14:textId="5C8A0EF6" w:rsidR="00143030" w:rsidRDefault="00143030" w:rsidP="00143030">
      <w:pPr>
        <w:rPr>
          <w:rFonts w:ascii="Cambria" w:hAnsi="Cambria" w:cstheme="minorBidi"/>
          <w:lang w:val="es-ES" w:eastAsia="en-US"/>
        </w:rPr>
      </w:pPr>
    </w:p>
    <w:p w14:paraId="376CCC88" w14:textId="63EF5D16" w:rsidR="00C966DF" w:rsidRDefault="00C966DF" w:rsidP="00143030">
      <w:pPr>
        <w:rPr>
          <w:rFonts w:ascii="Cambria" w:hAnsi="Cambria" w:cstheme="minorBidi"/>
          <w:lang w:val="es-ES" w:eastAsia="en-US"/>
        </w:rPr>
      </w:pPr>
    </w:p>
    <w:tbl>
      <w:tblPr>
        <w:tblStyle w:val="Tablaconcuadrcula"/>
        <w:tblW w:w="5351" w:type="pct"/>
        <w:tblInd w:w="-856" w:type="dxa"/>
        <w:tblLayout w:type="fixed"/>
        <w:tblLook w:val="04A0" w:firstRow="1" w:lastRow="0" w:firstColumn="1" w:lastColumn="0" w:noHBand="0" w:noVBand="1"/>
      </w:tblPr>
      <w:tblGrid>
        <w:gridCol w:w="3477"/>
        <w:gridCol w:w="3477"/>
        <w:gridCol w:w="3477"/>
        <w:gridCol w:w="3477"/>
      </w:tblGrid>
      <w:tr w:rsidR="0054318C" w:rsidRPr="008856E4" w14:paraId="5EB603B0" w14:textId="77777777" w:rsidTr="00901876">
        <w:trPr>
          <w:tblHeader/>
        </w:trPr>
        <w:tc>
          <w:tcPr>
            <w:tcW w:w="1250" w:type="pct"/>
            <w:shd w:val="clear" w:color="auto" w:fill="4472C4" w:themeFill="accent1"/>
          </w:tcPr>
          <w:p w14:paraId="6C9ED3CF" w14:textId="77777777" w:rsidR="00C966DF" w:rsidRPr="008856E4" w:rsidRDefault="00C966DF" w:rsidP="0054318C">
            <w:pPr>
              <w:contextualSpacing/>
              <w:jc w:val="center"/>
              <w:rPr>
                <w:rFonts w:ascii="Arial Narrow" w:hAnsi="Arial Narrow" w:cstheme="minorHAnsi"/>
                <w:b/>
                <w:color w:val="FFFFFF" w:themeColor="background1"/>
                <w:sz w:val="20"/>
                <w:szCs w:val="20"/>
              </w:rPr>
            </w:pPr>
            <w:r w:rsidRPr="008856E4">
              <w:rPr>
                <w:rFonts w:ascii="Arial Narrow" w:hAnsi="Arial Narrow" w:cstheme="minorHAnsi"/>
                <w:b/>
                <w:color w:val="FFFFFF" w:themeColor="background1"/>
                <w:sz w:val="20"/>
                <w:szCs w:val="20"/>
              </w:rPr>
              <w:t>TEXTO PROPUESTO</w:t>
            </w:r>
          </w:p>
        </w:tc>
        <w:tc>
          <w:tcPr>
            <w:tcW w:w="1250" w:type="pct"/>
            <w:shd w:val="clear" w:color="auto" w:fill="4472C4" w:themeFill="accent1"/>
          </w:tcPr>
          <w:p w14:paraId="243097B9" w14:textId="77777777" w:rsidR="00C966DF" w:rsidRPr="008856E4" w:rsidRDefault="00C966DF" w:rsidP="008D7F6A">
            <w:pPr>
              <w:contextualSpacing/>
              <w:jc w:val="center"/>
              <w:rPr>
                <w:rFonts w:ascii="Arial Narrow" w:hAnsi="Arial Narrow" w:cstheme="minorHAnsi"/>
                <w:b/>
                <w:color w:val="FFFFFF" w:themeColor="background1"/>
                <w:sz w:val="20"/>
                <w:szCs w:val="20"/>
              </w:rPr>
            </w:pPr>
            <w:r w:rsidRPr="008856E4">
              <w:rPr>
                <w:rFonts w:ascii="Arial Narrow" w:hAnsi="Arial Narrow" w:cstheme="minorHAnsi"/>
                <w:b/>
                <w:color w:val="FFFFFF" w:themeColor="background1"/>
                <w:sz w:val="20"/>
                <w:szCs w:val="20"/>
              </w:rPr>
              <w:t>OBSERVACIONES Y COMENTARIOS</w:t>
            </w:r>
          </w:p>
        </w:tc>
        <w:tc>
          <w:tcPr>
            <w:tcW w:w="1250" w:type="pct"/>
            <w:shd w:val="clear" w:color="auto" w:fill="4472C4" w:themeFill="accent1"/>
          </w:tcPr>
          <w:p w14:paraId="773960DB" w14:textId="77777777" w:rsidR="00C966DF" w:rsidRPr="008856E4" w:rsidRDefault="00C966DF" w:rsidP="008D7F6A">
            <w:pPr>
              <w:contextualSpacing/>
              <w:jc w:val="center"/>
              <w:rPr>
                <w:rFonts w:ascii="Arial Narrow" w:hAnsi="Arial Narrow" w:cstheme="minorHAnsi"/>
                <w:b/>
                <w:color w:val="FFFFFF" w:themeColor="background1"/>
                <w:sz w:val="20"/>
                <w:szCs w:val="20"/>
              </w:rPr>
            </w:pPr>
            <w:r w:rsidRPr="008856E4">
              <w:rPr>
                <w:rFonts w:ascii="Arial Narrow" w:hAnsi="Arial Narrow" w:cstheme="minorHAnsi"/>
                <w:b/>
                <w:color w:val="FFFFFF" w:themeColor="background1"/>
                <w:sz w:val="20"/>
                <w:szCs w:val="20"/>
              </w:rPr>
              <w:t>COMENTARIO SUGESE</w:t>
            </w:r>
          </w:p>
        </w:tc>
        <w:tc>
          <w:tcPr>
            <w:tcW w:w="1250" w:type="pct"/>
            <w:shd w:val="clear" w:color="auto" w:fill="4472C4" w:themeFill="accent1"/>
          </w:tcPr>
          <w:p w14:paraId="6F45AACA" w14:textId="77777777" w:rsidR="00C966DF" w:rsidRPr="008856E4" w:rsidRDefault="00C966DF" w:rsidP="008D7F6A">
            <w:pPr>
              <w:contextualSpacing/>
              <w:jc w:val="center"/>
              <w:rPr>
                <w:rFonts w:ascii="Arial Narrow" w:hAnsi="Arial Narrow" w:cstheme="minorHAnsi"/>
                <w:b/>
                <w:color w:val="FFFFFF" w:themeColor="background1"/>
                <w:sz w:val="20"/>
                <w:szCs w:val="20"/>
              </w:rPr>
            </w:pPr>
            <w:r w:rsidRPr="008856E4">
              <w:rPr>
                <w:rFonts w:ascii="Arial Narrow" w:hAnsi="Arial Narrow" w:cstheme="minorHAnsi"/>
                <w:b/>
                <w:color w:val="FFFFFF" w:themeColor="background1"/>
                <w:sz w:val="20"/>
                <w:szCs w:val="20"/>
              </w:rPr>
              <w:t>TEXTO DEFINITIVO</w:t>
            </w:r>
          </w:p>
        </w:tc>
      </w:tr>
      <w:tr w:rsidR="0054318C" w:rsidRPr="008856E4" w14:paraId="3B2A75FF" w14:textId="77777777" w:rsidTr="00901876">
        <w:tc>
          <w:tcPr>
            <w:tcW w:w="1250" w:type="pct"/>
            <w:shd w:val="clear" w:color="auto" w:fill="FFFFFF" w:themeFill="background1"/>
          </w:tcPr>
          <w:p w14:paraId="557FDB3F" w14:textId="77777777" w:rsidR="0054318C" w:rsidRPr="00C966DF" w:rsidRDefault="0054318C" w:rsidP="0054318C">
            <w:pPr>
              <w:jc w:val="center"/>
              <w:rPr>
                <w:rFonts w:ascii="Cambria" w:hAnsi="Cambria"/>
                <w:b/>
                <w:bCs/>
                <w:color w:val="000000"/>
                <w:sz w:val="20"/>
                <w:szCs w:val="20"/>
              </w:rPr>
            </w:pPr>
            <w:r w:rsidRPr="00C966DF">
              <w:rPr>
                <w:rFonts w:ascii="Cambria" w:hAnsi="Cambria"/>
                <w:b/>
                <w:bCs/>
                <w:color w:val="000000"/>
                <w:sz w:val="20"/>
                <w:szCs w:val="20"/>
              </w:rPr>
              <w:t>PROYECTO DE ACUERDO DE SUPERINTENDENTE</w:t>
            </w:r>
          </w:p>
          <w:p w14:paraId="250AD2FC" w14:textId="77777777" w:rsidR="0054318C" w:rsidRPr="00C966DF" w:rsidRDefault="0054318C" w:rsidP="0054318C">
            <w:pPr>
              <w:contextualSpacing/>
              <w:jc w:val="center"/>
              <w:rPr>
                <w:rFonts w:ascii="Cambria" w:hAnsi="Cambria"/>
                <w:b/>
                <w:bCs/>
                <w:sz w:val="20"/>
                <w:szCs w:val="20"/>
              </w:rPr>
            </w:pPr>
            <w:r w:rsidRPr="00C966DF">
              <w:rPr>
                <w:rFonts w:ascii="Cambria" w:hAnsi="Cambria"/>
                <w:b/>
                <w:bCs/>
                <w:sz w:val="20"/>
                <w:szCs w:val="20"/>
              </w:rPr>
              <w:t>MODIFICACIONES AL ACUERDO SGS-A-021-2013, PARA NORMAR LA REMISIÓN DE INFORMACIÓN CREDITICIA DE CONFORMIDAD CON EL REGLAMENTO SOBRE EL CÁLCULO DE ESTIMACIONES CREDITICIAS (CONASSIF 14-21)</w:t>
            </w:r>
          </w:p>
          <w:p w14:paraId="2B4CD1E2" w14:textId="77777777" w:rsidR="0054318C" w:rsidRPr="00C966DF" w:rsidRDefault="0054318C" w:rsidP="0054318C">
            <w:pPr>
              <w:contextualSpacing/>
              <w:jc w:val="both"/>
              <w:rPr>
                <w:rFonts w:ascii="Cambria" w:hAnsi="Cambria"/>
                <w:sz w:val="20"/>
                <w:szCs w:val="20"/>
              </w:rPr>
            </w:pPr>
          </w:p>
          <w:p w14:paraId="3D1C97C1" w14:textId="77777777" w:rsidR="0054318C" w:rsidRPr="00C966DF" w:rsidRDefault="0054318C" w:rsidP="0054318C">
            <w:pPr>
              <w:contextualSpacing/>
              <w:jc w:val="both"/>
              <w:rPr>
                <w:rFonts w:ascii="Cambria" w:hAnsi="Cambria"/>
                <w:sz w:val="20"/>
                <w:szCs w:val="20"/>
              </w:rPr>
            </w:pPr>
            <w:r w:rsidRPr="00C966DF">
              <w:rPr>
                <w:rFonts w:ascii="Cambria" w:hAnsi="Cambria"/>
                <w:sz w:val="20"/>
                <w:szCs w:val="20"/>
              </w:rPr>
              <w:lastRenderedPageBreak/>
              <w:t>El Superintendente General de Seguros, a las XX horas del XX de XXXX de dos mil veintitrés,</w:t>
            </w:r>
          </w:p>
          <w:p w14:paraId="7110B0E0" w14:textId="6E579665" w:rsidR="0054318C" w:rsidRPr="00746F97" w:rsidRDefault="0054318C" w:rsidP="0054318C">
            <w:pPr>
              <w:jc w:val="both"/>
              <w:rPr>
                <w:rFonts w:ascii="Cambria" w:hAnsi="Cambria"/>
                <w:b/>
                <w:bCs/>
                <w:iCs/>
                <w:sz w:val="20"/>
                <w:szCs w:val="20"/>
              </w:rPr>
            </w:pPr>
          </w:p>
        </w:tc>
        <w:tc>
          <w:tcPr>
            <w:tcW w:w="1250" w:type="pct"/>
            <w:shd w:val="clear" w:color="auto" w:fill="FFFFFF" w:themeFill="background1"/>
          </w:tcPr>
          <w:p w14:paraId="285E6B2D"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4942631B"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2A3E6497" w14:textId="77777777" w:rsidR="0054318C" w:rsidRPr="00C966DF" w:rsidRDefault="0054318C" w:rsidP="0054318C">
            <w:pPr>
              <w:jc w:val="center"/>
              <w:rPr>
                <w:rFonts w:ascii="Cambria" w:hAnsi="Cambria"/>
                <w:b/>
                <w:bCs/>
                <w:color w:val="000000"/>
                <w:sz w:val="20"/>
                <w:szCs w:val="20"/>
              </w:rPr>
            </w:pPr>
            <w:r w:rsidRPr="00C966DF">
              <w:rPr>
                <w:rFonts w:ascii="Cambria" w:hAnsi="Cambria"/>
                <w:b/>
                <w:bCs/>
                <w:color w:val="000000"/>
                <w:sz w:val="20"/>
                <w:szCs w:val="20"/>
              </w:rPr>
              <w:t>PROYECTO DE ACUERDO DE SUPERINTENDENTE</w:t>
            </w:r>
          </w:p>
          <w:p w14:paraId="36A5C508" w14:textId="77777777" w:rsidR="0054318C" w:rsidRPr="00C966DF" w:rsidRDefault="0054318C" w:rsidP="0054318C">
            <w:pPr>
              <w:contextualSpacing/>
              <w:jc w:val="center"/>
              <w:rPr>
                <w:rFonts w:ascii="Cambria" w:hAnsi="Cambria"/>
                <w:b/>
                <w:bCs/>
                <w:sz w:val="20"/>
                <w:szCs w:val="20"/>
              </w:rPr>
            </w:pPr>
            <w:r w:rsidRPr="00C966DF">
              <w:rPr>
                <w:rFonts w:ascii="Cambria" w:hAnsi="Cambria"/>
                <w:b/>
                <w:bCs/>
                <w:sz w:val="20"/>
                <w:szCs w:val="20"/>
              </w:rPr>
              <w:t>MODIFICACIONES AL ACUERDO SGS-A-021-2013, PARA NORMAR LA REMISIÓN DE INFORMACIÓN CREDITICIA DE CONFORMIDAD CON EL REGLAMENTO SOBRE EL CÁLCULO DE ESTIMACIONES CREDITICIAS (CONASSIF 14-21)</w:t>
            </w:r>
          </w:p>
          <w:p w14:paraId="10848506" w14:textId="77777777" w:rsidR="0054318C" w:rsidRPr="00C966DF" w:rsidRDefault="0054318C" w:rsidP="0054318C">
            <w:pPr>
              <w:contextualSpacing/>
              <w:jc w:val="both"/>
              <w:rPr>
                <w:rFonts w:ascii="Cambria" w:hAnsi="Cambria"/>
                <w:sz w:val="20"/>
                <w:szCs w:val="20"/>
              </w:rPr>
            </w:pPr>
          </w:p>
          <w:p w14:paraId="46EFE4BC" w14:textId="77777777" w:rsidR="0054318C" w:rsidRPr="00C966DF" w:rsidRDefault="0054318C" w:rsidP="0054318C">
            <w:pPr>
              <w:contextualSpacing/>
              <w:jc w:val="both"/>
              <w:rPr>
                <w:rFonts w:ascii="Cambria" w:hAnsi="Cambria"/>
                <w:sz w:val="20"/>
                <w:szCs w:val="20"/>
              </w:rPr>
            </w:pPr>
            <w:r w:rsidRPr="00C966DF">
              <w:rPr>
                <w:rFonts w:ascii="Cambria" w:hAnsi="Cambria"/>
                <w:sz w:val="20"/>
                <w:szCs w:val="20"/>
              </w:rPr>
              <w:lastRenderedPageBreak/>
              <w:t>El Superintendente General de Seguros, a las XX horas del XX de XXXX de dos mil veintitrés,</w:t>
            </w:r>
          </w:p>
          <w:p w14:paraId="3A431932" w14:textId="532DBA08" w:rsidR="0054318C" w:rsidRPr="008856E4" w:rsidRDefault="0054318C" w:rsidP="0054318C">
            <w:pPr>
              <w:jc w:val="center"/>
              <w:rPr>
                <w:rFonts w:ascii="Arial Narrow" w:hAnsi="Arial Narrow"/>
                <w:b/>
                <w:bCs/>
                <w:iCs/>
                <w:sz w:val="20"/>
                <w:szCs w:val="20"/>
              </w:rPr>
            </w:pPr>
          </w:p>
        </w:tc>
      </w:tr>
      <w:tr w:rsidR="0054318C" w:rsidRPr="008856E4" w14:paraId="45F1AA32" w14:textId="77777777" w:rsidTr="00901876">
        <w:tc>
          <w:tcPr>
            <w:tcW w:w="1250" w:type="pct"/>
            <w:shd w:val="clear" w:color="auto" w:fill="FFFFFF" w:themeFill="background1"/>
          </w:tcPr>
          <w:p w14:paraId="5EAC3620" w14:textId="0CF699FD" w:rsidR="0054318C" w:rsidRPr="00746F97" w:rsidRDefault="0054318C" w:rsidP="0054318C">
            <w:pPr>
              <w:jc w:val="both"/>
              <w:rPr>
                <w:rFonts w:ascii="Cambria" w:hAnsi="Cambria"/>
                <w:b/>
                <w:bCs/>
                <w:iCs/>
                <w:sz w:val="20"/>
                <w:szCs w:val="20"/>
              </w:rPr>
            </w:pPr>
            <w:r w:rsidRPr="00C966DF">
              <w:rPr>
                <w:rFonts w:ascii="Cambria" w:hAnsi="Cambria"/>
                <w:b/>
                <w:bCs/>
                <w:sz w:val="20"/>
                <w:szCs w:val="20"/>
              </w:rPr>
              <w:lastRenderedPageBreak/>
              <w:t>Considerando que:</w:t>
            </w:r>
          </w:p>
        </w:tc>
        <w:tc>
          <w:tcPr>
            <w:tcW w:w="1250" w:type="pct"/>
            <w:shd w:val="clear" w:color="auto" w:fill="FFFFFF" w:themeFill="background1"/>
          </w:tcPr>
          <w:p w14:paraId="0FA5456A"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5264BA8A"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7D552176" w14:textId="7C26EAEB" w:rsidR="0054318C" w:rsidRPr="008856E4" w:rsidRDefault="0054318C" w:rsidP="0054318C">
            <w:pPr>
              <w:rPr>
                <w:rFonts w:ascii="Arial Narrow" w:hAnsi="Arial Narrow"/>
                <w:b/>
                <w:bCs/>
                <w:iCs/>
                <w:sz w:val="20"/>
                <w:szCs w:val="20"/>
              </w:rPr>
            </w:pPr>
            <w:r w:rsidRPr="00C966DF">
              <w:rPr>
                <w:rFonts w:ascii="Cambria" w:hAnsi="Cambria"/>
                <w:b/>
                <w:bCs/>
                <w:sz w:val="20"/>
                <w:szCs w:val="20"/>
              </w:rPr>
              <w:t>Considerando que:</w:t>
            </w:r>
          </w:p>
        </w:tc>
      </w:tr>
      <w:tr w:rsidR="0054318C" w:rsidRPr="008856E4" w14:paraId="3361F69D" w14:textId="77777777" w:rsidTr="00901876">
        <w:tc>
          <w:tcPr>
            <w:tcW w:w="1250" w:type="pct"/>
            <w:shd w:val="clear" w:color="auto" w:fill="FFFFFF" w:themeFill="background1"/>
          </w:tcPr>
          <w:p w14:paraId="35374C39" w14:textId="4C6776BE" w:rsidR="0054318C" w:rsidRPr="0054318C" w:rsidRDefault="0054318C" w:rsidP="0054318C">
            <w:pPr>
              <w:pStyle w:val="Prrafodelista"/>
              <w:numPr>
                <w:ilvl w:val="0"/>
                <w:numId w:val="5"/>
              </w:numPr>
              <w:ind w:left="318"/>
              <w:jc w:val="both"/>
              <w:rPr>
                <w:rFonts w:ascii="Cambria" w:hAnsi="Cambria"/>
                <w:b/>
                <w:bCs/>
                <w:iCs/>
                <w:sz w:val="20"/>
                <w:szCs w:val="20"/>
              </w:rPr>
            </w:pPr>
            <w:r w:rsidRPr="0054318C">
              <w:rPr>
                <w:rFonts w:ascii="Cambria" w:hAnsi="Cambria"/>
                <w:color w:val="000000"/>
                <w:sz w:val="20"/>
                <w:szCs w:val="20"/>
              </w:rPr>
              <w:t xml:space="preserve">El artículo 29 de la Ley Reguladora del Mercado de Seguros, Ley N° 8653, establece como objetivo de la Superintendencia General de Seguros (SUGESE) </w:t>
            </w:r>
            <w:r w:rsidRPr="0054318C">
              <w:rPr>
                <w:rFonts w:ascii="Cambria" w:hAnsi="Cambria"/>
                <w:i/>
                <w:iCs/>
                <w:color w:val="000000"/>
                <w:sz w:val="20"/>
                <w:szCs w:val="20"/>
              </w:rPr>
              <w:t>“velar por la estabilidad y el eficiente funcionamiento del mercado de seguros, así como entregar la más amplia información a los asegurados”</w:t>
            </w:r>
            <w:r w:rsidRPr="0054318C">
              <w:rPr>
                <w:rFonts w:ascii="Cambria" w:hAnsi="Cambria"/>
                <w:color w:val="000000"/>
                <w:sz w:val="20"/>
                <w:szCs w:val="20"/>
              </w:rPr>
              <w:t>. Además, para cumplir el objetivo mencionado, el inciso j) del Artículo 29 de dicha Ley, faculta a la SUGESE para dictar las normas y directrices de carácter técnico u operativo que se requieran.</w:t>
            </w:r>
          </w:p>
        </w:tc>
        <w:tc>
          <w:tcPr>
            <w:tcW w:w="1250" w:type="pct"/>
            <w:shd w:val="clear" w:color="auto" w:fill="FFFFFF" w:themeFill="background1"/>
          </w:tcPr>
          <w:p w14:paraId="2573F7C8"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6CF57BA9"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2095F197" w14:textId="313522B1" w:rsidR="0054318C" w:rsidRPr="0054318C" w:rsidRDefault="0054318C" w:rsidP="0054318C">
            <w:pPr>
              <w:pStyle w:val="Prrafodelista"/>
              <w:numPr>
                <w:ilvl w:val="0"/>
                <w:numId w:val="6"/>
              </w:numPr>
              <w:ind w:left="315"/>
              <w:jc w:val="both"/>
              <w:rPr>
                <w:rFonts w:ascii="Arial Narrow" w:hAnsi="Arial Narrow"/>
                <w:b/>
                <w:bCs/>
                <w:iCs/>
                <w:sz w:val="20"/>
                <w:szCs w:val="20"/>
              </w:rPr>
            </w:pPr>
            <w:r w:rsidRPr="0054318C">
              <w:rPr>
                <w:rFonts w:ascii="Cambria" w:hAnsi="Cambria"/>
                <w:color w:val="000000"/>
                <w:sz w:val="20"/>
                <w:szCs w:val="20"/>
              </w:rPr>
              <w:t xml:space="preserve">El artículo 29 de la Ley Reguladora del Mercado de Seguros, Ley N° 8653, establece como objetivo de la Superintendencia General de Seguros (SUGESE) </w:t>
            </w:r>
            <w:r w:rsidRPr="0054318C">
              <w:rPr>
                <w:rFonts w:ascii="Cambria" w:hAnsi="Cambria"/>
                <w:i/>
                <w:iCs/>
                <w:color w:val="000000"/>
                <w:sz w:val="20"/>
                <w:szCs w:val="20"/>
              </w:rPr>
              <w:t>“velar por la estabilidad y el eficiente funcionamiento del mercado de seguros, así como entregar la más amplia información a los asegurados”</w:t>
            </w:r>
            <w:r w:rsidRPr="0054318C">
              <w:rPr>
                <w:rFonts w:ascii="Cambria" w:hAnsi="Cambria"/>
                <w:color w:val="000000"/>
                <w:sz w:val="20"/>
                <w:szCs w:val="20"/>
              </w:rPr>
              <w:t>. Además, para cumplir el objetivo mencionado, el inciso j) del Artículo 29 de dicha Ley, faculta a la SUGESE para dictar las normas y directrices de carácter técnico u operativo que se requieran.</w:t>
            </w:r>
          </w:p>
        </w:tc>
      </w:tr>
      <w:tr w:rsidR="0054318C" w:rsidRPr="008856E4" w14:paraId="32EBFD3A" w14:textId="77777777" w:rsidTr="00901876">
        <w:tc>
          <w:tcPr>
            <w:tcW w:w="1250" w:type="pct"/>
            <w:shd w:val="clear" w:color="auto" w:fill="FFFFFF" w:themeFill="background1"/>
          </w:tcPr>
          <w:p w14:paraId="01619E27" w14:textId="51E84CB4" w:rsidR="0054318C" w:rsidRPr="0054318C" w:rsidRDefault="0054318C" w:rsidP="0054318C">
            <w:pPr>
              <w:pStyle w:val="Prrafodelista"/>
              <w:numPr>
                <w:ilvl w:val="0"/>
                <w:numId w:val="6"/>
              </w:numPr>
              <w:ind w:left="318"/>
              <w:jc w:val="both"/>
              <w:rPr>
                <w:rFonts w:ascii="Cambria" w:hAnsi="Cambria"/>
                <w:b/>
                <w:bCs/>
                <w:iCs/>
                <w:sz w:val="20"/>
                <w:szCs w:val="20"/>
              </w:rPr>
            </w:pPr>
            <w:r w:rsidRPr="0054318C">
              <w:rPr>
                <w:rFonts w:ascii="Cambria" w:hAnsi="Cambria"/>
                <w:color w:val="000000"/>
                <w:sz w:val="20"/>
                <w:szCs w:val="20"/>
              </w:rPr>
              <w:t xml:space="preserve">De conformidad con los artículos 25 c) y 26 g) de la Ley N° 8653, las entidades aseguradoras y reaseguradoras y los intermediarios del mercado de seguros están obligados a proporcionar a la Superintendencia la información correcta y completa, dentro de los plazos y las formalidades requeridos, lo cual se refuerza con lo señalado en el último párrafo de ambos artículos que indica: </w:t>
            </w:r>
            <w:r w:rsidRPr="0054318C">
              <w:rPr>
                <w:rFonts w:ascii="Cambria" w:hAnsi="Cambria"/>
                <w:i/>
                <w:iCs/>
                <w:color w:val="000000"/>
                <w:sz w:val="20"/>
                <w:szCs w:val="20"/>
              </w:rPr>
              <w:t xml:space="preserve">“Para las obligaciones señaladas en este artículo, el Consejo Nacional y la </w:t>
            </w:r>
            <w:r w:rsidRPr="0054318C">
              <w:rPr>
                <w:rFonts w:ascii="Cambria" w:hAnsi="Cambria"/>
                <w:i/>
                <w:iCs/>
                <w:color w:val="000000"/>
                <w:sz w:val="20"/>
                <w:szCs w:val="20"/>
              </w:rPr>
              <w:lastRenderedPageBreak/>
              <w:t>Superintendencia, según corresponda, podrán emitir la normativa necesaria que determine el contenido de las obligaciones, la periodicidad, las condiciones, los formatos, los términos, la operatividad y, en general, cualquier aspecto necesario para su efectivo cumplimiento, supervisión, verificación y sanción en caso de inobservancia.”.</w:t>
            </w:r>
            <w:r w:rsidRPr="0054318C">
              <w:rPr>
                <w:rFonts w:ascii="Cambria" w:hAnsi="Cambria"/>
                <w:color w:val="000000"/>
                <w:sz w:val="20"/>
                <w:szCs w:val="20"/>
              </w:rPr>
              <w:t xml:space="preserve"> </w:t>
            </w:r>
          </w:p>
        </w:tc>
        <w:tc>
          <w:tcPr>
            <w:tcW w:w="1250" w:type="pct"/>
            <w:shd w:val="clear" w:color="auto" w:fill="FFFFFF" w:themeFill="background1"/>
          </w:tcPr>
          <w:p w14:paraId="18FCF984"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3BFCEB09"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70D19271" w14:textId="5B4E4D39" w:rsidR="0054318C" w:rsidRPr="0054318C" w:rsidRDefault="0054318C" w:rsidP="0054318C">
            <w:pPr>
              <w:pStyle w:val="Prrafodelista"/>
              <w:numPr>
                <w:ilvl w:val="0"/>
                <w:numId w:val="7"/>
              </w:numPr>
              <w:ind w:left="315"/>
              <w:jc w:val="both"/>
              <w:rPr>
                <w:rFonts w:ascii="Arial Narrow" w:hAnsi="Arial Narrow"/>
                <w:b/>
                <w:bCs/>
                <w:iCs/>
                <w:sz w:val="20"/>
                <w:szCs w:val="20"/>
              </w:rPr>
            </w:pPr>
            <w:r w:rsidRPr="0054318C">
              <w:rPr>
                <w:rFonts w:ascii="Cambria" w:hAnsi="Cambria"/>
                <w:color w:val="000000"/>
                <w:sz w:val="20"/>
                <w:szCs w:val="20"/>
              </w:rPr>
              <w:t xml:space="preserve">De conformidad con los artículos 25 c) y 26 g) de la Ley N° 8653, las entidades aseguradoras y reaseguradoras y los intermediarios del mercado de seguros están obligados a proporcionar a la Superintendencia la información correcta y completa, dentro de los plazos y las formalidades requeridos, lo cual se refuerza con lo señalado en el último párrafo de ambos artículos que indica: </w:t>
            </w:r>
            <w:r w:rsidRPr="0054318C">
              <w:rPr>
                <w:rFonts w:ascii="Cambria" w:hAnsi="Cambria"/>
                <w:i/>
                <w:iCs/>
                <w:color w:val="000000"/>
                <w:sz w:val="20"/>
                <w:szCs w:val="20"/>
              </w:rPr>
              <w:t xml:space="preserve">“Para las obligaciones señaladas en este artículo, el Consejo Nacional y la </w:t>
            </w:r>
            <w:r w:rsidRPr="0054318C">
              <w:rPr>
                <w:rFonts w:ascii="Cambria" w:hAnsi="Cambria"/>
                <w:i/>
                <w:iCs/>
                <w:color w:val="000000"/>
                <w:sz w:val="20"/>
                <w:szCs w:val="20"/>
              </w:rPr>
              <w:lastRenderedPageBreak/>
              <w:t>Superintendencia, según corresponda, podrán emitir la normativa necesaria que determine el contenido de las obligaciones, la periodicidad, las condiciones, los formatos, los términos, la operatividad y, en general, cualquier aspecto necesario para su efectivo cumplimiento, supervisión, verificación y sanción en caso de inobservancia.”.</w:t>
            </w:r>
            <w:r w:rsidRPr="0054318C">
              <w:rPr>
                <w:rFonts w:ascii="Cambria" w:hAnsi="Cambria"/>
                <w:color w:val="000000"/>
                <w:sz w:val="20"/>
                <w:szCs w:val="20"/>
              </w:rPr>
              <w:t xml:space="preserve"> </w:t>
            </w:r>
          </w:p>
        </w:tc>
      </w:tr>
      <w:tr w:rsidR="0054318C" w:rsidRPr="008856E4" w14:paraId="5449219D" w14:textId="77777777" w:rsidTr="00901876">
        <w:tc>
          <w:tcPr>
            <w:tcW w:w="1250" w:type="pct"/>
            <w:shd w:val="clear" w:color="auto" w:fill="FFFFFF" w:themeFill="background1"/>
          </w:tcPr>
          <w:p w14:paraId="21EB7408" w14:textId="4B1CFACF" w:rsidR="0054318C" w:rsidRPr="0054318C" w:rsidRDefault="0054318C" w:rsidP="0054318C">
            <w:pPr>
              <w:pStyle w:val="Prrafodelista"/>
              <w:numPr>
                <w:ilvl w:val="0"/>
                <w:numId w:val="7"/>
              </w:numPr>
              <w:ind w:left="318"/>
              <w:jc w:val="both"/>
              <w:rPr>
                <w:rFonts w:ascii="Cambria" w:hAnsi="Cambria"/>
                <w:b/>
                <w:bCs/>
                <w:iCs/>
                <w:sz w:val="20"/>
                <w:szCs w:val="20"/>
              </w:rPr>
            </w:pPr>
            <w:r w:rsidRPr="0054318C">
              <w:rPr>
                <w:rFonts w:ascii="Cambria" w:hAnsi="Cambria"/>
                <w:color w:val="000000"/>
                <w:sz w:val="20"/>
                <w:szCs w:val="20"/>
              </w:rPr>
              <w:lastRenderedPageBreak/>
              <w:t>De conformidad con el artículo 29 de la Ley N° 8653, la Superintendencia aplicará la norma establecida en el artículo 180 de la Ley Reguladora del Mercado de Valores, Ley  N° 7732, la cual faculta la utilización de medios electrónicos o magnéticos de transmisión y almacenamiento de datos, para solicitar información a las entidades supervisadas y para mantener sus archivos, actas y demás documentos. Además indica que la información así mantenida tiene valor probatorio equivalente al de los documentos para todos los efectos legales.</w:t>
            </w:r>
          </w:p>
        </w:tc>
        <w:tc>
          <w:tcPr>
            <w:tcW w:w="1250" w:type="pct"/>
            <w:shd w:val="clear" w:color="auto" w:fill="FFFFFF" w:themeFill="background1"/>
          </w:tcPr>
          <w:p w14:paraId="60CF22CF"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0577391E"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49D6E62D" w14:textId="79B579FE" w:rsidR="0054318C" w:rsidRPr="0054318C" w:rsidRDefault="0054318C" w:rsidP="0054318C">
            <w:pPr>
              <w:pStyle w:val="Prrafodelista"/>
              <w:numPr>
                <w:ilvl w:val="0"/>
                <w:numId w:val="8"/>
              </w:numPr>
              <w:ind w:left="315"/>
              <w:jc w:val="both"/>
              <w:rPr>
                <w:rFonts w:ascii="Arial Narrow" w:hAnsi="Arial Narrow"/>
                <w:b/>
                <w:bCs/>
                <w:iCs/>
                <w:sz w:val="20"/>
                <w:szCs w:val="20"/>
              </w:rPr>
            </w:pPr>
            <w:r w:rsidRPr="0054318C">
              <w:rPr>
                <w:rFonts w:ascii="Cambria" w:hAnsi="Cambria"/>
                <w:color w:val="000000"/>
                <w:sz w:val="20"/>
                <w:szCs w:val="20"/>
              </w:rPr>
              <w:t>De conformidad con el artículo 29 de la Ley N° 8653, la Superintendencia aplicará la norma establecida en el artículo 180 de la Ley Reguladora del Mercado de Valores, Ley  N° 7732, la cual faculta la utilización de medios electrónicos o magnéticos de transmisión y almacenamiento de datos, para solicitar información a las entidades supervisadas y para mantener sus archivos, actas y demás documentos. Además indica que la información así mantenida tiene valor probatorio equivalente al de los documentos para todos los efectos legales.</w:t>
            </w:r>
          </w:p>
        </w:tc>
      </w:tr>
      <w:tr w:rsidR="0054318C" w:rsidRPr="008856E4" w14:paraId="3186789D" w14:textId="77777777" w:rsidTr="00901876">
        <w:tc>
          <w:tcPr>
            <w:tcW w:w="1250" w:type="pct"/>
            <w:shd w:val="clear" w:color="auto" w:fill="FFFFFF" w:themeFill="background1"/>
          </w:tcPr>
          <w:p w14:paraId="1879A253" w14:textId="3EA35012" w:rsidR="0054318C" w:rsidRPr="0054318C" w:rsidRDefault="0054318C" w:rsidP="0054318C">
            <w:pPr>
              <w:pStyle w:val="Prrafodelista"/>
              <w:numPr>
                <w:ilvl w:val="0"/>
                <w:numId w:val="8"/>
              </w:numPr>
              <w:ind w:left="318"/>
              <w:jc w:val="both"/>
              <w:rPr>
                <w:rFonts w:ascii="Cambria" w:hAnsi="Cambria"/>
                <w:color w:val="000000"/>
                <w:sz w:val="20"/>
                <w:szCs w:val="20"/>
              </w:rPr>
            </w:pPr>
            <w:r w:rsidRPr="00C966DF">
              <w:rPr>
                <w:rFonts w:ascii="Cambria" w:hAnsi="Cambria"/>
                <w:color w:val="000000"/>
                <w:sz w:val="20"/>
                <w:szCs w:val="20"/>
              </w:rPr>
              <w:t xml:space="preserve">El Consejo Nacional de Supervisión del Sistema Financiero (CONASSIF) mediante artículo 8 del acta de la sesión 1655-2021 celebrada el 12 de abril de 2021 (Acuerdo SUGESE 12-21), aprobó el </w:t>
            </w:r>
            <w:r w:rsidRPr="00C966DF">
              <w:rPr>
                <w:rFonts w:ascii="Cambria" w:hAnsi="Cambria"/>
                <w:i/>
                <w:iCs/>
                <w:color w:val="000000"/>
                <w:sz w:val="20"/>
                <w:szCs w:val="20"/>
              </w:rPr>
              <w:t xml:space="preserve">Reglamento sobre </w:t>
            </w:r>
            <w:r w:rsidRPr="00C966DF">
              <w:rPr>
                <w:rFonts w:ascii="Cambria" w:hAnsi="Cambria"/>
                <w:i/>
                <w:iCs/>
                <w:color w:val="000000"/>
                <w:sz w:val="20"/>
                <w:szCs w:val="20"/>
              </w:rPr>
              <w:lastRenderedPageBreak/>
              <w:t>remisión de información períodica y revelación de hechos relevantes por entidades supervisadas por SUGESE</w:t>
            </w:r>
            <w:r w:rsidRPr="00C966DF">
              <w:rPr>
                <w:rFonts w:ascii="Cambria" w:hAnsi="Cambria"/>
                <w:color w:val="000000"/>
                <w:sz w:val="20"/>
                <w:szCs w:val="20"/>
              </w:rPr>
              <w:t>, el cual, en cuanto a la información periódica indica en el primer párrafo del artículo 5 lo siguiente:</w:t>
            </w:r>
            <w:r>
              <w:rPr>
                <w:rFonts w:ascii="Cambria" w:hAnsi="Cambria"/>
                <w:color w:val="000000"/>
                <w:sz w:val="20"/>
                <w:szCs w:val="20"/>
              </w:rPr>
              <w:t xml:space="preserve"> </w:t>
            </w:r>
            <w:r w:rsidRPr="0054318C">
              <w:rPr>
                <w:rFonts w:ascii="Cambria" w:hAnsi="Cambria"/>
                <w:i/>
                <w:iCs/>
                <w:color w:val="000000"/>
                <w:sz w:val="20"/>
                <w:szCs w:val="20"/>
              </w:rPr>
              <w:t xml:space="preserve">“El Superintendente mediante acuerdo general, establecerá los requerimientos, plazos y medios para la presentación de la información periódica, cuando esto no haya sido establecido de manera expresa en la regulación que la requiere; igualmente establecerá los plazos y medios de presentación de cualquier otra información periódica que requiera para el cumplimiento de las funciones y responsabilidades que le impone la ley...”. </w:t>
            </w:r>
          </w:p>
        </w:tc>
        <w:tc>
          <w:tcPr>
            <w:tcW w:w="1250" w:type="pct"/>
            <w:shd w:val="clear" w:color="auto" w:fill="FFFFFF" w:themeFill="background1"/>
          </w:tcPr>
          <w:p w14:paraId="0D550FB0"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13479BFF"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3D383CEF" w14:textId="4CC6E9B2" w:rsidR="0054318C" w:rsidRPr="0054318C" w:rsidRDefault="0054318C" w:rsidP="0054318C">
            <w:pPr>
              <w:pStyle w:val="Prrafodelista"/>
              <w:numPr>
                <w:ilvl w:val="0"/>
                <w:numId w:val="9"/>
              </w:numPr>
              <w:ind w:left="315"/>
              <w:jc w:val="both"/>
              <w:rPr>
                <w:rFonts w:ascii="Arial Narrow" w:hAnsi="Arial Narrow"/>
                <w:b/>
                <w:bCs/>
                <w:iCs/>
                <w:sz w:val="20"/>
                <w:szCs w:val="20"/>
              </w:rPr>
            </w:pPr>
            <w:r w:rsidRPr="0054318C">
              <w:rPr>
                <w:rFonts w:ascii="Cambria" w:hAnsi="Cambria"/>
                <w:color w:val="000000"/>
                <w:sz w:val="20"/>
                <w:szCs w:val="20"/>
              </w:rPr>
              <w:t xml:space="preserve">El Consejo Nacional de Supervisión del Sistema Financiero (CONASSIF) mediante artículo 8 del acta de la sesión 1655-2021 celebrada el 12 de abril de 2021 (Acuerdo SUGESE 12-21), aprobó el </w:t>
            </w:r>
            <w:r w:rsidRPr="0054318C">
              <w:rPr>
                <w:rFonts w:ascii="Cambria" w:hAnsi="Cambria"/>
                <w:i/>
                <w:iCs/>
                <w:color w:val="000000"/>
                <w:sz w:val="20"/>
                <w:szCs w:val="20"/>
              </w:rPr>
              <w:t xml:space="preserve">Reglamento sobre </w:t>
            </w:r>
            <w:r w:rsidRPr="0054318C">
              <w:rPr>
                <w:rFonts w:ascii="Cambria" w:hAnsi="Cambria"/>
                <w:i/>
                <w:iCs/>
                <w:color w:val="000000"/>
                <w:sz w:val="20"/>
                <w:szCs w:val="20"/>
              </w:rPr>
              <w:lastRenderedPageBreak/>
              <w:t xml:space="preserve">remisión de información </w:t>
            </w:r>
            <w:r w:rsidR="00CF1692" w:rsidRPr="0054318C">
              <w:rPr>
                <w:rFonts w:ascii="Cambria" w:hAnsi="Cambria"/>
                <w:i/>
                <w:iCs/>
                <w:color w:val="000000"/>
                <w:sz w:val="20"/>
                <w:szCs w:val="20"/>
              </w:rPr>
              <w:t>periódica</w:t>
            </w:r>
            <w:r w:rsidRPr="0054318C">
              <w:rPr>
                <w:rFonts w:ascii="Cambria" w:hAnsi="Cambria"/>
                <w:i/>
                <w:iCs/>
                <w:color w:val="000000"/>
                <w:sz w:val="20"/>
                <w:szCs w:val="20"/>
              </w:rPr>
              <w:t xml:space="preserve"> y revelación de hechos relevantes por entidades supervisadas por SUGESE</w:t>
            </w:r>
            <w:r w:rsidRPr="0054318C">
              <w:rPr>
                <w:rFonts w:ascii="Cambria" w:hAnsi="Cambria"/>
                <w:color w:val="000000"/>
                <w:sz w:val="20"/>
                <w:szCs w:val="20"/>
              </w:rPr>
              <w:t xml:space="preserve">, el cual, en cuanto a la información periódica indica en el primer párrafo del artículo 5 lo siguiente: </w:t>
            </w:r>
            <w:r w:rsidRPr="0054318C">
              <w:rPr>
                <w:rFonts w:ascii="Cambria" w:hAnsi="Cambria"/>
                <w:i/>
                <w:iCs/>
                <w:color w:val="000000"/>
                <w:sz w:val="20"/>
                <w:szCs w:val="20"/>
              </w:rPr>
              <w:t xml:space="preserve">“El Superintendente mediante acuerdo general, establecerá los requerimientos, plazos y medios para la presentación de la información periódica, cuando esto no haya sido establecido de manera expresa en la regulación que la requiere; igualmente establecerá los plazos y medios de presentación de cualquier otra información periódica que requiera para el cumplimiento de las funciones y responsabilidades que le impone la ley...”. </w:t>
            </w:r>
          </w:p>
        </w:tc>
      </w:tr>
      <w:tr w:rsidR="0054318C" w:rsidRPr="008856E4" w14:paraId="58C77136" w14:textId="77777777" w:rsidTr="00901876">
        <w:tc>
          <w:tcPr>
            <w:tcW w:w="1250" w:type="pct"/>
            <w:shd w:val="clear" w:color="auto" w:fill="FFFFFF" w:themeFill="background1"/>
          </w:tcPr>
          <w:p w14:paraId="30E6875D" w14:textId="4CC35CB3" w:rsidR="0054318C" w:rsidRPr="0054318C" w:rsidRDefault="0054318C" w:rsidP="0054318C">
            <w:pPr>
              <w:pStyle w:val="Prrafodelista"/>
              <w:numPr>
                <w:ilvl w:val="0"/>
                <w:numId w:val="9"/>
              </w:numPr>
              <w:ind w:left="318"/>
              <w:jc w:val="both"/>
              <w:rPr>
                <w:rFonts w:ascii="Cambria" w:hAnsi="Cambria"/>
                <w:color w:val="000000"/>
                <w:sz w:val="20"/>
                <w:szCs w:val="20"/>
              </w:rPr>
            </w:pPr>
            <w:r w:rsidRPr="00C966DF">
              <w:rPr>
                <w:rFonts w:ascii="Cambria" w:hAnsi="Cambria"/>
                <w:color w:val="000000"/>
                <w:sz w:val="20"/>
                <w:szCs w:val="20"/>
              </w:rPr>
              <w:lastRenderedPageBreak/>
              <w:t xml:space="preserve">El CONASSIF mediante los artículos 8 y 9, de las actas de las sesiones 1699-2021 y 1700-2021, celebradas el 11 y 15 de noviembre de 2021 (Acuerdo CONASSIF 14-21), aprobó el </w:t>
            </w:r>
            <w:r w:rsidRPr="00C966DF">
              <w:rPr>
                <w:rFonts w:ascii="Cambria" w:hAnsi="Cambria"/>
                <w:i/>
                <w:iCs/>
                <w:color w:val="000000"/>
                <w:sz w:val="20"/>
                <w:szCs w:val="20"/>
              </w:rPr>
              <w:t>Reglamento sobre cálculo de estimaciones crediticias</w:t>
            </w:r>
            <w:r w:rsidRPr="00C966DF">
              <w:rPr>
                <w:rFonts w:ascii="Cambria" w:hAnsi="Cambria"/>
                <w:color w:val="000000"/>
                <w:sz w:val="20"/>
                <w:szCs w:val="20"/>
              </w:rPr>
              <w:t xml:space="preserve"> aplicable a las entidades supervisadas por la SUGESE que realizan actividades crediticias, el cual en el segundo párrafo del artículo 43 del Acuerdo CONASSIF 14-21 establece respecto al envío de información lo siguiente:</w:t>
            </w:r>
            <w:r>
              <w:rPr>
                <w:rFonts w:ascii="Cambria" w:hAnsi="Cambria"/>
                <w:color w:val="000000"/>
                <w:sz w:val="20"/>
                <w:szCs w:val="20"/>
              </w:rPr>
              <w:t xml:space="preserve"> </w:t>
            </w:r>
            <w:r w:rsidRPr="0054318C">
              <w:rPr>
                <w:rFonts w:ascii="Cambria" w:hAnsi="Cambria"/>
                <w:i/>
                <w:iCs/>
                <w:color w:val="000000"/>
                <w:sz w:val="20"/>
                <w:szCs w:val="20"/>
              </w:rPr>
              <w:t xml:space="preserve">“En el caso de las </w:t>
            </w:r>
            <w:r w:rsidRPr="0054318C">
              <w:rPr>
                <w:rFonts w:ascii="Cambria" w:hAnsi="Cambria"/>
                <w:i/>
                <w:iCs/>
                <w:color w:val="000000"/>
                <w:sz w:val="20"/>
                <w:szCs w:val="20"/>
              </w:rPr>
              <w:lastRenderedPageBreak/>
              <w:t>entidades autorizadas a realizar actividades crediticias, supervisadas por SUGESE, SUGEVAL y SUPEN, el Superintendente mediante lineamientos definirá el plazo y el medio para la remisión de la información crediticia que aplique, de acuerdo a las características de sus supervisados.”</w:t>
            </w:r>
          </w:p>
        </w:tc>
        <w:tc>
          <w:tcPr>
            <w:tcW w:w="1250" w:type="pct"/>
            <w:shd w:val="clear" w:color="auto" w:fill="FFFFFF" w:themeFill="background1"/>
          </w:tcPr>
          <w:p w14:paraId="16E3B681"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38DD43C9"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1B7E5674" w14:textId="46B5B28E" w:rsidR="0054318C" w:rsidRPr="0054318C" w:rsidRDefault="0054318C" w:rsidP="0054318C">
            <w:pPr>
              <w:pStyle w:val="Prrafodelista"/>
              <w:numPr>
                <w:ilvl w:val="0"/>
                <w:numId w:val="10"/>
              </w:numPr>
              <w:ind w:left="315"/>
              <w:jc w:val="both"/>
              <w:rPr>
                <w:rFonts w:ascii="Arial Narrow" w:hAnsi="Arial Narrow"/>
                <w:b/>
                <w:bCs/>
                <w:iCs/>
                <w:sz w:val="20"/>
                <w:szCs w:val="20"/>
              </w:rPr>
            </w:pPr>
            <w:r w:rsidRPr="0054318C">
              <w:rPr>
                <w:rFonts w:ascii="Cambria" w:hAnsi="Cambria"/>
                <w:color w:val="000000"/>
                <w:sz w:val="20"/>
                <w:szCs w:val="20"/>
              </w:rPr>
              <w:t xml:space="preserve">El CONASSIF mediante los artículos 8 y 9, de las actas de las sesiones 1699-2021 y 1700-2021, celebradas el 11 y 15 de noviembre de 2021 (Acuerdo CONASSIF 14-21), aprobó el </w:t>
            </w:r>
            <w:r w:rsidRPr="0054318C">
              <w:rPr>
                <w:rFonts w:ascii="Cambria" w:hAnsi="Cambria"/>
                <w:i/>
                <w:iCs/>
                <w:color w:val="000000"/>
                <w:sz w:val="20"/>
                <w:szCs w:val="20"/>
              </w:rPr>
              <w:t>Reglamento sobre cálculo de estimaciones crediticias</w:t>
            </w:r>
            <w:r w:rsidRPr="0054318C">
              <w:rPr>
                <w:rFonts w:ascii="Cambria" w:hAnsi="Cambria"/>
                <w:color w:val="000000"/>
                <w:sz w:val="20"/>
                <w:szCs w:val="20"/>
              </w:rPr>
              <w:t xml:space="preserve"> aplicable a las entidades supervisadas por la SUGESE que realizan actividades crediticias, el cual en el segundo párrafo del artículo 43 del Acuerdo CONASSIF 14-21 establece respecto al envío de información lo siguiente: </w:t>
            </w:r>
            <w:r w:rsidRPr="0054318C">
              <w:rPr>
                <w:rFonts w:ascii="Cambria" w:hAnsi="Cambria"/>
                <w:i/>
                <w:iCs/>
                <w:color w:val="000000"/>
                <w:sz w:val="20"/>
                <w:szCs w:val="20"/>
              </w:rPr>
              <w:t xml:space="preserve">“En el caso de las </w:t>
            </w:r>
            <w:r w:rsidRPr="0054318C">
              <w:rPr>
                <w:rFonts w:ascii="Cambria" w:hAnsi="Cambria"/>
                <w:i/>
                <w:iCs/>
                <w:color w:val="000000"/>
                <w:sz w:val="20"/>
                <w:szCs w:val="20"/>
              </w:rPr>
              <w:lastRenderedPageBreak/>
              <w:t>entidades autorizadas a realizar actividades crediticias, supervisadas por SUGESE, SUGEVAL y SUPEN, el Superintendente mediante lineamientos definirá el plazo y el medio para la remisión de la información crediticia que aplique, de acuerdo a las características de sus supervisados.”</w:t>
            </w:r>
          </w:p>
        </w:tc>
      </w:tr>
      <w:tr w:rsidR="0054318C" w:rsidRPr="008856E4" w14:paraId="4919579F" w14:textId="77777777" w:rsidTr="00901876">
        <w:tc>
          <w:tcPr>
            <w:tcW w:w="1250" w:type="pct"/>
            <w:shd w:val="clear" w:color="auto" w:fill="FFFFFF" w:themeFill="background1"/>
          </w:tcPr>
          <w:p w14:paraId="573D4FB7" w14:textId="02D10FA5" w:rsidR="0054318C" w:rsidRPr="0054318C" w:rsidRDefault="0054318C" w:rsidP="0054318C">
            <w:pPr>
              <w:pStyle w:val="Prrafodelista"/>
              <w:numPr>
                <w:ilvl w:val="0"/>
                <w:numId w:val="10"/>
              </w:numPr>
              <w:ind w:left="318"/>
              <w:jc w:val="both"/>
              <w:rPr>
                <w:rFonts w:ascii="Cambria" w:hAnsi="Cambria"/>
                <w:b/>
                <w:bCs/>
                <w:iCs/>
                <w:sz w:val="20"/>
                <w:szCs w:val="20"/>
              </w:rPr>
            </w:pPr>
            <w:r w:rsidRPr="0054318C">
              <w:rPr>
                <w:rFonts w:ascii="Cambria" w:hAnsi="Cambria"/>
                <w:color w:val="000000"/>
                <w:sz w:val="20"/>
                <w:szCs w:val="20"/>
              </w:rPr>
              <w:lastRenderedPageBreak/>
              <w:t xml:space="preserve">El Superintendente de Seguros mediante acuerdo SGS-A-0021-2013 emitió las </w:t>
            </w:r>
            <w:r w:rsidRPr="0054318C">
              <w:rPr>
                <w:rFonts w:ascii="Cambria" w:hAnsi="Cambria"/>
                <w:i/>
                <w:iCs/>
                <w:color w:val="000000"/>
                <w:sz w:val="20"/>
                <w:szCs w:val="20"/>
              </w:rPr>
              <w:t xml:space="preserve">Disposiciones para la Remisión de la Información Contable y Estadística a la Superintendencia General de Seguros por parte de las Entidades Supervisadas </w:t>
            </w:r>
            <w:r w:rsidRPr="0054318C">
              <w:rPr>
                <w:rFonts w:ascii="Cambria" w:hAnsi="Cambria"/>
                <w:color w:val="000000"/>
                <w:sz w:val="20"/>
                <w:szCs w:val="20"/>
              </w:rPr>
              <w:t>a efecto normar los requerimientos de información que las entidades supervisadas deben remitir de forma periódica a la Superintendencia, por lo que es necesario modificar en acuerdo mencionado para requerir a las entidades supervisadas lo normado por el CONASSIF en el Acuerdo CONASSIF 14-21)</w:t>
            </w:r>
          </w:p>
        </w:tc>
        <w:tc>
          <w:tcPr>
            <w:tcW w:w="1250" w:type="pct"/>
            <w:shd w:val="clear" w:color="auto" w:fill="FFFFFF" w:themeFill="background1"/>
          </w:tcPr>
          <w:p w14:paraId="66280A1A"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2918737E" w14:textId="77777777" w:rsidR="0054318C" w:rsidRPr="00AE0369" w:rsidRDefault="0054318C" w:rsidP="0054318C">
            <w:pPr>
              <w:jc w:val="both"/>
              <w:rPr>
                <w:rFonts w:asciiTheme="majorHAnsi" w:hAnsiTheme="majorHAnsi"/>
                <w:b/>
                <w:bCs/>
                <w:iCs/>
                <w:sz w:val="20"/>
                <w:szCs w:val="20"/>
              </w:rPr>
            </w:pPr>
          </w:p>
        </w:tc>
        <w:tc>
          <w:tcPr>
            <w:tcW w:w="1250" w:type="pct"/>
            <w:shd w:val="clear" w:color="auto" w:fill="FFFFFF" w:themeFill="background1"/>
          </w:tcPr>
          <w:p w14:paraId="2A137FC4" w14:textId="13A9555D" w:rsidR="0054318C" w:rsidRPr="0054318C" w:rsidRDefault="0054318C" w:rsidP="0054318C">
            <w:pPr>
              <w:pStyle w:val="Prrafodelista"/>
              <w:numPr>
                <w:ilvl w:val="0"/>
                <w:numId w:val="11"/>
              </w:numPr>
              <w:ind w:left="315"/>
              <w:jc w:val="both"/>
              <w:rPr>
                <w:rFonts w:ascii="Arial Narrow" w:hAnsi="Arial Narrow"/>
                <w:b/>
                <w:bCs/>
                <w:iCs/>
                <w:sz w:val="20"/>
                <w:szCs w:val="20"/>
              </w:rPr>
            </w:pPr>
            <w:r w:rsidRPr="0054318C">
              <w:rPr>
                <w:rFonts w:ascii="Cambria" w:hAnsi="Cambria"/>
                <w:color w:val="000000"/>
                <w:sz w:val="20"/>
                <w:szCs w:val="20"/>
              </w:rPr>
              <w:t xml:space="preserve">El Superintendente de Seguros mediante acuerdo SGS-A-0021-2013 emitió las </w:t>
            </w:r>
            <w:r w:rsidRPr="0054318C">
              <w:rPr>
                <w:rFonts w:ascii="Cambria" w:hAnsi="Cambria"/>
                <w:i/>
                <w:iCs/>
                <w:color w:val="000000"/>
                <w:sz w:val="20"/>
                <w:szCs w:val="20"/>
              </w:rPr>
              <w:t xml:space="preserve">Disposiciones para la Remisión de la Información Contable y Estadística a la Superintendencia General de Seguros por parte de las Entidades Supervisadas </w:t>
            </w:r>
            <w:r w:rsidRPr="0054318C">
              <w:rPr>
                <w:rFonts w:ascii="Cambria" w:hAnsi="Cambria"/>
                <w:color w:val="000000"/>
                <w:sz w:val="20"/>
                <w:szCs w:val="20"/>
              </w:rPr>
              <w:t xml:space="preserve">a efecto </w:t>
            </w:r>
            <w:r w:rsidR="00CF1692">
              <w:rPr>
                <w:rFonts w:ascii="Cambria" w:hAnsi="Cambria"/>
                <w:color w:val="000000"/>
                <w:sz w:val="20"/>
                <w:szCs w:val="20"/>
              </w:rPr>
              <w:t xml:space="preserve">de </w:t>
            </w:r>
            <w:r w:rsidRPr="0054318C">
              <w:rPr>
                <w:rFonts w:ascii="Cambria" w:hAnsi="Cambria"/>
                <w:color w:val="000000"/>
                <w:sz w:val="20"/>
                <w:szCs w:val="20"/>
              </w:rPr>
              <w:t>normar los requerimientos de información que las entidades supervisadas deben remitir de forma periódica a la Superintendencia, por lo que es necesario modificar e</w:t>
            </w:r>
            <w:r w:rsidR="00CF1692">
              <w:rPr>
                <w:rFonts w:ascii="Cambria" w:hAnsi="Cambria"/>
                <w:color w:val="000000"/>
                <w:sz w:val="20"/>
                <w:szCs w:val="20"/>
              </w:rPr>
              <w:t>l</w:t>
            </w:r>
            <w:r w:rsidRPr="0054318C">
              <w:rPr>
                <w:rFonts w:ascii="Cambria" w:hAnsi="Cambria"/>
                <w:color w:val="000000"/>
                <w:sz w:val="20"/>
                <w:szCs w:val="20"/>
              </w:rPr>
              <w:t xml:space="preserve"> acuerdo mencionado para requerir a las entidades supervisadas lo normado por el CONASSIF en el Acuerdo CONASSIF 14-21)</w:t>
            </w:r>
          </w:p>
        </w:tc>
      </w:tr>
      <w:tr w:rsidR="0021596A" w:rsidRPr="008856E4" w14:paraId="42D768E3" w14:textId="77777777" w:rsidTr="00901876">
        <w:tc>
          <w:tcPr>
            <w:tcW w:w="1250" w:type="pct"/>
            <w:shd w:val="clear" w:color="auto" w:fill="FFFFFF" w:themeFill="background1"/>
          </w:tcPr>
          <w:p w14:paraId="51C2BE38" w14:textId="77777777" w:rsidR="0021596A" w:rsidRPr="00C966DF" w:rsidRDefault="0021596A" w:rsidP="0021596A">
            <w:pPr>
              <w:jc w:val="both"/>
              <w:rPr>
                <w:rFonts w:ascii="Cambria" w:hAnsi="Cambria"/>
                <w:b/>
                <w:bCs/>
                <w:sz w:val="20"/>
                <w:szCs w:val="20"/>
              </w:rPr>
            </w:pPr>
          </w:p>
        </w:tc>
        <w:tc>
          <w:tcPr>
            <w:tcW w:w="1250" w:type="pct"/>
            <w:shd w:val="clear" w:color="auto" w:fill="FFFFFF" w:themeFill="background1"/>
          </w:tcPr>
          <w:p w14:paraId="3708387F" w14:textId="77777777" w:rsidR="0021596A" w:rsidRPr="00AE0369" w:rsidRDefault="0021596A" w:rsidP="0021596A">
            <w:pPr>
              <w:jc w:val="both"/>
              <w:rPr>
                <w:rFonts w:asciiTheme="majorHAnsi" w:hAnsiTheme="majorHAnsi"/>
                <w:b/>
                <w:bCs/>
                <w:iCs/>
                <w:sz w:val="20"/>
                <w:szCs w:val="20"/>
              </w:rPr>
            </w:pPr>
          </w:p>
        </w:tc>
        <w:tc>
          <w:tcPr>
            <w:tcW w:w="1250" w:type="pct"/>
            <w:shd w:val="clear" w:color="auto" w:fill="FFFFFF" w:themeFill="background1"/>
          </w:tcPr>
          <w:p w14:paraId="516C24EC" w14:textId="77777777" w:rsidR="0021596A" w:rsidRPr="00AE0369" w:rsidRDefault="0021596A" w:rsidP="0021596A">
            <w:pPr>
              <w:jc w:val="both"/>
              <w:rPr>
                <w:rFonts w:asciiTheme="majorHAnsi" w:hAnsiTheme="majorHAnsi"/>
                <w:b/>
                <w:bCs/>
                <w:iCs/>
                <w:sz w:val="20"/>
                <w:szCs w:val="20"/>
              </w:rPr>
            </w:pPr>
          </w:p>
        </w:tc>
        <w:tc>
          <w:tcPr>
            <w:tcW w:w="1250" w:type="pct"/>
            <w:shd w:val="clear" w:color="auto" w:fill="FFFFFF" w:themeFill="background1"/>
          </w:tcPr>
          <w:p w14:paraId="3CD141D5" w14:textId="243A407B" w:rsidR="0021596A" w:rsidRPr="0021596A" w:rsidRDefault="0021596A" w:rsidP="0021596A">
            <w:pPr>
              <w:pStyle w:val="Prrafodelista"/>
              <w:numPr>
                <w:ilvl w:val="0"/>
                <w:numId w:val="11"/>
              </w:numPr>
              <w:ind w:left="380"/>
              <w:jc w:val="both"/>
              <w:rPr>
                <w:rFonts w:ascii="Arial Narrow" w:hAnsi="Arial Narrow"/>
                <w:b/>
                <w:bCs/>
                <w:iCs/>
                <w:sz w:val="20"/>
                <w:szCs w:val="20"/>
              </w:rPr>
            </w:pPr>
            <w:r w:rsidRPr="0021596A">
              <w:rPr>
                <w:rFonts w:ascii="Cambria" w:hAnsi="Cambria"/>
                <w:iCs/>
                <w:color w:val="0000FF"/>
                <w:sz w:val="20"/>
                <w:szCs w:val="20"/>
              </w:rPr>
              <w:t xml:space="preserve">El Superintendente de Seguros, mediante oficio SGS-0478-2023 del 13 de abril del 2023, en acatamiento del artículo 361, numeral 2, de la Ley General de Administración Pública, envió a consulta de las entidades supervisadas el proyecto de acuerdo denominado </w:t>
            </w:r>
            <w:r w:rsidRPr="0021596A">
              <w:rPr>
                <w:rFonts w:ascii="Cambria" w:hAnsi="Cambria"/>
                <w:i/>
                <w:color w:val="0000FF"/>
                <w:sz w:val="20"/>
                <w:szCs w:val="20"/>
              </w:rPr>
              <w:lastRenderedPageBreak/>
              <w:t>“Modificaciones al Acuerdo SGS-A-021-2013, para normar la remisión de información crediticia de conformidad con el Reglamento sobre el cálculo de estimaciones crediticias (Conassif 14-21)”</w:t>
            </w:r>
            <w:r w:rsidRPr="0021596A">
              <w:rPr>
                <w:rFonts w:ascii="Cambria" w:hAnsi="Cambria"/>
                <w:iCs/>
                <w:color w:val="0000FF"/>
                <w:sz w:val="20"/>
                <w:szCs w:val="20"/>
              </w:rPr>
              <w:t xml:space="preserve"> por un plazo de diez días hábiles. Una vez recibidas y analizadas las observaciones de las entidades que atendieron la consulta, lo que procede es la emisión definitiva del acuerdo por parte del Superintendente de Seguros.</w:t>
            </w:r>
          </w:p>
        </w:tc>
      </w:tr>
      <w:tr w:rsidR="0054318C" w:rsidRPr="008856E4" w14:paraId="056CA056" w14:textId="77777777" w:rsidTr="00901876">
        <w:tc>
          <w:tcPr>
            <w:tcW w:w="1250" w:type="pct"/>
            <w:shd w:val="clear" w:color="auto" w:fill="FFFFFF" w:themeFill="background1"/>
          </w:tcPr>
          <w:p w14:paraId="10804586" w14:textId="77777777" w:rsidR="0054318C" w:rsidRPr="00C966DF" w:rsidRDefault="0054318C" w:rsidP="0054318C">
            <w:pPr>
              <w:jc w:val="both"/>
              <w:rPr>
                <w:rFonts w:ascii="Cambria" w:hAnsi="Cambria"/>
                <w:b/>
                <w:bCs/>
                <w:sz w:val="20"/>
                <w:szCs w:val="20"/>
              </w:rPr>
            </w:pPr>
          </w:p>
        </w:tc>
        <w:tc>
          <w:tcPr>
            <w:tcW w:w="1250" w:type="pct"/>
            <w:shd w:val="clear" w:color="auto" w:fill="FFFFFF" w:themeFill="background1"/>
          </w:tcPr>
          <w:p w14:paraId="23F7ED77" w14:textId="77777777" w:rsidR="0054318C" w:rsidRPr="00AE0369" w:rsidRDefault="0054318C" w:rsidP="00C966DF">
            <w:pPr>
              <w:jc w:val="both"/>
              <w:rPr>
                <w:rFonts w:asciiTheme="majorHAnsi" w:hAnsiTheme="majorHAnsi"/>
                <w:b/>
                <w:bCs/>
                <w:iCs/>
                <w:sz w:val="20"/>
                <w:szCs w:val="20"/>
              </w:rPr>
            </w:pPr>
          </w:p>
        </w:tc>
        <w:tc>
          <w:tcPr>
            <w:tcW w:w="1250" w:type="pct"/>
            <w:shd w:val="clear" w:color="auto" w:fill="FFFFFF" w:themeFill="background1"/>
          </w:tcPr>
          <w:p w14:paraId="795DA227" w14:textId="77777777" w:rsidR="0054318C" w:rsidRPr="00AE0369" w:rsidRDefault="0054318C" w:rsidP="00C966DF">
            <w:pPr>
              <w:jc w:val="both"/>
              <w:rPr>
                <w:rFonts w:asciiTheme="majorHAnsi" w:hAnsiTheme="majorHAnsi"/>
                <w:b/>
                <w:bCs/>
                <w:iCs/>
                <w:sz w:val="20"/>
                <w:szCs w:val="20"/>
              </w:rPr>
            </w:pPr>
          </w:p>
        </w:tc>
        <w:tc>
          <w:tcPr>
            <w:tcW w:w="1250" w:type="pct"/>
            <w:shd w:val="clear" w:color="auto" w:fill="FFFFFF" w:themeFill="background1"/>
          </w:tcPr>
          <w:p w14:paraId="1822ADA7" w14:textId="77777777" w:rsidR="0054318C" w:rsidRPr="008856E4" w:rsidRDefault="0054318C" w:rsidP="00C966DF">
            <w:pPr>
              <w:jc w:val="center"/>
              <w:rPr>
                <w:rFonts w:ascii="Arial Narrow" w:hAnsi="Arial Narrow"/>
                <w:b/>
                <w:bCs/>
                <w:iCs/>
                <w:sz w:val="20"/>
                <w:szCs w:val="20"/>
              </w:rPr>
            </w:pPr>
          </w:p>
        </w:tc>
      </w:tr>
      <w:tr w:rsidR="00D139E2" w:rsidRPr="008856E4" w14:paraId="7A616060" w14:textId="77777777" w:rsidTr="00901876">
        <w:tc>
          <w:tcPr>
            <w:tcW w:w="1250" w:type="pct"/>
            <w:shd w:val="clear" w:color="auto" w:fill="FFFFFF" w:themeFill="background1"/>
          </w:tcPr>
          <w:p w14:paraId="6B574E40" w14:textId="04BB4973" w:rsidR="00D139E2" w:rsidRPr="00C966DF" w:rsidRDefault="00D139E2" w:rsidP="00D139E2">
            <w:pPr>
              <w:jc w:val="both"/>
              <w:rPr>
                <w:rFonts w:ascii="Cambria" w:hAnsi="Cambria"/>
                <w:color w:val="000000"/>
                <w:sz w:val="20"/>
                <w:szCs w:val="20"/>
              </w:rPr>
            </w:pPr>
            <w:r w:rsidRPr="00C966DF">
              <w:rPr>
                <w:rFonts w:ascii="Cambria" w:hAnsi="Cambria"/>
                <w:b/>
                <w:bCs/>
                <w:sz w:val="20"/>
                <w:szCs w:val="20"/>
              </w:rPr>
              <w:t>Dispone:</w:t>
            </w:r>
          </w:p>
        </w:tc>
        <w:tc>
          <w:tcPr>
            <w:tcW w:w="1250" w:type="pct"/>
            <w:shd w:val="clear" w:color="auto" w:fill="FFFFFF" w:themeFill="background1"/>
          </w:tcPr>
          <w:p w14:paraId="0F61E0CB" w14:textId="77777777" w:rsidR="00D139E2" w:rsidRPr="00AE0369" w:rsidRDefault="00D139E2" w:rsidP="00D139E2">
            <w:pPr>
              <w:jc w:val="both"/>
              <w:rPr>
                <w:rFonts w:asciiTheme="majorHAnsi" w:hAnsiTheme="majorHAnsi"/>
                <w:b/>
                <w:bCs/>
                <w:iCs/>
                <w:sz w:val="20"/>
                <w:szCs w:val="20"/>
              </w:rPr>
            </w:pPr>
          </w:p>
        </w:tc>
        <w:tc>
          <w:tcPr>
            <w:tcW w:w="1250" w:type="pct"/>
            <w:shd w:val="clear" w:color="auto" w:fill="FFFFFF" w:themeFill="background1"/>
          </w:tcPr>
          <w:p w14:paraId="38F982D2" w14:textId="77777777" w:rsidR="00D139E2" w:rsidRPr="00AE0369" w:rsidRDefault="00D139E2" w:rsidP="00D139E2">
            <w:pPr>
              <w:jc w:val="both"/>
              <w:rPr>
                <w:rFonts w:asciiTheme="majorHAnsi" w:hAnsiTheme="majorHAnsi"/>
                <w:b/>
                <w:bCs/>
                <w:iCs/>
                <w:sz w:val="20"/>
                <w:szCs w:val="20"/>
              </w:rPr>
            </w:pPr>
          </w:p>
        </w:tc>
        <w:tc>
          <w:tcPr>
            <w:tcW w:w="1250" w:type="pct"/>
            <w:shd w:val="clear" w:color="auto" w:fill="FFFFFF" w:themeFill="background1"/>
          </w:tcPr>
          <w:p w14:paraId="571C792C" w14:textId="26F7AE43" w:rsidR="00D139E2" w:rsidRPr="008856E4" w:rsidRDefault="00D139E2" w:rsidP="00D139E2">
            <w:pPr>
              <w:jc w:val="center"/>
              <w:rPr>
                <w:rFonts w:ascii="Arial Narrow" w:hAnsi="Arial Narrow"/>
                <w:b/>
                <w:bCs/>
                <w:iCs/>
                <w:sz w:val="20"/>
                <w:szCs w:val="20"/>
              </w:rPr>
            </w:pPr>
            <w:r w:rsidRPr="00C966DF">
              <w:rPr>
                <w:rFonts w:ascii="Cambria" w:hAnsi="Cambria"/>
                <w:b/>
                <w:bCs/>
                <w:sz w:val="20"/>
                <w:szCs w:val="20"/>
              </w:rPr>
              <w:t>Dispone:</w:t>
            </w:r>
          </w:p>
        </w:tc>
      </w:tr>
      <w:tr w:rsidR="00D139E2" w:rsidRPr="008856E4" w14:paraId="16C88D82" w14:textId="77777777" w:rsidTr="00901876">
        <w:tc>
          <w:tcPr>
            <w:tcW w:w="1250" w:type="pct"/>
            <w:shd w:val="clear" w:color="auto" w:fill="FFFFFF" w:themeFill="background1"/>
          </w:tcPr>
          <w:p w14:paraId="26E961DC" w14:textId="77777777" w:rsidR="00D139E2" w:rsidRDefault="00D139E2" w:rsidP="00D139E2">
            <w:pPr>
              <w:jc w:val="both"/>
              <w:rPr>
                <w:rFonts w:ascii="Cambria" w:hAnsi="Cambria"/>
                <w:b/>
                <w:bCs/>
                <w:color w:val="000000"/>
                <w:sz w:val="20"/>
                <w:szCs w:val="20"/>
              </w:rPr>
            </w:pPr>
            <w:r w:rsidRPr="00C966DF">
              <w:rPr>
                <w:rFonts w:ascii="Cambria" w:hAnsi="Cambria"/>
                <w:b/>
                <w:bCs/>
                <w:color w:val="000000"/>
                <w:sz w:val="20"/>
                <w:szCs w:val="20"/>
              </w:rPr>
              <w:t xml:space="preserve">I. Modificar el artículo 2 del acuerdo SGS-A-0021-2013 para  incluir una línea final a la tabla contenida en dicho artículo y agregar un penúltimo párrafo, que se lean de la siguiente forma: </w:t>
            </w:r>
          </w:p>
          <w:p w14:paraId="24523B00" w14:textId="77777777" w:rsidR="004875A9" w:rsidRPr="00C966DF" w:rsidRDefault="004875A9" w:rsidP="00D139E2">
            <w:pPr>
              <w:jc w:val="both"/>
              <w:rPr>
                <w:rFonts w:ascii="Cambria" w:hAnsi="Cambria"/>
                <w:b/>
                <w:bCs/>
                <w:color w:val="000000"/>
                <w:sz w:val="20"/>
                <w:szCs w:val="20"/>
              </w:rPr>
            </w:pPr>
          </w:p>
          <w:p w14:paraId="7987F591" w14:textId="77777777" w:rsidR="00D139E2" w:rsidRPr="00C966DF" w:rsidRDefault="00D139E2" w:rsidP="00D139E2">
            <w:pPr>
              <w:jc w:val="both"/>
              <w:rPr>
                <w:rFonts w:ascii="Cambria" w:hAnsi="Cambria"/>
                <w:b/>
                <w:bCs/>
                <w:sz w:val="20"/>
                <w:szCs w:val="20"/>
              </w:rPr>
            </w:pPr>
          </w:p>
        </w:tc>
        <w:tc>
          <w:tcPr>
            <w:tcW w:w="1250" w:type="pct"/>
            <w:shd w:val="clear" w:color="auto" w:fill="FFFFFF" w:themeFill="background1"/>
          </w:tcPr>
          <w:p w14:paraId="6FE4A253" w14:textId="77777777" w:rsidR="00D139E2" w:rsidRPr="00AE0369" w:rsidRDefault="00D139E2" w:rsidP="00D139E2">
            <w:pPr>
              <w:jc w:val="both"/>
              <w:rPr>
                <w:rFonts w:asciiTheme="majorHAnsi" w:hAnsiTheme="majorHAnsi"/>
                <w:b/>
                <w:bCs/>
                <w:iCs/>
                <w:sz w:val="20"/>
                <w:szCs w:val="20"/>
              </w:rPr>
            </w:pPr>
          </w:p>
        </w:tc>
        <w:tc>
          <w:tcPr>
            <w:tcW w:w="1250" w:type="pct"/>
            <w:shd w:val="clear" w:color="auto" w:fill="FFFFFF" w:themeFill="background1"/>
          </w:tcPr>
          <w:p w14:paraId="313444A9" w14:textId="77777777" w:rsidR="00D139E2" w:rsidRPr="00AE0369" w:rsidRDefault="00D139E2" w:rsidP="00D139E2">
            <w:pPr>
              <w:jc w:val="both"/>
              <w:rPr>
                <w:rFonts w:asciiTheme="majorHAnsi" w:hAnsiTheme="majorHAnsi"/>
                <w:b/>
                <w:bCs/>
                <w:iCs/>
                <w:sz w:val="20"/>
                <w:szCs w:val="20"/>
              </w:rPr>
            </w:pPr>
          </w:p>
        </w:tc>
        <w:tc>
          <w:tcPr>
            <w:tcW w:w="1250" w:type="pct"/>
            <w:shd w:val="clear" w:color="auto" w:fill="FFFFFF" w:themeFill="background1"/>
          </w:tcPr>
          <w:p w14:paraId="06E51790" w14:textId="77777777" w:rsidR="00D139E2" w:rsidRPr="00C966DF" w:rsidRDefault="00D139E2" w:rsidP="00D139E2">
            <w:pPr>
              <w:jc w:val="both"/>
              <w:rPr>
                <w:rFonts w:ascii="Cambria" w:hAnsi="Cambria"/>
                <w:b/>
                <w:bCs/>
                <w:color w:val="000000"/>
                <w:sz w:val="20"/>
                <w:szCs w:val="20"/>
              </w:rPr>
            </w:pPr>
            <w:r w:rsidRPr="00C966DF">
              <w:rPr>
                <w:rFonts w:ascii="Cambria" w:hAnsi="Cambria"/>
                <w:b/>
                <w:bCs/>
                <w:color w:val="000000"/>
                <w:sz w:val="20"/>
                <w:szCs w:val="20"/>
              </w:rPr>
              <w:t xml:space="preserve">I. Modificar el artículo 2 del acuerdo SGS-A-0021-2013 para  incluir una línea final a la tabla contenida en dicho artículo y agregar un penúltimo párrafo, que se lean de la siguiente forma: </w:t>
            </w:r>
          </w:p>
          <w:p w14:paraId="3D3AE0A2" w14:textId="77777777" w:rsidR="00D139E2" w:rsidRPr="008856E4" w:rsidRDefault="00D139E2" w:rsidP="00D139E2">
            <w:pPr>
              <w:jc w:val="center"/>
              <w:rPr>
                <w:rFonts w:ascii="Arial Narrow" w:hAnsi="Arial Narrow"/>
                <w:b/>
                <w:bCs/>
                <w:iCs/>
                <w:sz w:val="20"/>
                <w:szCs w:val="20"/>
              </w:rPr>
            </w:pPr>
          </w:p>
        </w:tc>
      </w:tr>
      <w:tr w:rsidR="00D139E2" w:rsidRPr="008856E4" w14:paraId="2C181A98" w14:textId="77777777" w:rsidTr="00901876">
        <w:tc>
          <w:tcPr>
            <w:tcW w:w="1250" w:type="pct"/>
            <w:shd w:val="clear" w:color="auto" w:fill="FFFFFF" w:themeFill="background1"/>
          </w:tcPr>
          <w:p w14:paraId="33C11070" w14:textId="77777777" w:rsidR="00D139E2" w:rsidRPr="00C966DF" w:rsidRDefault="00D139E2" w:rsidP="00D139E2">
            <w:pPr>
              <w:jc w:val="both"/>
              <w:rPr>
                <w:rFonts w:ascii="Cambria" w:hAnsi="Cambria"/>
                <w:b/>
                <w:i/>
                <w:iCs/>
                <w:sz w:val="20"/>
                <w:szCs w:val="20"/>
              </w:rPr>
            </w:pPr>
            <w:r w:rsidRPr="00C966DF">
              <w:rPr>
                <w:rFonts w:ascii="Cambria" w:hAnsi="Cambria"/>
                <w:b/>
                <w:i/>
                <w:iCs/>
                <w:sz w:val="20"/>
                <w:szCs w:val="20"/>
              </w:rPr>
              <w:t xml:space="preserve">Artículo 2. Información que deben Enviar las Entidades de Seguros, Periodicidad, Plazo y Medio de Remisión </w:t>
            </w:r>
          </w:p>
          <w:p w14:paraId="10A05CA7" w14:textId="77777777" w:rsidR="00D139E2" w:rsidRPr="00C966DF" w:rsidRDefault="00D139E2" w:rsidP="00D139E2">
            <w:pPr>
              <w:jc w:val="both"/>
              <w:rPr>
                <w:rFonts w:ascii="Cambria" w:hAnsi="Cambria"/>
                <w:i/>
                <w:iCs/>
                <w:sz w:val="20"/>
                <w:szCs w:val="20"/>
              </w:rPr>
            </w:pPr>
            <w:r w:rsidRPr="00C966DF">
              <w:rPr>
                <w:rFonts w:ascii="Cambria" w:hAnsi="Cambria"/>
                <w:i/>
                <w:iCs/>
                <w:sz w:val="20"/>
                <w:szCs w:val="20"/>
              </w:rPr>
              <w:t>…</w:t>
            </w:r>
          </w:p>
          <w:tbl>
            <w:tblPr>
              <w:tblStyle w:val="Tablaconcuadrcula"/>
              <w:tblpPr w:leftFromText="141" w:rightFromText="141" w:vertAnchor="page" w:horzAnchor="margin" w:tblpY="1381"/>
              <w:tblOverlap w:val="never"/>
              <w:tblW w:w="3256" w:type="dxa"/>
              <w:tblLayout w:type="fixed"/>
              <w:tblLook w:val="04A0" w:firstRow="1" w:lastRow="0" w:firstColumn="1" w:lastColumn="0" w:noHBand="0" w:noVBand="1"/>
            </w:tblPr>
            <w:tblGrid>
              <w:gridCol w:w="846"/>
              <w:gridCol w:w="709"/>
              <w:gridCol w:w="850"/>
              <w:gridCol w:w="851"/>
            </w:tblGrid>
            <w:tr w:rsidR="008E5436" w:rsidRPr="00121E84" w14:paraId="0010F97C" w14:textId="77777777" w:rsidTr="005418ED">
              <w:trPr>
                <w:cantSplit/>
                <w:tblHeader/>
              </w:trPr>
              <w:tc>
                <w:tcPr>
                  <w:tcW w:w="129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2211A9" w14:textId="77777777" w:rsidR="008E5436" w:rsidRPr="00121E84" w:rsidRDefault="008E5436" w:rsidP="008E5436">
                  <w:pPr>
                    <w:widowControl w:val="0"/>
                    <w:jc w:val="both"/>
                    <w:rPr>
                      <w:rFonts w:ascii="Cambria" w:hAnsi="Cambria"/>
                      <w:b/>
                      <w:i/>
                      <w:iCs/>
                      <w:snapToGrid w:val="0"/>
                      <w:sz w:val="16"/>
                      <w:szCs w:val="16"/>
                    </w:rPr>
                  </w:pPr>
                  <w:r w:rsidRPr="00121E84">
                    <w:rPr>
                      <w:rFonts w:ascii="Cambria" w:hAnsi="Cambria"/>
                      <w:b/>
                      <w:i/>
                      <w:iCs/>
                      <w:snapToGrid w:val="0"/>
                      <w:sz w:val="16"/>
                      <w:szCs w:val="16"/>
                    </w:rPr>
                    <w:t>Información</w:t>
                  </w:r>
                </w:p>
              </w:tc>
              <w:tc>
                <w:tcPr>
                  <w:tcW w:w="108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0C525D" w14:textId="77777777" w:rsidR="008E5436" w:rsidRPr="00121E84" w:rsidRDefault="008E5436" w:rsidP="008E5436">
                  <w:pPr>
                    <w:pStyle w:val="Ttulo5"/>
                    <w:jc w:val="both"/>
                    <w:outlineLvl w:val="4"/>
                    <w:rPr>
                      <w:rFonts w:ascii="Cambria" w:hAnsi="Cambria"/>
                      <w:b w:val="0"/>
                      <w:iCs/>
                      <w:snapToGrid/>
                      <w:sz w:val="16"/>
                      <w:szCs w:val="16"/>
                    </w:rPr>
                  </w:pPr>
                  <w:r w:rsidRPr="00121E84">
                    <w:rPr>
                      <w:rFonts w:ascii="Cambria" w:hAnsi="Cambria"/>
                      <w:iCs/>
                      <w:sz w:val="16"/>
                      <w:szCs w:val="16"/>
                    </w:rPr>
                    <w:t>Periodicidad</w:t>
                  </w:r>
                </w:p>
              </w:tc>
              <w:tc>
                <w:tcPr>
                  <w:tcW w:w="13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C0AF0D" w14:textId="77777777" w:rsidR="008E5436" w:rsidRPr="00121E84" w:rsidRDefault="008E5436" w:rsidP="008E5436">
                  <w:pPr>
                    <w:widowControl w:val="0"/>
                    <w:jc w:val="both"/>
                    <w:rPr>
                      <w:rFonts w:ascii="Cambria" w:hAnsi="Cambria"/>
                      <w:b/>
                      <w:i/>
                      <w:iCs/>
                      <w:snapToGrid w:val="0"/>
                      <w:sz w:val="16"/>
                      <w:szCs w:val="16"/>
                    </w:rPr>
                  </w:pPr>
                  <w:r w:rsidRPr="00121E84">
                    <w:rPr>
                      <w:rFonts w:ascii="Cambria" w:hAnsi="Cambria"/>
                      <w:b/>
                      <w:i/>
                      <w:iCs/>
                      <w:snapToGrid w:val="0"/>
                      <w:sz w:val="16"/>
                      <w:szCs w:val="16"/>
                    </w:rPr>
                    <w:t>Plazo de entrega</w:t>
                  </w:r>
                </w:p>
              </w:tc>
              <w:tc>
                <w:tcPr>
                  <w:tcW w:w="13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084377" w14:textId="77777777" w:rsidR="008E5436" w:rsidRPr="00121E84" w:rsidRDefault="008E5436" w:rsidP="008E5436">
                  <w:pPr>
                    <w:widowControl w:val="0"/>
                    <w:jc w:val="both"/>
                    <w:rPr>
                      <w:rFonts w:ascii="Cambria" w:hAnsi="Cambria"/>
                      <w:b/>
                      <w:i/>
                      <w:iCs/>
                      <w:snapToGrid w:val="0"/>
                      <w:sz w:val="16"/>
                      <w:szCs w:val="16"/>
                    </w:rPr>
                  </w:pPr>
                  <w:r w:rsidRPr="00121E84">
                    <w:rPr>
                      <w:rFonts w:ascii="Cambria" w:hAnsi="Cambria"/>
                      <w:b/>
                      <w:i/>
                      <w:iCs/>
                      <w:snapToGrid w:val="0"/>
                      <w:sz w:val="16"/>
                      <w:szCs w:val="16"/>
                    </w:rPr>
                    <w:t>Medio</w:t>
                  </w:r>
                </w:p>
              </w:tc>
            </w:tr>
            <w:tr w:rsidR="008E5436" w:rsidRPr="00121E84" w14:paraId="02C8EB3C" w14:textId="77777777" w:rsidTr="005418ED">
              <w:trPr>
                <w:cantSplit/>
              </w:trPr>
              <w:tc>
                <w:tcPr>
                  <w:tcW w:w="1299" w:type="pct"/>
                  <w:tcBorders>
                    <w:top w:val="single" w:sz="4" w:space="0" w:color="auto"/>
                    <w:left w:val="single" w:sz="4" w:space="0" w:color="auto"/>
                    <w:bottom w:val="single" w:sz="4" w:space="0" w:color="auto"/>
                    <w:right w:val="single" w:sz="4" w:space="0" w:color="auto"/>
                  </w:tcBorders>
                </w:tcPr>
                <w:p w14:paraId="263FC7F1" w14:textId="77777777" w:rsidR="008E5436" w:rsidRPr="00121E84" w:rsidRDefault="008E5436" w:rsidP="008E5436">
                  <w:pPr>
                    <w:widowControl w:val="0"/>
                    <w:jc w:val="both"/>
                    <w:rPr>
                      <w:rFonts w:ascii="Cambria" w:hAnsi="Cambria"/>
                      <w:b/>
                      <w:i/>
                      <w:iCs/>
                      <w:sz w:val="16"/>
                      <w:szCs w:val="16"/>
                    </w:rPr>
                  </w:pPr>
                  <w:r w:rsidRPr="00121E84">
                    <w:rPr>
                      <w:rFonts w:ascii="Cambria" w:hAnsi="Cambria"/>
                      <w:b/>
                      <w:i/>
                      <w:iCs/>
                      <w:sz w:val="16"/>
                      <w:szCs w:val="16"/>
                    </w:rPr>
                    <w:t>…</w:t>
                  </w:r>
                </w:p>
              </w:tc>
              <w:tc>
                <w:tcPr>
                  <w:tcW w:w="1089" w:type="pct"/>
                  <w:tcBorders>
                    <w:top w:val="single" w:sz="4" w:space="0" w:color="auto"/>
                    <w:left w:val="single" w:sz="4" w:space="0" w:color="auto"/>
                    <w:bottom w:val="single" w:sz="4" w:space="0" w:color="auto"/>
                    <w:right w:val="single" w:sz="4" w:space="0" w:color="auto"/>
                  </w:tcBorders>
                </w:tcPr>
                <w:p w14:paraId="77E61D60" w14:textId="77777777" w:rsidR="008E5436" w:rsidRPr="00121E84" w:rsidRDefault="008E5436" w:rsidP="008E5436">
                  <w:pPr>
                    <w:widowControl w:val="0"/>
                    <w:jc w:val="both"/>
                    <w:rPr>
                      <w:rFonts w:ascii="Cambria" w:hAnsi="Cambria"/>
                      <w:bCs/>
                      <w:i/>
                      <w:iCs/>
                      <w:sz w:val="16"/>
                      <w:szCs w:val="16"/>
                    </w:rPr>
                  </w:pPr>
                </w:p>
              </w:tc>
              <w:tc>
                <w:tcPr>
                  <w:tcW w:w="1305" w:type="pct"/>
                  <w:tcBorders>
                    <w:top w:val="single" w:sz="4" w:space="0" w:color="auto"/>
                    <w:left w:val="single" w:sz="4" w:space="0" w:color="auto"/>
                    <w:bottom w:val="single" w:sz="4" w:space="0" w:color="auto"/>
                    <w:right w:val="single" w:sz="4" w:space="0" w:color="auto"/>
                  </w:tcBorders>
                </w:tcPr>
                <w:p w14:paraId="5201D586" w14:textId="77777777" w:rsidR="008E5436" w:rsidRPr="00121E84" w:rsidRDefault="008E5436" w:rsidP="008E5436">
                  <w:pPr>
                    <w:widowControl w:val="0"/>
                    <w:jc w:val="both"/>
                    <w:rPr>
                      <w:rFonts w:ascii="Cambria" w:hAnsi="Cambria"/>
                      <w:bCs/>
                      <w:i/>
                      <w:iCs/>
                      <w:sz w:val="16"/>
                      <w:szCs w:val="16"/>
                    </w:rPr>
                  </w:pPr>
                </w:p>
              </w:tc>
              <w:tc>
                <w:tcPr>
                  <w:tcW w:w="1307" w:type="pct"/>
                  <w:tcBorders>
                    <w:top w:val="single" w:sz="4" w:space="0" w:color="auto"/>
                    <w:left w:val="single" w:sz="4" w:space="0" w:color="auto"/>
                    <w:bottom w:val="single" w:sz="4" w:space="0" w:color="auto"/>
                    <w:right w:val="single" w:sz="4" w:space="0" w:color="auto"/>
                  </w:tcBorders>
                </w:tcPr>
                <w:p w14:paraId="2B695404" w14:textId="77777777" w:rsidR="008E5436" w:rsidRPr="00121E84" w:rsidRDefault="008E5436" w:rsidP="008E5436">
                  <w:pPr>
                    <w:widowControl w:val="0"/>
                    <w:jc w:val="both"/>
                    <w:rPr>
                      <w:rFonts w:ascii="Cambria" w:hAnsi="Cambria"/>
                      <w:i/>
                      <w:iCs/>
                      <w:sz w:val="16"/>
                      <w:szCs w:val="16"/>
                    </w:rPr>
                  </w:pPr>
                </w:p>
              </w:tc>
            </w:tr>
            <w:tr w:rsidR="008E5436" w:rsidRPr="00121E84" w14:paraId="4B6562D4" w14:textId="77777777" w:rsidTr="005418ED">
              <w:trPr>
                <w:cantSplit/>
              </w:trPr>
              <w:tc>
                <w:tcPr>
                  <w:tcW w:w="1299" w:type="pct"/>
                  <w:tcBorders>
                    <w:top w:val="single" w:sz="4" w:space="0" w:color="auto"/>
                    <w:left w:val="single" w:sz="4" w:space="0" w:color="auto"/>
                    <w:bottom w:val="single" w:sz="4" w:space="0" w:color="auto"/>
                    <w:right w:val="single" w:sz="4" w:space="0" w:color="auto"/>
                  </w:tcBorders>
                </w:tcPr>
                <w:p w14:paraId="70F4FEBD" w14:textId="77777777" w:rsidR="008E5436" w:rsidRPr="00121E84" w:rsidRDefault="008E5436" w:rsidP="008E5436">
                  <w:pPr>
                    <w:widowControl w:val="0"/>
                    <w:jc w:val="both"/>
                    <w:rPr>
                      <w:rFonts w:ascii="Cambria" w:hAnsi="Cambria"/>
                      <w:b/>
                      <w:i/>
                      <w:iCs/>
                      <w:sz w:val="16"/>
                      <w:szCs w:val="16"/>
                    </w:rPr>
                  </w:pPr>
                  <w:r w:rsidRPr="00121E84">
                    <w:rPr>
                      <w:rFonts w:ascii="Cambria" w:hAnsi="Cambria"/>
                      <w:b/>
                      <w:i/>
                      <w:iCs/>
                      <w:sz w:val="16"/>
                      <w:szCs w:val="16"/>
                    </w:rPr>
                    <w:t>Información Crediticia</w:t>
                  </w:r>
                </w:p>
              </w:tc>
              <w:tc>
                <w:tcPr>
                  <w:tcW w:w="1089" w:type="pct"/>
                  <w:tcBorders>
                    <w:top w:val="single" w:sz="4" w:space="0" w:color="auto"/>
                    <w:left w:val="single" w:sz="4" w:space="0" w:color="auto"/>
                    <w:bottom w:val="single" w:sz="4" w:space="0" w:color="auto"/>
                    <w:right w:val="single" w:sz="4" w:space="0" w:color="auto"/>
                  </w:tcBorders>
                </w:tcPr>
                <w:p w14:paraId="01DD7D5F" w14:textId="77777777" w:rsidR="008E5436" w:rsidRPr="00121E84" w:rsidRDefault="008E5436" w:rsidP="008E5436">
                  <w:pPr>
                    <w:widowControl w:val="0"/>
                    <w:jc w:val="both"/>
                    <w:rPr>
                      <w:rFonts w:ascii="Cambria" w:hAnsi="Cambria"/>
                      <w:bCs/>
                      <w:i/>
                      <w:iCs/>
                      <w:sz w:val="16"/>
                      <w:szCs w:val="16"/>
                    </w:rPr>
                  </w:pPr>
                  <w:r w:rsidRPr="00121E84">
                    <w:rPr>
                      <w:rFonts w:ascii="Cambria" w:hAnsi="Cambria"/>
                      <w:bCs/>
                      <w:i/>
                      <w:iCs/>
                      <w:sz w:val="16"/>
                      <w:szCs w:val="16"/>
                    </w:rPr>
                    <w:t>Trimestral</w:t>
                  </w:r>
                </w:p>
              </w:tc>
              <w:tc>
                <w:tcPr>
                  <w:tcW w:w="1305" w:type="pct"/>
                  <w:tcBorders>
                    <w:top w:val="single" w:sz="4" w:space="0" w:color="auto"/>
                    <w:left w:val="single" w:sz="4" w:space="0" w:color="auto"/>
                    <w:bottom w:val="single" w:sz="4" w:space="0" w:color="auto"/>
                    <w:right w:val="single" w:sz="4" w:space="0" w:color="auto"/>
                  </w:tcBorders>
                </w:tcPr>
                <w:p w14:paraId="291F4E80" w14:textId="77777777" w:rsidR="008E5436" w:rsidRPr="00121E84" w:rsidRDefault="008E5436" w:rsidP="008E5436">
                  <w:pPr>
                    <w:widowControl w:val="0"/>
                    <w:jc w:val="both"/>
                    <w:rPr>
                      <w:rFonts w:ascii="Cambria" w:hAnsi="Cambria"/>
                      <w:bCs/>
                      <w:i/>
                      <w:iCs/>
                      <w:sz w:val="16"/>
                      <w:szCs w:val="16"/>
                    </w:rPr>
                  </w:pPr>
                  <w:r w:rsidRPr="00121E84">
                    <w:rPr>
                      <w:rFonts w:ascii="Cambria" w:hAnsi="Cambria"/>
                      <w:bCs/>
                      <w:i/>
                      <w:iCs/>
                      <w:sz w:val="16"/>
                      <w:szCs w:val="16"/>
                    </w:rPr>
                    <w:t xml:space="preserve">15 días hábiles después del cierre de los meses de </w:t>
                  </w:r>
                  <w:r w:rsidRPr="00121E84">
                    <w:rPr>
                      <w:rFonts w:ascii="Cambria" w:hAnsi="Cambria"/>
                      <w:bCs/>
                      <w:i/>
                      <w:iCs/>
                      <w:sz w:val="16"/>
                      <w:szCs w:val="16"/>
                    </w:rPr>
                    <w:lastRenderedPageBreak/>
                    <w:t>marzo, junio, setiembre y diciembre</w:t>
                  </w:r>
                </w:p>
              </w:tc>
              <w:tc>
                <w:tcPr>
                  <w:tcW w:w="1307" w:type="pct"/>
                  <w:tcBorders>
                    <w:top w:val="single" w:sz="4" w:space="0" w:color="auto"/>
                    <w:left w:val="single" w:sz="4" w:space="0" w:color="auto"/>
                    <w:bottom w:val="single" w:sz="4" w:space="0" w:color="auto"/>
                    <w:right w:val="single" w:sz="4" w:space="0" w:color="auto"/>
                  </w:tcBorders>
                </w:tcPr>
                <w:p w14:paraId="311345B1" w14:textId="77777777" w:rsidR="008E5436" w:rsidRPr="00121E84" w:rsidRDefault="008E5436" w:rsidP="008E5436">
                  <w:pPr>
                    <w:widowControl w:val="0"/>
                    <w:jc w:val="both"/>
                    <w:rPr>
                      <w:rFonts w:ascii="Cambria" w:hAnsi="Cambria"/>
                      <w:i/>
                      <w:iCs/>
                      <w:sz w:val="16"/>
                      <w:szCs w:val="16"/>
                    </w:rPr>
                  </w:pPr>
                  <w:r w:rsidRPr="00121E84">
                    <w:rPr>
                      <w:rFonts w:ascii="Cambria" w:hAnsi="Cambria"/>
                      <w:i/>
                      <w:iCs/>
                      <w:sz w:val="16"/>
                      <w:szCs w:val="16"/>
                    </w:rPr>
                    <w:lastRenderedPageBreak/>
                    <w:t xml:space="preserve">En hoja electrónica (Excel), según formato </w:t>
                  </w:r>
                  <w:r w:rsidRPr="00121E84">
                    <w:rPr>
                      <w:rFonts w:ascii="Cambria" w:hAnsi="Cambria"/>
                      <w:i/>
                      <w:iCs/>
                      <w:sz w:val="16"/>
                      <w:szCs w:val="16"/>
                    </w:rPr>
                    <w:lastRenderedPageBreak/>
                    <w:t xml:space="preserve">establecido en el </w:t>
                  </w:r>
                  <w:r w:rsidRPr="00121E84">
                    <w:rPr>
                      <w:rFonts w:ascii="Cambria" w:hAnsi="Cambria"/>
                      <w:b/>
                      <w:i/>
                      <w:iCs/>
                      <w:sz w:val="16"/>
                      <w:szCs w:val="16"/>
                    </w:rPr>
                    <w:t xml:space="preserve">Anexo 15, </w:t>
                  </w:r>
                  <w:r w:rsidRPr="00121E84">
                    <w:rPr>
                      <w:rFonts w:ascii="Cambria" w:hAnsi="Cambria"/>
                      <w:i/>
                      <w:iCs/>
                      <w:sz w:val="16"/>
                      <w:szCs w:val="16"/>
                    </w:rPr>
                    <w:t>remitida como requerimiento mediante el Servicio de Ejecución de Estudios y Seguimiento (EES) de SUGESE en Línea.</w:t>
                  </w:r>
                </w:p>
              </w:tc>
            </w:tr>
          </w:tbl>
          <w:p w14:paraId="730F1C7A" w14:textId="77777777" w:rsidR="00D139E2" w:rsidRPr="00C966DF" w:rsidRDefault="00D139E2" w:rsidP="00D139E2">
            <w:pPr>
              <w:jc w:val="both"/>
              <w:rPr>
                <w:rFonts w:ascii="Cambria" w:hAnsi="Cambria"/>
                <w:i/>
                <w:iCs/>
                <w:sz w:val="20"/>
                <w:szCs w:val="20"/>
              </w:rPr>
            </w:pPr>
          </w:p>
          <w:p w14:paraId="25C45BCC" w14:textId="77777777" w:rsidR="00D139E2" w:rsidRPr="00C966DF" w:rsidRDefault="00D139E2" w:rsidP="00D139E2">
            <w:pPr>
              <w:jc w:val="both"/>
              <w:rPr>
                <w:rFonts w:ascii="Cambria" w:hAnsi="Cambria"/>
                <w:i/>
                <w:iCs/>
                <w:sz w:val="20"/>
                <w:szCs w:val="20"/>
              </w:rPr>
            </w:pPr>
          </w:p>
          <w:p w14:paraId="00C237B9" w14:textId="77777777" w:rsidR="00D139E2" w:rsidRPr="00C966DF" w:rsidRDefault="00D139E2" w:rsidP="00D139E2">
            <w:pPr>
              <w:jc w:val="both"/>
              <w:rPr>
                <w:rFonts w:ascii="Cambria" w:hAnsi="Cambria"/>
                <w:i/>
                <w:iCs/>
                <w:sz w:val="20"/>
                <w:szCs w:val="20"/>
              </w:rPr>
            </w:pPr>
          </w:p>
          <w:p w14:paraId="35E06403" w14:textId="77777777" w:rsidR="00D139E2" w:rsidRPr="00D139E2" w:rsidRDefault="00D139E2" w:rsidP="00D139E2">
            <w:pPr>
              <w:jc w:val="both"/>
              <w:rPr>
                <w:rFonts w:ascii="Cambria" w:hAnsi="Cambria"/>
                <w:i/>
                <w:iCs/>
                <w:sz w:val="20"/>
                <w:szCs w:val="20"/>
              </w:rPr>
            </w:pPr>
            <w:r w:rsidRPr="00D139E2">
              <w:rPr>
                <w:rFonts w:ascii="Cambria" w:hAnsi="Cambria"/>
                <w:i/>
                <w:iCs/>
                <w:sz w:val="20"/>
                <w:szCs w:val="20"/>
              </w:rPr>
              <w:t>…</w:t>
            </w:r>
          </w:p>
          <w:p w14:paraId="7C699C95" w14:textId="77777777" w:rsidR="00D139E2" w:rsidRPr="00D139E2" w:rsidRDefault="00D139E2" w:rsidP="00D139E2">
            <w:pPr>
              <w:jc w:val="both"/>
              <w:rPr>
                <w:rFonts w:ascii="Cambria" w:hAnsi="Cambria"/>
                <w:i/>
                <w:iCs/>
                <w:sz w:val="20"/>
                <w:szCs w:val="20"/>
              </w:rPr>
            </w:pPr>
            <w:r w:rsidRPr="00D139E2">
              <w:rPr>
                <w:rFonts w:ascii="Cambria" w:hAnsi="Cambria"/>
                <w:i/>
                <w:iCs/>
                <w:sz w:val="20"/>
                <w:szCs w:val="20"/>
              </w:rPr>
              <w:t>La entrega del Anexo 15 sobre Información Crediticia aplica únicamente para las aseguradoras que su objeto social permite el otorgamiento de crédito.</w:t>
            </w:r>
          </w:p>
          <w:p w14:paraId="7AA8EF18" w14:textId="77777777" w:rsidR="00D139E2" w:rsidRPr="00D139E2" w:rsidRDefault="00D139E2" w:rsidP="00D139E2">
            <w:pPr>
              <w:jc w:val="both"/>
              <w:rPr>
                <w:rFonts w:ascii="Cambria" w:hAnsi="Cambria"/>
                <w:i/>
                <w:iCs/>
                <w:sz w:val="20"/>
                <w:szCs w:val="20"/>
              </w:rPr>
            </w:pPr>
            <w:r w:rsidRPr="00D139E2">
              <w:rPr>
                <w:rFonts w:ascii="Cambria" w:hAnsi="Cambria"/>
                <w:i/>
                <w:iCs/>
                <w:sz w:val="20"/>
                <w:szCs w:val="20"/>
              </w:rPr>
              <w:t>…”</w:t>
            </w:r>
          </w:p>
          <w:p w14:paraId="6CCE83AF" w14:textId="77777777" w:rsidR="00D139E2" w:rsidRPr="00C966DF" w:rsidRDefault="00D139E2" w:rsidP="00D139E2">
            <w:pPr>
              <w:jc w:val="both"/>
              <w:rPr>
                <w:rFonts w:ascii="Cambria" w:hAnsi="Cambria"/>
                <w:b/>
                <w:bCs/>
                <w:color w:val="000000"/>
                <w:sz w:val="20"/>
                <w:szCs w:val="20"/>
              </w:rPr>
            </w:pPr>
          </w:p>
        </w:tc>
        <w:tc>
          <w:tcPr>
            <w:tcW w:w="1250" w:type="pct"/>
            <w:shd w:val="clear" w:color="auto" w:fill="FFFFFF" w:themeFill="background1"/>
          </w:tcPr>
          <w:p w14:paraId="499EB0B5" w14:textId="2FD5CB9A" w:rsidR="00D139E2" w:rsidRPr="00D139E2" w:rsidRDefault="00D139E2" w:rsidP="00D139E2">
            <w:pPr>
              <w:jc w:val="both"/>
              <w:rPr>
                <w:rFonts w:asciiTheme="majorHAnsi" w:hAnsiTheme="majorHAnsi"/>
                <w:b/>
                <w:bCs/>
                <w:iCs/>
                <w:sz w:val="20"/>
                <w:szCs w:val="20"/>
              </w:rPr>
            </w:pPr>
            <w:r w:rsidRPr="00D139E2">
              <w:rPr>
                <w:rFonts w:ascii="Cambria" w:hAnsi="Cambria"/>
                <w:b/>
                <w:bCs/>
                <w:sz w:val="20"/>
                <w:szCs w:val="20"/>
              </w:rPr>
              <w:lastRenderedPageBreak/>
              <w:t>INS 1:</w:t>
            </w:r>
            <w:r w:rsidRPr="00D139E2">
              <w:rPr>
                <w:rFonts w:ascii="Cambria" w:hAnsi="Cambria"/>
                <w:sz w:val="20"/>
                <w:szCs w:val="20"/>
              </w:rPr>
              <w:t xml:space="preserve"> En cuanto al plazo de entrega, se requiere la indicación de que los 15 días hábiles se contabilizan a partir del cierre contable, para efectos de disponer de la información necesaria para el cálculo y elaboración del reporte.</w:t>
            </w:r>
          </w:p>
        </w:tc>
        <w:tc>
          <w:tcPr>
            <w:tcW w:w="1250" w:type="pct"/>
            <w:shd w:val="clear" w:color="auto" w:fill="FFFFFF" w:themeFill="background1"/>
          </w:tcPr>
          <w:p w14:paraId="67EDEB64" w14:textId="48151593" w:rsidR="00D139E2" w:rsidRPr="00D139E2" w:rsidRDefault="00CF1692" w:rsidP="00D139E2">
            <w:pPr>
              <w:jc w:val="both"/>
              <w:rPr>
                <w:rFonts w:ascii="Cambria" w:hAnsi="Cambria"/>
                <w:b/>
                <w:bCs/>
                <w:iCs/>
                <w:sz w:val="20"/>
                <w:szCs w:val="20"/>
              </w:rPr>
            </w:pPr>
            <w:r w:rsidRPr="00CF1692">
              <w:rPr>
                <w:rFonts w:ascii="Cambria" w:hAnsi="Cambria"/>
                <w:b/>
                <w:bCs/>
                <w:iCs/>
                <w:sz w:val="20"/>
                <w:szCs w:val="20"/>
              </w:rPr>
              <w:t xml:space="preserve">INS 1: No se acepta. </w:t>
            </w:r>
            <w:r w:rsidRPr="00CF1692">
              <w:rPr>
                <w:rFonts w:ascii="Cambria" w:hAnsi="Cambria"/>
                <w:iCs/>
                <w:sz w:val="20"/>
                <w:szCs w:val="20"/>
              </w:rPr>
              <w:t>Como es usual la indicación del cierre se refiere a la fecha en que se elaboran los estados, en este caso al 30 o 31 de cada trimestre, por lo que no se considerar necesario hacer la aclaración solicitada.</w:t>
            </w:r>
          </w:p>
        </w:tc>
        <w:tc>
          <w:tcPr>
            <w:tcW w:w="1250" w:type="pct"/>
            <w:shd w:val="clear" w:color="auto" w:fill="FFFFFF" w:themeFill="background1"/>
          </w:tcPr>
          <w:p w14:paraId="0596FB94" w14:textId="77777777" w:rsidR="00D139E2" w:rsidRPr="00C966DF" w:rsidRDefault="00D139E2" w:rsidP="00D139E2">
            <w:pPr>
              <w:jc w:val="both"/>
              <w:rPr>
                <w:rFonts w:ascii="Cambria" w:hAnsi="Cambria"/>
                <w:b/>
                <w:i/>
                <w:iCs/>
                <w:sz w:val="20"/>
                <w:szCs w:val="20"/>
              </w:rPr>
            </w:pPr>
            <w:r w:rsidRPr="00C966DF">
              <w:rPr>
                <w:rFonts w:ascii="Cambria" w:hAnsi="Cambria"/>
                <w:b/>
                <w:i/>
                <w:iCs/>
                <w:sz w:val="20"/>
                <w:szCs w:val="20"/>
              </w:rPr>
              <w:t xml:space="preserve">Artículo 2. Información que deben Enviar las Entidades de Seguros, Periodicidad, Plazo y Medio de Remisión </w:t>
            </w:r>
          </w:p>
          <w:p w14:paraId="0C3E1AA9" w14:textId="77777777" w:rsidR="00D139E2" w:rsidRPr="00C966DF" w:rsidRDefault="00D139E2" w:rsidP="00D139E2">
            <w:pPr>
              <w:jc w:val="both"/>
              <w:rPr>
                <w:rFonts w:ascii="Cambria" w:hAnsi="Cambria"/>
                <w:i/>
                <w:iCs/>
                <w:sz w:val="20"/>
                <w:szCs w:val="20"/>
              </w:rPr>
            </w:pPr>
            <w:r w:rsidRPr="00C966DF">
              <w:rPr>
                <w:rFonts w:ascii="Cambria" w:hAnsi="Cambria"/>
                <w:i/>
                <w:iCs/>
                <w:sz w:val="20"/>
                <w:szCs w:val="20"/>
              </w:rPr>
              <w:t>…</w:t>
            </w:r>
          </w:p>
          <w:tbl>
            <w:tblPr>
              <w:tblStyle w:val="Tablaconcuadrcula"/>
              <w:tblpPr w:leftFromText="141" w:rightFromText="141" w:vertAnchor="page" w:horzAnchor="margin" w:tblpY="1364"/>
              <w:tblOverlap w:val="never"/>
              <w:tblW w:w="3256" w:type="dxa"/>
              <w:tblLayout w:type="fixed"/>
              <w:tblLook w:val="04A0" w:firstRow="1" w:lastRow="0" w:firstColumn="1" w:lastColumn="0" w:noHBand="0" w:noVBand="1"/>
            </w:tblPr>
            <w:tblGrid>
              <w:gridCol w:w="846"/>
              <w:gridCol w:w="709"/>
              <w:gridCol w:w="850"/>
              <w:gridCol w:w="851"/>
            </w:tblGrid>
            <w:tr w:rsidR="008E5436" w:rsidRPr="00121E84" w14:paraId="4D240713" w14:textId="77777777" w:rsidTr="008E5436">
              <w:trPr>
                <w:cantSplit/>
                <w:tblHeader/>
              </w:trPr>
              <w:tc>
                <w:tcPr>
                  <w:tcW w:w="129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43F27B" w14:textId="77777777" w:rsidR="008E5436" w:rsidRPr="00121E84" w:rsidRDefault="008E5436" w:rsidP="008E5436">
                  <w:pPr>
                    <w:widowControl w:val="0"/>
                    <w:jc w:val="both"/>
                    <w:rPr>
                      <w:rFonts w:ascii="Cambria" w:hAnsi="Cambria"/>
                      <w:b/>
                      <w:i/>
                      <w:iCs/>
                      <w:snapToGrid w:val="0"/>
                      <w:sz w:val="16"/>
                      <w:szCs w:val="16"/>
                    </w:rPr>
                  </w:pPr>
                  <w:r w:rsidRPr="00121E84">
                    <w:rPr>
                      <w:rFonts w:ascii="Cambria" w:hAnsi="Cambria"/>
                      <w:b/>
                      <w:i/>
                      <w:iCs/>
                      <w:snapToGrid w:val="0"/>
                      <w:sz w:val="16"/>
                      <w:szCs w:val="16"/>
                    </w:rPr>
                    <w:t>Información</w:t>
                  </w:r>
                </w:p>
              </w:tc>
              <w:tc>
                <w:tcPr>
                  <w:tcW w:w="108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BA49C1" w14:textId="77777777" w:rsidR="008E5436" w:rsidRPr="00121E84" w:rsidRDefault="008E5436" w:rsidP="008E5436">
                  <w:pPr>
                    <w:pStyle w:val="Ttulo5"/>
                    <w:jc w:val="both"/>
                    <w:outlineLvl w:val="4"/>
                    <w:rPr>
                      <w:rFonts w:ascii="Cambria" w:hAnsi="Cambria"/>
                      <w:b w:val="0"/>
                      <w:iCs/>
                      <w:snapToGrid/>
                      <w:sz w:val="16"/>
                      <w:szCs w:val="16"/>
                    </w:rPr>
                  </w:pPr>
                  <w:r w:rsidRPr="00121E84">
                    <w:rPr>
                      <w:rFonts w:ascii="Cambria" w:hAnsi="Cambria"/>
                      <w:iCs/>
                      <w:sz w:val="16"/>
                      <w:szCs w:val="16"/>
                    </w:rPr>
                    <w:t>Periodicidad</w:t>
                  </w:r>
                </w:p>
              </w:tc>
              <w:tc>
                <w:tcPr>
                  <w:tcW w:w="13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AC2844" w14:textId="77777777" w:rsidR="008E5436" w:rsidRPr="00121E84" w:rsidRDefault="008E5436" w:rsidP="008E5436">
                  <w:pPr>
                    <w:widowControl w:val="0"/>
                    <w:jc w:val="both"/>
                    <w:rPr>
                      <w:rFonts w:ascii="Cambria" w:hAnsi="Cambria"/>
                      <w:b/>
                      <w:i/>
                      <w:iCs/>
                      <w:snapToGrid w:val="0"/>
                      <w:sz w:val="16"/>
                      <w:szCs w:val="16"/>
                    </w:rPr>
                  </w:pPr>
                  <w:r w:rsidRPr="00121E84">
                    <w:rPr>
                      <w:rFonts w:ascii="Cambria" w:hAnsi="Cambria"/>
                      <w:b/>
                      <w:i/>
                      <w:iCs/>
                      <w:snapToGrid w:val="0"/>
                      <w:sz w:val="16"/>
                      <w:szCs w:val="16"/>
                    </w:rPr>
                    <w:t>Plazo de entrega</w:t>
                  </w:r>
                </w:p>
              </w:tc>
              <w:tc>
                <w:tcPr>
                  <w:tcW w:w="13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916030" w14:textId="77777777" w:rsidR="008E5436" w:rsidRPr="00121E84" w:rsidRDefault="008E5436" w:rsidP="008E5436">
                  <w:pPr>
                    <w:widowControl w:val="0"/>
                    <w:jc w:val="both"/>
                    <w:rPr>
                      <w:rFonts w:ascii="Cambria" w:hAnsi="Cambria"/>
                      <w:b/>
                      <w:i/>
                      <w:iCs/>
                      <w:snapToGrid w:val="0"/>
                      <w:sz w:val="16"/>
                      <w:szCs w:val="16"/>
                    </w:rPr>
                  </w:pPr>
                  <w:r w:rsidRPr="00121E84">
                    <w:rPr>
                      <w:rFonts w:ascii="Cambria" w:hAnsi="Cambria"/>
                      <w:b/>
                      <w:i/>
                      <w:iCs/>
                      <w:snapToGrid w:val="0"/>
                      <w:sz w:val="16"/>
                      <w:szCs w:val="16"/>
                    </w:rPr>
                    <w:t>Medio</w:t>
                  </w:r>
                </w:p>
              </w:tc>
            </w:tr>
            <w:tr w:rsidR="008E5436" w:rsidRPr="00121E84" w14:paraId="6FA8628B" w14:textId="77777777" w:rsidTr="008E5436">
              <w:trPr>
                <w:cantSplit/>
              </w:trPr>
              <w:tc>
                <w:tcPr>
                  <w:tcW w:w="1299" w:type="pct"/>
                  <w:tcBorders>
                    <w:top w:val="single" w:sz="4" w:space="0" w:color="auto"/>
                    <w:left w:val="single" w:sz="4" w:space="0" w:color="auto"/>
                    <w:bottom w:val="single" w:sz="4" w:space="0" w:color="auto"/>
                    <w:right w:val="single" w:sz="4" w:space="0" w:color="auto"/>
                  </w:tcBorders>
                </w:tcPr>
                <w:p w14:paraId="7A3044A2" w14:textId="77777777" w:rsidR="008E5436" w:rsidRPr="00121E84" w:rsidRDefault="008E5436" w:rsidP="008E5436">
                  <w:pPr>
                    <w:widowControl w:val="0"/>
                    <w:jc w:val="both"/>
                    <w:rPr>
                      <w:rFonts w:ascii="Cambria" w:hAnsi="Cambria"/>
                      <w:b/>
                      <w:i/>
                      <w:iCs/>
                      <w:sz w:val="16"/>
                      <w:szCs w:val="16"/>
                    </w:rPr>
                  </w:pPr>
                  <w:r w:rsidRPr="00121E84">
                    <w:rPr>
                      <w:rFonts w:ascii="Cambria" w:hAnsi="Cambria"/>
                      <w:b/>
                      <w:i/>
                      <w:iCs/>
                      <w:sz w:val="16"/>
                      <w:szCs w:val="16"/>
                    </w:rPr>
                    <w:t>…</w:t>
                  </w:r>
                </w:p>
              </w:tc>
              <w:tc>
                <w:tcPr>
                  <w:tcW w:w="1089" w:type="pct"/>
                  <w:tcBorders>
                    <w:top w:val="single" w:sz="4" w:space="0" w:color="auto"/>
                    <w:left w:val="single" w:sz="4" w:space="0" w:color="auto"/>
                    <w:bottom w:val="single" w:sz="4" w:space="0" w:color="auto"/>
                    <w:right w:val="single" w:sz="4" w:space="0" w:color="auto"/>
                  </w:tcBorders>
                </w:tcPr>
                <w:p w14:paraId="28C5E7CD" w14:textId="77777777" w:rsidR="008E5436" w:rsidRPr="00121E84" w:rsidRDefault="008E5436" w:rsidP="008E5436">
                  <w:pPr>
                    <w:widowControl w:val="0"/>
                    <w:jc w:val="both"/>
                    <w:rPr>
                      <w:rFonts w:ascii="Cambria" w:hAnsi="Cambria"/>
                      <w:bCs/>
                      <w:i/>
                      <w:iCs/>
                      <w:sz w:val="16"/>
                      <w:szCs w:val="16"/>
                    </w:rPr>
                  </w:pPr>
                </w:p>
              </w:tc>
              <w:tc>
                <w:tcPr>
                  <w:tcW w:w="1305" w:type="pct"/>
                  <w:tcBorders>
                    <w:top w:val="single" w:sz="4" w:space="0" w:color="auto"/>
                    <w:left w:val="single" w:sz="4" w:space="0" w:color="auto"/>
                    <w:bottom w:val="single" w:sz="4" w:space="0" w:color="auto"/>
                    <w:right w:val="single" w:sz="4" w:space="0" w:color="auto"/>
                  </w:tcBorders>
                </w:tcPr>
                <w:p w14:paraId="4B5A5B25" w14:textId="77777777" w:rsidR="008E5436" w:rsidRPr="00121E84" w:rsidRDefault="008E5436" w:rsidP="008E5436">
                  <w:pPr>
                    <w:widowControl w:val="0"/>
                    <w:jc w:val="both"/>
                    <w:rPr>
                      <w:rFonts w:ascii="Cambria" w:hAnsi="Cambria"/>
                      <w:bCs/>
                      <w:i/>
                      <w:iCs/>
                      <w:sz w:val="16"/>
                      <w:szCs w:val="16"/>
                    </w:rPr>
                  </w:pPr>
                </w:p>
              </w:tc>
              <w:tc>
                <w:tcPr>
                  <w:tcW w:w="1307" w:type="pct"/>
                  <w:tcBorders>
                    <w:top w:val="single" w:sz="4" w:space="0" w:color="auto"/>
                    <w:left w:val="single" w:sz="4" w:space="0" w:color="auto"/>
                    <w:bottom w:val="single" w:sz="4" w:space="0" w:color="auto"/>
                    <w:right w:val="single" w:sz="4" w:space="0" w:color="auto"/>
                  </w:tcBorders>
                </w:tcPr>
                <w:p w14:paraId="646772B4" w14:textId="77777777" w:rsidR="008E5436" w:rsidRPr="00121E84" w:rsidRDefault="008E5436" w:rsidP="008E5436">
                  <w:pPr>
                    <w:widowControl w:val="0"/>
                    <w:jc w:val="both"/>
                    <w:rPr>
                      <w:rFonts w:ascii="Cambria" w:hAnsi="Cambria"/>
                      <w:i/>
                      <w:iCs/>
                      <w:sz w:val="16"/>
                      <w:szCs w:val="16"/>
                    </w:rPr>
                  </w:pPr>
                </w:p>
              </w:tc>
            </w:tr>
            <w:tr w:rsidR="008E5436" w:rsidRPr="00121E84" w14:paraId="391C2009" w14:textId="77777777" w:rsidTr="008E5436">
              <w:trPr>
                <w:cantSplit/>
              </w:trPr>
              <w:tc>
                <w:tcPr>
                  <w:tcW w:w="1299" w:type="pct"/>
                  <w:tcBorders>
                    <w:top w:val="single" w:sz="4" w:space="0" w:color="auto"/>
                    <w:left w:val="single" w:sz="4" w:space="0" w:color="auto"/>
                    <w:bottom w:val="single" w:sz="4" w:space="0" w:color="auto"/>
                    <w:right w:val="single" w:sz="4" w:space="0" w:color="auto"/>
                  </w:tcBorders>
                </w:tcPr>
                <w:p w14:paraId="29D951B4" w14:textId="77777777" w:rsidR="008E5436" w:rsidRPr="00121E84" w:rsidRDefault="008E5436" w:rsidP="008E5436">
                  <w:pPr>
                    <w:widowControl w:val="0"/>
                    <w:jc w:val="both"/>
                    <w:rPr>
                      <w:rFonts w:ascii="Cambria" w:hAnsi="Cambria"/>
                      <w:b/>
                      <w:i/>
                      <w:iCs/>
                      <w:sz w:val="16"/>
                      <w:szCs w:val="16"/>
                    </w:rPr>
                  </w:pPr>
                  <w:r w:rsidRPr="00121E84">
                    <w:rPr>
                      <w:rFonts w:ascii="Cambria" w:hAnsi="Cambria"/>
                      <w:b/>
                      <w:i/>
                      <w:iCs/>
                      <w:sz w:val="16"/>
                      <w:szCs w:val="16"/>
                    </w:rPr>
                    <w:t>Información Crediticia</w:t>
                  </w:r>
                </w:p>
              </w:tc>
              <w:tc>
                <w:tcPr>
                  <w:tcW w:w="1089" w:type="pct"/>
                  <w:tcBorders>
                    <w:top w:val="single" w:sz="4" w:space="0" w:color="auto"/>
                    <w:left w:val="single" w:sz="4" w:space="0" w:color="auto"/>
                    <w:bottom w:val="single" w:sz="4" w:space="0" w:color="auto"/>
                    <w:right w:val="single" w:sz="4" w:space="0" w:color="auto"/>
                  </w:tcBorders>
                </w:tcPr>
                <w:p w14:paraId="11202CC0" w14:textId="77777777" w:rsidR="008E5436" w:rsidRPr="00121E84" w:rsidRDefault="008E5436" w:rsidP="008E5436">
                  <w:pPr>
                    <w:widowControl w:val="0"/>
                    <w:jc w:val="both"/>
                    <w:rPr>
                      <w:rFonts w:ascii="Cambria" w:hAnsi="Cambria"/>
                      <w:bCs/>
                      <w:i/>
                      <w:iCs/>
                      <w:sz w:val="16"/>
                      <w:szCs w:val="16"/>
                    </w:rPr>
                  </w:pPr>
                  <w:r w:rsidRPr="00121E84">
                    <w:rPr>
                      <w:rFonts w:ascii="Cambria" w:hAnsi="Cambria"/>
                      <w:bCs/>
                      <w:i/>
                      <w:iCs/>
                      <w:sz w:val="16"/>
                      <w:szCs w:val="16"/>
                    </w:rPr>
                    <w:t>Trimestral</w:t>
                  </w:r>
                </w:p>
              </w:tc>
              <w:tc>
                <w:tcPr>
                  <w:tcW w:w="1305" w:type="pct"/>
                  <w:tcBorders>
                    <w:top w:val="single" w:sz="4" w:space="0" w:color="auto"/>
                    <w:left w:val="single" w:sz="4" w:space="0" w:color="auto"/>
                    <w:bottom w:val="single" w:sz="4" w:space="0" w:color="auto"/>
                    <w:right w:val="single" w:sz="4" w:space="0" w:color="auto"/>
                  </w:tcBorders>
                </w:tcPr>
                <w:p w14:paraId="1A618ABC" w14:textId="6BE98623" w:rsidR="008E5436" w:rsidRPr="00121E84" w:rsidRDefault="008E5436" w:rsidP="008E5436">
                  <w:pPr>
                    <w:widowControl w:val="0"/>
                    <w:jc w:val="both"/>
                    <w:rPr>
                      <w:rFonts w:ascii="Cambria" w:hAnsi="Cambria"/>
                      <w:bCs/>
                      <w:i/>
                      <w:iCs/>
                      <w:sz w:val="16"/>
                      <w:szCs w:val="16"/>
                    </w:rPr>
                  </w:pPr>
                  <w:r w:rsidRPr="00121E84">
                    <w:rPr>
                      <w:rFonts w:ascii="Cambria" w:hAnsi="Cambria"/>
                      <w:bCs/>
                      <w:i/>
                      <w:iCs/>
                      <w:sz w:val="16"/>
                      <w:szCs w:val="16"/>
                    </w:rPr>
                    <w:t xml:space="preserve">15 días hábiles después del cierre </w:t>
                  </w:r>
                  <w:r w:rsidRPr="00CF1692">
                    <w:rPr>
                      <w:rFonts w:ascii="Cambria" w:hAnsi="Cambria"/>
                      <w:bCs/>
                      <w:i/>
                      <w:iCs/>
                      <w:sz w:val="16"/>
                      <w:szCs w:val="16"/>
                    </w:rPr>
                    <w:t>de</w:t>
                  </w:r>
                  <w:r w:rsidRPr="00121E84">
                    <w:rPr>
                      <w:rFonts w:ascii="Cambria" w:hAnsi="Cambria"/>
                      <w:bCs/>
                      <w:i/>
                      <w:iCs/>
                      <w:sz w:val="16"/>
                      <w:szCs w:val="16"/>
                    </w:rPr>
                    <w:t xml:space="preserve"> los meses de </w:t>
                  </w:r>
                  <w:r w:rsidRPr="00121E84">
                    <w:rPr>
                      <w:rFonts w:ascii="Cambria" w:hAnsi="Cambria"/>
                      <w:bCs/>
                      <w:i/>
                      <w:iCs/>
                      <w:sz w:val="16"/>
                      <w:szCs w:val="16"/>
                    </w:rPr>
                    <w:lastRenderedPageBreak/>
                    <w:t>marzo, junio, setiembre y diciembre</w:t>
                  </w:r>
                </w:p>
              </w:tc>
              <w:tc>
                <w:tcPr>
                  <w:tcW w:w="1307" w:type="pct"/>
                  <w:tcBorders>
                    <w:top w:val="single" w:sz="4" w:space="0" w:color="auto"/>
                    <w:left w:val="single" w:sz="4" w:space="0" w:color="auto"/>
                    <w:bottom w:val="single" w:sz="4" w:space="0" w:color="auto"/>
                    <w:right w:val="single" w:sz="4" w:space="0" w:color="auto"/>
                  </w:tcBorders>
                </w:tcPr>
                <w:p w14:paraId="2B13FEA1" w14:textId="77777777" w:rsidR="008E5436" w:rsidRPr="00121E84" w:rsidRDefault="008E5436" w:rsidP="008E5436">
                  <w:pPr>
                    <w:widowControl w:val="0"/>
                    <w:jc w:val="both"/>
                    <w:rPr>
                      <w:rFonts w:ascii="Cambria" w:hAnsi="Cambria"/>
                      <w:i/>
                      <w:iCs/>
                      <w:sz w:val="16"/>
                      <w:szCs w:val="16"/>
                    </w:rPr>
                  </w:pPr>
                  <w:r w:rsidRPr="00121E84">
                    <w:rPr>
                      <w:rFonts w:ascii="Cambria" w:hAnsi="Cambria"/>
                      <w:i/>
                      <w:iCs/>
                      <w:sz w:val="16"/>
                      <w:szCs w:val="16"/>
                    </w:rPr>
                    <w:lastRenderedPageBreak/>
                    <w:t xml:space="preserve">En hoja electrónica (Excel), según formato </w:t>
                  </w:r>
                  <w:r w:rsidRPr="00121E84">
                    <w:rPr>
                      <w:rFonts w:ascii="Cambria" w:hAnsi="Cambria"/>
                      <w:i/>
                      <w:iCs/>
                      <w:sz w:val="16"/>
                      <w:szCs w:val="16"/>
                    </w:rPr>
                    <w:lastRenderedPageBreak/>
                    <w:t xml:space="preserve">establecido en el </w:t>
                  </w:r>
                  <w:r w:rsidRPr="00121E84">
                    <w:rPr>
                      <w:rFonts w:ascii="Cambria" w:hAnsi="Cambria"/>
                      <w:b/>
                      <w:i/>
                      <w:iCs/>
                      <w:sz w:val="16"/>
                      <w:szCs w:val="16"/>
                    </w:rPr>
                    <w:t xml:space="preserve">Anexo 15, </w:t>
                  </w:r>
                  <w:r w:rsidRPr="00121E84">
                    <w:rPr>
                      <w:rFonts w:ascii="Cambria" w:hAnsi="Cambria"/>
                      <w:i/>
                      <w:iCs/>
                      <w:sz w:val="16"/>
                      <w:szCs w:val="16"/>
                    </w:rPr>
                    <w:t>remitida como requerimiento mediante el Servicio de Ejecución de Estudios y Seguimiento (EES) de SUGESE en Línea.</w:t>
                  </w:r>
                </w:p>
              </w:tc>
            </w:tr>
          </w:tbl>
          <w:p w14:paraId="45917A38" w14:textId="77777777" w:rsidR="00D139E2" w:rsidRPr="00C966DF" w:rsidRDefault="00D139E2" w:rsidP="00D139E2">
            <w:pPr>
              <w:jc w:val="both"/>
              <w:rPr>
                <w:rFonts w:ascii="Cambria" w:hAnsi="Cambria"/>
                <w:i/>
                <w:iCs/>
                <w:sz w:val="20"/>
                <w:szCs w:val="20"/>
              </w:rPr>
            </w:pPr>
          </w:p>
          <w:p w14:paraId="790A925A" w14:textId="77777777" w:rsidR="00D139E2" w:rsidRPr="00C966DF" w:rsidRDefault="00D139E2" w:rsidP="00D139E2">
            <w:pPr>
              <w:jc w:val="both"/>
              <w:rPr>
                <w:rFonts w:ascii="Cambria" w:hAnsi="Cambria"/>
                <w:i/>
                <w:iCs/>
                <w:sz w:val="20"/>
                <w:szCs w:val="20"/>
              </w:rPr>
            </w:pPr>
          </w:p>
          <w:p w14:paraId="40472BAF" w14:textId="77777777" w:rsidR="00D139E2" w:rsidRPr="00C966DF" w:rsidRDefault="00D139E2" w:rsidP="00D139E2">
            <w:pPr>
              <w:jc w:val="both"/>
              <w:rPr>
                <w:rFonts w:ascii="Cambria" w:hAnsi="Cambria"/>
                <w:i/>
                <w:iCs/>
                <w:sz w:val="20"/>
                <w:szCs w:val="20"/>
              </w:rPr>
            </w:pPr>
          </w:p>
          <w:p w14:paraId="0563BC28" w14:textId="77777777" w:rsidR="00D139E2" w:rsidRPr="00D139E2" w:rsidRDefault="00D139E2" w:rsidP="00D139E2">
            <w:pPr>
              <w:jc w:val="both"/>
              <w:rPr>
                <w:rFonts w:ascii="Cambria" w:hAnsi="Cambria"/>
                <w:i/>
                <w:iCs/>
                <w:sz w:val="20"/>
                <w:szCs w:val="20"/>
              </w:rPr>
            </w:pPr>
            <w:r w:rsidRPr="00C966DF">
              <w:rPr>
                <w:rFonts w:ascii="Cambria" w:hAnsi="Cambria"/>
                <w:i/>
                <w:iCs/>
                <w:sz w:val="20"/>
                <w:szCs w:val="20"/>
              </w:rPr>
              <w:t>…</w:t>
            </w:r>
          </w:p>
          <w:p w14:paraId="5E360D5E" w14:textId="77777777" w:rsidR="00D139E2" w:rsidRPr="00D139E2" w:rsidRDefault="00D139E2" w:rsidP="00D139E2">
            <w:pPr>
              <w:jc w:val="both"/>
              <w:rPr>
                <w:rFonts w:ascii="Cambria" w:hAnsi="Cambria"/>
                <w:i/>
                <w:iCs/>
                <w:sz w:val="20"/>
                <w:szCs w:val="20"/>
              </w:rPr>
            </w:pPr>
            <w:r w:rsidRPr="00D139E2">
              <w:rPr>
                <w:rFonts w:ascii="Cambria" w:hAnsi="Cambria"/>
                <w:i/>
                <w:iCs/>
                <w:sz w:val="20"/>
                <w:szCs w:val="20"/>
              </w:rPr>
              <w:t>La entrega del Anexo 15 sobre Información Crediticia aplica únicamente para las aseguradoras que su objeto social permite el otorgamiento de crédito.</w:t>
            </w:r>
          </w:p>
          <w:p w14:paraId="5AABA9E3" w14:textId="77777777" w:rsidR="00D139E2" w:rsidRPr="00D139E2" w:rsidRDefault="00D139E2" w:rsidP="00D139E2">
            <w:pPr>
              <w:jc w:val="both"/>
              <w:rPr>
                <w:rFonts w:ascii="Cambria" w:hAnsi="Cambria"/>
                <w:i/>
                <w:iCs/>
                <w:sz w:val="20"/>
                <w:szCs w:val="20"/>
              </w:rPr>
            </w:pPr>
            <w:r w:rsidRPr="00D139E2">
              <w:rPr>
                <w:rFonts w:ascii="Cambria" w:hAnsi="Cambria"/>
                <w:i/>
                <w:iCs/>
                <w:sz w:val="20"/>
                <w:szCs w:val="20"/>
              </w:rPr>
              <w:t>…”</w:t>
            </w:r>
          </w:p>
          <w:p w14:paraId="2D6C3ACA" w14:textId="77777777" w:rsidR="00D139E2" w:rsidRPr="008856E4" w:rsidRDefault="00D139E2" w:rsidP="00D139E2">
            <w:pPr>
              <w:jc w:val="center"/>
              <w:rPr>
                <w:rFonts w:ascii="Arial Narrow" w:hAnsi="Arial Narrow"/>
                <w:b/>
                <w:bCs/>
                <w:iCs/>
                <w:sz w:val="20"/>
                <w:szCs w:val="20"/>
              </w:rPr>
            </w:pPr>
          </w:p>
        </w:tc>
      </w:tr>
      <w:tr w:rsidR="00BF0153" w:rsidRPr="008856E4" w14:paraId="511CFB21" w14:textId="77777777" w:rsidTr="00901876">
        <w:tc>
          <w:tcPr>
            <w:tcW w:w="1250" w:type="pct"/>
            <w:shd w:val="clear" w:color="auto" w:fill="FFFFFF" w:themeFill="background1"/>
          </w:tcPr>
          <w:p w14:paraId="54E2BADC" w14:textId="5FDAF1D6" w:rsidR="00BF0153" w:rsidRPr="00C966DF" w:rsidRDefault="00BF0153" w:rsidP="00BF0153">
            <w:pPr>
              <w:jc w:val="both"/>
              <w:rPr>
                <w:rFonts w:ascii="Cambria" w:hAnsi="Cambria"/>
                <w:b/>
                <w:i/>
                <w:iCs/>
                <w:sz w:val="20"/>
                <w:szCs w:val="20"/>
              </w:rPr>
            </w:pPr>
            <w:r w:rsidRPr="00C966DF">
              <w:rPr>
                <w:rFonts w:ascii="Cambria" w:hAnsi="Cambria"/>
                <w:b/>
                <w:bCs/>
                <w:sz w:val="20"/>
                <w:szCs w:val="20"/>
              </w:rPr>
              <w:lastRenderedPageBreak/>
              <w:t>II. Adicionar al acuerdo SGS-A-0021-2013 el Anexo 15 según se detalla a continuación:</w:t>
            </w:r>
          </w:p>
        </w:tc>
        <w:tc>
          <w:tcPr>
            <w:tcW w:w="1250" w:type="pct"/>
            <w:shd w:val="clear" w:color="auto" w:fill="FFFFFF" w:themeFill="background1"/>
          </w:tcPr>
          <w:p w14:paraId="1927773F" w14:textId="77777777" w:rsidR="00BF0153" w:rsidRPr="00AE0369" w:rsidRDefault="00BF0153" w:rsidP="00BF0153">
            <w:pPr>
              <w:jc w:val="both"/>
              <w:rPr>
                <w:rFonts w:asciiTheme="majorHAnsi" w:hAnsiTheme="majorHAnsi"/>
                <w:b/>
                <w:bCs/>
                <w:iCs/>
                <w:sz w:val="20"/>
                <w:szCs w:val="20"/>
              </w:rPr>
            </w:pPr>
          </w:p>
        </w:tc>
        <w:tc>
          <w:tcPr>
            <w:tcW w:w="1250" w:type="pct"/>
            <w:shd w:val="clear" w:color="auto" w:fill="FFFFFF" w:themeFill="background1"/>
          </w:tcPr>
          <w:p w14:paraId="1A165FE4" w14:textId="77777777" w:rsidR="00BF0153" w:rsidRPr="00AE0369" w:rsidRDefault="00BF0153" w:rsidP="00BF0153">
            <w:pPr>
              <w:jc w:val="both"/>
              <w:rPr>
                <w:rFonts w:asciiTheme="majorHAnsi" w:hAnsiTheme="majorHAnsi"/>
                <w:b/>
                <w:bCs/>
                <w:iCs/>
                <w:sz w:val="20"/>
                <w:szCs w:val="20"/>
              </w:rPr>
            </w:pPr>
          </w:p>
        </w:tc>
        <w:tc>
          <w:tcPr>
            <w:tcW w:w="1250" w:type="pct"/>
            <w:shd w:val="clear" w:color="auto" w:fill="FFFFFF" w:themeFill="background1"/>
          </w:tcPr>
          <w:p w14:paraId="6769638D" w14:textId="1236A194" w:rsidR="00BF0153" w:rsidRPr="008856E4" w:rsidRDefault="00BF0153" w:rsidP="00BF0153">
            <w:pPr>
              <w:jc w:val="both"/>
              <w:rPr>
                <w:rFonts w:ascii="Arial Narrow" w:hAnsi="Arial Narrow"/>
                <w:b/>
                <w:bCs/>
                <w:iCs/>
                <w:sz w:val="20"/>
                <w:szCs w:val="20"/>
              </w:rPr>
            </w:pPr>
            <w:r w:rsidRPr="00C966DF">
              <w:rPr>
                <w:rFonts w:ascii="Cambria" w:hAnsi="Cambria"/>
                <w:b/>
                <w:bCs/>
                <w:sz w:val="20"/>
                <w:szCs w:val="20"/>
              </w:rPr>
              <w:t>II. Adicionar al acuerdo SGS-A-0021-2013 el Anexo 15 según se detalla a continuación:</w:t>
            </w:r>
          </w:p>
        </w:tc>
      </w:tr>
      <w:tr w:rsidR="00BF0153" w:rsidRPr="008856E4" w14:paraId="4721954C" w14:textId="77777777" w:rsidTr="00901876">
        <w:tc>
          <w:tcPr>
            <w:tcW w:w="1250" w:type="pct"/>
            <w:shd w:val="clear" w:color="auto" w:fill="FFFFFF" w:themeFill="background1"/>
          </w:tcPr>
          <w:p w14:paraId="5AFA57B7" w14:textId="77777777" w:rsidR="00BF0153" w:rsidRPr="00D139E2" w:rsidRDefault="00BF0153" w:rsidP="00BF0153">
            <w:pPr>
              <w:pStyle w:val="Textoindependiente3"/>
              <w:tabs>
                <w:tab w:val="left" w:pos="857"/>
                <w:tab w:val="left" w:pos="1168"/>
              </w:tabs>
              <w:spacing w:after="0" w:line="240" w:lineRule="auto"/>
              <w:jc w:val="both"/>
              <w:rPr>
                <w:rFonts w:ascii="Cambria" w:hAnsi="Cambria"/>
                <w:b/>
                <w:bCs/>
                <w:sz w:val="20"/>
                <w:szCs w:val="20"/>
              </w:rPr>
            </w:pPr>
            <w:r w:rsidRPr="00D139E2">
              <w:rPr>
                <w:rFonts w:ascii="Cambria" w:hAnsi="Cambria"/>
                <w:b/>
                <w:bCs/>
                <w:sz w:val="20"/>
                <w:szCs w:val="20"/>
              </w:rPr>
              <w:t>ANEXO 15.</w:t>
            </w:r>
          </w:p>
          <w:p w14:paraId="5103F5D9" w14:textId="77777777" w:rsidR="00BF0153" w:rsidRPr="00D139E2" w:rsidRDefault="00BF0153" w:rsidP="00BF0153">
            <w:pPr>
              <w:pStyle w:val="Textoindependiente3"/>
              <w:tabs>
                <w:tab w:val="left" w:pos="857"/>
                <w:tab w:val="left" w:pos="1168"/>
              </w:tabs>
              <w:spacing w:after="0" w:line="240" w:lineRule="auto"/>
              <w:jc w:val="both"/>
              <w:rPr>
                <w:rFonts w:ascii="Cambria" w:hAnsi="Cambria"/>
                <w:b/>
                <w:bCs/>
                <w:sz w:val="20"/>
                <w:szCs w:val="20"/>
              </w:rPr>
            </w:pPr>
            <w:r w:rsidRPr="00D139E2">
              <w:rPr>
                <w:rFonts w:ascii="Cambria" w:hAnsi="Cambria"/>
                <w:b/>
                <w:bCs/>
                <w:sz w:val="20"/>
                <w:szCs w:val="20"/>
              </w:rPr>
              <w:t>Requerimiento de Información Crediticia</w:t>
            </w:r>
          </w:p>
          <w:p w14:paraId="1FFB7507" w14:textId="77777777" w:rsidR="00BF0153" w:rsidRPr="00D139E2" w:rsidRDefault="00BF0153" w:rsidP="00BF0153">
            <w:pPr>
              <w:pStyle w:val="Textoindependiente3"/>
              <w:tabs>
                <w:tab w:val="left" w:pos="857"/>
                <w:tab w:val="left" w:pos="1168"/>
              </w:tabs>
              <w:spacing w:after="0" w:line="240" w:lineRule="auto"/>
              <w:jc w:val="both"/>
              <w:rPr>
                <w:rFonts w:ascii="Cambria" w:hAnsi="Cambria"/>
                <w:b/>
                <w:bCs/>
                <w:sz w:val="20"/>
                <w:szCs w:val="20"/>
              </w:rPr>
            </w:pPr>
          </w:p>
          <w:p w14:paraId="39B8E864" w14:textId="0CC5564D" w:rsidR="00BF0153" w:rsidRPr="00D139E2" w:rsidRDefault="00BF0153" w:rsidP="00BF0153">
            <w:pPr>
              <w:jc w:val="both"/>
              <w:rPr>
                <w:rFonts w:ascii="Cambria" w:hAnsi="Cambria"/>
                <w:b/>
                <w:bCs/>
                <w:sz w:val="20"/>
                <w:szCs w:val="20"/>
              </w:rPr>
            </w:pPr>
            <w:r w:rsidRPr="00D139E2">
              <w:rPr>
                <w:rFonts w:ascii="Cambria" w:hAnsi="Cambria"/>
                <w:b/>
                <w:bCs/>
                <w:sz w:val="20"/>
                <w:szCs w:val="20"/>
              </w:rPr>
              <w:object w:dxaOrig="1567" w:dyaOrig="1031" w14:anchorId="6E695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1.6pt" o:ole="">
                  <v:imagedata r:id="rId12" o:title=""/>
                </v:shape>
                <o:OLEObject Type="Embed" ProgID="Excel.Sheet.12" ShapeID="_x0000_i1025" DrawAspect="Icon" ObjectID="_1747742355" r:id="rId13"/>
              </w:object>
            </w:r>
          </w:p>
        </w:tc>
        <w:tc>
          <w:tcPr>
            <w:tcW w:w="1250" w:type="pct"/>
            <w:shd w:val="clear" w:color="auto" w:fill="FFFFFF" w:themeFill="background1"/>
          </w:tcPr>
          <w:p w14:paraId="4B1A7969" w14:textId="7658792E" w:rsidR="00BF0153" w:rsidRPr="00D139E2" w:rsidRDefault="00BF0153" w:rsidP="00BF0153">
            <w:pPr>
              <w:pStyle w:val="Textoindependiente3"/>
              <w:tabs>
                <w:tab w:val="left" w:pos="455"/>
                <w:tab w:val="left" w:pos="1168"/>
              </w:tabs>
              <w:spacing w:after="0" w:line="240" w:lineRule="auto"/>
              <w:jc w:val="both"/>
              <w:rPr>
                <w:rFonts w:ascii="Cambria" w:hAnsi="Cambria"/>
                <w:sz w:val="20"/>
                <w:szCs w:val="20"/>
              </w:rPr>
            </w:pPr>
            <w:r w:rsidRPr="00D139E2">
              <w:rPr>
                <w:rFonts w:ascii="Cambria" w:hAnsi="Cambria"/>
                <w:b/>
                <w:bCs/>
                <w:sz w:val="20"/>
                <w:szCs w:val="20"/>
              </w:rPr>
              <w:lastRenderedPageBreak/>
              <w:t>INS 2:</w:t>
            </w:r>
            <w:r>
              <w:rPr>
                <w:rFonts w:ascii="Cambria" w:hAnsi="Cambria"/>
                <w:sz w:val="20"/>
                <w:szCs w:val="20"/>
              </w:rPr>
              <w:t xml:space="preserve"> </w:t>
            </w:r>
            <w:r w:rsidRPr="00D139E2">
              <w:rPr>
                <w:rFonts w:ascii="Cambria" w:hAnsi="Cambria"/>
                <w:sz w:val="20"/>
                <w:szCs w:val="20"/>
              </w:rPr>
              <w:t>En la columna G de “categoría de riesgo” se indica:</w:t>
            </w:r>
          </w:p>
          <w:p w14:paraId="51B09F5D" w14:textId="77777777" w:rsidR="00BF0153" w:rsidRPr="00D139E2" w:rsidRDefault="00BF0153" w:rsidP="00BF0153">
            <w:pPr>
              <w:pStyle w:val="Textoindependiente3"/>
              <w:tabs>
                <w:tab w:val="left" w:pos="857"/>
                <w:tab w:val="left" w:pos="1168"/>
              </w:tabs>
              <w:spacing w:after="0" w:line="240" w:lineRule="auto"/>
              <w:ind w:firstLine="15"/>
              <w:jc w:val="both"/>
              <w:rPr>
                <w:rFonts w:ascii="Cambria" w:hAnsi="Cambria"/>
                <w:b/>
                <w:bCs/>
                <w:sz w:val="20"/>
                <w:szCs w:val="20"/>
              </w:rPr>
            </w:pPr>
            <w:r w:rsidRPr="00D139E2">
              <w:rPr>
                <w:rFonts w:ascii="Cambria" w:hAnsi="Cambria"/>
                <w:b/>
                <w:bCs/>
                <w:sz w:val="20"/>
                <w:szCs w:val="20"/>
              </w:rPr>
              <w:t xml:space="preserve"> </w:t>
            </w:r>
          </w:p>
          <w:p w14:paraId="7FDE940A" w14:textId="77777777" w:rsidR="00BF0153" w:rsidRPr="00D139E2" w:rsidRDefault="00BF0153" w:rsidP="00BF0153">
            <w:pPr>
              <w:pStyle w:val="Textoindependiente3"/>
              <w:tabs>
                <w:tab w:val="left" w:pos="857"/>
                <w:tab w:val="left" w:pos="1168"/>
              </w:tabs>
              <w:spacing w:after="0" w:line="240" w:lineRule="auto"/>
              <w:ind w:firstLine="15"/>
              <w:jc w:val="both"/>
              <w:rPr>
                <w:rFonts w:ascii="Cambria" w:hAnsi="Cambria"/>
                <w:b/>
                <w:bCs/>
                <w:i/>
                <w:iCs/>
                <w:sz w:val="20"/>
                <w:szCs w:val="20"/>
              </w:rPr>
            </w:pPr>
            <w:r w:rsidRPr="00D139E2">
              <w:rPr>
                <w:rFonts w:ascii="Cambria" w:hAnsi="Cambria"/>
                <w:b/>
                <w:bCs/>
                <w:i/>
                <w:iCs/>
                <w:sz w:val="20"/>
                <w:szCs w:val="20"/>
              </w:rPr>
              <w:t xml:space="preserve">“Según lo establezca la entidad de acuerdo con la morosidad de la </w:t>
            </w:r>
            <w:r w:rsidRPr="00D139E2">
              <w:rPr>
                <w:rFonts w:ascii="Cambria" w:hAnsi="Cambria"/>
                <w:b/>
                <w:bCs/>
                <w:i/>
                <w:iCs/>
                <w:sz w:val="20"/>
                <w:szCs w:val="20"/>
              </w:rPr>
              <w:lastRenderedPageBreak/>
              <w:t>operación. Debe detallar cada categoría en hoja adicional.”</w:t>
            </w:r>
          </w:p>
          <w:p w14:paraId="18E23AFF" w14:textId="77777777" w:rsidR="00BF0153" w:rsidRPr="00D139E2" w:rsidRDefault="00BF0153" w:rsidP="00BF0153">
            <w:pPr>
              <w:pStyle w:val="Textoindependiente3"/>
              <w:tabs>
                <w:tab w:val="left" w:pos="857"/>
                <w:tab w:val="left" w:pos="1168"/>
              </w:tabs>
              <w:spacing w:after="0" w:line="240" w:lineRule="auto"/>
              <w:ind w:firstLine="15"/>
              <w:jc w:val="both"/>
              <w:rPr>
                <w:rFonts w:ascii="Cambria" w:hAnsi="Cambria"/>
                <w:b/>
                <w:bCs/>
                <w:i/>
                <w:iCs/>
                <w:sz w:val="20"/>
                <w:szCs w:val="20"/>
              </w:rPr>
            </w:pPr>
          </w:p>
          <w:p w14:paraId="39FE09C0" w14:textId="446FF612" w:rsidR="00BF0153" w:rsidRPr="00D139E2" w:rsidRDefault="00BF0153" w:rsidP="00BF0153">
            <w:pPr>
              <w:pStyle w:val="Textoindependiente3"/>
              <w:tabs>
                <w:tab w:val="left" w:pos="857"/>
                <w:tab w:val="left" w:pos="1168"/>
              </w:tabs>
              <w:spacing w:after="0" w:line="240" w:lineRule="auto"/>
              <w:ind w:firstLine="15"/>
              <w:jc w:val="both"/>
              <w:rPr>
                <w:rFonts w:ascii="Cambria" w:hAnsi="Cambria"/>
                <w:sz w:val="20"/>
                <w:szCs w:val="20"/>
              </w:rPr>
            </w:pPr>
            <w:r w:rsidRPr="00D139E2">
              <w:rPr>
                <w:rFonts w:ascii="Cambria" w:hAnsi="Cambria"/>
                <w:sz w:val="20"/>
                <w:szCs w:val="20"/>
              </w:rPr>
              <w:t>Sobre el tema de categorías de riesgo, la norma establece para las metodologías internas (que por obligación deben aplicar los supervisados por SUGESE) lo siguiente:</w:t>
            </w:r>
          </w:p>
          <w:p w14:paraId="61C8DEAB" w14:textId="77777777" w:rsidR="00BF0153" w:rsidRPr="00D139E2" w:rsidRDefault="00BF0153" w:rsidP="00BF0153">
            <w:pPr>
              <w:pStyle w:val="Textoindependiente3"/>
              <w:tabs>
                <w:tab w:val="left" w:pos="857"/>
                <w:tab w:val="left" w:pos="1168"/>
              </w:tabs>
              <w:spacing w:after="0" w:line="240" w:lineRule="auto"/>
              <w:ind w:firstLine="15"/>
              <w:jc w:val="both"/>
              <w:rPr>
                <w:rFonts w:ascii="Cambria" w:hAnsi="Cambria"/>
                <w:b/>
                <w:bCs/>
                <w:sz w:val="20"/>
                <w:szCs w:val="20"/>
              </w:rPr>
            </w:pPr>
          </w:p>
          <w:p w14:paraId="721330BE" w14:textId="77777777" w:rsidR="00BF0153" w:rsidRPr="00D139E2" w:rsidRDefault="00BF0153" w:rsidP="00BF0153">
            <w:pPr>
              <w:autoSpaceDE w:val="0"/>
              <w:autoSpaceDN w:val="0"/>
              <w:adjustRightInd w:val="0"/>
              <w:ind w:firstLine="15"/>
              <w:jc w:val="both"/>
              <w:rPr>
                <w:rFonts w:ascii="Cambria" w:eastAsiaTheme="minorEastAsia" w:hAnsi="Cambria" w:cstheme="minorBidi"/>
                <w:b/>
                <w:bCs/>
                <w:i/>
                <w:iCs/>
                <w:sz w:val="20"/>
                <w:szCs w:val="20"/>
              </w:rPr>
            </w:pPr>
            <w:r w:rsidRPr="00D139E2">
              <w:rPr>
                <w:rFonts w:ascii="Cambria" w:eastAsiaTheme="minorEastAsia" w:hAnsi="Cambria" w:cstheme="minorBidi"/>
                <w:b/>
                <w:bCs/>
                <w:i/>
                <w:iCs/>
                <w:sz w:val="20"/>
                <w:szCs w:val="20"/>
              </w:rPr>
              <w:t>“Los modelos de riesgos para asignar categorías de riesgo deberán contener varias variables y no pueden ser todos solo relacionadas a mora. Al menos deben considerar la mora al cierre del mes y el comportamiento de la mora histórica de al menos 36 meses.”</w:t>
            </w:r>
          </w:p>
          <w:p w14:paraId="6541D511" w14:textId="77777777" w:rsidR="00BF0153" w:rsidRPr="00D139E2" w:rsidRDefault="00BF0153" w:rsidP="00BF0153">
            <w:pPr>
              <w:autoSpaceDE w:val="0"/>
              <w:autoSpaceDN w:val="0"/>
              <w:adjustRightInd w:val="0"/>
              <w:ind w:firstLine="15"/>
              <w:jc w:val="both"/>
              <w:rPr>
                <w:rFonts w:ascii="Cambria" w:eastAsiaTheme="minorEastAsia" w:hAnsi="Cambria"/>
                <w:b/>
                <w:bCs/>
                <w:i/>
                <w:iCs/>
                <w:sz w:val="20"/>
                <w:szCs w:val="20"/>
              </w:rPr>
            </w:pPr>
          </w:p>
          <w:p w14:paraId="2997EAAF" w14:textId="77777777" w:rsidR="00BF0153" w:rsidRPr="00D139E2" w:rsidRDefault="00BF0153" w:rsidP="00BF0153">
            <w:pPr>
              <w:autoSpaceDE w:val="0"/>
              <w:autoSpaceDN w:val="0"/>
              <w:adjustRightInd w:val="0"/>
              <w:ind w:firstLine="15"/>
              <w:jc w:val="both"/>
              <w:rPr>
                <w:rFonts w:ascii="Cambria" w:hAnsi="Cambria"/>
                <w:sz w:val="20"/>
                <w:szCs w:val="20"/>
              </w:rPr>
            </w:pPr>
            <w:r w:rsidRPr="00D139E2">
              <w:rPr>
                <w:rFonts w:ascii="Cambria" w:hAnsi="Cambria"/>
                <w:sz w:val="20"/>
                <w:szCs w:val="20"/>
              </w:rPr>
              <w:t>En virtud de lo anterior, se requiere una aclaración de si lo que se debe incluir en esa columna es la categoría final resultante para el deudor utilizando la combinación de variables que se defina en la metodología interna, la cual no necesariamente está únicamente relacionada a mora.</w:t>
            </w:r>
          </w:p>
          <w:p w14:paraId="4412F891" w14:textId="77777777" w:rsidR="00BF0153" w:rsidRPr="00D139E2" w:rsidRDefault="00BF0153" w:rsidP="00BF0153">
            <w:pPr>
              <w:autoSpaceDE w:val="0"/>
              <w:autoSpaceDN w:val="0"/>
              <w:adjustRightInd w:val="0"/>
              <w:ind w:firstLine="15"/>
              <w:jc w:val="both"/>
              <w:rPr>
                <w:rFonts w:ascii="Cambria" w:hAnsi="Cambria"/>
                <w:sz w:val="20"/>
                <w:szCs w:val="20"/>
              </w:rPr>
            </w:pPr>
          </w:p>
          <w:p w14:paraId="26D6A6F9" w14:textId="4783A3D4" w:rsidR="00BF0153" w:rsidRPr="00D139E2" w:rsidRDefault="00BF0153" w:rsidP="00BF0153">
            <w:pPr>
              <w:pStyle w:val="Textoindependiente3"/>
              <w:tabs>
                <w:tab w:val="left" w:pos="1168"/>
              </w:tabs>
              <w:spacing w:after="0" w:line="240" w:lineRule="auto"/>
              <w:ind w:left="15"/>
              <w:jc w:val="both"/>
              <w:rPr>
                <w:rFonts w:ascii="Cambria" w:hAnsi="Cambria"/>
                <w:sz w:val="20"/>
                <w:szCs w:val="20"/>
              </w:rPr>
            </w:pPr>
            <w:r w:rsidRPr="00DB190D">
              <w:rPr>
                <w:rFonts w:ascii="Cambria" w:hAnsi="Cambria"/>
                <w:b/>
                <w:bCs/>
                <w:sz w:val="20"/>
                <w:szCs w:val="20"/>
              </w:rPr>
              <w:t>INS 3:</w:t>
            </w:r>
            <w:r>
              <w:rPr>
                <w:rFonts w:ascii="Cambria" w:hAnsi="Cambria"/>
                <w:sz w:val="20"/>
                <w:szCs w:val="20"/>
              </w:rPr>
              <w:t xml:space="preserve"> </w:t>
            </w:r>
            <w:r w:rsidRPr="00D139E2">
              <w:rPr>
                <w:rFonts w:ascii="Cambria" w:hAnsi="Cambria"/>
                <w:sz w:val="20"/>
                <w:szCs w:val="20"/>
              </w:rPr>
              <w:t xml:space="preserve">Se solicita la variable de “Capacidad de pago” (columna H); no obstante, esta no es una variable que sea requerida de manera obligatoria en las metodologías internas, por lo que se solicita aclarar cómo procede </w:t>
            </w:r>
            <w:r w:rsidRPr="00D139E2">
              <w:rPr>
                <w:rFonts w:ascii="Cambria" w:hAnsi="Cambria"/>
                <w:sz w:val="20"/>
                <w:szCs w:val="20"/>
              </w:rPr>
              <w:lastRenderedPageBreak/>
              <w:t>en los casos que no aplica, es decir, qué dato se incluiría en dicha celda.</w:t>
            </w:r>
          </w:p>
          <w:p w14:paraId="13D05F33" w14:textId="77777777" w:rsidR="00BF0153" w:rsidRPr="00D139E2" w:rsidRDefault="00BF0153" w:rsidP="00BF0153">
            <w:pPr>
              <w:pStyle w:val="Textoindependiente3"/>
              <w:tabs>
                <w:tab w:val="left" w:pos="1168"/>
              </w:tabs>
              <w:spacing w:after="0" w:line="240" w:lineRule="auto"/>
              <w:ind w:firstLine="15"/>
              <w:jc w:val="both"/>
              <w:rPr>
                <w:rFonts w:ascii="Cambria" w:hAnsi="Cambria"/>
                <w:sz w:val="20"/>
                <w:szCs w:val="20"/>
              </w:rPr>
            </w:pPr>
          </w:p>
          <w:p w14:paraId="3BE0D89B" w14:textId="0111C638" w:rsidR="00BF0153" w:rsidRPr="00D139E2" w:rsidRDefault="00BF0153" w:rsidP="00BF0153">
            <w:pPr>
              <w:pStyle w:val="Textoindependiente3"/>
              <w:tabs>
                <w:tab w:val="left" w:pos="1168"/>
              </w:tabs>
              <w:spacing w:after="0" w:line="240" w:lineRule="auto"/>
              <w:ind w:left="15"/>
              <w:jc w:val="both"/>
              <w:rPr>
                <w:rFonts w:ascii="Cambria" w:hAnsi="Cambria"/>
                <w:sz w:val="20"/>
                <w:szCs w:val="20"/>
              </w:rPr>
            </w:pPr>
            <w:r w:rsidRPr="00DB190D">
              <w:rPr>
                <w:rFonts w:ascii="Cambria" w:hAnsi="Cambria"/>
                <w:b/>
                <w:bCs/>
                <w:sz w:val="20"/>
                <w:szCs w:val="20"/>
              </w:rPr>
              <w:t>INS 4:</w:t>
            </w:r>
            <w:r>
              <w:rPr>
                <w:rFonts w:ascii="Cambria" w:hAnsi="Cambria"/>
                <w:sz w:val="20"/>
                <w:szCs w:val="20"/>
              </w:rPr>
              <w:t xml:space="preserve"> </w:t>
            </w:r>
            <w:r w:rsidRPr="00D139E2">
              <w:rPr>
                <w:rFonts w:ascii="Cambria" w:hAnsi="Cambria"/>
                <w:sz w:val="20"/>
                <w:szCs w:val="20"/>
              </w:rPr>
              <w:t>Se requiere el dato de “Comportamiento de Pago Histórico” (columna I); sin embargo, existe una imposibilidad para los supervisados por SUGESE para obtener esta variable, debido a las restricciones de acceso al Centro de Información Crediticia de la SUGEF, por lo que se solicita aclarar cómo se debe completar esta información.</w:t>
            </w:r>
          </w:p>
          <w:p w14:paraId="3BE28B2D" w14:textId="77777777" w:rsidR="00BF0153" w:rsidRPr="00D139E2" w:rsidRDefault="00BF0153" w:rsidP="00BF0153">
            <w:pPr>
              <w:pStyle w:val="Textoindependiente3"/>
              <w:tabs>
                <w:tab w:val="left" w:pos="1168"/>
              </w:tabs>
              <w:spacing w:after="0" w:line="240" w:lineRule="auto"/>
              <w:ind w:firstLine="15"/>
              <w:jc w:val="both"/>
              <w:rPr>
                <w:rFonts w:ascii="Cambria" w:hAnsi="Cambria"/>
                <w:sz w:val="20"/>
                <w:szCs w:val="20"/>
              </w:rPr>
            </w:pPr>
          </w:p>
          <w:p w14:paraId="7D020128" w14:textId="6577455B" w:rsidR="00BF0153" w:rsidRPr="00D139E2" w:rsidRDefault="00BF0153" w:rsidP="00BF0153">
            <w:pPr>
              <w:pStyle w:val="Textoindependiente3"/>
              <w:tabs>
                <w:tab w:val="left" w:pos="1168"/>
              </w:tabs>
              <w:spacing w:after="0" w:line="240" w:lineRule="auto"/>
              <w:ind w:left="15"/>
              <w:jc w:val="both"/>
              <w:rPr>
                <w:rFonts w:ascii="Cambria" w:hAnsi="Cambria"/>
                <w:sz w:val="20"/>
                <w:szCs w:val="20"/>
              </w:rPr>
            </w:pPr>
            <w:r w:rsidRPr="00DB190D">
              <w:rPr>
                <w:rFonts w:ascii="Cambria" w:hAnsi="Cambria"/>
                <w:b/>
                <w:bCs/>
                <w:sz w:val="20"/>
                <w:szCs w:val="20"/>
              </w:rPr>
              <w:t>INS 5:</w:t>
            </w:r>
            <w:r>
              <w:rPr>
                <w:rFonts w:ascii="Cambria" w:hAnsi="Cambria"/>
                <w:sz w:val="20"/>
                <w:szCs w:val="20"/>
              </w:rPr>
              <w:t xml:space="preserve"> </w:t>
            </w:r>
            <w:r w:rsidRPr="00D139E2">
              <w:rPr>
                <w:rFonts w:ascii="Cambria" w:hAnsi="Cambria"/>
                <w:sz w:val="20"/>
                <w:szCs w:val="20"/>
              </w:rPr>
              <w:t>La variable de riesgo cambiario (columna L) no forma parte de los requerimientos establecidos para las metodologías internas, de manera que se requiere la aclaración de cómo aplica para los regulados por SUGESE.</w:t>
            </w:r>
          </w:p>
          <w:p w14:paraId="50F34421" w14:textId="77777777" w:rsidR="00BF0153" w:rsidRDefault="00BF0153" w:rsidP="00BF0153">
            <w:pPr>
              <w:pStyle w:val="Textoindependiente3"/>
              <w:tabs>
                <w:tab w:val="left" w:pos="1168"/>
              </w:tabs>
              <w:spacing w:after="0" w:line="240" w:lineRule="auto"/>
              <w:ind w:firstLine="15"/>
              <w:jc w:val="both"/>
              <w:rPr>
                <w:rFonts w:ascii="Cambria" w:hAnsi="Cambria"/>
                <w:sz w:val="20"/>
                <w:szCs w:val="20"/>
              </w:rPr>
            </w:pPr>
          </w:p>
          <w:p w14:paraId="607518C2"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49AA4199"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4CEBE4F1"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6ADFB890"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753ED4AA"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3CBF1889"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4FAD5818"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470365D7"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4AE11D9C"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7861A682"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3DAA7B30"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79969159" w14:textId="77777777" w:rsidR="00305529" w:rsidRDefault="00305529" w:rsidP="00BF0153">
            <w:pPr>
              <w:pStyle w:val="Textoindependiente3"/>
              <w:tabs>
                <w:tab w:val="left" w:pos="1168"/>
              </w:tabs>
              <w:spacing w:after="0" w:line="240" w:lineRule="auto"/>
              <w:ind w:firstLine="15"/>
              <w:jc w:val="both"/>
              <w:rPr>
                <w:rFonts w:ascii="Cambria" w:hAnsi="Cambria"/>
                <w:sz w:val="20"/>
                <w:szCs w:val="20"/>
              </w:rPr>
            </w:pPr>
          </w:p>
          <w:p w14:paraId="298AE9A9" w14:textId="77777777" w:rsidR="00305529" w:rsidRPr="00D139E2" w:rsidRDefault="00305529" w:rsidP="00BF0153">
            <w:pPr>
              <w:pStyle w:val="Textoindependiente3"/>
              <w:tabs>
                <w:tab w:val="left" w:pos="1168"/>
              </w:tabs>
              <w:spacing w:after="0" w:line="240" w:lineRule="auto"/>
              <w:ind w:firstLine="15"/>
              <w:jc w:val="both"/>
              <w:rPr>
                <w:rFonts w:ascii="Cambria" w:hAnsi="Cambria"/>
                <w:sz w:val="20"/>
                <w:szCs w:val="20"/>
              </w:rPr>
            </w:pPr>
          </w:p>
          <w:p w14:paraId="1F8995B5" w14:textId="15E21887" w:rsidR="00BF0153" w:rsidRPr="00D139E2" w:rsidRDefault="00BF0153" w:rsidP="00BF0153">
            <w:pPr>
              <w:pStyle w:val="Textoindependiente3"/>
              <w:tabs>
                <w:tab w:val="left" w:pos="1168"/>
              </w:tabs>
              <w:spacing w:after="0" w:line="240" w:lineRule="auto"/>
              <w:jc w:val="both"/>
              <w:rPr>
                <w:rFonts w:ascii="Cambria" w:hAnsi="Cambria"/>
                <w:sz w:val="20"/>
                <w:szCs w:val="20"/>
              </w:rPr>
            </w:pPr>
            <w:r w:rsidRPr="00BF0153">
              <w:rPr>
                <w:rFonts w:ascii="Cambria" w:hAnsi="Cambria"/>
                <w:b/>
                <w:bCs/>
                <w:sz w:val="20"/>
                <w:szCs w:val="20"/>
              </w:rPr>
              <w:t>INS 6:</w:t>
            </w:r>
            <w:r>
              <w:rPr>
                <w:rFonts w:ascii="Cambria" w:hAnsi="Cambria"/>
                <w:sz w:val="20"/>
                <w:szCs w:val="20"/>
              </w:rPr>
              <w:t xml:space="preserve"> </w:t>
            </w:r>
            <w:r w:rsidRPr="00D139E2">
              <w:rPr>
                <w:rFonts w:ascii="Cambria" w:hAnsi="Cambria"/>
                <w:sz w:val="20"/>
                <w:szCs w:val="20"/>
              </w:rPr>
              <w:t>En la columna P, del Monto de Mitigador de la garantía, se señala que:</w:t>
            </w:r>
          </w:p>
          <w:p w14:paraId="7C4113EC" w14:textId="77777777" w:rsidR="00BF0153" w:rsidRPr="00D139E2" w:rsidRDefault="00BF0153" w:rsidP="00BF0153">
            <w:pPr>
              <w:pStyle w:val="Textoindependiente3"/>
              <w:tabs>
                <w:tab w:val="left" w:pos="1168"/>
              </w:tabs>
              <w:spacing w:after="0" w:line="240" w:lineRule="auto"/>
              <w:ind w:firstLine="15"/>
              <w:jc w:val="both"/>
              <w:rPr>
                <w:rFonts w:ascii="Cambria" w:hAnsi="Cambria"/>
                <w:sz w:val="20"/>
                <w:szCs w:val="20"/>
              </w:rPr>
            </w:pPr>
            <w:r w:rsidRPr="00D139E2">
              <w:rPr>
                <w:rFonts w:ascii="Cambria" w:hAnsi="Cambria"/>
                <w:i/>
                <w:iCs/>
                <w:sz w:val="20"/>
                <w:szCs w:val="20"/>
              </w:rPr>
              <w:lastRenderedPageBreak/>
              <w:t>La entidad debe presentar la metodología utilizada para la determinación del monto de mitigación de la garantía en hoja adicional</w:t>
            </w:r>
            <w:r w:rsidRPr="00D139E2">
              <w:rPr>
                <w:rFonts w:ascii="Cambria" w:hAnsi="Cambria"/>
                <w:sz w:val="20"/>
                <w:szCs w:val="20"/>
              </w:rPr>
              <w:t>.</w:t>
            </w:r>
          </w:p>
          <w:p w14:paraId="67A63666" w14:textId="77777777" w:rsidR="00BF0153" w:rsidRPr="00D139E2" w:rsidRDefault="00BF0153" w:rsidP="00BF0153">
            <w:pPr>
              <w:pStyle w:val="Textoindependiente3"/>
              <w:tabs>
                <w:tab w:val="left" w:pos="1168"/>
              </w:tabs>
              <w:spacing w:after="0" w:line="240" w:lineRule="auto"/>
              <w:ind w:firstLine="15"/>
              <w:jc w:val="both"/>
              <w:rPr>
                <w:rFonts w:ascii="Cambria" w:hAnsi="Cambria"/>
                <w:sz w:val="20"/>
                <w:szCs w:val="20"/>
              </w:rPr>
            </w:pPr>
            <w:r w:rsidRPr="00D139E2">
              <w:rPr>
                <w:rFonts w:ascii="Cambria" w:hAnsi="Cambria"/>
                <w:sz w:val="20"/>
                <w:szCs w:val="20"/>
              </w:rPr>
              <w:t>Al respecto, es necesaria la aclaración del dato a incluir en esta celda, debido a que el valor de las garantías se utiliza como parte del cálculo de la LGD y forma parte integral del cálculo de la pérdida esperada, de manera que es necesario indicar puntualmente qué valor se debe enviar.</w:t>
            </w:r>
          </w:p>
          <w:p w14:paraId="22B1EFA4" w14:textId="77777777" w:rsidR="003C715F" w:rsidRDefault="003C715F" w:rsidP="00BF0153">
            <w:pPr>
              <w:pStyle w:val="Textoindependiente3"/>
              <w:tabs>
                <w:tab w:val="left" w:pos="1168"/>
              </w:tabs>
              <w:spacing w:after="0" w:line="240" w:lineRule="auto"/>
              <w:ind w:firstLine="15"/>
              <w:jc w:val="both"/>
              <w:rPr>
                <w:rFonts w:ascii="Cambria" w:hAnsi="Cambria"/>
                <w:sz w:val="20"/>
                <w:szCs w:val="20"/>
              </w:rPr>
            </w:pPr>
          </w:p>
          <w:p w14:paraId="6E81D605" w14:textId="279BE521" w:rsidR="00BF0153" w:rsidRPr="00D139E2" w:rsidRDefault="00BF0153" w:rsidP="00BF0153">
            <w:pPr>
              <w:pStyle w:val="Textoindependiente3"/>
              <w:tabs>
                <w:tab w:val="left" w:pos="1168"/>
              </w:tabs>
              <w:spacing w:after="0" w:line="240" w:lineRule="auto"/>
              <w:ind w:firstLine="15"/>
              <w:jc w:val="both"/>
              <w:rPr>
                <w:rFonts w:ascii="Cambria" w:hAnsi="Cambria"/>
                <w:sz w:val="20"/>
                <w:szCs w:val="20"/>
              </w:rPr>
            </w:pPr>
            <w:r w:rsidRPr="00D139E2">
              <w:rPr>
                <w:rFonts w:ascii="Cambria" w:hAnsi="Cambria"/>
                <w:sz w:val="20"/>
                <w:szCs w:val="20"/>
              </w:rPr>
              <w:t>Adicionalmente, es importante indicar que el Acuerdo Conassif 14-21 establece que se deben respetar como garantías mitigadoras y los LGD mínimos del reglamento, de manera que en el caso del INS se realizan dos cálculos de pérdida esperada, uno utilizando la metodología interna de LGD y otro con la garantía mitigadora y LGD del Reglamento, lo anterior con el fin de validar que se respeten los mínimos regulatorios, por lo que es indispensable aclarar cuál dato se debe remitir periódicamente.</w:t>
            </w:r>
          </w:p>
          <w:p w14:paraId="05B8049F" w14:textId="77777777" w:rsidR="00BF0153" w:rsidRPr="00D139E2" w:rsidRDefault="00BF0153" w:rsidP="00BF0153">
            <w:pPr>
              <w:ind w:firstLine="15"/>
              <w:jc w:val="both"/>
              <w:rPr>
                <w:rFonts w:asciiTheme="majorHAnsi" w:hAnsiTheme="majorHAnsi"/>
                <w:b/>
                <w:bCs/>
                <w:iCs/>
                <w:sz w:val="20"/>
                <w:szCs w:val="20"/>
              </w:rPr>
            </w:pPr>
          </w:p>
        </w:tc>
        <w:tc>
          <w:tcPr>
            <w:tcW w:w="1250" w:type="pct"/>
            <w:shd w:val="clear" w:color="auto" w:fill="FFFFFF" w:themeFill="background1"/>
          </w:tcPr>
          <w:p w14:paraId="0C7CEB45" w14:textId="328C0F9F" w:rsidR="00BF0153" w:rsidRDefault="00BF0153" w:rsidP="00BF0153">
            <w:pPr>
              <w:jc w:val="both"/>
              <w:rPr>
                <w:rFonts w:ascii="Cambria" w:hAnsi="Cambria"/>
                <w:iCs/>
                <w:sz w:val="20"/>
                <w:szCs w:val="20"/>
              </w:rPr>
            </w:pPr>
            <w:r w:rsidRPr="00F9715D">
              <w:rPr>
                <w:rFonts w:ascii="Cambria" w:hAnsi="Cambria"/>
                <w:b/>
                <w:bCs/>
                <w:iCs/>
                <w:sz w:val="20"/>
                <w:szCs w:val="20"/>
              </w:rPr>
              <w:lastRenderedPageBreak/>
              <w:t xml:space="preserve">INS 2: Se aclara. </w:t>
            </w:r>
            <w:r w:rsidRPr="00F9715D">
              <w:rPr>
                <w:rFonts w:ascii="Cambria" w:hAnsi="Cambria"/>
                <w:iCs/>
                <w:sz w:val="20"/>
                <w:szCs w:val="20"/>
              </w:rPr>
              <w:t>La categoría de riesgo debe ser según lo indica el reglamento, por lo tanto</w:t>
            </w:r>
            <w:r w:rsidR="00E230DA">
              <w:rPr>
                <w:rFonts w:ascii="Cambria" w:hAnsi="Cambria"/>
                <w:iCs/>
                <w:sz w:val="20"/>
                <w:szCs w:val="20"/>
              </w:rPr>
              <w:t>,</w:t>
            </w:r>
            <w:r w:rsidRPr="00F9715D">
              <w:rPr>
                <w:rFonts w:ascii="Cambria" w:hAnsi="Cambria"/>
                <w:iCs/>
                <w:sz w:val="20"/>
                <w:szCs w:val="20"/>
              </w:rPr>
              <w:t xml:space="preserve"> la información que se muestre en esta columna corresponde al resultado </w:t>
            </w:r>
            <w:r w:rsidRPr="00F9715D">
              <w:rPr>
                <w:rFonts w:ascii="Cambria" w:hAnsi="Cambria"/>
                <w:iCs/>
                <w:sz w:val="20"/>
                <w:szCs w:val="20"/>
              </w:rPr>
              <w:lastRenderedPageBreak/>
              <w:t>final de la categoría</w:t>
            </w:r>
            <w:r w:rsidR="00F9715D" w:rsidRPr="00F9715D">
              <w:rPr>
                <w:rFonts w:ascii="Cambria" w:hAnsi="Cambria"/>
                <w:iCs/>
                <w:sz w:val="20"/>
                <w:szCs w:val="20"/>
              </w:rPr>
              <w:t>, el cual</w:t>
            </w:r>
            <w:r w:rsidRPr="00F9715D">
              <w:rPr>
                <w:rFonts w:ascii="Cambria" w:hAnsi="Cambria"/>
                <w:iCs/>
                <w:sz w:val="20"/>
                <w:szCs w:val="20"/>
              </w:rPr>
              <w:t xml:space="preserve"> </w:t>
            </w:r>
            <w:r w:rsidR="00F9715D" w:rsidRPr="00F9715D">
              <w:rPr>
                <w:rFonts w:ascii="Cambria" w:hAnsi="Cambria"/>
                <w:iCs/>
                <w:sz w:val="20"/>
                <w:szCs w:val="20"/>
              </w:rPr>
              <w:t>puede incluir todas las variables que haya considerado el Instituto en su modelo interno y no solamente la mora que es un requerimiento mínimo.</w:t>
            </w:r>
          </w:p>
          <w:p w14:paraId="3DCE85CB" w14:textId="77777777" w:rsidR="00F9715D" w:rsidRDefault="00F9715D" w:rsidP="00BF0153">
            <w:pPr>
              <w:jc w:val="both"/>
              <w:rPr>
                <w:rFonts w:ascii="Cambria" w:hAnsi="Cambria"/>
                <w:iCs/>
                <w:sz w:val="20"/>
                <w:szCs w:val="20"/>
              </w:rPr>
            </w:pPr>
          </w:p>
          <w:p w14:paraId="201D6DEB" w14:textId="77777777" w:rsidR="00F9715D" w:rsidRDefault="00F9715D" w:rsidP="00BF0153">
            <w:pPr>
              <w:jc w:val="both"/>
              <w:rPr>
                <w:rFonts w:ascii="Cambria" w:hAnsi="Cambria"/>
                <w:iCs/>
                <w:sz w:val="20"/>
                <w:szCs w:val="20"/>
              </w:rPr>
            </w:pPr>
          </w:p>
          <w:p w14:paraId="5C7D46A6" w14:textId="77777777" w:rsidR="00F9715D" w:rsidRDefault="00F9715D" w:rsidP="00BF0153">
            <w:pPr>
              <w:jc w:val="both"/>
              <w:rPr>
                <w:rFonts w:ascii="Cambria" w:hAnsi="Cambria"/>
                <w:iCs/>
                <w:sz w:val="20"/>
                <w:szCs w:val="20"/>
              </w:rPr>
            </w:pPr>
          </w:p>
          <w:p w14:paraId="681EF195" w14:textId="77777777" w:rsidR="00F9715D" w:rsidRDefault="00F9715D" w:rsidP="00BF0153">
            <w:pPr>
              <w:jc w:val="both"/>
              <w:rPr>
                <w:rFonts w:ascii="Cambria" w:hAnsi="Cambria"/>
                <w:iCs/>
                <w:sz w:val="20"/>
                <w:szCs w:val="20"/>
              </w:rPr>
            </w:pPr>
          </w:p>
          <w:p w14:paraId="1B493AF1" w14:textId="77777777" w:rsidR="00F9715D" w:rsidRDefault="00F9715D" w:rsidP="00BF0153">
            <w:pPr>
              <w:jc w:val="both"/>
              <w:rPr>
                <w:rFonts w:ascii="Cambria" w:hAnsi="Cambria"/>
                <w:iCs/>
                <w:sz w:val="20"/>
                <w:szCs w:val="20"/>
              </w:rPr>
            </w:pPr>
          </w:p>
          <w:p w14:paraId="018FC223" w14:textId="77777777" w:rsidR="00F9715D" w:rsidRDefault="00F9715D" w:rsidP="00BF0153">
            <w:pPr>
              <w:jc w:val="both"/>
              <w:rPr>
                <w:rFonts w:ascii="Cambria" w:hAnsi="Cambria"/>
                <w:iCs/>
                <w:sz w:val="20"/>
                <w:szCs w:val="20"/>
              </w:rPr>
            </w:pPr>
          </w:p>
          <w:p w14:paraId="3211E2D5" w14:textId="77777777" w:rsidR="00F9715D" w:rsidRDefault="00F9715D" w:rsidP="00BF0153">
            <w:pPr>
              <w:jc w:val="both"/>
              <w:rPr>
                <w:rFonts w:ascii="Cambria" w:hAnsi="Cambria"/>
                <w:iCs/>
                <w:sz w:val="20"/>
                <w:szCs w:val="20"/>
              </w:rPr>
            </w:pPr>
          </w:p>
          <w:p w14:paraId="3F99A7AD" w14:textId="77777777" w:rsidR="00F9715D" w:rsidRDefault="00F9715D" w:rsidP="00BF0153">
            <w:pPr>
              <w:jc w:val="both"/>
              <w:rPr>
                <w:rFonts w:ascii="Cambria" w:hAnsi="Cambria"/>
                <w:iCs/>
                <w:sz w:val="20"/>
                <w:szCs w:val="20"/>
              </w:rPr>
            </w:pPr>
          </w:p>
          <w:p w14:paraId="30F2513C" w14:textId="77777777" w:rsidR="00F9715D" w:rsidRDefault="00F9715D" w:rsidP="00BF0153">
            <w:pPr>
              <w:jc w:val="both"/>
              <w:rPr>
                <w:rFonts w:ascii="Cambria" w:hAnsi="Cambria"/>
                <w:iCs/>
                <w:sz w:val="20"/>
                <w:szCs w:val="20"/>
              </w:rPr>
            </w:pPr>
          </w:p>
          <w:p w14:paraId="6FEDD6D6" w14:textId="77777777" w:rsidR="00F9715D" w:rsidRDefault="00F9715D" w:rsidP="00BF0153">
            <w:pPr>
              <w:jc w:val="both"/>
              <w:rPr>
                <w:rFonts w:ascii="Cambria" w:hAnsi="Cambria"/>
                <w:iCs/>
                <w:sz w:val="20"/>
                <w:szCs w:val="20"/>
              </w:rPr>
            </w:pPr>
          </w:p>
          <w:p w14:paraId="4CF6D27D" w14:textId="77777777" w:rsidR="00F9715D" w:rsidRDefault="00F9715D" w:rsidP="00BF0153">
            <w:pPr>
              <w:jc w:val="both"/>
              <w:rPr>
                <w:rFonts w:ascii="Cambria" w:hAnsi="Cambria"/>
                <w:iCs/>
                <w:sz w:val="20"/>
                <w:szCs w:val="20"/>
              </w:rPr>
            </w:pPr>
          </w:p>
          <w:p w14:paraId="7C6DF5CE" w14:textId="77777777" w:rsidR="00F9715D" w:rsidRDefault="00F9715D" w:rsidP="00BF0153">
            <w:pPr>
              <w:jc w:val="both"/>
              <w:rPr>
                <w:rFonts w:ascii="Cambria" w:hAnsi="Cambria"/>
                <w:iCs/>
                <w:sz w:val="20"/>
                <w:szCs w:val="20"/>
              </w:rPr>
            </w:pPr>
          </w:p>
          <w:p w14:paraId="261E2A86" w14:textId="77777777" w:rsidR="00F9715D" w:rsidRDefault="00F9715D" w:rsidP="00BF0153">
            <w:pPr>
              <w:jc w:val="both"/>
              <w:rPr>
                <w:rFonts w:ascii="Cambria" w:hAnsi="Cambria"/>
                <w:iCs/>
                <w:sz w:val="20"/>
                <w:szCs w:val="20"/>
              </w:rPr>
            </w:pPr>
          </w:p>
          <w:p w14:paraId="61BD5441" w14:textId="77777777" w:rsidR="00F9715D" w:rsidRDefault="00F9715D" w:rsidP="00BF0153">
            <w:pPr>
              <w:jc w:val="both"/>
              <w:rPr>
                <w:rFonts w:ascii="Cambria" w:hAnsi="Cambria"/>
                <w:iCs/>
                <w:sz w:val="20"/>
                <w:szCs w:val="20"/>
              </w:rPr>
            </w:pPr>
          </w:p>
          <w:p w14:paraId="007B9F62" w14:textId="77777777" w:rsidR="00F9715D" w:rsidRDefault="00F9715D" w:rsidP="00BF0153">
            <w:pPr>
              <w:jc w:val="both"/>
              <w:rPr>
                <w:rFonts w:ascii="Cambria" w:hAnsi="Cambria"/>
                <w:iCs/>
                <w:sz w:val="20"/>
                <w:szCs w:val="20"/>
              </w:rPr>
            </w:pPr>
          </w:p>
          <w:p w14:paraId="48983C6D" w14:textId="77777777" w:rsidR="00F9715D" w:rsidRDefault="00F9715D" w:rsidP="00BF0153">
            <w:pPr>
              <w:jc w:val="both"/>
              <w:rPr>
                <w:rFonts w:ascii="Cambria" w:hAnsi="Cambria"/>
                <w:iCs/>
                <w:sz w:val="20"/>
                <w:szCs w:val="20"/>
              </w:rPr>
            </w:pPr>
          </w:p>
          <w:p w14:paraId="704167F1" w14:textId="77777777" w:rsidR="00F9715D" w:rsidRDefault="00F9715D" w:rsidP="00BF0153">
            <w:pPr>
              <w:jc w:val="both"/>
              <w:rPr>
                <w:rFonts w:ascii="Cambria" w:hAnsi="Cambria"/>
                <w:iCs/>
                <w:sz w:val="20"/>
                <w:szCs w:val="20"/>
              </w:rPr>
            </w:pPr>
          </w:p>
          <w:p w14:paraId="06B28CB9" w14:textId="77777777" w:rsidR="00F9715D" w:rsidRDefault="00F9715D" w:rsidP="00BF0153">
            <w:pPr>
              <w:jc w:val="both"/>
              <w:rPr>
                <w:rFonts w:ascii="Cambria" w:hAnsi="Cambria"/>
                <w:iCs/>
                <w:sz w:val="20"/>
                <w:szCs w:val="20"/>
              </w:rPr>
            </w:pPr>
          </w:p>
          <w:p w14:paraId="012DAA75" w14:textId="77777777" w:rsidR="00F9715D" w:rsidRDefault="00F9715D" w:rsidP="00BF0153">
            <w:pPr>
              <w:jc w:val="both"/>
              <w:rPr>
                <w:rFonts w:ascii="Cambria" w:hAnsi="Cambria"/>
                <w:iCs/>
                <w:sz w:val="20"/>
                <w:szCs w:val="20"/>
              </w:rPr>
            </w:pPr>
          </w:p>
          <w:p w14:paraId="697AACCE" w14:textId="77777777" w:rsidR="00F9715D" w:rsidRDefault="00F9715D" w:rsidP="00BF0153">
            <w:pPr>
              <w:jc w:val="both"/>
              <w:rPr>
                <w:rFonts w:ascii="Cambria" w:hAnsi="Cambria"/>
                <w:iCs/>
                <w:sz w:val="20"/>
                <w:szCs w:val="20"/>
              </w:rPr>
            </w:pPr>
          </w:p>
          <w:p w14:paraId="319C54DE" w14:textId="77777777" w:rsidR="00F9715D" w:rsidRDefault="00F9715D" w:rsidP="00BF0153">
            <w:pPr>
              <w:jc w:val="both"/>
              <w:rPr>
                <w:rFonts w:ascii="Cambria" w:hAnsi="Cambria"/>
                <w:iCs/>
                <w:sz w:val="20"/>
                <w:szCs w:val="20"/>
              </w:rPr>
            </w:pPr>
          </w:p>
          <w:p w14:paraId="5D7B028E" w14:textId="77777777" w:rsidR="00F9715D" w:rsidRDefault="00F9715D" w:rsidP="00BF0153">
            <w:pPr>
              <w:jc w:val="both"/>
              <w:rPr>
                <w:rFonts w:ascii="Cambria" w:hAnsi="Cambria"/>
                <w:iCs/>
                <w:sz w:val="20"/>
                <w:szCs w:val="20"/>
              </w:rPr>
            </w:pPr>
          </w:p>
          <w:p w14:paraId="3CC80724" w14:textId="77777777" w:rsidR="00F9715D" w:rsidRDefault="00F9715D" w:rsidP="00BF0153">
            <w:pPr>
              <w:jc w:val="both"/>
              <w:rPr>
                <w:rFonts w:ascii="Cambria" w:hAnsi="Cambria"/>
                <w:iCs/>
                <w:sz w:val="20"/>
                <w:szCs w:val="20"/>
              </w:rPr>
            </w:pPr>
          </w:p>
          <w:p w14:paraId="41E75474" w14:textId="77777777" w:rsidR="00F9715D" w:rsidRDefault="00F9715D" w:rsidP="00BF0153">
            <w:pPr>
              <w:jc w:val="both"/>
              <w:rPr>
                <w:rFonts w:ascii="Cambria" w:hAnsi="Cambria"/>
                <w:iCs/>
                <w:sz w:val="20"/>
                <w:szCs w:val="20"/>
              </w:rPr>
            </w:pPr>
          </w:p>
          <w:p w14:paraId="24F6B8F8" w14:textId="77777777" w:rsidR="00F9715D" w:rsidRDefault="00F9715D" w:rsidP="00BF0153">
            <w:pPr>
              <w:jc w:val="both"/>
              <w:rPr>
                <w:rFonts w:ascii="Cambria" w:hAnsi="Cambria"/>
                <w:iCs/>
                <w:sz w:val="20"/>
                <w:szCs w:val="20"/>
              </w:rPr>
            </w:pPr>
          </w:p>
          <w:p w14:paraId="5BC3D859" w14:textId="076DD82D" w:rsidR="00F9715D" w:rsidRDefault="00F9715D" w:rsidP="00BF0153">
            <w:pPr>
              <w:jc w:val="both"/>
              <w:rPr>
                <w:rFonts w:ascii="Cambria" w:hAnsi="Cambria"/>
                <w:iCs/>
                <w:sz w:val="20"/>
                <w:szCs w:val="20"/>
              </w:rPr>
            </w:pPr>
            <w:r w:rsidRPr="00AD1CEE">
              <w:rPr>
                <w:rFonts w:ascii="Cambria" w:hAnsi="Cambria"/>
                <w:b/>
                <w:bCs/>
                <w:iCs/>
                <w:sz w:val="20"/>
                <w:szCs w:val="20"/>
              </w:rPr>
              <w:t>INS 3:</w:t>
            </w:r>
            <w:r>
              <w:rPr>
                <w:rFonts w:ascii="Cambria" w:hAnsi="Cambria"/>
                <w:iCs/>
                <w:sz w:val="20"/>
                <w:szCs w:val="20"/>
              </w:rPr>
              <w:t xml:space="preserve"> </w:t>
            </w:r>
            <w:r w:rsidR="00AD1CEE" w:rsidRPr="000847CF">
              <w:rPr>
                <w:rFonts w:ascii="Cambria" w:hAnsi="Cambria"/>
                <w:b/>
                <w:bCs/>
                <w:iCs/>
                <w:sz w:val="20"/>
                <w:szCs w:val="20"/>
              </w:rPr>
              <w:t>Se acepta.</w:t>
            </w:r>
            <w:r w:rsidR="00AD1CEE">
              <w:rPr>
                <w:rFonts w:ascii="Cambria" w:hAnsi="Cambria"/>
                <w:iCs/>
                <w:sz w:val="20"/>
                <w:szCs w:val="20"/>
              </w:rPr>
              <w:t xml:space="preserve"> Se elimina el requerimiento de dicha información ya que no aplica obligatoriamente para el desarrollo de una metodología interna.</w:t>
            </w:r>
          </w:p>
          <w:p w14:paraId="6851EA4C" w14:textId="77777777" w:rsidR="00AD1CEE" w:rsidRDefault="00AD1CEE" w:rsidP="00BF0153">
            <w:pPr>
              <w:jc w:val="both"/>
              <w:rPr>
                <w:rFonts w:ascii="Cambria" w:hAnsi="Cambria"/>
                <w:iCs/>
                <w:sz w:val="20"/>
                <w:szCs w:val="20"/>
              </w:rPr>
            </w:pPr>
          </w:p>
          <w:p w14:paraId="05B65D50" w14:textId="77777777" w:rsidR="00AD1CEE" w:rsidRDefault="00AD1CEE" w:rsidP="00BF0153">
            <w:pPr>
              <w:jc w:val="both"/>
              <w:rPr>
                <w:rFonts w:ascii="Cambria" w:hAnsi="Cambria"/>
                <w:iCs/>
                <w:sz w:val="20"/>
                <w:szCs w:val="20"/>
              </w:rPr>
            </w:pPr>
          </w:p>
          <w:p w14:paraId="65041AAB" w14:textId="77777777" w:rsidR="00AD1CEE" w:rsidRDefault="00AD1CEE" w:rsidP="00BF0153">
            <w:pPr>
              <w:jc w:val="both"/>
              <w:rPr>
                <w:rFonts w:ascii="Cambria" w:hAnsi="Cambria"/>
                <w:iCs/>
                <w:sz w:val="20"/>
                <w:szCs w:val="20"/>
              </w:rPr>
            </w:pPr>
          </w:p>
          <w:p w14:paraId="6CD3BF4B" w14:textId="77777777" w:rsidR="00AD1CEE" w:rsidRDefault="00AD1CEE" w:rsidP="00BF0153">
            <w:pPr>
              <w:jc w:val="both"/>
              <w:rPr>
                <w:rFonts w:ascii="Cambria" w:hAnsi="Cambria"/>
                <w:iCs/>
                <w:sz w:val="20"/>
                <w:szCs w:val="20"/>
              </w:rPr>
            </w:pPr>
          </w:p>
          <w:p w14:paraId="51C2BE98" w14:textId="4768DEEB" w:rsidR="00AD1CEE" w:rsidRDefault="004722DA" w:rsidP="00BF0153">
            <w:pPr>
              <w:jc w:val="both"/>
              <w:rPr>
                <w:rFonts w:ascii="Cambria" w:hAnsi="Cambria"/>
                <w:iCs/>
                <w:sz w:val="20"/>
                <w:szCs w:val="20"/>
              </w:rPr>
            </w:pPr>
            <w:r w:rsidRPr="000847CF">
              <w:rPr>
                <w:rFonts w:ascii="Cambria" w:hAnsi="Cambria"/>
                <w:b/>
                <w:bCs/>
                <w:iCs/>
                <w:sz w:val="20"/>
                <w:szCs w:val="20"/>
              </w:rPr>
              <w:t>INS 4:</w:t>
            </w:r>
            <w:r>
              <w:rPr>
                <w:rFonts w:ascii="Cambria" w:hAnsi="Cambria"/>
                <w:iCs/>
                <w:sz w:val="20"/>
                <w:szCs w:val="20"/>
              </w:rPr>
              <w:t xml:space="preserve"> </w:t>
            </w:r>
            <w:r w:rsidR="00034F92" w:rsidRPr="000847CF">
              <w:rPr>
                <w:rFonts w:ascii="Cambria" w:hAnsi="Cambria"/>
                <w:b/>
                <w:bCs/>
                <w:iCs/>
                <w:sz w:val="20"/>
                <w:szCs w:val="20"/>
              </w:rPr>
              <w:t>Se aclara.</w:t>
            </w:r>
            <w:r w:rsidR="00034F92">
              <w:rPr>
                <w:rFonts w:ascii="Cambria" w:hAnsi="Cambria"/>
                <w:iCs/>
                <w:sz w:val="20"/>
                <w:szCs w:val="20"/>
              </w:rPr>
              <w:t xml:space="preserve"> </w:t>
            </w:r>
            <w:r w:rsidR="00AE693E">
              <w:rPr>
                <w:rFonts w:ascii="Cambria" w:hAnsi="Cambria"/>
                <w:iCs/>
                <w:sz w:val="20"/>
                <w:szCs w:val="20"/>
              </w:rPr>
              <w:t xml:space="preserve">Debido a la limitante de acceso al CIC, </w:t>
            </w:r>
            <w:r w:rsidR="00FF4F04">
              <w:rPr>
                <w:rFonts w:ascii="Cambria" w:hAnsi="Cambria"/>
                <w:iCs/>
                <w:sz w:val="20"/>
                <w:szCs w:val="20"/>
              </w:rPr>
              <w:t>s</w:t>
            </w:r>
            <w:r w:rsidR="0044495D">
              <w:rPr>
                <w:rFonts w:ascii="Cambria" w:hAnsi="Cambria"/>
                <w:iCs/>
                <w:sz w:val="20"/>
                <w:szCs w:val="20"/>
              </w:rPr>
              <w:t xml:space="preserve">e debe completar a partir de información sobre el comportamiento de pago histórico </w:t>
            </w:r>
            <w:r w:rsidR="00BA34C7">
              <w:rPr>
                <w:rFonts w:ascii="Cambria" w:hAnsi="Cambria"/>
                <w:iCs/>
                <w:sz w:val="20"/>
                <w:szCs w:val="20"/>
              </w:rPr>
              <w:t xml:space="preserve">de la cartera de clientes </w:t>
            </w:r>
            <w:r w:rsidR="0044495D">
              <w:rPr>
                <w:rFonts w:ascii="Cambria" w:hAnsi="Cambria"/>
                <w:iCs/>
                <w:sz w:val="20"/>
                <w:szCs w:val="20"/>
              </w:rPr>
              <w:t>que pose</w:t>
            </w:r>
            <w:r w:rsidR="00BA34C7">
              <w:rPr>
                <w:rFonts w:ascii="Cambria" w:hAnsi="Cambria"/>
                <w:iCs/>
                <w:sz w:val="20"/>
                <w:szCs w:val="20"/>
              </w:rPr>
              <w:t>e</w:t>
            </w:r>
            <w:r w:rsidR="0044495D">
              <w:rPr>
                <w:rFonts w:ascii="Cambria" w:hAnsi="Cambria"/>
                <w:iCs/>
                <w:sz w:val="20"/>
                <w:szCs w:val="20"/>
              </w:rPr>
              <w:t xml:space="preserve"> la </w:t>
            </w:r>
            <w:r w:rsidR="00A34AE1">
              <w:rPr>
                <w:rFonts w:ascii="Cambria" w:hAnsi="Cambria"/>
                <w:iCs/>
                <w:sz w:val="20"/>
                <w:szCs w:val="20"/>
              </w:rPr>
              <w:t xml:space="preserve">aseguradora </w:t>
            </w:r>
            <w:r w:rsidR="00BA34C7">
              <w:rPr>
                <w:rFonts w:ascii="Cambria" w:hAnsi="Cambria"/>
                <w:iCs/>
                <w:sz w:val="20"/>
                <w:szCs w:val="20"/>
              </w:rPr>
              <w:t>en sus bases de datos</w:t>
            </w:r>
            <w:r w:rsidR="00A34AE1">
              <w:rPr>
                <w:rFonts w:ascii="Cambria" w:hAnsi="Cambria"/>
                <w:iCs/>
                <w:sz w:val="20"/>
                <w:szCs w:val="20"/>
              </w:rPr>
              <w:t>.</w:t>
            </w:r>
          </w:p>
          <w:p w14:paraId="25DEA486" w14:textId="77777777" w:rsidR="00F9715D" w:rsidRDefault="00F9715D" w:rsidP="00BF0153">
            <w:pPr>
              <w:jc w:val="both"/>
              <w:rPr>
                <w:rFonts w:ascii="Cambria" w:hAnsi="Cambria"/>
                <w:iCs/>
                <w:sz w:val="20"/>
                <w:szCs w:val="20"/>
              </w:rPr>
            </w:pPr>
          </w:p>
          <w:p w14:paraId="6BDE1C9F" w14:textId="77777777" w:rsidR="00F9715D" w:rsidRDefault="00F9715D" w:rsidP="00BF0153">
            <w:pPr>
              <w:jc w:val="both"/>
              <w:rPr>
                <w:rFonts w:ascii="Cambria" w:hAnsi="Cambria"/>
                <w:b/>
                <w:bCs/>
                <w:iCs/>
                <w:sz w:val="20"/>
                <w:szCs w:val="20"/>
              </w:rPr>
            </w:pPr>
          </w:p>
          <w:p w14:paraId="7BE97B72" w14:textId="77777777" w:rsidR="0022413D" w:rsidRDefault="0022413D" w:rsidP="00BF0153">
            <w:pPr>
              <w:jc w:val="both"/>
              <w:rPr>
                <w:rFonts w:ascii="Cambria" w:hAnsi="Cambria"/>
                <w:b/>
                <w:bCs/>
                <w:iCs/>
                <w:sz w:val="20"/>
                <w:szCs w:val="20"/>
              </w:rPr>
            </w:pPr>
          </w:p>
          <w:p w14:paraId="6AF6ADAA" w14:textId="77777777" w:rsidR="0022413D" w:rsidRDefault="0022413D" w:rsidP="00BF0153">
            <w:pPr>
              <w:jc w:val="both"/>
              <w:rPr>
                <w:rFonts w:ascii="Cambria" w:hAnsi="Cambria"/>
                <w:b/>
                <w:bCs/>
                <w:iCs/>
                <w:sz w:val="20"/>
                <w:szCs w:val="20"/>
              </w:rPr>
            </w:pPr>
          </w:p>
          <w:p w14:paraId="5760BD87" w14:textId="77777777" w:rsidR="0022413D" w:rsidRDefault="0022413D" w:rsidP="00BF0153">
            <w:pPr>
              <w:jc w:val="both"/>
              <w:rPr>
                <w:rFonts w:ascii="Cambria" w:hAnsi="Cambria"/>
                <w:b/>
                <w:bCs/>
                <w:iCs/>
                <w:sz w:val="20"/>
                <w:szCs w:val="20"/>
              </w:rPr>
            </w:pPr>
          </w:p>
          <w:p w14:paraId="77C0216C" w14:textId="77777777" w:rsidR="0022413D" w:rsidRDefault="0022413D" w:rsidP="00BF0153">
            <w:pPr>
              <w:jc w:val="both"/>
              <w:rPr>
                <w:rFonts w:ascii="Cambria" w:hAnsi="Cambria"/>
                <w:iCs/>
                <w:sz w:val="20"/>
                <w:szCs w:val="20"/>
              </w:rPr>
            </w:pPr>
            <w:r>
              <w:rPr>
                <w:rFonts w:ascii="Cambria" w:hAnsi="Cambria"/>
                <w:b/>
                <w:bCs/>
                <w:iCs/>
                <w:sz w:val="20"/>
                <w:szCs w:val="20"/>
              </w:rPr>
              <w:t xml:space="preserve">INS 5: </w:t>
            </w:r>
            <w:r w:rsidR="00AC3432">
              <w:rPr>
                <w:rFonts w:ascii="Cambria" w:hAnsi="Cambria"/>
                <w:b/>
                <w:bCs/>
                <w:iCs/>
                <w:sz w:val="20"/>
                <w:szCs w:val="20"/>
              </w:rPr>
              <w:t>No se ac</w:t>
            </w:r>
            <w:r w:rsidR="0057743D">
              <w:rPr>
                <w:rFonts w:ascii="Cambria" w:hAnsi="Cambria"/>
                <w:b/>
                <w:bCs/>
                <w:iCs/>
                <w:sz w:val="20"/>
                <w:szCs w:val="20"/>
              </w:rPr>
              <w:t>ept</w:t>
            </w:r>
            <w:r w:rsidR="00AC3432">
              <w:rPr>
                <w:rFonts w:ascii="Cambria" w:hAnsi="Cambria"/>
                <w:b/>
                <w:bCs/>
                <w:iCs/>
                <w:sz w:val="20"/>
                <w:szCs w:val="20"/>
              </w:rPr>
              <w:t xml:space="preserve">a. </w:t>
            </w:r>
            <w:r w:rsidR="00F66B36" w:rsidRPr="006245EE">
              <w:rPr>
                <w:rFonts w:ascii="Cambria" w:hAnsi="Cambria"/>
                <w:iCs/>
                <w:sz w:val="20"/>
                <w:szCs w:val="20"/>
              </w:rPr>
              <w:t>De conformidad con lo que indica el apartado 2.2.d</w:t>
            </w:r>
            <w:r w:rsidR="00CB6052" w:rsidRPr="006245EE">
              <w:rPr>
                <w:rFonts w:ascii="Cambria" w:hAnsi="Cambria"/>
                <w:iCs/>
                <w:sz w:val="20"/>
                <w:szCs w:val="20"/>
              </w:rPr>
              <w:t xml:space="preserve"> del Anexo 3 del </w:t>
            </w:r>
            <w:r w:rsidR="005A4073">
              <w:rPr>
                <w:rFonts w:ascii="Cambria" w:hAnsi="Cambria"/>
                <w:iCs/>
                <w:sz w:val="20"/>
                <w:szCs w:val="20"/>
              </w:rPr>
              <w:t>R</w:t>
            </w:r>
            <w:r w:rsidR="00CB6052" w:rsidRPr="006245EE">
              <w:rPr>
                <w:rFonts w:ascii="Cambria" w:hAnsi="Cambria"/>
                <w:iCs/>
                <w:sz w:val="20"/>
                <w:szCs w:val="20"/>
              </w:rPr>
              <w:t>eglamento</w:t>
            </w:r>
            <w:r w:rsidR="005A4073">
              <w:rPr>
                <w:rFonts w:ascii="Cambria" w:hAnsi="Cambria"/>
                <w:iCs/>
                <w:sz w:val="20"/>
                <w:szCs w:val="20"/>
              </w:rPr>
              <w:t>,</w:t>
            </w:r>
            <w:r w:rsidR="00CB6052" w:rsidRPr="006245EE">
              <w:rPr>
                <w:rFonts w:ascii="Cambria" w:hAnsi="Cambria"/>
                <w:iCs/>
                <w:sz w:val="20"/>
                <w:szCs w:val="20"/>
              </w:rPr>
              <w:t xml:space="preserve"> la devaluación </w:t>
            </w:r>
            <w:r w:rsidR="002338B3" w:rsidRPr="006245EE">
              <w:rPr>
                <w:rFonts w:ascii="Cambria" w:hAnsi="Cambria"/>
                <w:iCs/>
                <w:sz w:val="20"/>
                <w:szCs w:val="20"/>
              </w:rPr>
              <w:t xml:space="preserve">es una variable importante para la determinación de la probabilidad de incumplimiento. Adicionalmente, del análisis de saldos de la cartera que posee el Instituto al cierre del 2022, se observa que </w:t>
            </w:r>
            <w:r w:rsidR="00624A2C" w:rsidRPr="006245EE">
              <w:rPr>
                <w:rFonts w:ascii="Cambria" w:hAnsi="Cambria"/>
                <w:iCs/>
                <w:sz w:val="20"/>
                <w:szCs w:val="20"/>
              </w:rPr>
              <w:t xml:space="preserve">se tienen créditos otorgados en esa moneda, lo cual ante situaciones como la baja del tipo de cambio </w:t>
            </w:r>
            <w:r w:rsidR="000A4B03">
              <w:rPr>
                <w:rFonts w:ascii="Cambria" w:hAnsi="Cambria"/>
                <w:iCs/>
                <w:sz w:val="20"/>
                <w:szCs w:val="20"/>
              </w:rPr>
              <w:t xml:space="preserve">podría </w:t>
            </w:r>
            <w:r w:rsidR="00305529" w:rsidRPr="006245EE">
              <w:rPr>
                <w:rFonts w:ascii="Cambria" w:hAnsi="Cambria"/>
                <w:iCs/>
                <w:sz w:val="20"/>
                <w:szCs w:val="20"/>
              </w:rPr>
              <w:t xml:space="preserve">implicar una disminución en los flujos estimados en colones, moneda de uso principal por parte de la aseguradora. </w:t>
            </w:r>
            <w:r w:rsidR="008D5F88" w:rsidRPr="006245EE">
              <w:rPr>
                <w:rFonts w:ascii="Cambria" w:hAnsi="Cambria"/>
                <w:iCs/>
                <w:sz w:val="20"/>
                <w:szCs w:val="20"/>
              </w:rPr>
              <w:t xml:space="preserve">La </w:t>
            </w:r>
            <w:r w:rsidR="0071249E" w:rsidRPr="006245EE">
              <w:rPr>
                <w:rFonts w:ascii="Cambria" w:hAnsi="Cambria"/>
                <w:iCs/>
                <w:sz w:val="20"/>
                <w:szCs w:val="20"/>
              </w:rPr>
              <w:t xml:space="preserve">columna sólo debe indicar si el deudor en particular tiene riesgo por tipo de cambio o no, </w:t>
            </w:r>
            <w:r w:rsidR="006245EE" w:rsidRPr="006245EE">
              <w:rPr>
                <w:rFonts w:ascii="Cambria" w:hAnsi="Cambria"/>
                <w:iCs/>
                <w:sz w:val="20"/>
                <w:szCs w:val="20"/>
              </w:rPr>
              <w:t>a criterio de la aseguradora.</w:t>
            </w:r>
          </w:p>
          <w:p w14:paraId="44AC9018" w14:textId="77777777" w:rsidR="00EE3580" w:rsidRDefault="00EE3580" w:rsidP="00BF0153">
            <w:pPr>
              <w:jc w:val="both"/>
              <w:rPr>
                <w:rFonts w:ascii="Cambria" w:hAnsi="Cambria"/>
                <w:b/>
                <w:bCs/>
                <w:iCs/>
                <w:sz w:val="20"/>
                <w:szCs w:val="20"/>
              </w:rPr>
            </w:pPr>
          </w:p>
          <w:p w14:paraId="7EECDCA9" w14:textId="77777777" w:rsidR="00EE3580" w:rsidRDefault="00EE3580" w:rsidP="00BF0153">
            <w:pPr>
              <w:jc w:val="both"/>
              <w:rPr>
                <w:rFonts w:ascii="Cambria" w:hAnsi="Cambria"/>
                <w:iCs/>
                <w:sz w:val="20"/>
                <w:szCs w:val="20"/>
              </w:rPr>
            </w:pPr>
            <w:r>
              <w:rPr>
                <w:rFonts w:ascii="Cambria" w:hAnsi="Cambria"/>
                <w:b/>
                <w:bCs/>
                <w:iCs/>
                <w:sz w:val="20"/>
                <w:szCs w:val="20"/>
              </w:rPr>
              <w:t xml:space="preserve">INS 6: </w:t>
            </w:r>
            <w:r w:rsidR="00635775">
              <w:rPr>
                <w:rFonts w:ascii="Cambria" w:hAnsi="Cambria"/>
                <w:b/>
                <w:bCs/>
                <w:iCs/>
                <w:sz w:val="20"/>
                <w:szCs w:val="20"/>
              </w:rPr>
              <w:t xml:space="preserve">Se aclara. </w:t>
            </w:r>
            <w:r w:rsidR="00D01CC2">
              <w:rPr>
                <w:rFonts w:ascii="Cambria" w:hAnsi="Cambria"/>
                <w:iCs/>
                <w:sz w:val="20"/>
                <w:szCs w:val="20"/>
              </w:rPr>
              <w:t xml:space="preserve">Se espera que la información mostrada en la columna </w:t>
            </w:r>
            <w:r w:rsidR="00D01CC2">
              <w:rPr>
                <w:rFonts w:ascii="Cambria" w:hAnsi="Cambria"/>
                <w:iCs/>
                <w:sz w:val="20"/>
                <w:szCs w:val="20"/>
              </w:rPr>
              <w:lastRenderedPageBreak/>
              <w:t xml:space="preserve">monto de mitigador corresponda al resultado de los flujos de </w:t>
            </w:r>
            <w:r w:rsidR="007E004D">
              <w:rPr>
                <w:rFonts w:ascii="Cambria" w:hAnsi="Cambria"/>
                <w:iCs/>
                <w:sz w:val="20"/>
                <w:szCs w:val="20"/>
              </w:rPr>
              <w:t>efectivo esperados de las garantías colaterales, los cuales como ya se indica se encuentran considerados en la LGD.</w:t>
            </w:r>
          </w:p>
          <w:p w14:paraId="5330FD78" w14:textId="77777777" w:rsidR="007E004D" w:rsidRDefault="007E004D" w:rsidP="00BF0153">
            <w:pPr>
              <w:jc w:val="both"/>
              <w:rPr>
                <w:rFonts w:ascii="Cambria" w:hAnsi="Cambria"/>
                <w:iCs/>
                <w:sz w:val="20"/>
                <w:szCs w:val="20"/>
              </w:rPr>
            </w:pPr>
          </w:p>
          <w:p w14:paraId="6E71609F" w14:textId="77777777" w:rsidR="007E004D" w:rsidRDefault="007E004D" w:rsidP="00BF0153">
            <w:pPr>
              <w:jc w:val="both"/>
              <w:rPr>
                <w:rFonts w:ascii="Cambria" w:hAnsi="Cambria"/>
                <w:iCs/>
                <w:sz w:val="20"/>
                <w:szCs w:val="20"/>
              </w:rPr>
            </w:pPr>
          </w:p>
          <w:p w14:paraId="754B1034" w14:textId="77777777" w:rsidR="003C1F8E" w:rsidRDefault="003C1F8E" w:rsidP="00BF0153">
            <w:pPr>
              <w:jc w:val="both"/>
              <w:rPr>
                <w:rFonts w:ascii="Cambria" w:hAnsi="Cambria"/>
                <w:iCs/>
                <w:sz w:val="20"/>
                <w:szCs w:val="20"/>
              </w:rPr>
            </w:pPr>
          </w:p>
          <w:p w14:paraId="7B4BD05B" w14:textId="77777777" w:rsidR="003C1F8E" w:rsidRDefault="003C1F8E" w:rsidP="00BF0153">
            <w:pPr>
              <w:jc w:val="both"/>
              <w:rPr>
                <w:rFonts w:ascii="Cambria" w:hAnsi="Cambria"/>
                <w:iCs/>
                <w:sz w:val="20"/>
                <w:szCs w:val="20"/>
              </w:rPr>
            </w:pPr>
          </w:p>
          <w:p w14:paraId="678E52F8" w14:textId="77777777" w:rsidR="003C1F8E" w:rsidRDefault="003C1F8E" w:rsidP="00BF0153">
            <w:pPr>
              <w:jc w:val="both"/>
              <w:rPr>
                <w:rFonts w:ascii="Cambria" w:hAnsi="Cambria"/>
                <w:iCs/>
                <w:sz w:val="20"/>
                <w:szCs w:val="20"/>
              </w:rPr>
            </w:pPr>
          </w:p>
          <w:p w14:paraId="7D06E297" w14:textId="77777777" w:rsidR="003C1F8E" w:rsidRDefault="003C1F8E" w:rsidP="00BF0153">
            <w:pPr>
              <w:jc w:val="both"/>
              <w:rPr>
                <w:rFonts w:ascii="Cambria" w:hAnsi="Cambria"/>
                <w:iCs/>
                <w:sz w:val="20"/>
                <w:szCs w:val="20"/>
              </w:rPr>
            </w:pPr>
          </w:p>
          <w:p w14:paraId="70FFC691" w14:textId="77777777" w:rsidR="003C715F" w:rsidRDefault="003C715F" w:rsidP="00BF0153">
            <w:pPr>
              <w:jc w:val="both"/>
              <w:rPr>
                <w:rFonts w:ascii="Cambria" w:hAnsi="Cambria"/>
                <w:b/>
                <w:bCs/>
                <w:iCs/>
                <w:sz w:val="20"/>
                <w:szCs w:val="20"/>
              </w:rPr>
            </w:pPr>
          </w:p>
          <w:p w14:paraId="1C8FD290" w14:textId="1F433973" w:rsidR="003C1F8E" w:rsidRPr="00A35AE2" w:rsidRDefault="00A35AE2" w:rsidP="00BF0153">
            <w:pPr>
              <w:jc w:val="both"/>
              <w:rPr>
                <w:rFonts w:ascii="Cambria" w:hAnsi="Cambria"/>
                <w:b/>
                <w:bCs/>
                <w:iCs/>
                <w:sz w:val="20"/>
                <w:szCs w:val="20"/>
              </w:rPr>
            </w:pPr>
            <w:r w:rsidRPr="00A35AE2">
              <w:rPr>
                <w:rFonts w:ascii="Cambria" w:hAnsi="Cambria"/>
                <w:b/>
                <w:bCs/>
                <w:iCs/>
                <w:sz w:val="20"/>
                <w:szCs w:val="20"/>
              </w:rPr>
              <w:t>Se aclara.</w:t>
            </w:r>
          </w:p>
          <w:p w14:paraId="588E87FD" w14:textId="5C10F054" w:rsidR="003C1F8E" w:rsidRDefault="003C1F8E" w:rsidP="00BF0153">
            <w:pPr>
              <w:jc w:val="both"/>
              <w:rPr>
                <w:rFonts w:ascii="Cambria" w:hAnsi="Cambria"/>
                <w:iCs/>
                <w:sz w:val="20"/>
                <w:szCs w:val="20"/>
              </w:rPr>
            </w:pPr>
            <w:r>
              <w:rPr>
                <w:rFonts w:ascii="Cambria" w:hAnsi="Cambria"/>
                <w:iCs/>
                <w:sz w:val="20"/>
                <w:szCs w:val="20"/>
              </w:rPr>
              <w:t xml:space="preserve">En cuanto al </w:t>
            </w:r>
            <w:r w:rsidR="00C61A06">
              <w:rPr>
                <w:rFonts w:ascii="Cambria" w:hAnsi="Cambria"/>
                <w:iCs/>
                <w:sz w:val="20"/>
                <w:szCs w:val="20"/>
              </w:rPr>
              <w:t xml:space="preserve">tema de la </w:t>
            </w:r>
            <w:r w:rsidR="001D382C">
              <w:rPr>
                <w:rFonts w:ascii="Cambria" w:hAnsi="Cambria"/>
                <w:iCs/>
                <w:sz w:val="20"/>
                <w:szCs w:val="20"/>
              </w:rPr>
              <w:t>presentación de la LGD se aclara, que la que se pretende que sea informada</w:t>
            </w:r>
            <w:r w:rsidR="00223758">
              <w:rPr>
                <w:rFonts w:ascii="Cambria" w:hAnsi="Cambria"/>
                <w:iCs/>
                <w:sz w:val="20"/>
                <w:szCs w:val="20"/>
              </w:rPr>
              <w:t>,</w:t>
            </w:r>
            <w:r w:rsidR="001D382C">
              <w:rPr>
                <w:rFonts w:ascii="Cambria" w:hAnsi="Cambria"/>
                <w:iCs/>
                <w:sz w:val="20"/>
                <w:szCs w:val="20"/>
              </w:rPr>
              <w:t xml:space="preserve"> es la que corresponde con </w:t>
            </w:r>
            <w:r w:rsidR="0074672D">
              <w:rPr>
                <w:rFonts w:ascii="Cambria" w:hAnsi="Cambria"/>
                <w:iCs/>
                <w:sz w:val="20"/>
                <w:szCs w:val="20"/>
              </w:rPr>
              <w:t>la</w:t>
            </w:r>
            <w:r w:rsidR="001D382C">
              <w:rPr>
                <w:rFonts w:ascii="Cambria" w:hAnsi="Cambria"/>
                <w:iCs/>
                <w:sz w:val="20"/>
                <w:szCs w:val="20"/>
              </w:rPr>
              <w:t xml:space="preserve"> metodología interna</w:t>
            </w:r>
            <w:r w:rsidR="0074672D">
              <w:rPr>
                <w:rFonts w:ascii="Cambria" w:hAnsi="Cambria"/>
                <w:iCs/>
                <w:sz w:val="20"/>
                <w:szCs w:val="20"/>
              </w:rPr>
              <w:t xml:space="preserve"> </w:t>
            </w:r>
            <w:r w:rsidR="00D765F8">
              <w:rPr>
                <w:rFonts w:ascii="Cambria" w:hAnsi="Cambria"/>
                <w:iCs/>
                <w:sz w:val="20"/>
                <w:szCs w:val="20"/>
              </w:rPr>
              <w:t>elaborada</w:t>
            </w:r>
            <w:r w:rsidR="0074672D">
              <w:rPr>
                <w:rFonts w:ascii="Cambria" w:hAnsi="Cambria"/>
                <w:iCs/>
                <w:sz w:val="20"/>
                <w:szCs w:val="20"/>
              </w:rPr>
              <w:t xml:space="preserve"> por la aseguradora</w:t>
            </w:r>
            <w:r w:rsidR="001D382C">
              <w:rPr>
                <w:rFonts w:ascii="Cambria" w:hAnsi="Cambria"/>
                <w:iCs/>
                <w:sz w:val="20"/>
                <w:szCs w:val="20"/>
              </w:rPr>
              <w:t>, la cual</w:t>
            </w:r>
            <w:r w:rsidR="0074672D">
              <w:rPr>
                <w:rFonts w:ascii="Cambria" w:hAnsi="Cambria"/>
                <w:iCs/>
                <w:sz w:val="20"/>
                <w:szCs w:val="20"/>
              </w:rPr>
              <w:t>,</w:t>
            </w:r>
            <w:r w:rsidR="001D382C">
              <w:rPr>
                <w:rFonts w:ascii="Cambria" w:hAnsi="Cambria"/>
                <w:iCs/>
                <w:sz w:val="20"/>
                <w:szCs w:val="20"/>
              </w:rPr>
              <w:t xml:space="preserve"> como se describió previamente </w:t>
            </w:r>
            <w:r w:rsidR="00435175">
              <w:rPr>
                <w:rFonts w:ascii="Cambria" w:hAnsi="Cambria"/>
                <w:iCs/>
                <w:sz w:val="20"/>
                <w:szCs w:val="20"/>
              </w:rPr>
              <w:t>por parte de la aseguradora</w:t>
            </w:r>
            <w:r w:rsidR="0074672D">
              <w:rPr>
                <w:rFonts w:ascii="Cambria" w:hAnsi="Cambria"/>
                <w:iCs/>
                <w:sz w:val="20"/>
                <w:szCs w:val="20"/>
              </w:rPr>
              <w:t>,</w:t>
            </w:r>
            <w:r w:rsidR="006E7AB4">
              <w:rPr>
                <w:rFonts w:ascii="Cambria" w:hAnsi="Cambria"/>
                <w:iCs/>
                <w:sz w:val="20"/>
                <w:szCs w:val="20"/>
              </w:rPr>
              <w:t xml:space="preserve"> </w:t>
            </w:r>
            <w:r w:rsidR="00435175">
              <w:rPr>
                <w:rFonts w:ascii="Cambria" w:hAnsi="Cambria"/>
                <w:iCs/>
                <w:sz w:val="20"/>
                <w:szCs w:val="20"/>
              </w:rPr>
              <w:t xml:space="preserve"> </w:t>
            </w:r>
            <w:r w:rsidR="001D382C">
              <w:rPr>
                <w:rFonts w:ascii="Cambria" w:hAnsi="Cambria"/>
                <w:iCs/>
                <w:sz w:val="20"/>
                <w:szCs w:val="20"/>
              </w:rPr>
              <w:t xml:space="preserve">contiene el </w:t>
            </w:r>
            <w:r w:rsidR="00AF2B27">
              <w:rPr>
                <w:rFonts w:ascii="Cambria" w:hAnsi="Cambria"/>
                <w:iCs/>
                <w:sz w:val="20"/>
                <w:szCs w:val="20"/>
              </w:rPr>
              <w:t>mitigador.</w:t>
            </w:r>
            <w:r w:rsidR="006E7AB4">
              <w:rPr>
                <w:rFonts w:ascii="Cambria" w:hAnsi="Cambria"/>
                <w:iCs/>
                <w:sz w:val="20"/>
                <w:szCs w:val="20"/>
              </w:rPr>
              <w:t xml:space="preserve"> Ahora bien</w:t>
            </w:r>
            <w:r w:rsidR="00E718FF">
              <w:rPr>
                <w:rFonts w:ascii="Cambria" w:hAnsi="Cambria"/>
                <w:iCs/>
                <w:sz w:val="20"/>
                <w:szCs w:val="20"/>
              </w:rPr>
              <w:t xml:space="preserve">, esto siempre y cuando la metodología interna haya sido remitida para </w:t>
            </w:r>
            <w:r w:rsidR="009B1362">
              <w:rPr>
                <w:rFonts w:ascii="Cambria" w:hAnsi="Cambria"/>
                <w:iCs/>
                <w:sz w:val="20"/>
                <w:szCs w:val="20"/>
              </w:rPr>
              <w:t>su procedimiento de no objeción previo a la entrada en vigor del Reglamento</w:t>
            </w:r>
            <w:r w:rsidR="00ED024B">
              <w:rPr>
                <w:rFonts w:ascii="Cambria" w:hAnsi="Cambria"/>
                <w:iCs/>
                <w:sz w:val="20"/>
                <w:szCs w:val="20"/>
              </w:rPr>
              <w:t xml:space="preserve">, ya que el contraste de metodologías </w:t>
            </w:r>
            <w:r w:rsidR="001D3CDD">
              <w:rPr>
                <w:rFonts w:ascii="Cambria" w:hAnsi="Cambria"/>
                <w:iCs/>
                <w:sz w:val="20"/>
                <w:szCs w:val="20"/>
              </w:rPr>
              <w:t>se establece</w:t>
            </w:r>
            <w:r w:rsidR="00A0189F">
              <w:rPr>
                <w:rFonts w:ascii="Cambria" w:hAnsi="Cambria"/>
                <w:iCs/>
                <w:sz w:val="20"/>
                <w:szCs w:val="20"/>
              </w:rPr>
              <w:t>,</w:t>
            </w:r>
            <w:r w:rsidR="001D3CDD">
              <w:rPr>
                <w:rFonts w:ascii="Cambria" w:hAnsi="Cambria"/>
                <w:iCs/>
                <w:sz w:val="20"/>
                <w:szCs w:val="20"/>
              </w:rPr>
              <w:t xml:space="preserve"> </w:t>
            </w:r>
            <w:r w:rsidR="00ED024B">
              <w:rPr>
                <w:rFonts w:ascii="Cambria" w:hAnsi="Cambria"/>
                <w:iCs/>
                <w:sz w:val="20"/>
                <w:szCs w:val="20"/>
              </w:rPr>
              <w:t xml:space="preserve">de conformidad con el artículo </w:t>
            </w:r>
            <w:r w:rsidR="002904CE">
              <w:rPr>
                <w:rFonts w:ascii="Cambria" w:hAnsi="Cambria"/>
                <w:iCs/>
                <w:sz w:val="20"/>
                <w:szCs w:val="20"/>
              </w:rPr>
              <w:t>22</w:t>
            </w:r>
            <w:r w:rsidR="00A0189F">
              <w:rPr>
                <w:rFonts w:ascii="Cambria" w:hAnsi="Cambria"/>
                <w:iCs/>
                <w:sz w:val="20"/>
                <w:szCs w:val="20"/>
              </w:rPr>
              <w:t xml:space="preserve"> del Reglamento,</w:t>
            </w:r>
            <w:r w:rsidR="002904CE">
              <w:rPr>
                <w:rFonts w:ascii="Cambria" w:hAnsi="Cambria"/>
                <w:iCs/>
                <w:sz w:val="20"/>
                <w:szCs w:val="20"/>
              </w:rPr>
              <w:t xml:space="preserve"> para aquellas entidades que </w:t>
            </w:r>
            <w:r w:rsidR="002904CE" w:rsidRPr="002904CE">
              <w:rPr>
                <w:rFonts w:ascii="Cambria" w:hAnsi="Cambria"/>
                <w:b/>
                <w:bCs/>
                <w:iCs/>
                <w:sz w:val="20"/>
                <w:szCs w:val="20"/>
                <w:u w:val="single"/>
              </w:rPr>
              <w:t>no</w:t>
            </w:r>
            <w:r w:rsidR="002904CE">
              <w:rPr>
                <w:rFonts w:ascii="Cambria" w:hAnsi="Cambria"/>
                <w:iCs/>
                <w:sz w:val="20"/>
                <w:szCs w:val="20"/>
              </w:rPr>
              <w:t xml:space="preserve"> han obtenido la “no objeción”</w:t>
            </w:r>
            <w:r w:rsidR="00FB21B1">
              <w:rPr>
                <w:rFonts w:ascii="Cambria" w:hAnsi="Cambria"/>
                <w:iCs/>
                <w:sz w:val="20"/>
                <w:szCs w:val="20"/>
              </w:rPr>
              <w:t xml:space="preserve">. En caso de que no </w:t>
            </w:r>
            <w:r w:rsidR="000C1D5E">
              <w:rPr>
                <w:rFonts w:ascii="Cambria" w:hAnsi="Cambria"/>
                <w:iCs/>
                <w:sz w:val="20"/>
                <w:szCs w:val="20"/>
              </w:rPr>
              <w:t xml:space="preserve">se envíe la </w:t>
            </w:r>
            <w:r w:rsidR="006D3A64">
              <w:rPr>
                <w:rFonts w:ascii="Cambria" w:hAnsi="Cambria"/>
                <w:iCs/>
                <w:sz w:val="20"/>
                <w:szCs w:val="20"/>
              </w:rPr>
              <w:t>metodología interna en tiempo</w:t>
            </w:r>
            <w:r w:rsidR="009B1362">
              <w:rPr>
                <w:rFonts w:ascii="Cambria" w:hAnsi="Cambria"/>
                <w:iCs/>
                <w:sz w:val="20"/>
                <w:szCs w:val="20"/>
              </w:rPr>
              <w:t xml:space="preserve">, </w:t>
            </w:r>
            <w:r w:rsidR="006E7AB4">
              <w:rPr>
                <w:rFonts w:ascii="Cambria" w:hAnsi="Cambria"/>
                <w:iCs/>
                <w:sz w:val="20"/>
                <w:szCs w:val="20"/>
              </w:rPr>
              <w:t xml:space="preserve"> </w:t>
            </w:r>
            <w:r w:rsidR="00FB21B1">
              <w:rPr>
                <w:rFonts w:ascii="Cambria" w:hAnsi="Cambria"/>
                <w:iCs/>
                <w:sz w:val="20"/>
                <w:szCs w:val="20"/>
              </w:rPr>
              <w:t>la Superintendencia</w:t>
            </w:r>
            <w:r w:rsidR="00D350EC">
              <w:rPr>
                <w:rFonts w:ascii="Cambria" w:hAnsi="Cambria"/>
                <w:iCs/>
                <w:sz w:val="20"/>
                <w:szCs w:val="20"/>
              </w:rPr>
              <w:t>, bajo requerimiento,</w:t>
            </w:r>
            <w:r w:rsidR="00FB21B1">
              <w:rPr>
                <w:rFonts w:ascii="Cambria" w:hAnsi="Cambria"/>
                <w:iCs/>
                <w:sz w:val="20"/>
                <w:szCs w:val="20"/>
              </w:rPr>
              <w:t xml:space="preserve"> </w:t>
            </w:r>
            <w:r w:rsidR="00C9136F">
              <w:rPr>
                <w:rFonts w:ascii="Cambria" w:hAnsi="Cambria"/>
                <w:iCs/>
                <w:sz w:val="20"/>
                <w:szCs w:val="20"/>
              </w:rPr>
              <w:t xml:space="preserve">podría solicitar </w:t>
            </w:r>
            <w:r w:rsidR="006E7AB4">
              <w:rPr>
                <w:rFonts w:ascii="Cambria" w:hAnsi="Cambria"/>
                <w:iCs/>
                <w:sz w:val="20"/>
                <w:szCs w:val="20"/>
              </w:rPr>
              <w:t xml:space="preserve">la LGD </w:t>
            </w:r>
            <w:r w:rsidR="005D00A1">
              <w:rPr>
                <w:rFonts w:ascii="Cambria" w:hAnsi="Cambria"/>
                <w:iCs/>
                <w:sz w:val="20"/>
                <w:szCs w:val="20"/>
              </w:rPr>
              <w:t>establecida bajo la metodología estándar</w:t>
            </w:r>
            <w:r w:rsidR="00D350EC">
              <w:rPr>
                <w:rFonts w:ascii="Cambria" w:hAnsi="Cambria"/>
                <w:iCs/>
                <w:sz w:val="20"/>
                <w:szCs w:val="20"/>
              </w:rPr>
              <w:t>,</w:t>
            </w:r>
            <w:r w:rsidR="00C9136F">
              <w:rPr>
                <w:rFonts w:ascii="Cambria" w:hAnsi="Cambria"/>
                <w:iCs/>
                <w:sz w:val="20"/>
                <w:szCs w:val="20"/>
              </w:rPr>
              <w:t xml:space="preserve"> a efecto de verificar el </w:t>
            </w:r>
            <w:r w:rsidR="00C9136F">
              <w:rPr>
                <w:rFonts w:ascii="Cambria" w:hAnsi="Cambria"/>
                <w:iCs/>
                <w:sz w:val="20"/>
                <w:szCs w:val="20"/>
              </w:rPr>
              <w:lastRenderedPageBreak/>
              <w:t xml:space="preserve">cumplimiento </w:t>
            </w:r>
            <w:r w:rsidR="00323DC3">
              <w:rPr>
                <w:rFonts w:ascii="Cambria" w:hAnsi="Cambria"/>
                <w:iCs/>
                <w:sz w:val="20"/>
                <w:szCs w:val="20"/>
              </w:rPr>
              <w:t xml:space="preserve">de los </w:t>
            </w:r>
            <w:r w:rsidR="00C9136F">
              <w:rPr>
                <w:rFonts w:ascii="Cambria" w:hAnsi="Cambria"/>
                <w:iCs/>
                <w:sz w:val="20"/>
                <w:szCs w:val="20"/>
              </w:rPr>
              <w:t>mínimo</w:t>
            </w:r>
            <w:r w:rsidR="00323DC3">
              <w:rPr>
                <w:rFonts w:ascii="Cambria" w:hAnsi="Cambria"/>
                <w:iCs/>
                <w:sz w:val="20"/>
                <w:szCs w:val="20"/>
              </w:rPr>
              <w:t xml:space="preserve">s establecidos en </w:t>
            </w:r>
            <w:r w:rsidR="006D3A64">
              <w:rPr>
                <w:rFonts w:ascii="Cambria" w:hAnsi="Cambria"/>
                <w:iCs/>
                <w:sz w:val="20"/>
                <w:szCs w:val="20"/>
              </w:rPr>
              <w:t>dicho artículo</w:t>
            </w:r>
            <w:r w:rsidR="005D00A1">
              <w:rPr>
                <w:rFonts w:ascii="Cambria" w:hAnsi="Cambria"/>
                <w:iCs/>
                <w:sz w:val="20"/>
                <w:szCs w:val="20"/>
              </w:rPr>
              <w:t>.</w:t>
            </w:r>
            <w:r w:rsidR="00AF2B27">
              <w:rPr>
                <w:rFonts w:ascii="Cambria" w:hAnsi="Cambria"/>
                <w:iCs/>
                <w:sz w:val="20"/>
                <w:szCs w:val="20"/>
              </w:rPr>
              <w:t xml:space="preserve"> </w:t>
            </w:r>
          </w:p>
          <w:p w14:paraId="7F95F564" w14:textId="2B08FA8F" w:rsidR="003C1F8E" w:rsidRPr="00635775" w:rsidRDefault="003C1F8E" w:rsidP="00BF0153">
            <w:pPr>
              <w:jc w:val="both"/>
              <w:rPr>
                <w:rFonts w:ascii="Cambria" w:hAnsi="Cambria"/>
                <w:iCs/>
                <w:sz w:val="20"/>
                <w:szCs w:val="20"/>
              </w:rPr>
            </w:pPr>
          </w:p>
        </w:tc>
        <w:tc>
          <w:tcPr>
            <w:tcW w:w="1250" w:type="pct"/>
            <w:shd w:val="clear" w:color="auto" w:fill="FFFFFF" w:themeFill="background1"/>
          </w:tcPr>
          <w:p w14:paraId="66C38CDB" w14:textId="77777777" w:rsidR="00BF0153" w:rsidRPr="00D139E2" w:rsidRDefault="00BF0153" w:rsidP="00BF0153">
            <w:pPr>
              <w:pStyle w:val="Textoindependiente3"/>
              <w:tabs>
                <w:tab w:val="left" w:pos="857"/>
                <w:tab w:val="left" w:pos="1168"/>
              </w:tabs>
              <w:spacing w:after="0" w:line="240" w:lineRule="auto"/>
              <w:jc w:val="both"/>
              <w:rPr>
                <w:rFonts w:ascii="Cambria" w:hAnsi="Cambria"/>
                <w:b/>
                <w:bCs/>
                <w:sz w:val="20"/>
                <w:szCs w:val="20"/>
              </w:rPr>
            </w:pPr>
            <w:r w:rsidRPr="00D139E2">
              <w:rPr>
                <w:rFonts w:ascii="Cambria" w:hAnsi="Cambria"/>
                <w:b/>
                <w:bCs/>
                <w:sz w:val="20"/>
                <w:szCs w:val="20"/>
              </w:rPr>
              <w:lastRenderedPageBreak/>
              <w:t>ANEXO 15.</w:t>
            </w:r>
          </w:p>
          <w:p w14:paraId="76FF9183" w14:textId="77777777" w:rsidR="00BF0153" w:rsidRPr="00D139E2" w:rsidRDefault="00BF0153" w:rsidP="00BF0153">
            <w:pPr>
              <w:pStyle w:val="Textoindependiente3"/>
              <w:tabs>
                <w:tab w:val="left" w:pos="857"/>
                <w:tab w:val="left" w:pos="1168"/>
              </w:tabs>
              <w:spacing w:after="0" w:line="240" w:lineRule="auto"/>
              <w:jc w:val="both"/>
              <w:rPr>
                <w:rFonts w:ascii="Cambria" w:hAnsi="Cambria"/>
                <w:b/>
                <w:bCs/>
                <w:sz w:val="20"/>
                <w:szCs w:val="20"/>
              </w:rPr>
            </w:pPr>
            <w:r w:rsidRPr="00D139E2">
              <w:rPr>
                <w:rFonts w:ascii="Cambria" w:hAnsi="Cambria"/>
                <w:b/>
                <w:bCs/>
                <w:sz w:val="20"/>
                <w:szCs w:val="20"/>
              </w:rPr>
              <w:t>Requerimiento de Información Crediticia</w:t>
            </w:r>
          </w:p>
          <w:p w14:paraId="457E3444" w14:textId="77777777" w:rsidR="00BF0153" w:rsidRPr="00D139E2" w:rsidRDefault="00BF0153" w:rsidP="00BF0153">
            <w:pPr>
              <w:pStyle w:val="Textoindependiente3"/>
              <w:tabs>
                <w:tab w:val="left" w:pos="857"/>
                <w:tab w:val="left" w:pos="1168"/>
              </w:tabs>
              <w:spacing w:after="0" w:line="240" w:lineRule="auto"/>
              <w:jc w:val="both"/>
              <w:rPr>
                <w:rFonts w:ascii="Cambria" w:hAnsi="Cambria"/>
                <w:b/>
                <w:bCs/>
                <w:sz w:val="20"/>
                <w:szCs w:val="20"/>
              </w:rPr>
            </w:pPr>
          </w:p>
          <w:bookmarkStart w:id="0" w:name="_MON_1745319921"/>
          <w:bookmarkEnd w:id="0"/>
          <w:p w14:paraId="36F3EEEC" w14:textId="044A61C8" w:rsidR="00BF0153" w:rsidRPr="008856E4" w:rsidRDefault="001A2C60" w:rsidP="00BF0153">
            <w:pPr>
              <w:jc w:val="center"/>
              <w:rPr>
                <w:rFonts w:ascii="Arial Narrow" w:hAnsi="Arial Narrow"/>
                <w:b/>
                <w:bCs/>
                <w:iCs/>
                <w:sz w:val="20"/>
                <w:szCs w:val="20"/>
              </w:rPr>
            </w:pPr>
            <w:r>
              <w:rPr>
                <w:rFonts w:ascii="Arial Narrow" w:hAnsi="Arial Narrow"/>
                <w:b/>
                <w:bCs/>
                <w:iCs/>
                <w:sz w:val="20"/>
                <w:szCs w:val="20"/>
              </w:rPr>
              <w:object w:dxaOrig="1516" w:dyaOrig="987" w14:anchorId="36F11953">
                <v:shape id="_x0000_i1026" type="#_x0000_t75" style="width:75.6pt;height:49.2pt" o:ole="">
                  <v:imagedata r:id="rId14" o:title=""/>
                </v:shape>
                <o:OLEObject Type="Embed" ProgID="Excel.Sheet.12" ShapeID="_x0000_i1026" DrawAspect="Icon" ObjectID="_1747742356" r:id="rId15"/>
              </w:object>
            </w:r>
          </w:p>
        </w:tc>
      </w:tr>
    </w:tbl>
    <w:p w14:paraId="70D31378" w14:textId="77777777" w:rsidR="00C966DF" w:rsidRPr="00C966DF" w:rsidRDefault="00C966DF" w:rsidP="00143030">
      <w:pPr>
        <w:rPr>
          <w:rFonts w:ascii="Cambria" w:hAnsi="Cambria" w:cstheme="minorBidi"/>
          <w:lang w:eastAsia="en-US"/>
        </w:rPr>
      </w:pPr>
    </w:p>
    <w:sectPr w:rsidR="00C966DF" w:rsidRPr="00C966DF" w:rsidSect="00871CF1">
      <w:headerReference w:type="even" r:id="rId16"/>
      <w:headerReference w:type="default" r:id="rId17"/>
      <w:footerReference w:type="even" r:id="rId18"/>
      <w:footerReference w:type="default" r:id="rId19"/>
      <w:headerReference w:type="first" r:id="rId20"/>
      <w:footerReference w:type="first" r:id="rId2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DDF4" w14:textId="77777777" w:rsidR="00432B70" w:rsidRDefault="00432B70" w:rsidP="00287CCE">
      <w:r>
        <w:separator/>
      </w:r>
    </w:p>
  </w:endnote>
  <w:endnote w:type="continuationSeparator" w:id="0">
    <w:p w14:paraId="349690D0" w14:textId="77777777" w:rsidR="00432B70" w:rsidRDefault="00432B70" w:rsidP="0028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8267" w14:textId="77777777" w:rsidR="00CF1692" w:rsidRDefault="00CF16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2E73" w14:textId="23B97059" w:rsidR="00287CCE" w:rsidRDefault="00871CF1">
    <w:pPr>
      <w:pStyle w:val="Piedepgina"/>
    </w:pPr>
    <w:r>
      <w:rPr>
        <w:noProof/>
        <w14:ligatures w14:val="standardContextual"/>
      </w:rPr>
      <mc:AlternateContent>
        <mc:Choice Requires="wps">
          <w:drawing>
            <wp:anchor distT="0" distB="0" distL="114300" distR="114300" simplePos="0" relativeHeight="251659264" behindDoc="0" locked="0" layoutInCell="0" allowOverlap="1" wp14:anchorId="1C17CBF1" wp14:editId="1757A73A">
              <wp:simplePos x="0" y="0"/>
              <wp:positionH relativeFrom="page">
                <wp:posOffset>0</wp:posOffset>
              </wp:positionH>
              <wp:positionV relativeFrom="page">
                <wp:posOffset>7308215</wp:posOffset>
              </wp:positionV>
              <wp:extent cx="10058400" cy="273050"/>
              <wp:effectExtent l="0" t="0" r="0" b="12700"/>
              <wp:wrapNone/>
              <wp:docPr id="2" name="MSIPCMbade4bcb935740ee7a9dbef3" descr="{&quot;HashCode&quot;:1186230005,&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45CF1" w14:textId="4FF341E0" w:rsidR="00871CF1" w:rsidRPr="00871CF1" w:rsidRDefault="00871CF1" w:rsidP="00871CF1">
                          <w:pPr>
                            <w:jc w:val="center"/>
                            <w:rPr>
                              <w:color w:val="000000"/>
                              <w:sz w:val="20"/>
                            </w:rPr>
                          </w:pPr>
                          <w:r w:rsidRPr="00871CF1">
                            <w:rPr>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7CBF1" id="_x0000_t202" coordsize="21600,21600" o:spt="202" path="m,l,21600r21600,l21600,xe">
              <v:stroke joinstyle="miter"/>
              <v:path gradientshapeok="t" o:connecttype="rect"/>
            </v:shapetype>
            <v:shape id="MSIPCMbade4bcb935740ee7a9dbef3" o:spid="_x0000_s1026" type="#_x0000_t202" alt="{&quot;HashCode&quot;:1186230005,&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" o:allowincell="f" filled="f" stroked="f" strokeweight=".5pt">
              <v:textbox inset=",0,,0">
                <w:txbxContent>
                  <w:p w14:paraId="53A45CF1" w14:textId="4FF341E0" w:rsidR="00871CF1" w:rsidRPr="00871CF1" w:rsidRDefault="00871CF1" w:rsidP="00871CF1">
                    <w:pPr>
                      <w:jc w:val="center"/>
                      <w:rPr>
                        <w:color w:val="000000"/>
                        <w:sz w:val="20"/>
                      </w:rPr>
                    </w:pPr>
                    <w:r w:rsidRPr="00871CF1">
                      <w:rPr>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2A46" w14:textId="77777777" w:rsidR="00CF1692" w:rsidRDefault="00CF16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706E" w14:textId="77777777" w:rsidR="00432B70" w:rsidRDefault="00432B70" w:rsidP="00287CCE">
      <w:r>
        <w:separator/>
      </w:r>
    </w:p>
  </w:footnote>
  <w:footnote w:type="continuationSeparator" w:id="0">
    <w:p w14:paraId="4C086FC8" w14:textId="77777777" w:rsidR="00432B70" w:rsidRDefault="00432B70" w:rsidP="00287CCE">
      <w:r>
        <w:continuationSeparator/>
      </w:r>
    </w:p>
  </w:footnote>
  <w:footnote w:id="1">
    <w:p w14:paraId="5829E8F0" w14:textId="7F75D683" w:rsidR="00C966DF" w:rsidRPr="009A0CF3" w:rsidRDefault="00C966DF" w:rsidP="00C966DF">
      <w:pPr>
        <w:pStyle w:val="Textonotapie"/>
        <w:rPr>
          <w:rFonts w:ascii="Arial Narrow" w:hAnsi="Arial Narrow"/>
          <w:i/>
          <w:lang w:val="es-CR"/>
        </w:rPr>
      </w:pPr>
      <w:r w:rsidRPr="009A0CF3">
        <w:rPr>
          <w:rStyle w:val="Refdenotaalpie"/>
          <w:rFonts w:ascii="Arial Narrow" w:eastAsiaTheme="majorEastAsia" w:hAnsi="Arial Narrow"/>
        </w:rPr>
        <w:footnoteRef/>
      </w:r>
      <w:r w:rsidRPr="009A0CF3">
        <w:rPr>
          <w:rFonts w:ascii="Arial Narrow" w:hAnsi="Arial Narrow"/>
          <w:i/>
        </w:rPr>
        <w:t xml:space="preserve"> </w:t>
      </w:r>
      <w:r>
        <w:rPr>
          <w:rFonts w:ascii="Arial Narrow" w:hAnsi="Arial Narrow"/>
          <w:i/>
        </w:rPr>
        <w:t>Consulta enviada a la industria</w:t>
      </w:r>
      <w:r w:rsidRPr="009A0CF3">
        <w:rPr>
          <w:rFonts w:ascii="Arial Narrow" w:hAnsi="Arial Narrow"/>
          <w:i/>
        </w:rPr>
        <w:t xml:space="preserve"> mediant</w:t>
      </w:r>
      <w:r>
        <w:rPr>
          <w:rFonts w:ascii="Arial Narrow" w:hAnsi="Arial Narrow"/>
          <w:i/>
        </w:rPr>
        <w:t>e oficio</w:t>
      </w:r>
      <w:r w:rsidR="0054318C">
        <w:rPr>
          <w:rFonts w:ascii="Arial Narrow" w:hAnsi="Arial Narrow"/>
          <w:i/>
        </w:rPr>
        <w:t xml:space="preserve"> </w:t>
      </w:r>
      <w:hyperlink r:id="rId1" w:history="1">
        <w:r w:rsidR="0054318C" w:rsidRPr="0054318C">
          <w:rPr>
            <w:rStyle w:val="Hipervnculo"/>
            <w:rFonts w:ascii="Arial Narrow" w:hAnsi="Arial Narrow"/>
            <w:i/>
          </w:rPr>
          <w:t>SGS-0478-2023</w:t>
        </w:r>
      </w:hyperlink>
      <w:r w:rsidRPr="009A0CF3">
        <w:rPr>
          <w:rFonts w:ascii="Arial Narrow" w:hAnsi="Arial Narrow"/>
          <w:i/>
        </w:rPr>
        <w:t>, por un plazo de diez días hábiles.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B6D5" w14:textId="77777777" w:rsidR="00CF1692" w:rsidRDefault="00CF16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9E88" w14:textId="77777777" w:rsidR="00CF1692" w:rsidRDefault="00CF16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B572" w14:textId="77777777" w:rsidR="00CF1692" w:rsidRDefault="00CF16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876E6"/>
    <w:multiLevelType w:val="hybridMultilevel"/>
    <w:tmpl w:val="2AB000FE"/>
    <w:lvl w:ilvl="0" w:tplc="140A0015">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E3F5465"/>
    <w:multiLevelType w:val="hybridMultilevel"/>
    <w:tmpl w:val="E4D8F616"/>
    <w:lvl w:ilvl="0" w:tplc="8C1CA9D2">
      <w:start w:val="4"/>
      <w:numFmt w:val="decimal"/>
      <w:lvlText w:val="%1."/>
      <w:lvlJc w:val="left"/>
      <w:pPr>
        <w:ind w:left="720" w:hanging="360"/>
      </w:pPr>
      <w:rPr>
        <w:rFonts w:hint="default"/>
        <w:b w:val="0"/>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8420423"/>
    <w:multiLevelType w:val="hybridMultilevel"/>
    <w:tmpl w:val="A2FAE37C"/>
    <w:lvl w:ilvl="0" w:tplc="9CA26FE2">
      <w:start w:val="1"/>
      <w:numFmt w:val="decimal"/>
      <w:lvlText w:val="%1."/>
      <w:lvlJc w:val="left"/>
      <w:pPr>
        <w:ind w:left="720" w:hanging="360"/>
      </w:pPr>
      <w:rPr>
        <w:rFonts w:hint="default"/>
        <w:b w:val="0"/>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29D32BD"/>
    <w:multiLevelType w:val="hybridMultilevel"/>
    <w:tmpl w:val="818C4516"/>
    <w:lvl w:ilvl="0" w:tplc="C8108F78">
      <w:start w:val="3"/>
      <w:numFmt w:val="decimal"/>
      <w:lvlText w:val="%1."/>
      <w:lvlJc w:val="left"/>
      <w:pPr>
        <w:ind w:left="720" w:hanging="360"/>
      </w:pPr>
      <w:rPr>
        <w:rFonts w:hint="default"/>
        <w:b w:val="0"/>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4B62FD7"/>
    <w:multiLevelType w:val="hybridMultilevel"/>
    <w:tmpl w:val="77904384"/>
    <w:lvl w:ilvl="0" w:tplc="6EF4F3D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AA579C"/>
    <w:multiLevelType w:val="hybridMultilevel"/>
    <w:tmpl w:val="757EFD9C"/>
    <w:lvl w:ilvl="0" w:tplc="172C3F80">
      <w:start w:val="2"/>
      <w:numFmt w:val="decimal"/>
      <w:lvlText w:val="%1."/>
      <w:lvlJc w:val="left"/>
      <w:pPr>
        <w:ind w:left="720" w:hanging="360"/>
      </w:pPr>
      <w:rPr>
        <w:rFonts w:hint="default"/>
        <w:b w:val="0"/>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617095D"/>
    <w:multiLevelType w:val="hybridMultilevel"/>
    <w:tmpl w:val="3CC6F890"/>
    <w:lvl w:ilvl="0" w:tplc="3822EE80">
      <w:start w:val="6"/>
      <w:numFmt w:val="decimal"/>
      <w:lvlText w:val="%1."/>
      <w:lvlJc w:val="left"/>
      <w:pPr>
        <w:ind w:left="720" w:hanging="360"/>
      </w:pPr>
      <w:rPr>
        <w:rFonts w:ascii="Cambria" w:hAnsi="Cambria" w:hint="default"/>
        <w:b w:val="0"/>
        <w:color w:val="0000FF"/>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97A7915"/>
    <w:multiLevelType w:val="hybridMultilevel"/>
    <w:tmpl w:val="B4189D50"/>
    <w:lvl w:ilvl="0" w:tplc="140A000F">
      <w:start w:val="1"/>
      <w:numFmt w:val="decimal"/>
      <w:lvlText w:val="%1."/>
      <w:lvlJc w:val="left"/>
      <w:pPr>
        <w:ind w:left="961" w:hanging="360"/>
      </w:pPr>
    </w:lvl>
    <w:lvl w:ilvl="1" w:tplc="140A0019" w:tentative="1">
      <w:start w:val="1"/>
      <w:numFmt w:val="lowerLetter"/>
      <w:lvlText w:val="%2."/>
      <w:lvlJc w:val="left"/>
      <w:pPr>
        <w:ind w:left="1681" w:hanging="360"/>
      </w:pPr>
    </w:lvl>
    <w:lvl w:ilvl="2" w:tplc="140A001B" w:tentative="1">
      <w:start w:val="1"/>
      <w:numFmt w:val="lowerRoman"/>
      <w:lvlText w:val="%3."/>
      <w:lvlJc w:val="right"/>
      <w:pPr>
        <w:ind w:left="2401" w:hanging="180"/>
      </w:pPr>
    </w:lvl>
    <w:lvl w:ilvl="3" w:tplc="140A000F" w:tentative="1">
      <w:start w:val="1"/>
      <w:numFmt w:val="decimal"/>
      <w:lvlText w:val="%4."/>
      <w:lvlJc w:val="left"/>
      <w:pPr>
        <w:ind w:left="3121" w:hanging="360"/>
      </w:pPr>
    </w:lvl>
    <w:lvl w:ilvl="4" w:tplc="140A0019" w:tentative="1">
      <w:start w:val="1"/>
      <w:numFmt w:val="lowerLetter"/>
      <w:lvlText w:val="%5."/>
      <w:lvlJc w:val="left"/>
      <w:pPr>
        <w:ind w:left="3841" w:hanging="360"/>
      </w:pPr>
    </w:lvl>
    <w:lvl w:ilvl="5" w:tplc="140A001B" w:tentative="1">
      <w:start w:val="1"/>
      <w:numFmt w:val="lowerRoman"/>
      <w:lvlText w:val="%6."/>
      <w:lvlJc w:val="right"/>
      <w:pPr>
        <w:ind w:left="4561" w:hanging="180"/>
      </w:pPr>
    </w:lvl>
    <w:lvl w:ilvl="6" w:tplc="140A000F" w:tentative="1">
      <w:start w:val="1"/>
      <w:numFmt w:val="decimal"/>
      <w:lvlText w:val="%7."/>
      <w:lvlJc w:val="left"/>
      <w:pPr>
        <w:ind w:left="5281" w:hanging="360"/>
      </w:pPr>
    </w:lvl>
    <w:lvl w:ilvl="7" w:tplc="140A0019" w:tentative="1">
      <w:start w:val="1"/>
      <w:numFmt w:val="lowerLetter"/>
      <w:lvlText w:val="%8."/>
      <w:lvlJc w:val="left"/>
      <w:pPr>
        <w:ind w:left="6001" w:hanging="360"/>
      </w:pPr>
    </w:lvl>
    <w:lvl w:ilvl="8" w:tplc="140A001B" w:tentative="1">
      <w:start w:val="1"/>
      <w:numFmt w:val="lowerRoman"/>
      <w:lvlText w:val="%9."/>
      <w:lvlJc w:val="right"/>
      <w:pPr>
        <w:ind w:left="6721" w:hanging="180"/>
      </w:pPr>
    </w:lvl>
  </w:abstractNum>
  <w:abstractNum w:abstractNumId="8" w15:restartNumberingAfterBreak="0">
    <w:nsid w:val="68363F5E"/>
    <w:multiLevelType w:val="hybridMultilevel"/>
    <w:tmpl w:val="A2FAE37C"/>
    <w:lvl w:ilvl="0" w:tplc="FFFFFFFF">
      <w:start w:val="1"/>
      <w:numFmt w:val="decimal"/>
      <w:lvlText w:val="%1."/>
      <w:lvlJc w:val="left"/>
      <w:pPr>
        <w:ind w:left="720" w:hanging="360"/>
      </w:pPr>
      <w:rPr>
        <w:rFonts w:hint="default"/>
        <w:b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D847F5"/>
    <w:multiLevelType w:val="hybridMultilevel"/>
    <w:tmpl w:val="9B12B056"/>
    <w:lvl w:ilvl="0" w:tplc="C2C81592">
      <w:start w:val="5"/>
      <w:numFmt w:val="decimal"/>
      <w:lvlText w:val="%1."/>
      <w:lvlJc w:val="left"/>
      <w:pPr>
        <w:ind w:left="720" w:hanging="360"/>
      </w:pPr>
      <w:rPr>
        <w:rFonts w:hint="default"/>
        <w:b w:val="0"/>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1A52345"/>
    <w:multiLevelType w:val="hybridMultilevel"/>
    <w:tmpl w:val="E89E80A8"/>
    <w:lvl w:ilvl="0" w:tplc="DA72FD2A">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9424339">
    <w:abstractNumId w:val="4"/>
  </w:num>
  <w:num w:numId="2" w16cid:durableId="1625499271">
    <w:abstractNumId w:val="7"/>
  </w:num>
  <w:num w:numId="3" w16cid:durableId="2078086575">
    <w:abstractNumId w:val="10"/>
  </w:num>
  <w:num w:numId="4" w16cid:durableId="583221639">
    <w:abstractNumId w:val="0"/>
  </w:num>
  <w:num w:numId="5" w16cid:durableId="276328526">
    <w:abstractNumId w:val="2"/>
  </w:num>
  <w:num w:numId="6" w16cid:durableId="1368946589">
    <w:abstractNumId w:val="8"/>
  </w:num>
  <w:num w:numId="7" w16cid:durableId="1337734612">
    <w:abstractNumId w:val="5"/>
  </w:num>
  <w:num w:numId="8" w16cid:durableId="768047441">
    <w:abstractNumId w:val="3"/>
  </w:num>
  <w:num w:numId="9" w16cid:durableId="633412384">
    <w:abstractNumId w:val="1"/>
  </w:num>
  <w:num w:numId="10" w16cid:durableId="646275828">
    <w:abstractNumId w:val="9"/>
  </w:num>
  <w:num w:numId="11" w16cid:durableId="270674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30"/>
    <w:rsid w:val="00034F80"/>
    <w:rsid w:val="00034F92"/>
    <w:rsid w:val="000847CF"/>
    <w:rsid w:val="000A4B03"/>
    <w:rsid w:val="000B7CD6"/>
    <w:rsid w:val="000C1D5E"/>
    <w:rsid w:val="00121E84"/>
    <w:rsid w:val="00143030"/>
    <w:rsid w:val="001A2C60"/>
    <w:rsid w:val="001D382C"/>
    <w:rsid w:val="001D3CDD"/>
    <w:rsid w:val="0021596A"/>
    <w:rsid w:val="00223758"/>
    <w:rsid w:val="0022413D"/>
    <w:rsid w:val="002338B3"/>
    <w:rsid w:val="00287CCE"/>
    <w:rsid w:val="002904CE"/>
    <w:rsid w:val="002D010B"/>
    <w:rsid w:val="00305529"/>
    <w:rsid w:val="003056FF"/>
    <w:rsid w:val="00323DC3"/>
    <w:rsid w:val="00370884"/>
    <w:rsid w:val="003A5F2B"/>
    <w:rsid w:val="003C1F8E"/>
    <w:rsid w:val="003C715F"/>
    <w:rsid w:val="00432B70"/>
    <w:rsid w:val="00435175"/>
    <w:rsid w:val="0044495D"/>
    <w:rsid w:val="00462049"/>
    <w:rsid w:val="00472154"/>
    <w:rsid w:val="004722DA"/>
    <w:rsid w:val="004821DC"/>
    <w:rsid w:val="004875A9"/>
    <w:rsid w:val="00495BB0"/>
    <w:rsid w:val="004F13A3"/>
    <w:rsid w:val="00536016"/>
    <w:rsid w:val="005418ED"/>
    <w:rsid w:val="0054318C"/>
    <w:rsid w:val="0057743D"/>
    <w:rsid w:val="005A4073"/>
    <w:rsid w:val="005D00A1"/>
    <w:rsid w:val="006245EE"/>
    <w:rsid w:val="00624A2C"/>
    <w:rsid w:val="00635775"/>
    <w:rsid w:val="006D3A64"/>
    <w:rsid w:val="006E7AB4"/>
    <w:rsid w:val="0071249E"/>
    <w:rsid w:val="007274A5"/>
    <w:rsid w:val="0074672D"/>
    <w:rsid w:val="00757341"/>
    <w:rsid w:val="007E004D"/>
    <w:rsid w:val="007E192E"/>
    <w:rsid w:val="00871CF1"/>
    <w:rsid w:val="008D5F88"/>
    <w:rsid w:val="008E5436"/>
    <w:rsid w:val="00901876"/>
    <w:rsid w:val="00955CEA"/>
    <w:rsid w:val="00991C41"/>
    <w:rsid w:val="009B1362"/>
    <w:rsid w:val="00A0189F"/>
    <w:rsid w:val="00A107BC"/>
    <w:rsid w:val="00A3046A"/>
    <w:rsid w:val="00A32025"/>
    <w:rsid w:val="00A34AE1"/>
    <w:rsid w:val="00A35AE2"/>
    <w:rsid w:val="00AC3432"/>
    <w:rsid w:val="00AD1CEE"/>
    <w:rsid w:val="00AE693E"/>
    <w:rsid w:val="00AF2B27"/>
    <w:rsid w:val="00B5180D"/>
    <w:rsid w:val="00BA34C7"/>
    <w:rsid w:val="00BF0153"/>
    <w:rsid w:val="00C00462"/>
    <w:rsid w:val="00C61A06"/>
    <w:rsid w:val="00C9136F"/>
    <w:rsid w:val="00C966DF"/>
    <w:rsid w:val="00CB6052"/>
    <w:rsid w:val="00CF1692"/>
    <w:rsid w:val="00D01CC2"/>
    <w:rsid w:val="00D139E2"/>
    <w:rsid w:val="00D350EC"/>
    <w:rsid w:val="00D765F8"/>
    <w:rsid w:val="00DB190D"/>
    <w:rsid w:val="00E230DA"/>
    <w:rsid w:val="00E718FF"/>
    <w:rsid w:val="00ED024B"/>
    <w:rsid w:val="00EE3580"/>
    <w:rsid w:val="00F07099"/>
    <w:rsid w:val="00F66B36"/>
    <w:rsid w:val="00F74408"/>
    <w:rsid w:val="00F9715D"/>
    <w:rsid w:val="00FB21B1"/>
    <w:rsid w:val="00FF4F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44E4B0"/>
  <w15:chartTrackingRefBased/>
  <w15:docId w15:val="{4B80825F-5FBB-499C-8F5A-5CA294C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30"/>
    <w:pPr>
      <w:spacing w:after="0" w:line="240" w:lineRule="auto"/>
    </w:pPr>
    <w:rPr>
      <w:rFonts w:ascii="Calibri" w:hAnsi="Calibri" w:cs="Calibri"/>
      <w:kern w:val="0"/>
      <w:lang w:eastAsia="es-CR"/>
      <w14:ligatures w14:val="none"/>
    </w:rPr>
  </w:style>
  <w:style w:type="paragraph" w:styleId="Ttulo5">
    <w:name w:val="heading 5"/>
    <w:basedOn w:val="Normal"/>
    <w:next w:val="Normal"/>
    <w:link w:val="Ttulo5Car"/>
    <w:uiPriority w:val="9"/>
    <w:qFormat/>
    <w:rsid w:val="00143030"/>
    <w:pPr>
      <w:keepNext/>
      <w:widowControl w:val="0"/>
      <w:jc w:val="center"/>
      <w:outlineLvl w:val="4"/>
    </w:pPr>
    <w:rPr>
      <w:rFonts w:ascii="Times New Roman" w:eastAsia="Times New Roman" w:hAnsi="Times New Roman" w:cs="Times New Roman"/>
      <w:b/>
      <w:i/>
      <w:snapToGrid w:val="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143030"/>
    <w:rPr>
      <w:rFonts w:ascii="Times New Roman" w:eastAsia="Times New Roman" w:hAnsi="Times New Roman" w:cs="Times New Roman"/>
      <w:b/>
      <w:i/>
      <w:snapToGrid w:val="0"/>
      <w:kern w:val="0"/>
      <w:szCs w:val="24"/>
      <w:lang w:eastAsia="es-CR"/>
      <w14:ligatures w14:val="non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143030"/>
    <w:pPr>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143030"/>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1430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43030"/>
    <w:pPr>
      <w:spacing w:after="120" w:line="276" w:lineRule="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143030"/>
    <w:rPr>
      <w:rFonts w:eastAsiaTheme="minorEastAsia"/>
      <w:kern w:val="0"/>
      <w:sz w:val="16"/>
      <w:szCs w:val="16"/>
      <w:lang w:eastAsia="es-CR"/>
      <w14:ligatures w14:val="none"/>
    </w:rPr>
  </w:style>
  <w:style w:type="paragraph" w:styleId="Encabezado">
    <w:name w:val="header"/>
    <w:basedOn w:val="Normal"/>
    <w:link w:val="EncabezadoCar"/>
    <w:uiPriority w:val="99"/>
    <w:unhideWhenUsed/>
    <w:rsid w:val="00287CCE"/>
    <w:pPr>
      <w:tabs>
        <w:tab w:val="center" w:pos="4419"/>
        <w:tab w:val="right" w:pos="8838"/>
      </w:tabs>
    </w:pPr>
  </w:style>
  <w:style w:type="character" w:customStyle="1" w:styleId="EncabezadoCar">
    <w:name w:val="Encabezado Car"/>
    <w:basedOn w:val="Fuentedeprrafopredeter"/>
    <w:link w:val="Encabezado"/>
    <w:uiPriority w:val="99"/>
    <w:rsid w:val="00287CCE"/>
    <w:rPr>
      <w:rFonts w:ascii="Calibri" w:hAnsi="Calibri" w:cs="Calibri"/>
      <w:kern w:val="0"/>
      <w:lang w:eastAsia="es-CR"/>
      <w14:ligatures w14:val="none"/>
    </w:rPr>
  </w:style>
  <w:style w:type="paragraph" w:styleId="Piedepgina">
    <w:name w:val="footer"/>
    <w:basedOn w:val="Normal"/>
    <w:link w:val="PiedepginaCar"/>
    <w:uiPriority w:val="99"/>
    <w:unhideWhenUsed/>
    <w:rsid w:val="00287CCE"/>
    <w:pPr>
      <w:tabs>
        <w:tab w:val="center" w:pos="4419"/>
        <w:tab w:val="right" w:pos="8838"/>
      </w:tabs>
    </w:pPr>
  </w:style>
  <w:style w:type="character" w:customStyle="1" w:styleId="PiedepginaCar">
    <w:name w:val="Pie de página Car"/>
    <w:basedOn w:val="Fuentedeprrafopredeter"/>
    <w:link w:val="Piedepgina"/>
    <w:uiPriority w:val="99"/>
    <w:rsid w:val="00287CCE"/>
    <w:rPr>
      <w:rFonts w:ascii="Calibri" w:hAnsi="Calibri" w:cs="Calibri"/>
      <w:kern w:val="0"/>
      <w:lang w:eastAsia="es-CR"/>
      <w14:ligatures w14:val="none"/>
    </w:rPr>
  </w:style>
  <w:style w:type="character" w:styleId="Hipervnculo">
    <w:name w:val="Hyperlink"/>
    <w:basedOn w:val="Fuentedeprrafopredeter"/>
    <w:uiPriority w:val="99"/>
    <w:rsid w:val="00C966DF"/>
    <w:rPr>
      <w:color w:val="0000FF"/>
      <w:u w:val="single"/>
    </w:rPr>
  </w:style>
  <w:style w:type="paragraph" w:styleId="Textonotapie">
    <w:name w:val="footnote text"/>
    <w:basedOn w:val="Normal"/>
    <w:link w:val="TextonotapieCar"/>
    <w:uiPriority w:val="99"/>
    <w:semiHidden/>
    <w:unhideWhenUsed/>
    <w:rsid w:val="00C966DF"/>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966DF"/>
    <w:rPr>
      <w:rFonts w:ascii="Times New Roman" w:eastAsia="Times New Roman" w:hAnsi="Times New Roman" w:cs="Times New Roman"/>
      <w:kern w:val="0"/>
      <w:sz w:val="20"/>
      <w:szCs w:val="20"/>
      <w:lang w:val="es-ES" w:eastAsia="es-ES"/>
      <w14:ligatures w14:val="none"/>
    </w:rPr>
  </w:style>
  <w:style w:type="character" w:styleId="Refdenotaalpie">
    <w:name w:val="footnote reference"/>
    <w:basedOn w:val="Fuentedeprrafopredeter"/>
    <w:uiPriority w:val="99"/>
    <w:semiHidden/>
    <w:unhideWhenUsed/>
    <w:rsid w:val="00C966DF"/>
    <w:rPr>
      <w:vertAlign w:val="superscript"/>
    </w:rPr>
  </w:style>
  <w:style w:type="character" w:styleId="Refdecomentario">
    <w:name w:val="annotation reference"/>
    <w:basedOn w:val="Fuentedeprrafopredeter"/>
    <w:uiPriority w:val="99"/>
    <w:semiHidden/>
    <w:unhideWhenUsed/>
    <w:rsid w:val="00C966DF"/>
    <w:rPr>
      <w:sz w:val="16"/>
      <w:szCs w:val="16"/>
    </w:rPr>
  </w:style>
  <w:style w:type="paragraph" w:styleId="Textocomentario">
    <w:name w:val="annotation text"/>
    <w:basedOn w:val="Normal"/>
    <w:link w:val="TextocomentarioCar"/>
    <w:uiPriority w:val="99"/>
    <w:semiHidden/>
    <w:unhideWhenUsed/>
    <w:rsid w:val="00C966DF"/>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966DF"/>
    <w:rPr>
      <w:rFonts w:ascii="Times New Roman" w:eastAsia="Times New Roman" w:hAnsi="Times New Roman" w:cs="Times New Roman"/>
      <w:kern w:val="0"/>
      <w:sz w:val="20"/>
      <w:szCs w:val="20"/>
      <w:lang w:val="es-ES" w:eastAsia="es-ES"/>
      <w14:ligatures w14:val="none"/>
    </w:rPr>
  </w:style>
  <w:style w:type="character" w:styleId="Mencinsinresolver">
    <w:name w:val="Unresolved Mention"/>
    <w:basedOn w:val="Fuentedeprrafopredeter"/>
    <w:uiPriority w:val="99"/>
    <w:semiHidden/>
    <w:unhideWhenUsed/>
    <w:rsid w:val="0054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bccr/sites/gec2020/EntranteSUGESE_NyA/SGS-ENT-0933-2023.msg"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trabccr/sites/gec2020/SalienteSUGESE/SGS-0478-2023.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2023-07-03T06:00:00+00:00</FechaPublicacionDocumento>
    <TipoContenido xmlns="b9fc4df0-8f56-46e7-b005-54afe0044df7">6</TipoContenido>
    <ContenidoMultilineaHTML xmlns="b9fc4df0-8f56-46e7-b005-54afe0044df7">&lt;p&gt;​Presenta la matriz de observaciones a la consulta externa con las modificaciones Acuerdo SGS-A-021-2013, para efectos de normar la remisión de información crediticia de conformidad con el Acuerdo CONASSIF 14-21 Reglamento sobre el cálculo de Estimaciones Crediticias.​&lt;/p&gt;&lt;p&gt;&lt;br&gt;&lt;/p&gt;</ContenidoMultilineaHTML>
    <NumeroAcuerdoRelacionado xmlns="b9fc4df0-8f56-46e7-b005-54afe0044df7">SGS-DES-A-021-2013</NumeroAcuerdoRelacionado>
    <NumeroAcuerdo xmlns="b9fc4df0-8f56-46e7-b005-54afe0044df7">SGS-DES-A-021-2013</NumeroAcuerdo>
    <NumeroConsultaReforma xmlns="b9fc4df0-8f56-46e7-b005-54afe0044df7">Primera</NumeroConsultaReforma>
    <InformacionAcuerdoConsulta xmlns="b9fc4df0-8f56-46e7-b005-54afe0044df7">&lt;div class="ExternalClass379DE01CF67448A69C37DF220CC6305C"&gt;&lt;p&gt;​SGS-0478-2023&lt;br&gt;&lt;/p&gt;&lt;/div&gt;</InformacionAcuerdoConsult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F63EDD08CA5A48AFA1028CA3C7793A" ma:contentTypeVersion="8" ma:contentTypeDescription="Crear nuevo documento." ma:contentTypeScope="" ma:versionID="717e3657d9133680a2f35687f129d2df">
  <xsd:schema xmlns:xsd="http://www.w3.org/2001/XMLSchema" xmlns:xs="http://www.w3.org/2001/XMLSchema" xmlns:p="http://schemas.microsoft.com/office/2006/metadata/properties" xmlns:ns2="b9fc4df0-8f56-46e7-b005-54afe0044df7" targetNamespace="http://schemas.microsoft.com/office/2006/metadata/properties" ma:root="true" ma:fieldsID="a1d8fe2cf032c5f39003674536aea037" ns2:_="">
    <xsd:import namespace="b9fc4df0-8f56-46e7-b005-54afe0044df7"/>
    <xsd:element name="properties">
      <xsd:complexType>
        <xsd:sequence>
          <xsd:element name="documentManagement">
            <xsd:complexType>
              <xsd:all>
                <xsd:element ref="ns2:ContenidoMultilineaHTML"/>
                <xsd:element ref="ns2:InformacionAcuerdoConsulta" minOccurs="0"/>
                <xsd:element ref="ns2:NumeroConsultaReforma" minOccurs="0"/>
                <xsd:element ref="ns2:NumeroAcuerdo" minOccurs="0"/>
                <xsd:element ref="ns2:NumeroAcuerdoRelacionado"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8" ma:displayName="ContenidoMultilineaHTML" ma:description="" ma:internalName="ContenidoMultilineaHTML">
      <xsd:simpleType>
        <xsd:restriction base="dms:Unknown"/>
      </xsd:simpleType>
    </xsd:element>
    <xsd:element name="InformacionAcuerdoConsulta" ma:index="9" nillable="true" ma:displayName="Información Acuerdo Consulta" ma:internalName="InformacionAcuerdoConsulta">
      <xsd:simpleType>
        <xsd:restriction base="dms:Note">
          <xsd:maxLength value="255"/>
        </xsd:restriction>
      </xsd:simpleType>
    </xsd:element>
    <xsd:element name="NumeroConsultaReforma" ma:index="10" nillable="true" ma:displayName="Número de Consulta de Reforma" ma:internalName="NumeroConsultaReforma">
      <xsd:simpleType>
        <xsd:restriction base="dms:Text">
          <xsd:maxLength value="255"/>
        </xsd:restriction>
      </xsd:simpleType>
    </xsd:element>
    <xsd:element name="NumeroAcuerdo" ma:index="11" nillable="true" ma:displayName="NumeroAcuerdo" ma:description="" ma:internalName="NumeroAcuerdo">
      <xsd:simpleType>
        <xsd:restriction base="dms:Text"/>
      </xsd:simpleType>
    </xsd:element>
    <xsd:element name="NumeroAcuerdoRelacionado" ma:index="12" nillable="true" ma:displayName="Número de Acuerdo de Relacionado" ma:internalName="NumeroAcuerdoRelacionado">
      <xsd:simpleType>
        <xsd:restriction base="dms:Text">
          <xsd:maxLength value="255"/>
        </xsd:restriction>
      </xsd:simpleType>
    </xsd:element>
    <xsd:element name="FechaPublicacionDocumento" ma:index="13" nillable="true" ma:displayName="FechaPublicacionDocumento" ma:description="" ma:format="DateOnly" ma:internalName="FechaPublicacionDocumento">
      <xsd:simpleType>
        <xsd:restriction base="dms:DateTime"/>
      </xsd:simpleType>
    </xsd:element>
    <xsd:element name="TipoContenido" ma:index="14" nillable="true" ma:displayName="TipoContenido" ma:list="{ec55f565-d8ce-4d28-9f5f-877c6e6feccc}" ma:internalName="TipoContenido" ma:showField="Title" ma:web="b9fc4df0-8f56-46e7-b005-54afe0044df7">
      <xsd:simpleType>
        <xsd:restriction base="dms:Lookup"/>
      </xsd:simpleType>
    </xsd:element>
    <xsd:element name="SharedWithUsers" ma:index="15"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8847D-BB30-47BA-9071-72526B765709}"/>
</file>

<file path=customXml/itemProps2.xml><?xml version="1.0" encoding="utf-8"?>
<ds:datastoreItem xmlns:ds="http://schemas.openxmlformats.org/officeDocument/2006/customXml" ds:itemID="{16605C3E-D016-47BB-8FAB-5B142EF4DA4A}"/>
</file>

<file path=customXml/itemProps3.xml><?xml version="1.0" encoding="utf-8"?>
<ds:datastoreItem xmlns:ds="http://schemas.openxmlformats.org/officeDocument/2006/customXml" ds:itemID="{17BDF67F-DC58-4819-9916-A40D8A540A6D}"/>
</file>

<file path=customXml/itemProps4.xml><?xml version="1.0" encoding="utf-8"?>
<ds:datastoreItem xmlns:ds="http://schemas.openxmlformats.org/officeDocument/2006/customXml" ds:itemID="{E02286E0-A0D8-4FE6-A2AB-FDEB42125EDC}"/>
</file>

<file path=docProps/app.xml><?xml version="1.0" encoding="utf-8"?>
<Properties xmlns="http://schemas.openxmlformats.org/officeDocument/2006/extended-properties" xmlns:vt="http://schemas.openxmlformats.org/officeDocument/2006/docPropsVTypes">
  <Template>Normal</Template>
  <TotalTime>362</TotalTime>
  <Pages>11</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Observaciones a la primera consulta sobre la revelación de información crediticia</dc:title>
  <dc:subject/>
  <dc:creator>Ana Eugenia Quesada Chaves</dc:creator>
  <cp:keywords/>
  <dc:description/>
  <cp:lastModifiedBy>SABORIO ROJAS JUAN CARLOS</cp:lastModifiedBy>
  <cp:revision>79</cp:revision>
  <dcterms:created xsi:type="dcterms:W3CDTF">2023-05-10T18:48:00Z</dcterms:created>
  <dcterms:modified xsi:type="dcterms:W3CDTF">2023-06-08T21:13:00Z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2023-05-10T18:48:08Z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05805be9-f362-43f4-a0f7-00002bf57c3a</vt:lpwstr>
  </property>
  <property fmtid="{D5CDD505-2E9C-101B-9397-08002B2CF9AE}" pid="8" name="MSIP_Label_b8b4be34-365a-4a68-b9fb-75c1b6874315_ContentBits">
    <vt:lpwstr>2</vt:lpwstr>
  </property>
  <property fmtid="{D5CDD505-2E9C-101B-9397-08002B2CF9AE}" pid="9" name="ContentTypeId">
    <vt:lpwstr>0x01010000F63EDD08CA5A48AFA1028CA3C7793A</vt:lpwstr>
  </property>
</Properties>
</file>