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D2B3D" w14:textId="17C51814" w:rsidR="0064405F" w:rsidRPr="00AC4A95" w:rsidRDefault="00AC4A95" w:rsidP="00AC4A95">
      <w:pPr>
        <w:spacing w:after="0" w:line="240" w:lineRule="auto"/>
        <w:ind w:left="-567"/>
        <w:rPr>
          <w:rFonts w:ascii="Cambria" w:hAnsi="Cambria"/>
          <w:i/>
          <w:szCs w:val="18"/>
        </w:rPr>
      </w:pPr>
      <w:r w:rsidRPr="00AC4A95">
        <w:rPr>
          <w:rFonts w:ascii="Cambria" w:hAnsi="Cambria"/>
          <w:i/>
          <w:szCs w:val="18"/>
        </w:rPr>
        <w:t>Tomás Soley Pérez</w:t>
      </w:r>
    </w:p>
    <w:p w14:paraId="215367E2" w14:textId="06DACFF3" w:rsidR="00AC4A95" w:rsidRPr="00AC4A95" w:rsidRDefault="00AC4A95" w:rsidP="00AC4A95">
      <w:pPr>
        <w:spacing w:after="0" w:line="240" w:lineRule="auto"/>
        <w:ind w:left="-567"/>
        <w:rPr>
          <w:rFonts w:ascii="Cambria" w:hAnsi="Cambria"/>
          <w:i/>
          <w:szCs w:val="18"/>
        </w:rPr>
      </w:pPr>
      <w:r w:rsidRPr="00AC4A95">
        <w:rPr>
          <w:rFonts w:ascii="Cambria" w:hAnsi="Cambria"/>
          <w:i/>
          <w:szCs w:val="18"/>
        </w:rPr>
        <w:t>Superintendente de Seguros</w:t>
      </w:r>
    </w:p>
    <w:p w14:paraId="256EAE48" w14:textId="77777777" w:rsidR="00AC4A95" w:rsidRDefault="00AC4A95" w:rsidP="0064405F">
      <w:pPr>
        <w:jc w:val="center"/>
        <w:rPr>
          <w:rFonts w:ascii="Cambria" w:hAnsi="Cambria"/>
          <w:b/>
          <w:szCs w:val="18"/>
        </w:rPr>
      </w:pPr>
    </w:p>
    <w:p w14:paraId="7837FBD2" w14:textId="1060C0F8" w:rsidR="00EE2EE3" w:rsidRDefault="00EE2EE3" w:rsidP="00EE2EE3">
      <w:pPr>
        <w:jc w:val="center"/>
        <w:rPr>
          <w:rFonts w:ascii="Cambria" w:hAnsi="Cambria"/>
          <w:b/>
          <w:szCs w:val="18"/>
        </w:rPr>
      </w:pPr>
      <w:r w:rsidRPr="007A46F7">
        <w:rPr>
          <w:rFonts w:ascii="Cambria" w:hAnsi="Cambria"/>
          <w:b/>
          <w:szCs w:val="18"/>
        </w:rPr>
        <w:t xml:space="preserve">ACUERDO DE SUPERINTENDENTE </w:t>
      </w:r>
    </w:p>
    <w:p w14:paraId="6632A587" w14:textId="1CA1416C" w:rsidR="00AC4A95" w:rsidRPr="004E7866" w:rsidRDefault="00AC4A95" w:rsidP="00AC4A95">
      <w:pPr>
        <w:jc w:val="center"/>
        <w:rPr>
          <w:rFonts w:ascii="Cambria" w:hAnsi="Cambria"/>
          <w:b/>
          <w:i/>
          <w:sz w:val="24"/>
          <w:szCs w:val="18"/>
        </w:rPr>
      </w:pPr>
      <w:r w:rsidRPr="004E7866">
        <w:rPr>
          <w:rFonts w:ascii="Cambria" w:hAnsi="Cambria"/>
          <w:b/>
          <w:i/>
          <w:sz w:val="24"/>
          <w:szCs w:val="18"/>
        </w:rPr>
        <w:t>SGS-DES-A-</w:t>
      </w:r>
      <w:r w:rsidR="000F2AAD">
        <w:rPr>
          <w:rFonts w:ascii="Cambria" w:hAnsi="Cambria"/>
          <w:b/>
          <w:i/>
          <w:sz w:val="24"/>
          <w:szCs w:val="18"/>
        </w:rPr>
        <w:t>047</w:t>
      </w:r>
      <w:bookmarkStart w:id="0" w:name="_GoBack"/>
      <w:bookmarkEnd w:id="0"/>
      <w:r w:rsidRPr="004E7866">
        <w:rPr>
          <w:rFonts w:ascii="Cambria" w:hAnsi="Cambria"/>
          <w:b/>
          <w:i/>
          <w:sz w:val="24"/>
          <w:szCs w:val="18"/>
        </w:rPr>
        <w:t>-2015</w:t>
      </w:r>
    </w:p>
    <w:p w14:paraId="7837FBD3" w14:textId="6EC4832D" w:rsidR="00EE2EE3" w:rsidRPr="007A46F7" w:rsidRDefault="00EE2EE3" w:rsidP="007A46F7">
      <w:pPr>
        <w:pStyle w:val="Textoindependiente"/>
        <w:spacing w:after="0" w:line="240" w:lineRule="auto"/>
        <w:jc w:val="center"/>
        <w:rPr>
          <w:rFonts w:ascii="Cambria" w:hAnsi="Cambria"/>
          <w:b/>
          <w:sz w:val="24"/>
          <w:szCs w:val="18"/>
        </w:rPr>
      </w:pPr>
      <w:r w:rsidRPr="007A46F7">
        <w:rPr>
          <w:rFonts w:ascii="Cambria" w:hAnsi="Cambria"/>
          <w:b/>
          <w:sz w:val="24"/>
          <w:szCs w:val="18"/>
        </w:rPr>
        <w:t xml:space="preserve">Modificación del capítulo IV </w:t>
      </w:r>
      <w:r w:rsidR="00393A3C">
        <w:rPr>
          <w:rFonts w:ascii="Cambria" w:hAnsi="Cambria"/>
          <w:b/>
          <w:sz w:val="24"/>
          <w:szCs w:val="18"/>
        </w:rPr>
        <w:t>-</w:t>
      </w:r>
      <w:r w:rsidRPr="007A46F7">
        <w:rPr>
          <w:rFonts w:ascii="Cambria" w:hAnsi="Cambria"/>
          <w:b/>
          <w:sz w:val="24"/>
          <w:szCs w:val="18"/>
        </w:rPr>
        <w:t xml:space="preserve"> Tasa de interés técnica, del acuerdo SGS-DES-A-029-2013 </w:t>
      </w:r>
      <w:r w:rsidRPr="00393A3C">
        <w:rPr>
          <w:rFonts w:ascii="Cambria" w:hAnsi="Cambria"/>
          <w:b/>
          <w:i/>
          <w:sz w:val="24"/>
          <w:szCs w:val="18"/>
        </w:rPr>
        <w:t>Lineamientos generales para la aplicación del reglamento sobre la solvencia de entidades de seguros y reaseguros</w:t>
      </w:r>
    </w:p>
    <w:p w14:paraId="7837FBD4" w14:textId="77777777" w:rsidR="00EE2EE3" w:rsidRDefault="00EE2EE3" w:rsidP="00EE2EE3">
      <w:pPr>
        <w:pStyle w:val="Textoindependiente"/>
        <w:spacing w:after="0" w:line="240" w:lineRule="auto"/>
        <w:jc w:val="both"/>
        <w:rPr>
          <w:rFonts w:ascii="Cambria" w:hAnsi="Cambria"/>
          <w:b/>
          <w:szCs w:val="18"/>
        </w:rPr>
      </w:pPr>
    </w:p>
    <w:p w14:paraId="38CEAE01" w14:textId="77777777" w:rsidR="0064405F" w:rsidRPr="007A46F7" w:rsidRDefault="0064405F" w:rsidP="00EE2EE3">
      <w:pPr>
        <w:pStyle w:val="Textoindependiente"/>
        <w:spacing w:after="0" w:line="240" w:lineRule="auto"/>
        <w:jc w:val="both"/>
        <w:rPr>
          <w:rFonts w:ascii="Cambria" w:hAnsi="Cambria"/>
          <w:b/>
          <w:szCs w:val="18"/>
        </w:rPr>
      </w:pPr>
    </w:p>
    <w:p w14:paraId="3609DE39" w14:textId="169E2A2E" w:rsidR="00393A3C" w:rsidRDefault="00EE2EE3" w:rsidP="00EE2EE3">
      <w:pPr>
        <w:pStyle w:val="Textoindependiente"/>
        <w:spacing w:after="0" w:line="240" w:lineRule="auto"/>
        <w:jc w:val="both"/>
        <w:rPr>
          <w:rFonts w:ascii="Cambria" w:hAnsi="Cambria"/>
          <w:sz w:val="24"/>
          <w:szCs w:val="18"/>
        </w:rPr>
      </w:pPr>
      <w:r w:rsidRPr="007A46F7">
        <w:rPr>
          <w:rFonts w:ascii="Cambria" w:hAnsi="Cambria"/>
          <w:sz w:val="24"/>
          <w:szCs w:val="18"/>
        </w:rPr>
        <w:t xml:space="preserve">El Superintendente General de Seguros a las </w:t>
      </w:r>
      <w:r w:rsidR="004E7866">
        <w:rPr>
          <w:rFonts w:ascii="Cambria" w:hAnsi="Cambria"/>
          <w:sz w:val="24"/>
          <w:szCs w:val="18"/>
        </w:rPr>
        <w:t>dieciséis</w:t>
      </w:r>
      <w:r w:rsidRPr="007A46F7">
        <w:rPr>
          <w:rFonts w:ascii="Cambria" w:hAnsi="Cambria"/>
          <w:sz w:val="24"/>
          <w:szCs w:val="18"/>
        </w:rPr>
        <w:t xml:space="preserve"> horas</w:t>
      </w:r>
      <w:r w:rsidR="004E7866">
        <w:rPr>
          <w:rFonts w:ascii="Cambria" w:hAnsi="Cambria"/>
          <w:sz w:val="24"/>
          <w:szCs w:val="18"/>
        </w:rPr>
        <w:t xml:space="preserve"> diez minutos del dieciocho</w:t>
      </w:r>
      <w:r w:rsidRPr="007A46F7">
        <w:rPr>
          <w:rFonts w:ascii="Cambria" w:hAnsi="Cambria"/>
          <w:sz w:val="24"/>
          <w:szCs w:val="18"/>
        </w:rPr>
        <w:t xml:space="preserve"> de </w:t>
      </w:r>
      <w:r w:rsidRPr="0064405F">
        <w:rPr>
          <w:rFonts w:ascii="Cambria" w:hAnsi="Cambria"/>
          <w:sz w:val="24"/>
          <w:szCs w:val="18"/>
        </w:rPr>
        <w:t>diciembre</w:t>
      </w:r>
      <w:r w:rsidR="00393A3C">
        <w:rPr>
          <w:rFonts w:ascii="Cambria" w:hAnsi="Cambria"/>
          <w:sz w:val="24"/>
          <w:szCs w:val="18"/>
        </w:rPr>
        <w:t xml:space="preserve"> de dos mil quince.</w:t>
      </w:r>
    </w:p>
    <w:p w14:paraId="744C5207" w14:textId="77777777" w:rsidR="00393A3C" w:rsidRDefault="00393A3C" w:rsidP="00EE2EE3">
      <w:pPr>
        <w:pStyle w:val="Textoindependiente"/>
        <w:spacing w:after="0" w:line="240" w:lineRule="auto"/>
        <w:jc w:val="both"/>
        <w:rPr>
          <w:rFonts w:ascii="Cambria" w:hAnsi="Cambria"/>
          <w:sz w:val="24"/>
          <w:szCs w:val="18"/>
        </w:rPr>
      </w:pPr>
    </w:p>
    <w:p w14:paraId="7837FBD5" w14:textId="559B215B" w:rsidR="00EE2EE3" w:rsidRPr="00393A3C" w:rsidRDefault="00393A3C" w:rsidP="00393A3C">
      <w:pPr>
        <w:pStyle w:val="Textoindependiente"/>
        <w:spacing w:after="0" w:line="240" w:lineRule="auto"/>
        <w:jc w:val="center"/>
        <w:rPr>
          <w:rFonts w:ascii="Cambria" w:hAnsi="Cambria"/>
          <w:b/>
          <w:sz w:val="24"/>
          <w:szCs w:val="18"/>
        </w:rPr>
      </w:pPr>
      <w:r w:rsidRPr="00393A3C">
        <w:rPr>
          <w:rFonts w:ascii="Cambria" w:hAnsi="Cambria"/>
          <w:b/>
          <w:sz w:val="24"/>
          <w:szCs w:val="18"/>
        </w:rPr>
        <w:t>C</w:t>
      </w:r>
      <w:r w:rsidR="00EE2EE3" w:rsidRPr="00393A3C">
        <w:rPr>
          <w:rFonts w:ascii="Cambria" w:hAnsi="Cambria"/>
          <w:b/>
          <w:sz w:val="24"/>
          <w:szCs w:val="18"/>
        </w:rPr>
        <w:t>onsiderando que:</w:t>
      </w:r>
    </w:p>
    <w:p w14:paraId="2425A5DB" w14:textId="1B9D9EC1" w:rsidR="00393A3C" w:rsidRDefault="00393A3C" w:rsidP="00EE2EE3">
      <w:pPr>
        <w:pStyle w:val="Textoindependiente"/>
        <w:spacing w:after="0" w:line="240" w:lineRule="auto"/>
        <w:jc w:val="both"/>
        <w:rPr>
          <w:rFonts w:ascii="Cambria" w:hAnsi="Cambria"/>
          <w:sz w:val="24"/>
          <w:szCs w:val="18"/>
        </w:rPr>
      </w:pPr>
    </w:p>
    <w:p w14:paraId="7837FBD6" w14:textId="77777777" w:rsidR="00EE2EE3" w:rsidRPr="007A46F7" w:rsidRDefault="00EE2EE3" w:rsidP="00EE2EE3">
      <w:pPr>
        <w:pStyle w:val="Textoindependiente"/>
        <w:spacing w:after="0" w:line="240" w:lineRule="auto"/>
        <w:jc w:val="both"/>
        <w:rPr>
          <w:rFonts w:ascii="Cambria" w:hAnsi="Cambria"/>
          <w:b/>
          <w:sz w:val="24"/>
          <w:szCs w:val="18"/>
        </w:rPr>
      </w:pPr>
    </w:p>
    <w:p w14:paraId="7837FBD7" w14:textId="7DD6A870" w:rsidR="00EE2EE3" w:rsidRPr="007A46F7" w:rsidRDefault="00EE2EE3" w:rsidP="00393A3C">
      <w:pPr>
        <w:pStyle w:val="Textoindependiente"/>
        <w:spacing w:after="0" w:line="240" w:lineRule="auto"/>
        <w:ind w:left="425" w:hanging="425"/>
        <w:jc w:val="both"/>
        <w:rPr>
          <w:rFonts w:ascii="Cambria" w:hAnsi="Cambria"/>
          <w:b/>
          <w:sz w:val="24"/>
          <w:szCs w:val="18"/>
        </w:rPr>
      </w:pPr>
      <w:r w:rsidRPr="007A46F7">
        <w:rPr>
          <w:rFonts w:ascii="Cambria" w:hAnsi="Cambria"/>
          <w:b/>
          <w:sz w:val="24"/>
          <w:szCs w:val="18"/>
        </w:rPr>
        <w:t>1</w:t>
      </w:r>
      <w:r w:rsidRPr="007A46F7">
        <w:rPr>
          <w:rFonts w:ascii="Cambria" w:hAnsi="Cambria"/>
          <w:sz w:val="24"/>
          <w:szCs w:val="18"/>
        </w:rPr>
        <w:t xml:space="preserve">. </w:t>
      </w:r>
      <w:r w:rsidR="00393A3C">
        <w:rPr>
          <w:rFonts w:ascii="Cambria" w:hAnsi="Cambria"/>
          <w:sz w:val="24"/>
          <w:szCs w:val="18"/>
        </w:rPr>
        <w:tab/>
        <w:t>D</w:t>
      </w:r>
      <w:r w:rsidRPr="007A46F7">
        <w:rPr>
          <w:rFonts w:ascii="Cambria" w:hAnsi="Cambria"/>
          <w:sz w:val="24"/>
          <w:szCs w:val="18"/>
        </w:rPr>
        <w:t>e conformidad con lo dispuesto en el artículo 10 de la Ley Reguladora del Mercado de Seguros, el Consejo Nacional de Supervisión del Sistema Financiero, mediante el Artículo 7 del acta de la sesión 744-2008, celebrada el 18 de setiembre del 2008 y publicado en La Gaceta Nº 184 del 24 de setiembre del 2008 aprobó el Reglamento sobre la Solvencia de Entidades de Seguros y Reaseguros.</w:t>
      </w:r>
    </w:p>
    <w:p w14:paraId="7837FBD8" w14:textId="77777777" w:rsidR="00EE2EE3" w:rsidRPr="007A46F7" w:rsidRDefault="00EE2EE3" w:rsidP="00393A3C">
      <w:pPr>
        <w:pStyle w:val="Textoindependiente"/>
        <w:spacing w:after="0" w:line="240" w:lineRule="auto"/>
        <w:ind w:left="425" w:hanging="425"/>
        <w:jc w:val="both"/>
        <w:rPr>
          <w:rFonts w:ascii="Cambria" w:hAnsi="Cambria"/>
          <w:b/>
          <w:sz w:val="24"/>
          <w:szCs w:val="18"/>
        </w:rPr>
      </w:pPr>
    </w:p>
    <w:p w14:paraId="7837FBD9" w14:textId="250A2F33" w:rsidR="00EE2EE3" w:rsidRPr="007A46F7" w:rsidRDefault="00EE2EE3" w:rsidP="00393A3C">
      <w:pPr>
        <w:pStyle w:val="Textoindependiente"/>
        <w:spacing w:after="0" w:line="240" w:lineRule="auto"/>
        <w:ind w:left="425" w:hanging="425"/>
        <w:jc w:val="both"/>
        <w:rPr>
          <w:rFonts w:ascii="Cambria" w:hAnsi="Cambria"/>
          <w:sz w:val="24"/>
          <w:szCs w:val="18"/>
        </w:rPr>
      </w:pPr>
      <w:r w:rsidRPr="007A46F7">
        <w:rPr>
          <w:rFonts w:ascii="Cambria" w:hAnsi="Cambria"/>
          <w:b/>
          <w:sz w:val="24"/>
          <w:szCs w:val="18"/>
        </w:rPr>
        <w:t>2.</w:t>
      </w:r>
      <w:r w:rsidRPr="007A46F7">
        <w:rPr>
          <w:rFonts w:ascii="Cambria" w:hAnsi="Cambria"/>
          <w:sz w:val="24"/>
          <w:szCs w:val="18"/>
        </w:rPr>
        <w:t xml:space="preserve"> </w:t>
      </w:r>
      <w:r w:rsidR="00393A3C">
        <w:rPr>
          <w:rFonts w:ascii="Cambria" w:hAnsi="Cambria"/>
          <w:sz w:val="24"/>
          <w:szCs w:val="18"/>
        </w:rPr>
        <w:tab/>
      </w:r>
      <w:r w:rsidRPr="007A46F7">
        <w:rPr>
          <w:rFonts w:ascii="Cambria" w:hAnsi="Cambria"/>
          <w:sz w:val="24"/>
          <w:szCs w:val="18"/>
        </w:rPr>
        <w:t>El Consejo Nacional de Supervisión del Sistema Financiero, mediante el artículo 8 del acta de la sesión 1050-2013, celebrada el 2 de julio de 2013, aprobó la reforma integral del Reglamento sobre la Solvencia de Entidades de Seguros y Reaseguros, la cual fue publicada en el diario oficial La Gaceta del 1 de agosto de 2013.</w:t>
      </w:r>
    </w:p>
    <w:p w14:paraId="7837FBDA" w14:textId="77777777" w:rsidR="00EE2EE3" w:rsidRPr="007A46F7" w:rsidRDefault="00EE2EE3" w:rsidP="00393A3C">
      <w:pPr>
        <w:pStyle w:val="Textoindependiente"/>
        <w:spacing w:after="0" w:line="240" w:lineRule="auto"/>
        <w:ind w:left="425" w:hanging="425"/>
        <w:jc w:val="both"/>
        <w:rPr>
          <w:rFonts w:ascii="Cambria" w:hAnsi="Cambria"/>
          <w:sz w:val="24"/>
          <w:szCs w:val="18"/>
        </w:rPr>
      </w:pPr>
    </w:p>
    <w:p w14:paraId="7837FBDB" w14:textId="41AEDDE7" w:rsidR="00EE2EE3" w:rsidRPr="007A46F7" w:rsidRDefault="00EE2EE3" w:rsidP="00393A3C">
      <w:pPr>
        <w:pStyle w:val="Textoindependiente"/>
        <w:spacing w:after="0" w:line="240" w:lineRule="auto"/>
        <w:ind w:left="425" w:hanging="425"/>
        <w:jc w:val="both"/>
        <w:rPr>
          <w:rFonts w:ascii="Cambria" w:hAnsi="Cambria"/>
          <w:sz w:val="24"/>
          <w:szCs w:val="18"/>
        </w:rPr>
      </w:pPr>
      <w:r w:rsidRPr="007A46F7">
        <w:rPr>
          <w:rFonts w:ascii="Cambria" w:hAnsi="Cambria"/>
          <w:b/>
          <w:sz w:val="24"/>
          <w:szCs w:val="18"/>
        </w:rPr>
        <w:t>3</w:t>
      </w:r>
      <w:r w:rsidRPr="007A46F7">
        <w:rPr>
          <w:rFonts w:ascii="Cambria" w:hAnsi="Cambria"/>
          <w:sz w:val="24"/>
          <w:szCs w:val="18"/>
        </w:rPr>
        <w:t xml:space="preserve">. </w:t>
      </w:r>
      <w:r w:rsidR="00393A3C">
        <w:rPr>
          <w:rFonts w:ascii="Cambria" w:hAnsi="Cambria"/>
          <w:sz w:val="24"/>
          <w:szCs w:val="18"/>
        </w:rPr>
        <w:tab/>
        <w:t>E</w:t>
      </w:r>
      <w:r w:rsidRPr="007A46F7">
        <w:rPr>
          <w:rFonts w:ascii="Cambria" w:hAnsi="Cambria"/>
          <w:sz w:val="24"/>
          <w:szCs w:val="18"/>
        </w:rPr>
        <w:t>l Artículo 4 del Reglamento sobre la Solvencia de Entidades Seguros y Reaseguros establece que corresponde al Superintendente emitir los Lineamientos Generales para la aplicación de esa normativa, entre ellos lo relativo a la metodología de cálculo de la tasa de interés técnica.</w:t>
      </w:r>
    </w:p>
    <w:p w14:paraId="7837FBDC" w14:textId="77777777" w:rsidR="00EE2EE3" w:rsidRPr="007A46F7" w:rsidRDefault="00EE2EE3" w:rsidP="00393A3C">
      <w:pPr>
        <w:pStyle w:val="Textoindependiente"/>
        <w:spacing w:after="0" w:line="240" w:lineRule="auto"/>
        <w:ind w:left="425" w:hanging="425"/>
        <w:jc w:val="both"/>
        <w:rPr>
          <w:rFonts w:ascii="Cambria" w:hAnsi="Cambria"/>
          <w:sz w:val="24"/>
          <w:szCs w:val="18"/>
        </w:rPr>
      </w:pPr>
    </w:p>
    <w:p w14:paraId="7837FBDD" w14:textId="6C83C5ED" w:rsidR="00EE2EE3" w:rsidRPr="007A46F7" w:rsidRDefault="00EE2EE3" w:rsidP="00393A3C">
      <w:pPr>
        <w:pStyle w:val="Textoindependiente"/>
        <w:spacing w:after="0" w:line="240" w:lineRule="auto"/>
        <w:ind w:left="425" w:hanging="425"/>
        <w:jc w:val="both"/>
        <w:rPr>
          <w:rFonts w:ascii="Cambria" w:hAnsi="Cambria"/>
          <w:sz w:val="24"/>
          <w:szCs w:val="18"/>
        </w:rPr>
      </w:pPr>
      <w:r w:rsidRPr="007A46F7">
        <w:rPr>
          <w:rFonts w:ascii="Cambria" w:hAnsi="Cambria"/>
          <w:b/>
          <w:sz w:val="24"/>
          <w:szCs w:val="18"/>
        </w:rPr>
        <w:t>4</w:t>
      </w:r>
      <w:r w:rsidRPr="007A46F7">
        <w:rPr>
          <w:rFonts w:ascii="Cambria" w:hAnsi="Cambria"/>
          <w:sz w:val="24"/>
          <w:szCs w:val="18"/>
        </w:rPr>
        <w:t xml:space="preserve">. </w:t>
      </w:r>
      <w:r w:rsidR="00393A3C">
        <w:rPr>
          <w:rFonts w:ascii="Cambria" w:hAnsi="Cambria"/>
          <w:sz w:val="24"/>
          <w:szCs w:val="18"/>
        </w:rPr>
        <w:tab/>
      </w:r>
      <w:r w:rsidRPr="007A46F7">
        <w:rPr>
          <w:rFonts w:ascii="Cambria" w:hAnsi="Cambria"/>
          <w:sz w:val="24"/>
          <w:szCs w:val="18"/>
        </w:rPr>
        <w:t>El inciso j), del artículo 28 de la Ley Reguladora del Mercado de Seguros faculta al Superintendente a dictar directrices de carácter técnico u operativo necesarias para el cumplimiento de los objetivos de supervisión que la misma Ley impone a la Superintendencia General de Seguros.</w:t>
      </w:r>
    </w:p>
    <w:p w14:paraId="7837FBDE" w14:textId="77777777" w:rsidR="00EE2EE3" w:rsidRDefault="00EE2EE3" w:rsidP="00393A3C">
      <w:pPr>
        <w:pStyle w:val="Textoindependiente"/>
        <w:spacing w:after="0" w:line="240" w:lineRule="auto"/>
        <w:ind w:left="425" w:hanging="425"/>
        <w:jc w:val="both"/>
        <w:rPr>
          <w:rFonts w:ascii="Cambria" w:hAnsi="Cambria"/>
          <w:sz w:val="24"/>
          <w:szCs w:val="18"/>
        </w:rPr>
      </w:pPr>
    </w:p>
    <w:p w14:paraId="3183D5F4" w14:textId="77777777" w:rsidR="00B04AC1" w:rsidRDefault="00B04AC1" w:rsidP="00393A3C">
      <w:pPr>
        <w:pStyle w:val="Textoindependiente"/>
        <w:spacing w:after="0" w:line="240" w:lineRule="auto"/>
        <w:ind w:left="425" w:hanging="425"/>
        <w:jc w:val="both"/>
        <w:rPr>
          <w:rFonts w:ascii="Cambria" w:hAnsi="Cambria"/>
          <w:sz w:val="24"/>
          <w:szCs w:val="18"/>
        </w:rPr>
      </w:pPr>
    </w:p>
    <w:p w14:paraId="29B3C9FC" w14:textId="77777777" w:rsidR="00B04AC1" w:rsidRPr="007A46F7" w:rsidRDefault="00B04AC1" w:rsidP="00393A3C">
      <w:pPr>
        <w:pStyle w:val="Textoindependiente"/>
        <w:spacing w:after="0" w:line="240" w:lineRule="auto"/>
        <w:ind w:left="425" w:hanging="425"/>
        <w:jc w:val="both"/>
        <w:rPr>
          <w:rFonts w:ascii="Cambria" w:hAnsi="Cambria"/>
          <w:sz w:val="24"/>
          <w:szCs w:val="18"/>
        </w:rPr>
      </w:pPr>
    </w:p>
    <w:p w14:paraId="7837FBDF" w14:textId="3ED20D40" w:rsidR="00EE2EE3" w:rsidRPr="007A46F7" w:rsidRDefault="00EE2EE3" w:rsidP="00393A3C">
      <w:pPr>
        <w:pStyle w:val="Textoindependiente"/>
        <w:spacing w:after="0" w:line="240" w:lineRule="auto"/>
        <w:ind w:left="425" w:hanging="425"/>
        <w:jc w:val="both"/>
        <w:rPr>
          <w:rFonts w:ascii="Cambria" w:hAnsi="Cambria"/>
          <w:sz w:val="24"/>
          <w:szCs w:val="18"/>
        </w:rPr>
      </w:pPr>
      <w:r w:rsidRPr="007A46F7">
        <w:rPr>
          <w:rFonts w:ascii="Cambria" w:hAnsi="Cambria"/>
          <w:b/>
          <w:sz w:val="24"/>
          <w:szCs w:val="18"/>
        </w:rPr>
        <w:t>5</w:t>
      </w:r>
      <w:r w:rsidRPr="007A46F7">
        <w:rPr>
          <w:rFonts w:ascii="Cambria" w:hAnsi="Cambria"/>
          <w:sz w:val="24"/>
          <w:szCs w:val="18"/>
        </w:rPr>
        <w:t xml:space="preserve">. </w:t>
      </w:r>
      <w:r w:rsidR="00393A3C">
        <w:rPr>
          <w:rFonts w:ascii="Cambria" w:hAnsi="Cambria"/>
          <w:sz w:val="24"/>
          <w:szCs w:val="18"/>
        </w:rPr>
        <w:tab/>
      </w:r>
      <w:r w:rsidRPr="007A46F7">
        <w:rPr>
          <w:rFonts w:ascii="Cambria" w:hAnsi="Cambria"/>
          <w:sz w:val="24"/>
          <w:szCs w:val="18"/>
        </w:rPr>
        <w:t>Mediante acuerdo SGS-A-009-2010 de las quince horas del nueve de noviembre de 2010, el Superintendente emitió los “Lineamientos generales para la aplicación del reglamento sobre la solvencia de entidades de seguros y reaseguros”, entre los cuales se incluye la metodología de cálculo de la tasa de interés técnica.</w:t>
      </w:r>
    </w:p>
    <w:p w14:paraId="7837FBE0" w14:textId="77777777" w:rsidR="00EE2EE3" w:rsidRPr="007A46F7" w:rsidRDefault="00EE2EE3" w:rsidP="00393A3C">
      <w:pPr>
        <w:pStyle w:val="Textoindependiente"/>
        <w:spacing w:after="0" w:line="240" w:lineRule="auto"/>
        <w:ind w:left="425" w:hanging="425"/>
        <w:jc w:val="both"/>
        <w:rPr>
          <w:rFonts w:ascii="Cambria" w:hAnsi="Cambria"/>
          <w:sz w:val="24"/>
          <w:szCs w:val="18"/>
        </w:rPr>
      </w:pPr>
    </w:p>
    <w:p w14:paraId="7837FBE1" w14:textId="41511D38" w:rsidR="00EE2EE3" w:rsidRPr="007A46F7" w:rsidRDefault="00EE2EE3" w:rsidP="00393A3C">
      <w:pPr>
        <w:pStyle w:val="Textoindependiente"/>
        <w:spacing w:after="0" w:line="240" w:lineRule="auto"/>
        <w:ind w:left="425" w:hanging="425"/>
        <w:jc w:val="both"/>
        <w:rPr>
          <w:rFonts w:ascii="Cambria" w:hAnsi="Cambria"/>
          <w:sz w:val="24"/>
          <w:szCs w:val="18"/>
        </w:rPr>
      </w:pPr>
      <w:r w:rsidRPr="007A46F7">
        <w:rPr>
          <w:rFonts w:ascii="Cambria" w:hAnsi="Cambria"/>
          <w:b/>
          <w:sz w:val="24"/>
          <w:szCs w:val="18"/>
        </w:rPr>
        <w:t>6</w:t>
      </w:r>
      <w:r w:rsidRPr="007A46F7">
        <w:rPr>
          <w:rFonts w:ascii="Cambria" w:hAnsi="Cambria"/>
          <w:sz w:val="24"/>
          <w:szCs w:val="18"/>
        </w:rPr>
        <w:t xml:space="preserve">. </w:t>
      </w:r>
      <w:r w:rsidR="00393A3C">
        <w:rPr>
          <w:rFonts w:ascii="Cambria" w:hAnsi="Cambria"/>
          <w:sz w:val="24"/>
          <w:szCs w:val="18"/>
        </w:rPr>
        <w:tab/>
      </w:r>
      <w:r w:rsidRPr="007A46F7">
        <w:rPr>
          <w:rFonts w:ascii="Cambria" w:hAnsi="Cambria"/>
          <w:sz w:val="24"/>
          <w:szCs w:val="18"/>
        </w:rPr>
        <w:t>Mediante acuerdo SGS-DES-A-029-2013 de las catorce horas del diecisiete de setiembre de 2013 se modificó integralmente el acuerdo SGS-A-009-2010 “Lineamientos generales para la aplicación del Reglamento sobre la Solvencia de Entidades de Seguros y Reaseguros”.</w:t>
      </w:r>
    </w:p>
    <w:p w14:paraId="7837FBE2" w14:textId="77777777" w:rsidR="00EE2EE3" w:rsidRPr="007A46F7" w:rsidRDefault="00EE2EE3" w:rsidP="00393A3C">
      <w:pPr>
        <w:pStyle w:val="Textoindependiente"/>
        <w:spacing w:after="0" w:line="240" w:lineRule="auto"/>
        <w:ind w:left="425" w:hanging="425"/>
        <w:jc w:val="both"/>
        <w:rPr>
          <w:rFonts w:ascii="Cambria" w:hAnsi="Cambria"/>
          <w:sz w:val="24"/>
          <w:szCs w:val="18"/>
        </w:rPr>
      </w:pPr>
    </w:p>
    <w:p w14:paraId="7837FBE3" w14:textId="660A6D20" w:rsidR="00EE2EE3" w:rsidRPr="007A46F7" w:rsidRDefault="00EE2EE3" w:rsidP="00393A3C">
      <w:pPr>
        <w:pStyle w:val="Textoindependiente"/>
        <w:spacing w:after="0" w:line="240" w:lineRule="auto"/>
        <w:ind w:left="425" w:hanging="425"/>
        <w:jc w:val="both"/>
        <w:rPr>
          <w:rFonts w:ascii="Cambria" w:hAnsi="Cambria"/>
          <w:sz w:val="24"/>
          <w:szCs w:val="18"/>
        </w:rPr>
      </w:pPr>
      <w:r w:rsidRPr="007A46F7">
        <w:rPr>
          <w:rFonts w:ascii="Cambria" w:hAnsi="Cambria"/>
          <w:b/>
          <w:sz w:val="24"/>
          <w:szCs w:val="18"/>
        </w:rPr>
        <w:t>7</w:t>
      </w:r>
      <w:r w:rsidRPr="007A46F7">
        <w:rPr>
          <w:rFonts w:ascii="Cambria" w:hAnsi="Cambria"/>
          <w:sz w:val="24"/>
          <w:szCs w:val="18"/>
        </w:rPr>
        <w:t xml:space="preserve">. </w:t>
      </w:r>
      <w:r w:rsidR="00393A3C">
        <w:rPr>
          <w:rFonts w:ascii="Cambria" w:hAnsi="Cambria"/>
          <w:sz w:val="24"/>
          <w:szCs w:val="18"/>
        </w:rPr>
        <w:tab/>
      </w:r>
      <w:r w:rsidRPr="007A46F7">
        <w:rPr>
          <w:rFonts w:ascii="Cambria" w:hAnsi="Cambria"/>
          <w:sz w:val="24"/>
          <w:szCs w:val="18"/>
        </w:rPr>
        <w:t>La tasa de interés técnico se utiliza para el cálculo de la provisión matemática de seguros personales, cuya duración del contrato es de más de un año e incluso vitalicio, por lo que para el cálculo de dicha provisión es necesario utilizar la tasa de interés técnico para descontar dichos flujos,  por lo que la variación de dicha tasa tiene un impacto importante en el resultado de la provisión matemática.</w:t>
      </w:r>
    </w:p>
    <w:p w14:paraId="7837FBE4" w14:textId="77777777" w:rsidR="00EE2EE3" w:rsidRPr="007A46F7" w:rsidRDefault="00EE2EE3" w:rsidP="00393A3C">
      <w:pPr>
        <w:pStyle w:val="Textoindependiente"/>
        <w:spacing w:after="0" w:line="240" w:lineRule="auto"/>
        <w:ind w:left="425" w:hanging="425"/>
        <w:jc w:val="both"/>
        <w:rPr>
          <w:rFonts w:ascii="Cambria" w:hAnsi="Cambria"/>
          <w:sz w:val="24"/>
          <w:szCs w:val="18"/>
        </w:rPr>
      </w:pPr>
    </w:p>
    <w:p w14:paraId="7837FBE5" w14:textId="076A9D15" w:rsidR="00EE2EE3" w:rsidRPr="007A46F7" w:rsidRDefault="00EE2EE3" w:rsidP="00393A3C">
      <w:pPr>
        <w:pStyle w:val="Textoindependiente"/>
        <w:spacing w:after="0" w:line="240" w:lineRule="auto"/>
        <w:ind w:left="425" w:hanging="425"/>
        <w:jc w:val="both"/>
        <w:rPr>
          <w:rFonts w:ascii="Cambria" w:hAnsi="Cambria"/>
          <w:sz w:val="24"/>
          <w:szCs w:val="18"/>
        </w:rPr>
      </w:pPr>
      <w:r w:rsidRPr="007A46F7">
        <w:rPr>
          <w:rFonts w:ascii="Cambria" w:hAnsi="Cambria"/>
          <w:b/>
          <w:sz w:val="24"/>
          <w:szCs w:val="18"/>
        </w:rPr>
        <w:t>8.</w:t>
      </w:r>
      <w:r w:rsidRPr="007A46F7">
        <w:rPr>
          <w:rFonts w:ascii="Cambria" w:hAnsi="Cambria"/>
          <w:sz w:val="24"/>
          <w:szCs w:val="18"/>
        </w:rPr>
        <w:t xml:space="preserve"> </w:t>
      </w:r>
      <w:r w:rsidR="00393A3C">
        <w:rPr>
          <w:rFonts w:ascii="Cambria" w:hAnsi="Cambria"/>
          <w:sz w:val="24"/>
          <w:szCs w:val="18"/>
        </w:rPr>
        <w:tab/>
      </w:r>
      <w:r w:rsidRPr="007A46F7">
        <w:rPr>
          <w:rFonts w:ascii="Cambria" w:hAnsi="Cambria"/>
          <w:sz w:val="24"/>
          <w:szCs w:val="18"/>
        </w:rPr>
        <w:t>La Superintendencia ha calculado la tasa de interés técnico en colones desde diciembre de 2010 hasta la fecha, y durante  ese periodo la tasa ha mostrado una volatilidad considerable, lo que ha implicado que en algunas ocasiones las aseguradoras deban realizar un incremento a la provisión matemática, pero si en el siguiente periodo la tasa disminuye, se debe reversar el incremento realizado.  Este aspecto tiene implicaciones en la gestión financiera y en los estados financieros de las aseguradoras, por lo cual se considera adecuado modificar la metodología de cálculo de la tasa de interés técnico en colones, de manera que se aporte mayor estabilidad a dicha tasa y con ello al saldo de la provisión matemática.</w:t>
      </w:r>
    </w:p>
    <w:p w14:paraId="7837FBE6" w14:textId="77777777" w:rsidR="00EE2EE3" w:rsidRPr="007A46F7" w:rsidRDefault="00EE2EE3" w:rsidP="00393A3C">
      <w:pPr>
        <w:pStyle w:val="Textoindependiente"/>
        <w:spacing w:after="0" w:line="240" w:lineRule="auto"/>
        <w:ind w:left="425" w:hanging="425"/>
        <w:jc w:val="both"/>
        <w:rPr>
          <w:rFonts w:ascii="Cambria" w:hAnsi="Cambria"/>
          <w:sz w:val="24"/>
          <w:szCs w:val="18"/>
        </w:rPr>
      </w:pPr>
    </w:p>
    <w:p w14:paraId="7837FBE7" w14:textId="66CDCEC4" w:rsidR="00EE2EE3" w:rsidRPr="007A46F7" w:rsidRDefault="00EE2EE3" w:rsidP="00393A3C">
      <w:pPr>
        <w:pStyle w:val="Textoindependiente"/>
        <w:spacing w:after="0" w:line="240" w:lineRule="auto"/>
        <w:ind w:left="425" w:hanging="425"/>
        <w:jc w:val="both"/>
        <w:rPr>
          <w:rFonts w:ascii="Cambria" w:hAnsi="Cambria"/>
          <w:sz w:val="24"/>
          <w:szCs w:val="18"/>
        </w:rPr>
      </w:pPr>
      <w:r w:rsidRPr="007A46F7">
        <w:rPr>
          <w:rFonts w:ascii="Cambria" w:hAnsi="Cambria"/>
          <w:b/>
          <w:sz w:val="24"/>
          <w:szCs w:val="18"/>
        </w:rPr>
        <w:t>9</w:t>
      </w:r>
      <w:r w:rsidRPr="007A46F7">
        <w:rPr>
          <w:rFonts w:ascii="Cambria" w:hAnsi="Cambria"/>
          <w:sz w:val="24"/>
          <w:szCs w:val="18"/>
        </w:rPr>
        <w:t xml:space="preserve">. </w:t>
      </w:r>
      <w:r w:rsidR="00393A3C">
        <w:rPr>
          <w:rFonts w:ascii="Cambria" w:hAnsi="Cambria"/>
          <w:sz w:val="24"/>
          <w:szCs w:val="18"/>
        </w:rPr>
        <w:tab/>
      </w:r>
      <w:r w:rsidRPr="007A46F7">
        <w:rPr>
          <w:rFonts w:ascii="Cambria" w:hAnsi="Cambria"/>
          <w:sz w:val="24"/>
          <w:szCs w:val="18"/>
        </w:rPr>
        <w:t>Actualmente, la metodología para el cálculo de la tasa de interés técnico en colones utiliza el 60% del promedio simple de los tipos de interés de los valores emitidos por el gobierno central de Costa Rica, en moneda nacional para los plazos de más 3 años a 7 años, observados durante los últimos 3 meses.  No obstante, dado que la tasa de interés técnico se utiliza para descontar flujos de largo plazo, resulta pertinente ampliar el periodo de 3 meses utilizado como base para el cálculo de la tasa de interés técnico, con la finalidad de mejorar la proyección del comportamiento futuro de dicha tasa y aportarle mayor estabilidad.</w:t>
      </w:r>
    </w:p>
    <w:p w14:paraId="7837FBE8" w14:textId="025CEF04" w:rsidR="00B04AC1" w:rsidRDefault="00B04AC1">
      <w:pPr>
        <w:spacing w:after="160" w:line="259" w:lineRule="auto"/>
        <w:rPr>
          <w:rFonts w:ascii="Cambria" w:hAnsi="Cambria"/>
          <w:sz w:val="24"/>
          <w:szCs w:val="18"/>
        </w:rPr>
      </w:pPr>
      <w:r>
        <w:rPr>
          <w:rFonts w:ascii="Cambria" w:hAnsi="Cambria"/>
          <w:sz w:val="24"/>
          <w:szCs w:val="18"/>
        </w:rPr>
        <w:br w:type="page"/>
      </w:r>
    </w:p>
    <w:p w14:paraId="424A2540" w14:textId="77777777" w:rsidR="00EE2EE3" w:rsidRPr="007A46F7" w:rsidRDefault="00EE2EE3" w:rsidP="00393A3C">
      <w:pPr>
        <w:pStyle w:val="Textoindependiente"/>
        <w:spacing w:after="0" w:line="240" w:lineRule="auto"/>
        <w:ind w:left="425" w:hanging="425"/>
        <w:jc w:val="both"/>
        <w:rPr>
          <w:rFonts w:ascii="Cambria" w:hAnsi="Cambria"/>
          <w:sz w:val="24"/>
          <w:szCs w:val="18"/>
        </w:rPr>
      </w:pPr>
    </w:p>
    <w:p w14:paraId="7837FBE9" w14:textId="77777777" w:rsidR="00EE2EE3" w:rsidRPr="007A46F7" w:rsidRDefault="00EE2EE3" w:rsidP="00393A3C">
      <w:pPr>
        <w:pStyle w:val="Textoindependiente"/>
        <w:spacing w:after="0" w:line="240" w:lineRule="auto"/>
        <w:ind w:left="425" w:hanging="425"/>
        <w:jc w:val="both"/>
        <w:rPr>
          <w:rFonts w:ascii="Cambria" w:hAnsi="Cambria"/>
          <w:sz w:val="24"/>
          <w:szCs w:val="18"/>
        </w:rPr>
      </w:pPr>
      <w:r w:rsidRPr="007A46F7">
        <w:rPr>
          <w:rFonts w:ascii="Cambria" w:hAnsi="Cambria"/>
          <w:b/>
          <w:sz w:val="24"/>
          <w:szCs w:val="18"/>
        </w:rPr>
        <w:t>10</w:t>
      </w:r>
      <w:r w:rsidRPr="007A46F7">
        <w:rPr>
          <w:rFonts w:ascii="Cambria" w:hAnsi="Cambria"/>
          <w:sz w:val="24"/>
          <w:szCs w:val="18"/>
        </w:rPr>
        <w:t>. En el caso de los seguros personales que ofrecen revalorización de capitales o rentas, para el cálculo de la provisión matemática se debe considerar un parámetro para proyectar la revalorización de dichos capitales o rentas, y por otro lado se debe utilizar la tasa de interés técnico para descontar flujos, por lo que se ha observado que restringir al 60% la tasa de interés técnico resulta en un incremento adicional de la provisión matemática, aspecto que se considera limita el desarrollo del mercado de seguros personales, por lo que se considera viable aumentar el porcentaje mencionado, hasta completar el 100%.</w:t>
      </w:r>
    </w:p>
    <w:p w14:paraId="7837FBEA" w14:textId="77777777" w:rsidR="00EE2EE3" w:rsidRPr="007A46F7" w:rsidRDefault="00EE2EE3" w:rsidP="00393A3C">
      <w:pPr>
        <w:pStyle w:val="Textoindependiente"/>
        <w:spacing w:after="0" w:line="240" w:lineRule="auto"/>
        <w:ind w:left="425" w:hanging="425"/>
        <w:jc w:val="both"/>
        <w:rPr>
          <w:rFonts w:ascii="Cambria" w:hAnsi="Cambria"/>
          <w:szCs w:val="18"/>
        </w:rPr>
      </w:pPr>
    </w:p>
    <w:p w14:paraId="7837FBEB" w14:textId="20B3587C" w:rsidR="00EE2EE3" w:rsidRPr="007A46F7" w:rsidRDefault="00EE2EE3" w:rsidP="00393A3C">
      <w:pPr>
        <w:pStyle w:val="Textoindependiente"/>
        <w:spacing w:after="0" w:line="240" w:lineRule="auto"/>
        <w:ind w:left="425" w:hanging="425"/>
        <w:jc w:val="both"/>
        <w:rPr>
          <w:rFonts w:ascii="Cambria" w:hAnsi="Cambria"/>
          <w:b/>
          <w:bCs/>
          <w:sz w:val="24"/>
          <w:szCs w:val="18"/>
        </w:rPr>
      </w:pPr>
      <w:r w:rsidRPr="007A46F7">
        <w:rPr>
          <w:rFonts w:ascii="Cambria" w:hAnsi="Cambria"/>
          <w:b/>
          <w:bCs/>
          <w:szCs w:val="18"/>
        </w:rPr>
        <w:t xml:space="preserve">11. </w:t>
      </w:r>
      <w:r w:rsidRPr="007A46F7">
        <w:rPr>
          <w:rFonts w:ascii="Cambria" w:hAnsi="Cambria"/>
          <w:bCs/>
          <w:sz w:val="24"/>
          <w:szCs w:val="18"/>
        </w:rPr>
        <w:t xml:space="preserve">Que mediante SGS-DES-O-0967-2015, del  11 de junio de 2015 se envió a consulta de las entidades de seguros la presente reforma del acuerdo SGS-DES-A-029-2013 y </w:t>
      </w:r>
      <w:r w:rsidR="00393A3C">
        <w:rPr>
          <w:rFonts w:ascii="Cambria" w:hAnsi="Cambria"/>
          <w:bCs/>
          <w:sz w:val="24"/>
          <w:szCs w:val="18"/>
        </w:rPr>
        <w:t xml:space="preserve">posteriormente, </w:t>
      </w:r>
      <w:r w:rsidRPr="007A46F7">
        <w:rPr>
          <w:rFonts w:ascii="Cambria" w:hAnsi="Cambria"/>
          <w:bCs/>
          <w:sz w:val="24"/>
          <w:szCs w:val="18"/>
        </w:rPr>
        <w:t>fueron recibidas y analizadas las observaciones y comentarios de las entidades supervisadas</w:t>
      </w:r>
      <w:r w:rsidR="00F45E0D">
        <w:rPr>
          <w:rFonts w:ascii="Cambria" w:hAnsi="Cambria"/>
          <w:bCs/>
          <w:sz w:val="24"/>
          <w:szCs w:val="18"/>
        </w:rPr>
        <w:t>,</w:t>
      </w:r>
      <w:r w:rsidRPr="007A46F7">
        <w:rPr>
          <w:rFonts w:ascii="Cambria" w:hAnsi="Cambria"/>
          <w:bCs/>
          <w:sz w:val="24"/>
          <w:szCs w:val="18"/>
        </w:rPr>
        <w:t xml:space="preserve"> e incorporados los cambios en la nueva versión si correspondía, por lo que procede la emisión en firme del acuerdo de modificación.</w:t>
      </w:r>
    </w:p>
    <w:p w14:paraId="7837FBEC" w14:textId="77777777" w:rsidR="00EE2EE3" w:rsidRPr="007A46F7" w:rsidRDefault="00EE2EE3" w:rsidP="00EE2EE3">
      <w:pPr>
        <w:pStyle w:val="Textoindependiente"/>
        <w:spacing w:after="0" w:line="240" w:lineRule="auto"/>
        <w:jc w:val="both"/>
        <w:rPr>
          <w:rFonts w:ascii="Cambria" w:hAnsi="Cambria"/>
          <w:b/>
          <w:bCs/>
          <w:sz w:val="24"/>
          <w:szCs w:val="18"/>
        </w:rPr>
      </w:pPr>
    </w:p>
    <w:p w14:paraId="7837FBED" w14:textId="77777777" w:rsidR="00EE2EE3" w:rsidRPr="007A46F7" w:rsidRDefault="00EE2EE3" w:rsidP="00F45E0D">
      <w:pPr>
        <w:pStyle w:val="Textoindependiente"/>
        <w:spacing w:after="0" w:line="240" w:lineRule="auto"/>
        <w:jc w:val="center"/>
        <w:rPr>
          <w:rFonts w:ascii="Cambria" w:hAnsi="Cambria"/>
          <w:b/>
          <w:bCs/>
          <w:sz w:val="24"/>
          <w:szCs w:val="18"/>
        </w:rPr>
      </w:pPr>
      <w:r w:rsidRPr="007A46F7">
        <w:rPr>
          <w:rFonts w:ascii="Cambria" w:hAnsi="Cambria"/>
          <w:b/>
          <w:bCs/>
          <w:sz w:val="24"/>
          <w:szCs w:val="18"/>
        </w:rPr>
        <w:t>Dispone:</w:t>
      </w:r>
    </w:p>
    <w:p w14:paraId="7837FBEE" w14:textId="77777777" w:rsidR="00EE2EE3" w:rsidRPr="007A46F7" w:rsidRDefault="00EE2EE3" w:rsidP="00EE2EE3">
      <w:pPr>
        <w:pStyle w:val="Textoindependiente"/>
        <w:spacing w:after="0" w:line="240" w:lineRule="auto"/>
        <w:jc w:val="both"/>
        <w:rPr>
          <w:rFonts w:ascii="Cambria" w:hAnsi="Cambria"/>
          <w:b/>
          <w:bCs/>
          <w:sz w:val="24"/>
          <w:szCs w:val="18"/>
        </w:rPr>
      </w:pPr>
    </w:p>
    <w:p w14:paraId="7837FBEF" w14:textId="77777777" w:rsidR="00EE2EE3" w:rsidRPr="007A46F7" w:rsidRDefault="00EE2EE3" w:rsidP="00EE2EE3">
      <w:pPr>
        <w:pStyle w:val="Textoindependiente"/>
        <w:spacing w:after="0" w:line="240" w:lineRule="auto"/>
        <w:jc w:val="both"/>
        <w:rPr>
          <w:rFonts w:ascii="Cambria" w:hAnsi="Cambria"/>
          <w:bCs/>
          <w:sz w:val="24"/>
          <w:szCs w:val="18"/>
          <w:lang w:val="es-ES_tradnl"/>
        </w:rPr>
      </w:pPr>
      <w:r w:rsidRPr="007A46F7">
        <w:rPr>
          <w:rFonts w:ascii="Cambria" w:hAnsi="Cambria"/>
          <w:b/>
          <w:bCs/>
          <w:sz w:val="24"/>
          <w:szCs w:val="18"/>
          <w:lang w:val="es-ES_tradnl"/>
        </w:rPr>
        <w:t>PRIMERO:</w:t>
      </w:r>
      <w:r w:rsidRPr="007A46F7">
        <w:rPr>
          <w:rFonts w:ascii="Cambria" w:hAnsi="Cambria"/>
          <w:bCs/>
          <w:sz w:val="24"/>
          <w:szCs w:val="18"/>
          <w:lang w:val="es-ES_tradnl"/>
        </w:rPr>
        <w:t xml:space="preserve"> Modificar el capítulo IV, Tasa de Interés Técnica,  de los </w:t>
      </w:r>
      <w:r w:rsidRPr="00F45E0D">
        <w:rPr>
          <w:rFonts w:ascii="Cambria" w:hAnsi="Cambria"/>
          <w:bCs/>
          <w:i/>
          <w:sz w:val="24"/>
          <w:szCs w:val="18"/>
          <w:lang w:val="es-ES_tradnl"/>
        </w:rPr>
        <w:t>Lineamientos Generales para la Aplicación del Reglamento sobre la Solvencia de Entidades de Seguros y Reaseguros</w:t>
      </w:r>
      <w:r w:rsidRPr="007A46F7">
        <w:rPr>
          <w:rFonts w:ascii="Cambria" w:hAnsi="Cambria"/>
          <w:bCs/>
          <w:sz w:val="24"/>
          <w:szCs w:val="18"/>
          <w:lang w:val="es-ES_tradnl"/>
        </w:rPr>
        <w:t>, emitidos mediante acuerdo de Superintendente Acuerdo SGS-DES-A-029-2013, de las catorce horas del diecisiete de setiembre de 2013, para que en adelante se lea de la siguiente forma:</w:t>
      </w:r>
    </w:p>
    <w:p w14:paraId="7837FBF0" w14:textId="77777777" w:rsidR="00EE2EE3" w:rsidRDefault="00EE2EE3" w:rsidP="00EE2EE3">
      <w:pPr>
        <w:pStyle w:val="Textoindependiente"/>
        <w:spacing w:after="0" w:line="240" w:lineRule="auto"/>
        <w:jc w:val="both"/>
        <w:rPr>
          <w:rFonts w:ascii="Cambria" w:hAnsi="Cambria"/>
          <w:bCs/>
          <w:sz w:val="24"/>
          <w:szCs w:val="18"/>
          <w:lang w:val="es-ES_tradnl"/>
        </w:rPr>
      </w:pPr>
    </w:p>
    <w:p w14:paraId="7837FBF1" w14:textId="77777777" w:rsidR="007A46F7" w:rsidRPr="007A46F7" w:rsidRDefault="007A46F7" w:rsidP="00EE2EE3">
      <w:pPr>
        <w:pStyle w:val="Textoindependiente"/>
        <w:spacing w:after="0" w:line="240" w:lineRule="auto"/>
        <w:jc w:val="both"/>
        <w:rPr>
          <w:rFonts w:ascii="Cambria" w:hAnsi="Cambria"/>
          <w:bCs/>
          <w:sz w:val="24"/>
          <w:szCs w:val="18"/>
          <w:lang w:val="es-ES_tradnl"/>
        </w:rPr>
      </w:pPr>
    </w:p>
    <w:p w14:paraId="7837FBF2" w14:textId="77777777" w:rsidR="00EE2EE3" w:rsidRPr="00F45E0D" w:rsidRDefault="00EE2EE3" w:rsidP="00F45E0D">
      <w:pPr>
        <w:spacing w:after="0" w:line="240" w:lineRule="auto"/>
        <w:jc w:val="center"/>
        <w:rPr>
          <w:rFonts w:ascii="Cambria" w:hAnsi="Cambria"/>
          <w:b/>
          <w:bCs/>
          <w:i/>
          <w:sz w:val="24"/>
          <w:szCs w:val="18"/>
          <w:lang w:val="es-ES_tradnl"/>
        </w:rPr>
      </w:pPr>
      <w:r w:rsidRPr="00F45E0D">
        <w:rPr>
          <w:rFonts w:ascii="Cambria" w:hAnsi="Cambria"/>
          <w:b/>
          <w:bCs/>
          <w:i/>
          <w:sz w:val="24"/>
          <w:szCs w:val="18"/>
          <w:lang w:val="es-ES_tradnl"/>
        </w:rPr>
        <w:t>“CAPÍTULO IV</w:t>
      </w:r>
    </w:p>
    <w:p w14:paraId="7837FBF3" w14:textId="77777777" w:rsidR="00EE2EE3" w:rsidRPr="00F45E0D" w:rsidRDefault="00EE2EE3" w:rsidP="00F45E0D">
      <w:pPr>
        <w:pStyle w:val="Textoindependiente"/>
        <w:spacing w:after="0" w:line="240" w:lineRule="auto"/>
        <w:jc w:val="center"/>
        <w:rPr>
          <w:rFonts w:ascii="Cambria" w:hAnsi="Cambria"/>
          <w:b/>
          <w:bCs/>
          <w:i/>
          <w:sz w:val="24"/>
          <w:szCs w:val="18"/>
          <w:lang w:val="es-ES_tradnl"/>
        </w:rPr>
      </w:pPr>
      <w:r w:rsidRPr="00F45E0D">
        <w:rPr>
          <w:rFonts w:ascii="Cambria" w:hAnsi="Cambria"/>
          <w:b/>
          <w:bCs/>
          <w:i/>
          <w:sz w:val="24"/>
          <w:szCs w:val="18"/>
          <w:lang w:val="es-ES_tradnl"/>
        </w:rPr>
        <w:t>Tasa de interés técnica</w:t>
      </w:r>
    </w:p>
    <w:p w14:paraId="1B5663D1" w14:textId="77777777" w:rsidR="00F45E0D" w:rsidRPr="00F45E0D" w:rsidRDefault="00F45E0D" w:rsidP="00F45E0D">
      <w:pPr>
        <w:pStyle w:val="Textoindependiente"/>
        <w:spacing w:after="0" w:line="240" w:lineRule="auto"/>
        <w:jc w:val="center"/>
        <w:rPr>
          <w:rFonts w:ascii="Cambria" w:hAnsi="Cambria"/>
          <w:b/>
          <w:bCs/>
          <w:i/>
          <w:sz w:val="24"/>
          <w:szCs w:val="18"/>
          <w:lang w:val="es-ES_tradnl"/>
        </w:rPr>
      </w:pPr>
    </w:p>
    <w:p w14:paraId="7837FBF4" w14:textId="77777777" w:rsidR="00EE2EE3" w:rsidRPr="00F45E0D" w:rsidRDefault="00EE2EE3" w:rsidP="00EE2EE3">
      <w:pPr>
        <w:spacing w:after="0" w:line="240" w:lineRule="auto"/>
        <w:jc w:val="both"/>
        <w:rPr>
          <w:rFonts w:ascii="Cambria" w:hAnsi="Cambria"/>
          <w:b/>
          <w:bCs/>
          <w:i/>
          <w:sz w:val="24"/>
          <w:szCs w:val="18"/>
        </w:rPr>
      </w:pPr>
      <w:r w:rsidRPr="00F45E0D">
        <w:rPr>
          <w:rFonts w:ascii="Cambria" w:hAnsi="Cambria"/>
          <w:b/>
          <w:bCs/>
          <w:i/>
          <w:sz w:val="24"/>
          <w:szCs w:val="18"/>
        </w:rPr>
        <w:t>Artículo 24: Tasa de interés técnica</w:t>
      </w:r>
    </w:p>
    <w:p w14:paraId="7837FBF5" w14:textId="77777777" w:rsidR="00EE2EE3" w:rsidRPr="00F45E0D" w:rsidRDefault="00EE2EE3" w:rsidP="00EE2EE3">
      <w:pPr>
        <w:pStyle w:val="Textoindependiente"/>
        <w:spacing w:after="0" w:line="240" w:lineRule="auto"/>
        <w:jc w:val="both"/>
        <w:rPr>
          <w:rFonts w:ascii="Cambria" w:hAnsi="Cambria"/>
          <w:bCs/>
          <w:i/>
          <w:sz w:val="24"/>
          <w:szCs w:val="18"/>
        </w:rPr>
      </w:pPr>
      <w:r w:rsidRPr="00F45E0D">
        <w:rPr>
          <w:rFonts w:ascii="Cambria" w:hAnsi="Cambria"/>
          <w:bCs/>
          <w:i/>
          <w:sz w:val="24"/>
          <w:szCs w:val="18"/>
        </w:rPr>
        <w:t>La tasa de interés técnica es el tipo de interés aplicable para el cálculo de la provisión matemática de los seguros personales, según lo establece el Anexo PT-3.</w:t>
      </w:r>
    </w:p>
    <w:p w14:paraId="7837FBF6" w14:textId="77777777" w:rsidR="00EE2EE3" w:rsidRPr="00F45E0D" w:rsidRDefault="00EE2EE3" w:rsidP="00EE2EE3">
      <w:pPr>
        <w:pStyle w:val="Textoindependiente"/>
        <w:spacing w:after="0" w:line="240" w:lineRule="auto"/>
        <w:jc w:val="both"/>
        <w:rPr>
          <w:rFonts w:ascii="Cambria" w:hAnsi="Cambria"/>
          <w:bCs/>
          <w:i/>
          <w:sz w:val="24"/>
          <w:szCs w:val="18"/>
        </w:rPr>
      </w:pPr>
    </w:p>
    <w:p w14:paraId="7837FBF7" w14:textId="77777777" w:rsidR="00EE2EE3" w:rsidRPr="00F45E0D" w:rsidRDefault="00EE2EE3" w:rsidP="00EE2EE3">
      <w:pPr>
        <w:pStyle w:val="Textoindependiente"/>
        <w:spacing w:after="0" w:line="240" w:lineRule="auto"/>
        <w:jc w:val="both"/>
        <w:rPr>
          <w:rFonts w:ascii="Cambria" w:hAnsi="Cambria"/>
          <w:bCs/>
          <w:i/>
          <w:sz w:val="24"/>
          <w:szCs w:val="18"/>
        </w:rPr>
      </w:pPr>
      <w:r w:rsidRPr="00F45E0D">
        <w:rPr>
          <w:rFonts w:ascii="Cambria" w:hAnsi="Cambria"/>
          <w:bCs/>
          <w:i/>
          <w:sz w:val="24"/>
          <w:szCs w:val="18"/>
        </w:rPr>
        <w:t>La tasa de interés técnica aplicable a los productos denominados en colones corresponde al 100% del promedio simple de los tipos de interés de los valores emitidos por el gobierno central de Costa Rica, en moneda nacional, para los plazos de más de 3 años a 7 años, observados durante los últimos 24 meses. De no haber observaciones de esta tasa durante los últimos 24 meses se deben utilizar las tasas del rango de más de un año a tres años.</w:t>
      </w:r>
    </w:p>
    <w:p w14:paraId="7837FBF8" w14:textId="77777777" w:rsidR="00EE2EE3" w:rsidRPr="00F45E0D" w:rsidRDefault="00EE2EE3" w:rsidP="00EE2EE3">
      <w:pPr>
        <w:pStyle w:val="Textoindependiente"/>
        <w:spacing w:after="0" w:line="240" w:lineRule="auto"/>
        <w:jc w:val="both"/>
        <w:rPr>
          <w:rFonts w:ascii="Cambria" w:hAnsi="Cambria"/>
          <w:bCs/>
          <w:i/>
          <w:sz w:val="24"/>
          <w:szCs w:val="18"/>
        </w:rPr>
      </w:pPr>
    </w:p>
    <w:p w14:paraId="7837FBF9" w14:textId="77777777" w:rsidR="00EE2EE3" w:rsidRPr="00F45E0D" w:rsidRDefault="00EE2EE3" w:rsidP="00EE2EE3">
      <w:pPr>
        <w:widowControl w:val="0"/>
        <w:spacing w:after="0" w:line="240" w:lineRule="auto"/>
        <w:jc w:val="both"/>
        <w:rPr>
          <w:rFonts w:ascii="Cambria" w:hAnsi="Cambria" w:cs="Calibri"/>
          <w:bCs/>
          <w:i/>
          <w:sz w:val="24"/>
          <w:szCs w:val="18"/>
          <w:lang w:val="es-CR"/>
        </w:rPr>
      </w:pPr>
      <w:r w:rsidRPr="00F45E0D">
        <w:rPr>
          <w:rFonts w:ascii="Cambria" w:hAnsi="Cambria" w:cs="Calibri"/>
          <w:bCs/>
          <w:i/>
          <w:sz w:val="24"/>
          <w:szCs w:val="18"/>
          <w:lang w:val="es-CR"/>
        </w:rPr>
        <w:lastRenderedPageBreak/>
        <w:t>La tasa de interés técnica aplicable a los productos denominados en moneda extranjera, corresponde al 100%  del rendimiento de un portafolio hipotético constituido por valores de deuda soberana con categoría de riesgo BBB o superior, de países latinoamericanos, emitidos en moneda extranjera.</w:t>
      </w:r>
    </w:p>
    <w:p w14:paraId="7837FBFA" w14:textId="77777777" w:rsidR="00EE2EE3" w:rsidRPr="007A46F7" w:rsidRDefault="00EE2EE3" w:rsidP="00EE2EE3">
      <w:pPr>
        <w:pStyle w:val="Textoindependiente"/>
        <w:spacing w:after="0" w:line="240" w:lineRule="auto"/>
        <w:jc w:val="both"/>
        <w:rPr>
          <w:rFonts w:ascii="Cambria" w:hAnsi="Cambria"/>
          <w:b/>
          <w:sz w:val="24"/>
          <w:szCs w:val="18"/>
          <w:lang w:val="es-CR"/>
        </w:rPr>
      </w:pPr>
    </w:p>
    <w:p w14:paraId="7837FBFB" w14:textId="77777777" w:rsidR="00EE2EE3" w:rsidRPr="00F45E0D" w:rsidRDefault="00EE2EE3" w:rsidP="00EE2EE3">
      <w:pPr>
        <w:pStyle w:val="Textoindependiente"/>
        <w:spacing w:after="0" w:line="240" w:lineRule="auto"/>
        <w:jc w:val="both"/>
        <w:rPr>
          <w:rFonts w:ascii="Cambria" w:hAnsi="Cambria" w:cs="Calibri"/>
          <w:bCs/>
          <w:i/>
          <w:sz w:val="24"/>
          <w:szCs w:val="18"/>
          <w:lang w:val="es-CR"/>
        </w:rPr>
      </w:pPr>
      <w:r w:rsidRPr="00F45E0D">
        <w:rPr>
          <w:rFonts w:ascii="Cambria" w:hAnsi="Cambria" w:cs="Calibri"/>
          <w:bCs/>
          <w:i/>
          <w:sz w:val="24"/>
          <w:szCs w:val="18"/>
          <w:lang w:val="es-CR"/>
        </w:rPr>
        <w:t>La tasa de interés técnica debe ser publicada por la Superintendencia con corte al 30 de marzo y al 30 de setiembre de cada año dentro de los 10 días siguientes a la fecha de corte. La tasa publicada deber ser utilizada para los siguientes 6 meses.</w:t>
      </w:r>
    </w:p>
    <w:p w14:paraId="7837FBFC" w14:textId="77777777" w:rsidR="00EE2EE3" w:rsidRPr="007A46F7" w:rsidRDefault="00EE2EE3" w:rsidP="00EE2EE3">
      <w:pPr>
        <w:pStyle w:val="Textoindependiente"/>
        <w:spacing w:after="0" w:line="240" w:lineRule="auto"/>
        <w:jc w:val="both"/>
        <w:rPr>
          <w:rFonts w:ascii="Cambria" w:hAnsi="Cambria"/>
          <w:b/>
          <w:sz w:val="24"/>
          <w:szCs w:val="18"/>
          <w:lang w:val="es-CR"/>
        </w:rPr>
      </w:pPr>
    </w:p>
    <w:p w14:paraId="7837FBFD" w14:textId="77777777" w:rsidR="00EE2EE3" w:rsidRPr="007A46F7" w:rsidRDefault="00EE2EE3" w:rsidP="00EE2EE3">
      <w:pPr>
        <w:pStyle w:val="Textoindependiente"/>
        <w:spacing w:after="0" w:line="240" w:lineRule="auto"/>
        <w:jc w:val="both"/>
        <w:rPr>
          <w:rFonts w:ascii="Cambria" w:hAnsi="Cambria"/>
          <w:sz w:val="24"/>
          <w:szCs w:val="18"/>
        </w:rPr>
      </w:pPr>
      <w:r w:rsidRPr="007A46F7">
        <w:rPr>
          <w:rFonts w:ascii="Cambria" w:hAnsi="Cambria"/>
          <w:b/>
          <w:sz w:val="24"/>
          <w:szCs w:val="18"/>
        </w:rPr>
        <w:t>SEGUNDO</w:t>
      </w:r>
      <w:r w:rsidRPr="007A46F7">
        <w:rPr>
          <w:rFonts w:ascii="Cambria" w:hAnsi="Cambria"/>
          <w:sz w:val="24"/>
          <w:szCs w:val="18"/>
        </w:rPr>
        <w:t>: Incluir en el Acuerdo SGS-DES-A-029-2013, Lineamientos Generales para la Aplicación del Reglamento sobre la Solvencia de Entidades de Seguros y Reaseguros, las siguientes disposiciones transitorias:</w:t>
      </w:r>
    </w:p>
    <w:p w14:paraId="7837FBFE" w14:textId="77777777" w:rsidR="00EE2EE3" w:rsidRPr="007A46F7" w:rsidRDefault="00EE2EE3" w:rsidP="00EE2EE3">
      <w:pPr>
        <w:pStyle w:val="Textoindependiente"/>
        <w:spacing w:after="0" w:line="240" w:lineRule="auto"/>
        <w:jc w:val="both"/>
        <w:rPr>
          <w:rFonts w:ascii="Cambria" w:hAnsi="Cambria"/>
          <w:b/>
          <w:sz w:val="24"/>
          <w:szCs w:val="18"/>
          <w:lang w:val="es-CR"/>
        </w:rPr>
      </w:pPr>
    </w:p>
    <w:p w14:paraId="7837FBFF" w14:textId="77777777" w:rsidR="00EE2EE3" w:rsidRPr="007A46F7" w:rsidRDefault="00EE2EE3" w:rsidP="00EE2EE3">
      <w:pPr>
        <w:pStyle w:val="Default"/>
        <w:rPr>
          <w:rFonts w:eastAsiaTheme="majorEastAsia" w:cstheme="majorBidi"/>
          <w:b/>
          <w:color w:val="auto"/>
          <w:szCs w:val="18"/>
          <w:lang w:eastAsia="es-ES"/>
        </w:rPr>
      </w:pPr>
      <w:r w:rsidRPr="007A46F7">
        <w:rPr>
          <w:rFonts w:eastAsiaTheme="majorEastAsia" w:cstheme="majorBidi"/>
          <w:b/>
          <w:color w:val="auto"/>
          <w:szCs w:val="18"/>
          <w:lang w:eastAsia="es-ES"/>
        </w:rPr>
        <w:t>“Transitorio  I</w:t>
      </w:r>
    </w:p>
    <w:p w14:paraId="7837FC00" w14:textId="77777777" w:rsidR="00EE2EE3" w:rsidRDefault="00EE2EE3" w:rsidP="00EE2EE3">
      <w:pPr>
        <w:pStyle w:val="Textoindependiente"/>
        <w:spacing w:after="0" w:line="240" w:lineRule="auto"/>
        <w:jc w:val="both"/>
        <w:rPr>
          <w:rFonts w:ascii="Cambria" w:eastAsiaTheme="majorEastAsia" w:hAnsi="Cambria" w:cstheme="majorBidi"/>
          <w:b/>
          <w:sz w:val="24"/>
          <w:szCs w:val="18"/>
          <w:lang w:eastAsia="es-ES"/>
        </w:rPr>
      </w:pPr>
      <w:r w:rsidRPr="007A46F7">
        <w:rPr>
          <w:rFonts w:ascii="Cambria" w:eastAsiaTheme="majorEastAsia" w:hAnsi="Cambria" w:cstheme="majorBidi"/>
          <w:sz w:val="24"/>
          <w:szCs w:val="18"/>
          <w:lang w:eastAsia="es-ES"/>
        </w:rPr>
        <w:t xml:space="preserve">Para llegar al porcentaje de 100% a aplicar a la tasa de interés técnica, según lo establecido en el artículo 24 de este acuerdo, se aplicará la siguiente </w:t>
      </w:r>
      <w:r w:rsidRPr="007A46F7">
        <w:rPr>
          <w:rFonts w:ascii="Cambria" w:eastAsiaTheme="majorEastAsia" w:hAnsi="Cambria" w:cstheme="majorBidi"/>
          <w:b/>
          <w:sz w:val="24"/>
          <w:szCs w:val="18"/>
          <w:lang w:eastAsia="es-ES"/>
        </w:rPr>
        <w:t>gradualidad</w:t>
      </w:r>
    </w:p>
    <w:p w14:paraId="7837FC01" w14:textId="77777777" w:rsidR="007A46F7" w:rsidRPr="007A46F7" w:rsidRDefault="007A46F7" w:rsidP="00EE2EE3">
      <w:pPr>
        <w:pStyle w:val="Textoindependiente"/>
        <w:spacing w:after="0" w:line="240" w:lineRule="auto"/>
        <w:jc w:val="both"/>
        <w:rPr>
          <w:rFonts w:ascii="Cambria" w:eastAsiaTheme="majorEastAsia" w:hAnsi="Cambria" w:cstheme="majorBidi"/>
          <w:b/>
          <w:sz w:val="24"/>
          <w:szCs w:val="18"/>
          <w:lang w:eastAsia="es-ES"/>
        </w:rPr>
      </w:pPr>
    </w:p>
    <w:tbl>
      <w:tblPr>
        <w:tblStyle w:val="Tablaconcuadrcula"/>
        <w:tblW w:w="5158" w:type="dxa"/>
        <w:jc w:val="center"/>
        <w:tblLayout w:type="fixed"/>
        <w:tblLook w:val="04A0" w:firstRow="1" w:lastRow="0" w:firstColumn="1" w:lastColumn="0" w:noHBand="0" w:noVBand="1"/>
      </w:tblPr>
      <w:tblGrid>
        <w:gridCol w:w="2830"/>
        <w:gridCol w:w="2328"/>
      </w:tblGrid>
      <w:tr w:rsidR="00EE2EE3" w:rsidRPr="007A46F7" w14:paraId="7837FC04" w14:textId="77777777" w:rsidTr="007A46F7">
        <w:trPr>
          <w:trHeight w:val="326"/>
          <w:jc w:val="center"/>
        </w:trPr>
        <w:tc>
          <w:tcPr>
            <w:tcW w:w="2830" w:type="dxa"/>
            <w:shd w:val="clear" w:color="auto" w:fill="D9D9D9" w:themeFill="background1" w:themeFillShade="D9"/>
            <w:vAlign w:val="center"/>
          </w:tcPr>
          <w:p w14:paraId="7837FC02" w14:textId="77777777" w:rsidR="00EE2EE3" w:rsidRPr="007A46F7" w:rsidRDefault="00EE2EE3" w:rsidP="007A46F7">
            <w:pPr>
              <w:pStyle w:val="Default"/>
              <w:rPr>
                <w:rFonts w:eastAsiaTheme="majorEastAsia" w:cstheme="majorBidi"/>
                <w:color w:val="auto"/>
                <w:szCs w:val="18"/>
                <w:lang w:eastAsia="es-ES"/>
              </w:rPr>
            </w:pPr>
            <w:r w:rsidRPr="007A46F7">
              <w:rPr>
                <w:rFonts w:eastAsiaTheme="majorEastAsia" w:cstheme="majorBidi"/>
                <w:color w:val="auto"/>
                <w:szCs w:val="18"/>
                <w:lang w:eastAsia="es-ES"/>
              </w:rPr>
              <w:t>Fecha</w:t>
            </w:r>
          </w:p>
        </w:tc>
        <w:tc>
          <w:tcPr>
            <w:tcW w:w="2328" w:type="dxa"/>
            <w:shd w:val="clear" w:color="auto" w:fill="D9D9D9" w:themeFill="background1" w:themeFillShade="D9"/>
            <w:vAlign w:val="center"/>
          </w:tcPr>
          <w:p w14:paraId="7837FC03" w14:textId="77777777" w:rsidR="00EE2EE3" w:rsidRPr="007A46F7" w:rsidRDefault="00EE2EE3" w:rsidP="0044700F">
            <w:pPr>
              <w:pStyle w:val="Default"/>
              <w:jc w:val="center"/>
              <w:rPr>
                <w:rFonts w:eastAsiaTheme="majorEastAsia" w:cstheme="majorBidi"/>
                <w:color w:val="auto"/>
                <w:szCs w:val="18"/>
                <w:lang w:eastAsia="es-ES"/>
              </w:rPr>
            </w:pPr>
            <w:r w:rsidRPr="007A46F7">
              <w:rPr>
                <w:rFonts w:eastAsiaTheme="majorEastAsia" w:cstheme="majorBidi"/>
                <w:color w:val="auto"/>
                <w:szCs w:val="18"/>
                <w:lang w:eastAsia="es-ES"/>
              </w:rPr>
              <w:t>Porcentaje a aplicar</w:t>
            </w:r>
          </w:p>
        </w:tc>
      </w:tr>
      <w:tr w:rsidR="00EE2EE3" w:rsidRPr="007A46F7" w14:paraId="7837FC07" w14:textId="77777777" w:rsidTr="007A46F7">
        <w:trPr>
          <w:trHeight w:val="543"/>
          <w:jc w:val="center"/>
        </w:trPr>
        <w:tc>
          <w:tcPr>
            <w:tcW w:w="2830" w:type="dxa"/>
          </w:tcPr>
          <w:p w14:paraId="7837FC05" w14:textId="77777777" w:rsidR="00EE2EE3" w:rsidRPr="007A46F7" w:rsidRDefault="00EE2EE3" w:rsidP="0044700F">
            <w:pPr>
              <w:pStyle w:val="Default"/>
              <w:jc w:val="both"/>
              <w:rPr>
                <w:rFonts w:eastAsiaTheme="majorEastAsia" w:cstheme="majorBidi"/>
                <w:color w:val="auto"/>
                <w:szCs w:val="18"/>
                <w:lang w:eastAsia="es-ES"/>
              </w:rPr>
            </w:pPr>
            <w:r w:rsidRPr="007A46F7">
              <w:rPr>
                <w:rFonts w:eastAsiaTheme="majorEastAsia" w:cstheme="majorBidi"/>
                <w:color w:val="auto"/>
                <w:szCs w:val="18"/>
                <w:lang w:eastAsia="es-ES"/>
              </w:rPr>
              <w:t>A partir del 01 de setiembre de 2015</w:t>
            </w:r>
          </w:p>
        </w:tc>
        <w:tc>
          <w:tcPr>
            <w:tcW w:w="2328" w:type="dxa"/>
          </w:tcPr>
          <w:p w14:paraId="7837FC06" w14:textId="77777777" w:rsidR="00EE2EE3" w:rsidRPr="007A46F7" w:rsidRDefault="00EE2EE3" w:rsidP="0044700F">
            <w:pPr>
              <w:pStyle w:val="Default"/>
              <w:jc w:val="center"/>
              <w:rPr>
                <w:rFonts w:eastAsiaTheme="majorEastAsia" w:cstheme="majorBidi"/>
                <w:color w:val="auto"/>
                <w:szCs w:val="18"/>
                <w:lang w:eastAsia="es-ES"/>
              </w:rPr>
            </w:pPr>
            <w:r w:rsidRPr="007A46F7">
              <w:rPr>
                <w:rFonts w:eastAsiaTheme="majorEastAsia" w:cstheme="majorBidi"/>
                <w:color w:val="auto"/>
                <w:szCs w:val="18"/>
                <w:lang w:eastAsia="es-ES"/>
              </w:rPr>
              <w:t>70%</w:t>
            </w:r>
          </w:p>
        </w:tc>
      </w:tr>
      <w:tr w:rsidR="00EE2EE3" w:rsidRPr="007A46F7" w14:paraId="7837FC0A" w14:textId="77777777" w:rsidTr="007A46F7">
        <w:trPr>
          <w:trHeight w:val="279"/>
          <w:jc w:val="center"/>
        </w:trPr>
        <w:tc>
          <w:tcPr>
            <w:tcW w:w="2830" w:type="dxa"/>
          </w:tcPr>
          <w:p w14:paraId="7837FC08" w14:textId="77777777" w:rsidR="00EE2EE3" w:rsidRPr="007A46F7" w:rsidRDefault="00EE2EE3" w:rsidP="0044700F">
            <w:pPr>
              <w:pStyle w:val="Default"/>
              <w:jc w:val="both"/>
              <w:rPr>
                <w:rFonts w:eastAsiaTheme="majorEastAsia" w:cstheme="majorBidi"/>
                <w:color w:val="auto"/>
                <w:szCs w:val="18"/>
                <w:lang w:eastAsia="es-ES"/>
              </w:rPr>
            </w:pPr>
            <w:r w:rsidRPr="007A46F7">
              <w:rPr>
                <w:rFonts w:eastAsiaTheme="majorEastAsia" w:cstheme="majorBidi"/>
                <w:color w:val="auto"/>
                <w:szCs w:val="18"/>
                <w:lang w:eastAsia="es-ES"/>
              </w:rPr>
              <w:t>1 de julio de 2016</w:t>
            </w:r>
          </w:p>
        </w:tc>
        <w:tc>
          <w:tcPr>
            <w:tcW w:w="2328" w:type="dxa"/>
          </w:tcPr>
          <w:p w14:paraId="7837FC09" w14:textId="77777777" w:rsidR="00EE2EE3" w:rsidRPr="007A46F7" w:rsidRDefault="00EE2EE3" w:rsidP="0044700F">
            <w:pPr>
              <w:pStyle w:val="Default"/>
              <w:jc w:val="center"/>
              <w:rPr>
                <w:rFonts w:eastAsiaTheme="majorEastAsia" w:cstheme="majorBidi"/>
                <w:color w:val="auto"/>
                <w:szCs w:val="18"/>
                <w:lang w:eastAsia="es-ES"/>
              </w:rPr>
            </w:pPr>
            <w:r w:rsidRPr="007A46F7">
              <w:rPr>
                <w:rFonts w:eastAsiaTheme="majorEastAsia" w:cstheme="majorBidi"/>
                <w:color w:val="auto"/>
                <w:szCs w:val="18"/>
                <w:lang w:eastAsia="es-ES"/>
              </w:rPr>
              <w:t>80%</w:t>
            </w:r>
          </w:p>
        </w:tc>
      </w:tr>
      <w:tr w:rsidR="00EE2EE3" w:rsidRPr="007A46F7" w14:paraId="7837FC0D" w14:textId="77777777" w:rsidTr="007A46F7">
        <w:trPr>
          <w:trHeight w:val="264"/>
          <w:jc w:val="center"/>
        </w:trPr>
        <w:tc>
          <w:tcPr>
            <w:tcW w:w="2830" w:type="dxa"/>
          </w:tcPr>
          <w:p w14:paraId="7837FC0B" w14:textId="77777777" w:rsidR="00EE2EE3" w:rsidRPr="007A46F7" w:rsidRDefault="00EE2EE3" w:rsidP="0044700F">
            <w:pPr>
              <w:pStyle w:val="Default"/>
              <w:jc w:val="both"/>
              <w:rPr>
                <w:rFonts w:eastAsiaTheme="majorEastAsia" w:cstheme="majorBidi"/>
                <w:color w:val="auto"/>
                <w:szCs w:val="18"/>
                <w:lang w:eastAsia="es-ES"/>
              </w:rPr>
            </w:pPr>
            <w:r w:rsidRPr="007A46F7">
              <w:rPr>
                <w:rFonts w:eastAsiaTheme="majorEastAsia" w:cstheme="majorBidi"/>
                <w:color w:val="auto"/>
                <w:szCs w:val="18"/>
                <w:lang w:eastAsia="es-ES"/>
              </w:rPr>
              <w:t>1 de julio de 2017</w:t>
            </w:r>
          </w:p>
        </w:tc>
        <w:tc>
          <w:tcPr>
            <w:tcW w:w="2328" w:type="dxa"/>
          </w:tcPr>
          <w:p w14:paraId="7837FC0C" w14:textId="77777777" w:rsidR="00EE2EE3" w:rsidRPr="007A46F7" w:rsidRDefault="00EE2EE3" w:rsidP="0044700F">
            <w:pPr>
              <w:pStyle w:val="Default"/>
              <w:jc w:val="center"/>
              <w:rPr>
                <w:rFonts w:eastAsiaTheme="majorEastAsia" w:cstheme="majorBidi"/>
                <w:color w:val="auto"/>
                <w:szCs w:val="18"/>
                <w:lang w:eastAsia="es-ES"/>
              </w:rPr>
            </w:pPr>
            <w:r w:rsidRPr="007A46F7">
              <w:rPr>
                <w:rFonts w:eastAsiaTheme="majorEastAsia" w:cstheme="majorBidi"/>
                <w:color w:val="auto"/>
                <w:szCs w:val="18"/>
                <w:lang w:eastAsia="es-ES"/>
              </w:rPr>
              <w:t>90%</w:t>
            </w:r>
          </w:p>
        </w:tc>
      </w:tr>
      <w:tr w:rsidR="00EE2EE3" w:rsidRPr="007A46F7" w14:paraId="7837FC10" w14:textId="77777777" w:rsidTr="007A46F7">
        <w:trPr>
          <w:trHeight w:val="264"/>
          <w:jc w:val="center"/>
        </w:trPr>
        <w:tc>
          <w:tcPr>
            <w:tcW w:w="2830" w:type="dxa"/>
          </w:tcPr>
          <w:p w14:paraId="7837FC0E" w14:textId="77777777" w:rsidR="00EE2EE3" w:rsidRPr="007A46F7" w:rsidRDefault="00EE2EE3" w:rsidP="0044700F">
            <w:pPr>
              <w:pStyle w:val="Default"/>
              <w:jc w:val="both"/>
              <w:rPr>
                <w:rFonts w:eastAsiaTheme="majorEastAsia" w:cstheme="majorBidi"/>
                <w:color w:val="auto"/>
                <w:szCs w:val="18"/>
                <w:lang w:eastAsia="es-ES"/>
              </w:rPr>
            </w:pPr>
            <w:r w:rsidRPr="007A46F7">
              <w:rPr>
                <w:rFonts w:eastAsiaTheme="majorEastAsia" w:cstheme="majorBidi"/>
                <w:color w:val="auto"/>
                <w:szCs w:val="18"/>
                <w:lang w:eastAsia="es-ES"/>
              </w:rPr>
              <w:t>1 de julio de 2018</w:t>
            </w:r>
          </w:p>
        </w:tc>
        <w:tc>
          <w:tcPr>
            <w:tcW w:w="2328" w:type="dxa"/>
          </w:tcPr>
          <w:p w14:paraId="7837FC0F" w14:textId="77777777" w:rsidR="00EE2EE3" w:rsidRPr="007A46F7" w:rsidRDefault="00EE2EE3" w:rsidP="0044700F">
            <w:pPr>
              <w:pStyle w:val="Default"/>
              <w:jc w:val="center"/>
              <w:rPr>
                <w:rFonts w:eastAsiaTheme="majorEastAsia" w:cstheme="majorBidi"/>
                <w:color w:val="auto"/>
                <w:szCs w:val="18"/>
                <w:lang w:eastAsia="es-ES"/>
              </w:rPr>
            </w:pPr>
            <w:r w:rsidRPr="007A46F7">
              <w:rPr>
                <w:rFonts w:eastAsiaTheme="majorEastAsia" w:cstheme="majorBidi"/>
                <w:color w:val="auto"/>
                <w:szCs w:val="18"/>
                <w:lang w:eastAsia="es-ES"/>
              </w:rPr>
              <w:t>100%</w:t>
            </w:r>
          </w:p>
        </w:tc>
      </w:tr>
    </w:tbl>
    <w:p w14:paraId="7837FC11" w14:textId="77777777" w:rsidR="00EE2EE3" w:rsidRPr="007A46F7" w:rsidRDefault="00EE2EE3" w:rsidP="00EE2EE3">
      <w:pPr>
        <w:pStyle w:val="Textoindependiente"/>
        <w:spacing w:after="0" w:line="240" w:lineRule="auto"/>
        <w:jc w:val="both"/>
        <w:rPr>
          <w:rFonts w:ascii="Cambria" w:hAnsi="Cambria"/>
          <w:b/>
          <w:sz w:val="24"/>
          <w:szCs w:val="18"/>
          <w:lang w:val="es-CR"/>
        </w:rPr>
      </w:pPr>
    </w:p>
    <w:p w14:paraId="79AD3F6F" w14:textId="77777777" w:rsidR="007F7B17" w:rsidRDefault="007F7B17" w:rsidP="00EE2EE3">
      <w:pPr>
        <w:widowControl w:val="0"/>
        <w:spacing w:after="0" w:line="240" w:lineRule="auto"/>
        <w:jc w:val="both"/>
        <w:rPr>
          <w:rFonts w:ascii="Cambria" w:hAnsi="Cambria"/>
          <w:b/>
          <w:bCs/>
          <w:sz w:val="24"/>
          <w:szCs w:val="18"/>
        </w:rPr>
      </w:pPr>
    </w:p>
    <w:p w14:paraId="19CF2FFB" w14:textId="67351ACB" w:rsidR="007F7B17" w:rsidRPr="00B04AC1" w:rsidRDefault="007F7B17" w:rsidP="007F7B17">
      <w:pPr>
        <w:spacing w:after="0" w:line="240" w:lineRule="auto"/>
        <w:jc w:val="both"/>
        <w:rPr>
          <w:rFonts w:ascii="Cambria" w:hAnsi="Cambria"/>
          <w:b/>
          <w:sz w:val="24"/>
          <w:szCs w:val="18"/>
        </w:rPr>
      </w:pPr>
      <w:r w:rsidRPr="00B04AC1">
        <w:rPr>
          <w:rFonts w:ascii="Cambria" w:hAnsi="Cambria"/>
          <w:b/>
          <w:sz w:val="24"/>
          <w:szCs w:val="18"/>
        </w:rPr>
        <w:t>Transitorio II</w:t>
      </w:r>
    </w:p>
    <w:p w14:paraId="4910851B" w14:textId="212AF2D8" w:rsidR="007F7B17" w:rsidRDefault="007F7B17" w:rsidP="00EE2EE3">
      <w:pPr>
        <w:widowControl w:val="0"/>
        <w:spacing w:after="0" w:line="240" w:lineRule="auto"/>
        <w:jc w:val="both"/>
        <w:rPr>
          <w:rFonts w:ascii="Cambria" w:hAnsi="Cambria"/>
          <w:b/>
          <w:bCs/>
          <w:sz w:val="24"/>
          <w:szCs w:val="18"/>
        </w:rPr>
      </w:pPr>
      <w:r w:rsidRPr="00B04AC1">
        <w:rPr>
          <w:rFonts w:ascii="Cambria" w:hAnsi="Cambria"/>
          <w:sz w:val="24"/>
          <w:szCs w:val="18"/>
        </w:rPr>
        <w:t>El cálculo de la provisión matemática a partir de diciembre de 2015 y hasta marzo del 2016 inclusive, se hará con la tasa regulatoria calculada según la metodología descrita en este acuerdo,  utilizando la información disponible a noviembre de 2015.  Por lo tanto, la  tasa regulatoria que aplicará en ese periodo es de un 6,10%.</w:t>
      </w:r>
    </w:p>
    <w:p w14:paraId="7B51D661" w14:textId="77777777" w:rsidR="007F7B17" w:rsidRDefault="007F7B17" w:rsidP="00EE2EE3">
      <w:pPr>
        <w:widowControl w:val="0"/>
        <w:spacing w:after="0" w:line="240" w:lineRule="auto"/>
        <w:jc w:val="both"/>
        <w:rPr>
          <w:rFonts w:ascii="Cambria" w:hAnsi="Cambria"/>
          <w:b/>
          <w:bCs/>
          <w:sz w:val="24"/>
          <w:szCs w:val="18"/>
        </w:rPr>
      </w:pPr>
    </w:p>
    <w:p w14:paraId="7837FC12" w14:textId="06676EC1" w:rsidR="00EE2EE3" w:rsidRPr="007A46F7" w:rsidRDefault="00EE2EE3" w:rsidP="00EE2EE3">
      <w:pPr>
        <w:widowControl w:val="0"/>
        <w:spacing w:after="0" w:line="240" w:lineRule="auto"/>
        <w:jc w:val="both"/>
        <w:rPr>
          <w:rFonts w:ascii="Cambria" w:hAnsi="Cambria"/>
          <w:b/>
          <w:bCs/>
          <w:sz w:val="24"/>
          <w:szCs w:val="18"/>
        </w:rPr>
      </w:pPr>
      <w:r w:rsidRPr="007A46F7">
        <w:rPr>
          <w:rFonts w:ascii="Cambria" w:hAnsi="Cambria"/>
          <w:b/>
          <w:bCs/>
          <w:sz w:val="24"/>
          <w:szCs w:val="18"/>
        </w:rPr>
        <w:t>Transitorio  II</w:t>
      </w:r>
      <w:r w:rsidR="007F7B17">
        <w:rPr>
          <w:rFonts w:ascii="Cambria" w:hAnsi="Cambria"/>
          <w:b/>
          <w:bCs/>
          <w:sz w:val="24"/>
          <w:szCs w:val="18"/>
        </w:rPr>
        <w:t>I</w:t>
      </w:r>
    </w:p>
    <w:p w14:paraId="7837FC13" w14:textId="3A5CA4BD" w:rsidR="00EE2EE3" w:rsidRPr="007A46F7" w:rsidRDefault="00EE2EE3" w:rsidP="00EE2EE3">
      <w:pPr>
        <w:pStyle w:val="Textoindependiente"/>
        <w:spacing w:after="0" w:line="240" w:lineRule="auto"/>
        <w:jc w:val="both"/>
        <w:rPr>
          <w:rFonts w:ascii="Cambria" w:hAnsi="Cambria"/>
          <w:bCs/>
          <w:sz w:val="24"/>
          <w:szCs w:val="18"/>
        </w:rPr>
      </w:pPr>
      <w:r w:rsidRPr="007A46F7">
        <w:rPr>
          <w:rFonts w:ascii="Cambria" w:hAnsi="Cambria"/>
          <w:bCs/>
          <w:sz w:val="24"/>
          <w:szCs w:val="18"/>
        </w:rPr>
        <w:t>Durante los dos meses posteriores a la comunicación de este acuerdo,  las aseguradoras, en caso de que así lo requieran, podrán presentar a la Superintendencia un plan para implementar el ajuste en las provisiones técnicas debido al cambio en la tasa regulatoria.</w:t>
      </w:r>
      <w:r w:rsidR="007F7B17">
        <w:rPr>
          <w:rFonts w:ascii="Cambria" w:hAnsi="Cambria"/>
          <w:bCs/>
          <w:sz w:val="24"/>
          <w:szCs w:val="18"/>
        </w:rPr>
        <w:t>”</w:t>
      </w:r>
    </w:p>
    <w:p w14:paraId="7837FC14" w14:textId="77777777" w:rsidR="00EE2EE3" w:rsidRPr="007A46F7" w:rsidRDefault="00EE2EE3" w:rsidP="00EE2EE3">
      <w:pPr>
        <w:pStyle w:val="Textoindependiente"/>
        <w:spacing w:after="0" w:line="240" w:lineRule="auto"/>
        <w:jc w:val="both"/>
        <w:rPr>
          <w:rFonts w:ascii="Cambria" w:hAnsi="Cambria"/>
          <w:bCs/>
          <w:sz w:val="24"/>
          <w:szCs w:val="18"/>
        </w:rPr>
      </w:pPr>
    </w:p>
    <w:p w14:paraId="7837FC15" w14:textId="47B5FFDD" w:rsidR="00EE2EE3" w:rsidRPr="007A46F7" w:rsidRDefault="00EE2EE3" w:rsidP="00EE2EE3">
      <w:pPr>
        <w:pStyle w:val="Textoindependiente"/>
        <w:spacing w:after="0" w:line="240" w:lineRule="auto"/>
        <w:jc w:val="both"/>
        <w:rPr>
          <w:rFonts w:ascii="Cambria" w:hAnsi="Cambria"/>
          <w:sz w:val="24"/>
          <w:szCs w:val="18"/>
        </w:rPr>
      </w:pPr>
      <w:r w:rsidRPr="007A46F7">
        <w:rPr>
          <w:rFonts w:ascii="Cambria" w:hAnsi="Cambria"/>
          <w:sz w:val="24"/>
          <w:szCs w:val="18"/>
        </w:rPr>
        <w:lastRenderedPageBreak/>
        <w:t>Con la finalidad de justificar la necesidad de dicho plan de ajuste, éste deberá contener un estudio de impacto en el cual se estime y analice la variación en las provisiones técnicas originada en  el cambio de  la tasa. El plazo total de ejecución del plan de acción no podrá superar los seis meses desde la entrada en vigor del cambio en la tasa. Una vez aprobado por la Superintendencia, el plan será de acatamien</w:t>
      </w:r>
      <w:r w:rsidR="0064405F">
        <w:rPr>
          <w:rFonts w:ascii="Cambria" w:hAnsi="Cambria"/>
          <w:sz w:val="24"/>
          <w:szCs w:val="18"/>
        </w:rPr>
        <w:t>to obligatorio para la entidad.</w:t>
      </w:r>
    </w:p>
    <w:p w14:paraId="7837FC19" w14:textId="77777777" w:rsidR="00EE2EE3" w:rsidRPr="007A46F7" w:rsidRDefault="00EE2EE3" w:rsidP="00EE2EE3">
      <w:pPr>
        <w:spacing w:after="0" w:line="240" w:lineRule="auto"/>
        <w:jc w:val="both"/>
        <w:rPr>
          <w:rFonts w:ascii="Cambria" w:hAnsi="Cambria"/>
          <w:b/>
          <w:sz w:val="24"/>
          <w:szCs w:val="18"/>
        </w:rPr>
      </w:pPr>
    </w:p>
    <w:p w14:paraId="7837FC1A" w14:textId="77777777" w:rsidR="00EE2EE3" w:rsidRPr="007A46F7" w:rsidRDefault="00EE2EE3" w:rsidP="00EE2EE3">
      <w:pPr>
        <w:spacing w:after="0" w:line="240" w:lineRule="auto"/>
        <w:jc w:val="both"/>
        <w:rPr>
          <w:rFonts w:ascii="Cambria" w:hAnsi="Cambria"/>
          <w:bCs/>
          <w:sz w:val="24"/>
          <w:szCs w:val="18"/>
          <w:lang w:val="es-CR"/>
        </w:rPr>
      </w:pPr>
      <w:r w:rsidRPr="007A46F7">
        <w:rPr>
          <w:rFonts w:ascii="Cambria" w:hAnsi="Cambria"/>
          <w:b/>
          <w:bCs/>
          <w:sz w:val="24"/>
          <w:szCs w:val="18"/>
          <w:lang w:val="es-CR"/>
        </w:rPr>
        <w:t>TERCERO:</w:t>
      </w:r>
      <w:r w:rsidRPr="007A46F7">
        <w:rPr>
          <w:rFonts w:ascii="Cambria" w:hAnsi="Cambria"/>
          <w:bCs/>
          <w:sz w:val="24"/>
          <w:szCs w:val="18"/>
          <w:lang w:val="es-CR"/>
        </w:rPr>
        <w:t xml:space="preserve"> Actualizar la versión publicada del Acuerdo de Superintendente  SGS-DES-A-029-2013 para incluir las modificaciones señaladas en este acuerdo.</w:t>
      </w:r>
    </w:p>
    <w:p w14:paraId="0E4D617B" w14:textId="77777777" w:rsidR="0064405F" w:rsidRDefault="0064405F" w:rsidP="00EE2EE3">
      <w:pPr>
        <w:spacing w:after="0" w:line="240" w:lineRule="auto"/>
        <w:jc w:val="both"/>
        <w:rPr>
          <w:rFonts w:ascii="Cambria" w:hAnsi="Cambria"/>
          <w:bCs/>
          <w:sz w:val="24"/>
          <w:szCs w:val="18"/>
        </w:rPr>
      </w:pPr>
    </w:p>
    <w:p w14:paraId="7837FC1B" w14:textId="77777777" w:rsidR="00EE2EE3" w:rsidRPr="0064405F" w:rsidRDefault="00EE2EE3" w:rsidP="00EE2EE3">
      <w:pPr>
        <w:spacing w:after="0" w:line="240" w:lineRule="auto"/>
        <w:jc w:val="both"/>
        <w:rPr>
          <w:rFonts w:ascii="Cambria" w:hAnsi="Cambria"/>
          <w:sz w:val="24"/>
          <w:szCs w:val="18"/>
        </w:rPr>
      </w:pPr>
      <w:r w:rsidRPr="0064405F">
        <w:rPr>
          <w:rFonts w:ascii="Cambria" w:hAnsi="Cambria"/>
          <w:bCs/>
          <w:sz w:val="24"/>
          <w:szCs w:val="18"/>
        </w:rPr>
        <w:t>Rige a partir de su notificación.</w:t>
      </w:r>
    </w:p>
    <w:p w14:paraId="7837FC1C" w14:textId="77777777" w:rsidR="00EE2EE3" w:rsidRDefault="00EE2EE3" w:rsidP="00EE2EE3">
      <w:pPr>
        <w:pStyle w:val="Textoindependiente"/>
        <w:spacing w:after="0" w:line="240" w:lineRule="auto"/>
        <w:jc w:val="both"/>
        <w:rPr>
          <w:rFonts w:ascii="Cambria" w:hAnsi="Cambria"/>
          <w:b/>
          <w:szCs w:val="18"/>
        </w:rPr>
      </w:pPr>
    </w:p>
    <w:p w14:paraId="715881F0" w14:textId="5EAE789B" w:rsidR="00B04AC1" w:rsidRPr="007A46F7" w:rsidRDefault="00B04AC1" w:rsidP="00EE2EE3">
      <w:pPr>
        <w:pStyle w:val="Textoindependiente"/>
        <w:spacing w:after="0" w:line="240" w:lineRule="auto"/>
        <w:jc w:val="both"/>
        <w:rPr>
          <w:rFonts w:ascii="Cambria" w:hAnsi="Cambria"/>
          <w:b/>
          <w:szCs w:val="18"/>
        </w:rPr>
      </w:pPr>
      <w:r>
        <w:rPr>
          <w:noProof/>
          <w:lang w:val="es-CR" w:eastAsia="es-CR"/>
        </w:rPr>
        <w:drawing>
          <wp:inline distT="0" distB="0" distL="0" distR="0" wp14:anchorId="6655AB19" wp14:editId="7F91C149">
            <wp:extent cx="2658108" cy="547998"/>
            <wp:effectExtent l="0" t="0" r="0" b="5080"/>
            <wp:docPr id="1" name="0 Imagen"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0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8108" cy="547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sectPr w:rsidR="00B04AC1" w:rsidRPr="007A46F7" w:rsidSect="00393A3C">
      <w:headerReference w:type="default" r:id="rId10"/>
      <w:footerReference w:type="default" r:id="rId11"/>
      <w:headerReference w:type="firs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60A71" w14:textId="77777777" w:rsidR="00EB07A6" w:rsidRDefault="00EB07A6" w:rsidP="00AC4A95">
      <w:pPr>
        <w:spacing w:after="0" w:line="240" w:lineRule="auto"/>
      </w:pPr>
      <w:r>
        <w:separator/>
      </w:r>
    </w:p>
  </w:endnote>
  <w:endnote w:type="continuationSeparator" w:id="0">
    <w:p w14:paraId="478DF9E7" w14:textId="77777777" w:rsidR="00EB07A6" w:rsidRDefault="00EB07A6" w:rsidP="00AC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2A025" w14:textId="77777777" w:rsidR="00AC4A95" w:rsidRDefault="00AC4A95" w:rsidP="00AC4A95">
    <w:pPr>
      <w:pStyle w:val="Piedepgina"/>
      <w:pBdr>
        <w:top w:val="single" w:sz="4" w:space="1" w:color="auto"/>
      </w:pBdr>
      <w:rPr>
        <w:sz w:val="16"/>
        <w:szCs w:val="16"/>
      </w:rPr>
    </w:pPr>
  </w:p>
  <w:p w14:paraId="5326861B" w14:textId="77777777" w:rsidR="00AC4A95" w:rsidRDefault="00AC4A95" w:rsidP="00AC4A95">
    <w:pPr>
      <w:pStyle w:val="Piedepgina"/>
      <w:tabs>
        <w:tab w:val="clear" w:pos="8838"/>
      </w:tabs>
      <w:jc w:val="right"/>
      <w:rPr>
        <w:rFonts w:ascii="Baskerville Old Face" w:hAnsi="Baskerville Old Face"/>
        <w:sz w:val="18"/>
        <w:szCs w:val="18"/>
      </w:rPr>
    </w:pPr>
    <w:r w:rsidRPr="00121F8C">
      <w:rPr>
        <w:rFonts w:ascii="Baskerville Old Face" w:hAnsi="Baskerville Old Face"/>
        <w:sz w:val="18"/>
        <w:szCs w:val="18"/>
      </w:rPr>
      <w:t>Teléfonos: 2243-5108</w:t>
    </w:r>
    <w:r>
      <w:rPr>
        <w:rFonts w:ascii="Baskerville Old Face" w:hAnsi="Baskerville Old Face"/>
        <w:sz w:val="18"/>
        <w:szCs w:val="18"/>
      </w:rPr>
      <w:t xml:space="preserve">, </w:t>
    </w:r>
    <w:r w:rsidRPr="00121F8C">
      <w:rPr>
        <w:rFonts w:ascii="Baskerville Old Face" w:hAnsi="Baskerville Old Face"/>
        <w:sz w:val="18"/>
        <w:szCs w:val="18"/>
      </w:rPr>
      <w:t>2243-5103  •  Fax: 2243-5151</w:t>
    </w:r>
  </w:p>
  <w:p w14:paraId="07F38B69" w14:textId="77777777" w:rsidR="00AC4A95" w:rsidRDefault="00AC4A95" w:rsidP="00AC4A95">
    <w:pPr>
      <w:pStyle w:val="Piedepgina"/>
      <w:tabs>
        <w:tab w:val="clear" w:pos="8838"/>
      </w:tabs>
      <w:jc w:val="right"/>
      <w:rPr>
        <w:rFonts w:ascii="Baskerville Old Face" w:hAnsi="Baskerville Old Face"/>
        <w:sz w:val="18"/>
        <w:szCs w:val="18"/>
      </w:rPr>
    </w:pPr>
    <w:r w:rsidRPr="00121F8C">
      <w:rPr>
        <w:rFonts w:ascii="Baskerville Old Face" w:hAnsi="Baskerville Old Face"/>
        <w:sz w:val="18"/>
        <w:szCs w:val="18"/>
      </w:rPr>
      <w:t>Dirección: Edificio Torre del Este, Piso 8</w:t>
    </w:r>
  </w:p>
  <w:p w14:paraId="2537E734" w14:textId="77777777" w:rsidR="00AC4A95" w:rsidRPr="0038157B" w:rsidRDefault="00EB07A6" w:rsidP="00AC4A95">
    <w:pPr>
      <w:pStyle w:val="Piedepgina"/>
      <w:tabs>
        <w:tab w:val="clear" w:pos="8838"/>
      </w:tabs>
      <w:jc w:val="right"/>
      <w:rPr>
        <w:rFonts w:ascii="Baskerville Old Face" w:hAnsi="Baskerville Old Face"/>
        <w:sz w:val="18"/>
        <w:szCs w:val="18"/>
      </w:rPr>
    </w:pPr>
    <w:hyperlink r:id="rId1" w:history="1">
      <w:r w:rsidR="00AC4A95" w:rsidRPr="00121F8C">
        <w:rPr>
          <w:rStyle w:val="Hipervnculo"/>
          <w:rFonts w:ascii="Baskerville Old Face" w:hAnsi="Baskerville Old Face"/>
          <w:sz w:val="18"/>
          <w:szCs w:val="18"/>
        </w:rPr>
        <w:t>sugese@sugese.fi.cr</w:t>
      </w:r>
    </w:hyperlink>
  </w:p>
  <w:p w14:paraId="78C5D86E" w14:textId="77777777" w:rsidR="00AC4A95" w:rsidRDefault="00AC4A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FD240" w14:textId="77777777" w:rsidR="00B04AC1" w:rsidRDefault="00B04AC1" w:rsidP="00B04AC1">
    <w:pPr>
      <w:pStyle w:val="Piedepgina"/>
      <w:pBdr>
        <w:top w:val="single" w:sz="4" w:space="1" w:color="auto"/>
      </w:pBdr>
      <w:rPr>
        <w:sz w:val="16"/>
        <w:szCs w:val="16"/>
      </w:rPr>
    </w:pPr>
  </w:p>
  <w:p w14:paraId="2FD1A7E9" w14:textId="77777777" w:rsidR="00B04AC1" w:rsidRDefault="00B04AC1" w:rsidP="00B04AC1">
    <w:pPr>
      <w:pStyle w:val="Piedepgina"/>
      <w:tabs>
        <w:tab w:val="clear" w:pos="8838"/>
      </w:tabs>
      <w:jc w:val="right"/>
      <w:rPr>
        <w:rFonts w:ascii="Baskerville Old Face" w:hAnsi="Baskerville Old Face"/>
        <w:sz w:val="18"/>
        <w:szCs w:val="18"/>
      </w:rPr>
    </w:pPr>
    <w:r w:rsidRPr="00121F8C">
      <w:rPr>
        <w:rFonts w:ascii="Baskerville Old Face" w:hAnsi="Baskerville Old Face"/>
        <w:sz w:val="18"/>
        <w:szCs w:val="18"/>
      </w:rPr>
      <w:t>Teléfonos: 2243-5108</w:t>
    </w:r>
    <w:r>
      <w:rPr>
        <w:rFonts w:ascii="Baskerville Old Face" w:hAnsi="Baskerville Old Face"/>
        <w:sz w:val="18"/>
        <w:szCs w:val="18"/>
      </w:rPr>
      <w:t xml:space="preserve">, </w:t>
    </w:r>
    <w:r w:rsidRPr="00121F8C">
      <w:rPr>
        <w:rFonts w:ascii="Baskerville Old Face" w:hAnsi="Baskerville Old Face"/>
        <w:sz w:val="18"/>
        <w:szCs w:val="18"/>
      </w:rPr>
      <w:t>2243-5103  •  Fax: 2243-5151</w:t>
    </w:r>
  </w:p>
  <w:p w14:paraId="19235423" w14:textId="77777777" w:rsidR="00B04AC1" w:rsidRDefault="00B04AC1" w:rsidP="00B04AC1">
    <w:pPr>
      <w:pStyle w:val="Piedepgina"/>
      <w:tabs>
        <w:tab w:val="clear" w:pos="8838"/>
      </w:tabs>
      <w:jc w:val="right"/>
      <w:rPr>
        <w:rFonts w:ascii="Baskerville Old Face" w:hAnsi="Baskerville Old Face"/>
        <w:sz w:val="18"/>
        <w:szCs w:val="18"/>
      </w:rPr>
    </w:pPr>
    <w:r w:rsidRPr="00121F8C">
      <w:rPr>
        <w:rFonts w:ascii="Baskerville Old Face" w:hAnsi="Baskerville Old Face"/>
        <w:sz w:val="18"/>
        <w:szCs w:val="18"/>
      </w:rPr>
      <w:t>Dirección: Edificio Torre del Este, Piso 8</w:t>
    </w:r>
  </w:p>
  <w:p w14:paraId="7B5F88EB" w14:textId="77777777" w:rsidR="00B04AC1" w:rsidRPr="0038157B" w:rsidRDefault="00EB07A6" w:rsidP="00B04AC1">
    <w:pPr>
      <w:pStyle w:val="Piedepgina"/>
      <w:tabs>
        <w:tab w:val="clear" w:pos="8838"/>
      </w:tabs>
      <w:jc w:val="right"/>
      <w:rPr>
        <w:rFonts w:ascii="Baskerville Old Face" w:hAnsi="Baskerville Old Face"/>
        <w:sz w:val="18"/>
        <w:szCs w:val="18"/>
      </w:rPr>
    </w:pPr>
    <w:hyperlink r:id="rId1" w:history="1">
      <w:r w:rsidR="00B04AC1" w:rsidRPr="00121F8C">
        <w:rPr>
          <w:rStyle w:val="Hipervnculo"/>
          <w:rFonts w:ascii="Baskerville Old Face" w:hAnsi="Baskerville Old Face"/>
          <w:sz w:val="18"/>
          <w:szCs w:val="18"/>
        </w:rPr>
        <w:t>sugese@sugese.fi.cr</w:t>
      </w:r>
    </w:hyperlink>
  </w:p>
  <w:p w14:paraId="1B14A725" w14:textId="77777777" w:rsidR="00B04AC1" w:rsidRDefault="00B04AC1" w:rsidP="00B04A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31595" w14:textId="77777777" w:rsidR="00EB07A6" w:rsidRDefault="00EB07A6" w:rsidP="00AC4A95">
      <w:pPr>
        <w:spacing w:after="0" w:line="240" w:lineRule="auto"/>
      </w:pPr>
      <w:r>
        <w:separator/>
      </w:r>
    </w:p>
  </w:footnote>
  <w:footnote w:type="continuationSeparator" w:id="0">
    <w:p w14:paraId="71C40DD4" w14:textId="77777777" w:rsidR="00EB07A6" w:rsidRDefault="00EB07A6" w:rsidP="00AC4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14762" w14:textId="77777777" w:rsidR="00AC4A95" w:rsidRDefault="00AC4A95" w:rsidP="00AC4A95">
    <w:pPr>
      <w:pStyle w:val="Encabezado"/>
    </w:pPr>
    <w:r>
      <w:rPr>
        <w:noProof/>
        <w:lang w:val="es-CR" w:eastAsia="es-CR"/>
      </w:rPr>
      <mc:AlternateContent>
        <mc:Choice Requires="wps">
          <w:drawing>
            <wp:anchor distT="0" distB="0" distL="114300" distR="114300" simplePos="0" relativeHeight="251659264" behindDoc="0" locked="0" layoutInCell="1" allowOverlap="1" wp14:anchorId="4A0C5843" wp14:editId="5110AE4B">
              <wp:simplePos x="0" y="0"/>
              <wp:positionH relativeFrom="column">
                <wp:posOffset>4530725</wp:posOffset>
              </wp:positionH>
              <wp:positionV relativeFrom="paragraph">
                <wp:posOffset>-54366</wp:posOffset>
              </wp:positionV>
              <wp:extent cx="1230341" cy="1303193"/>
              <wp:effectExtent l="0" t="0" r="8255"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341" cy="1303193"/>
                      </a:xfrm>
                      <a:prstGeom prst="rect">
                        <a:avLst/>
                      </a:prstGeom>
                      <a:solidFill>
                        <a:srgbClr val="FFFFFF"/>
                      </a:solidFill>
                      <a:ln w="9525">
                        <a:noFill/>
                        <a:miter lim="800000"/>
                        <a:headEnd/>
                        <a:tailEnd/>
                      </a:ln>
                    </wps:spPr>
                    <wps:txbx>
                      <w:txbxContent>
                        <w:p w14:paraId="7B063600" w14:textId="77777777" w:rsidR="00AC4A95" w:rsidRDefault="00AC4A95" w:rsidP="00AC4A95">
                          <w:pPr>
                            <w:pStyle w:val="Encabezado"/>
                            <w:jc w:val="center"/>
                            <w:rPr>
                              <w:rFonts w:ascii="Arial" w:hAnsi="Arial" w:cs="Arial"/>
                              <w:bCs/>
                              <w:i/>
                              <w:color w:val="808080" w:themeColor="background1" w:themeShade="80"/>
                              <w:sz w:val="16"/>
                              <w:szCs w:val="16"/>
                            </w:rPr>
                          </w:pPr>
                          <w:r>
                            <w:rPr>
                              <w:rFonts w:ascii="Arial" w:hAnsi="Arial" w:cs="Arial"/>
                              <w:bCs/>
                              <w:i/>
                              <w:noProof/>
                              <w:color w:val="808080" w:themeColor="background1" w:themeShade="80"/>
                              <w:sz w:val="16"/>
                              <w:szCs w:val="16"/>
                              <w:lang w:val="es-CR" w:eastAsia="es-CR"/>
                            </w:rPr>
                            <w:drawing>
                              <wp:inline distT="0" distB="0" distL="0" distR="0" wp14:anchorId="6393D496" wp14:editId="394F6A64">
                                <wp:extent cx="460020" cy="810491"/>
                                <wp:effectExtent l="0" t="0" r="0" b="889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459006" cy="808705"/>
                                        </a:xfrm>
                                        <a:prstGeom prst="rect">
                                          <a:avLst/>
                                        </a:prstGeom>
                                      </pic:spPr>
                                    </pic:pic>
                                  </a:graphicData>
                                </a:graphic>
                              </wp:inline>
                            </w:drawing>
                          </w:r>
                        </w:p>
                        <w:p w14:paraId="38528D32" w14:textId="77777777" w:rsidR="00AC4A95" w:rsidRPr="00374377" w:rsidRDefault="00AC4A95" w:rsidP="00AC4A95">
                          <w:pPr>
                            <w:pStyle w:val="Encabezado"/>
                            <w:jc w:val="center"/>
                            <w:rPr>
                              <w:rFonts w:cstheme="minorHAnsi"/>
                              <w:bCs/>
                              <w:i/>
                              <w:color w:val="808080" w:themeColor="background1" w:themeShade="80"/>
                              <w:sz w:val="12"/>
                              <w:szCs w:val="12"/>
                            </w:rPr>
                          </w:pPr>
                          <w:r w:rsidRPr="00374377">
                            <w:rPr>
                              <w:rFonts w:cstheme="minorHAnsi"/>
                              <w:bCs/>
                              <w:i/>
                              <w:color w:val="808080" w:themeColor="background1" w:themeShade="80"/>
                              <w:sz w:val="12"/>
                              <w:szCs w:val="12"/>
                            </w:rPr>
                            <w:t xml:space="preserve">Sistema de Gestión de Calidad </w:t>
                          </w:r>
                        </w:p>
                        <w:p w14:paraId="51FF7FEB" w14:textId="77777777" w:rsidR="00AC4A95" w:rsidRPr="00374377" w:rsidRDefault="00AC4A95" w:rsidP="00AC4A95">
                          <w:pPr>
                            <w:pStyle w:val="Encabezado"/>
                            <w:jc w:val="center"/>
                            <w:rPr>
                              <w:rFonts w:cstheme="minorHAnsi"/>
                              <w:sz w:val="12"/>
                              <w:szCs w:val="12"/>
                            </w:rPr>
                          </w:pPr>
                          <w:r w:rsidRPr="00374377">
                            <w:rPr>
                              <w:rFonts w:cstheme="minorHAnsi"/>
                              <w:bCs/>
                              <w:i/>
                              <w:color w:val="808080" w:themeColor="background1" w:themeShade="80"/>
                              <w:sz w:val="12"/>
                              <w:szCs w:val="12"/>
                            </w:rPr>
                            <w:t>Certificado INTE-ISO 9001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C5843" id="_x0000_t202" coordsize="21600,21600" o:spt="202" path="m,l,21600r21600,l21600,xe">
              <v:stroke joinstyle="miter"/>
              <v:path gradientshapeok="t" o:connecttype="rect"/>
            </v:shapetype>
            <v:shape id="Cuadro de texto 2" o:spid="_x0000_s1026" type="#_x0000_t202" style="position:absolute;margin-left:356.75pt;margin-top:-4.3pt;width:96.9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" stroked="f">
              <v:textbox>
                <w:txbxContent>
                  <w:p w14:paraId="7B063600" w14:textId="77777777" w:rsidR="00AC4A95" w:rsidRDefault="00AC4A95" w:rsidP="00AC4A95">
                    <w:pPr>
                      <w:pStyle w:val="Encabezado"/>
                      <w:jc w:val="center"/>
                      <w:rPr>
                        <w:rFonts w:ascii="Arial" w:hAnsi="Arial" w:cs="Arial"/>
                        <w:bCs/>
                        <w:i/>
                        <w:color w:val="808080" w:themeColor="background1" w:themeShade="80"/>
                        <w:sz w:val="16"/>
                        <w:szCs w:val="16"/>
                      </w:rPr>
                    </w:pPr>
                    <w:r>
                      <w:rPr>
                        <w:rFonts w:ascii="Arial" w:hAnsi="Arial" w:cs="Arial"/>
                        <w:bCs/>
                        <w:i/>
                        <w:noProof/>
                        <w:color w:val="808080" w:themeColor="background1" w:themeShade="80"/>
                        <w:sz w:val="16"/>
                        <w:szCs w:val="16"/>
                        <w:lang w:val="es-CR" w:eastAsia="es-CR"/>
                      </w:rPr>
                      <w:drawing>
                        <wp:inline distT="0" distB="0" distL="0" distR="0" wp14:anchorId="6393D496" wp14:editId="394F6A64">
                          <wp:extent cx="460020" cy="810491"/>
                          <wp:effectExtent l="0" t="0" r="0" b="889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2">
                                    <a:extLst>
                                      <a:ext uri="{28A0092B-C50C-407E-A947-70E740481C1C}">
                                        <a14:useLocalDpi xmlns:a14="http://schemas.microsoft.com/office/drawing/2010/main" val="0"/>
                                      </a:ext>
                                    </a:extLst>
                                  </a:blip>
                                  <a:stretch>
                                    <a:fillRect/>
                                  </a:stretch>
                                </pic:blipFill>
                                <pic:spPr>
                                  <a:xfrm>
                                    <a:off x="0" y="0"/>
                                    <a:ext cx="459006" cy="808705"/>
                                  </a:xfrm>
                                  <a:prstGeom prst="rect">
                                    <a:avLst/>
                                  </a:prstGeom>
                                </pic:spPr>
                              </pic:pic>
                            </a:graphicData>
                          </a:graphic>
                        </wp:inline>
                      </w:drawing>
                    </w:r>
                  </w:p>
                  <w:p w14:paraId="38528D32" w14:textId="77777777" w:rsidR="00AC4A95" w:rsidRPr="00374377" w:rsidRDefault="00AC4A95" w:rsidP="00AC4A95">
                    <w:pPr>
                      <w:pStyle w:val="Encabezado"/>
                      <w:jc w:val="center"/>
                      <w:rPr>
                        <w:rFonts w:cstheme="minorHAnsi"/>
                        <w:bCs/>
                        <w:i/>
                        <w:color w:val="808080" w:themeColor="background1" w:themeShade="80"/>
                        <w:sz w:val="12"/>
                        <w:szCs w:val="12"/>
                      </w:rPr>
                    </w:pPr>
                    <w:r w:rsidRPr="00374377">
                      <w:rPr>
                        <w:rFonts w:cstheme="minorHAnsi"/>
                        <w:bCs/>
                        <w:i/>
                        <w:color w:val="808080" w:themeColor="background1" w:themeShade="80"/>
                        <w:sz w:val="12"/>
                        <w:szCs w:val="12"/>
                      </w:rPr>
                      <w:t xml:space="preserve">Sistema de Gestión de Calidad </w:t>
                    </w:r>
                  </w:p>
                  <w:p w14:paraId="51FF7FEB" w14:textId="77777777" w:rsidR="00AC4A95" w:rsidRPr="00374377" w:rsidRDefault="00AC4A95" w:rsidP="00AC4A95">
                    <w:pPr>
                      <w:pStyle w:val="Encabezado"/>
                      <w:jc w:val="center"/>
                      <w:rPr>
                        <w:rFonts w:cstheme="minorHAnsi"/>
                        <w:sz w:val="12"/>
                        <w:szCs w:val="12"/>
                      </w:rPr>
                    </w:pPr>
                    <w:r w:rsidRPr="00374377">
                      <w:rPr>
                        <w:rFonts w:cstheme="minorHAnsi"/>
                        <w:bCs/>
                        <w:i/>
                        <w:color w:val="808080" w:themeColor="background1" w:themeShade="80"/>
                        <w:sz w:val="12"/>
                        <w:szCs w:val="12"/>
                      </w:rPr>
                      <w:t>Certificado INTE-ISO 9001</w:t>
                    </w:r>
                  </w:p>
                </w:txbxContent>
              </v:textbox>
            </v:shape>
          </w:pict>
        </mc:Fallback>
      </mc:AlternateContent>
    </w:r>
    <w:r>
      <w:rPr>
        <w:noProof/>
        <w:lang w:val="es-CR" w:eastAsia="es-CR"/>
      </w:rPr>
      <w:drawing>
        <wp:inline distT="0" distB="0" distL="0" distR="0" wp14:anchorId="41305F05" wp14:editId="587E9B41">
          <wp:extent cx="1209580" cy="971550"/>
          <wp:effectExtent l="0" t="0" r="0" b="0"/>
          <wp:docPr id="5"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3"/>
                  <a:stretch>
                    <a:fillRect/>
                  </a:stretch>
                </pic:blipFill>
                <pic:spPr>
                  <a:xfrm>
                    <a:off x="0" y="0"/>
                    <a:ext cx="1209580" cy="971550"/>
                  </a:xfrm>
                  <a:prstGeom prst="rect">
                    <a:avLst/>
                  </a:prstGeom>
                </pic:spPr>
              </pic:pic>
            </a:graphicData>
          </a:graphic>
        </wp:inline>
      </w:drawing>
    </w:r>
  </w:p>
  <w:p w14:paraId="13E92C66" w14:textId="77777777" w:rsidR="00AC4A95" w:rsidRDefault="00AC4A95">
    <w:pPr>
      <w:pStyle w:val="Encabezado"/>
    </w:pPr>
  </w:p>
  <w:p w14:paraId="27444036" w14:textId="106A5E1A" w:rsidR="00393A3C" w:rsidRPr="00B04AC1" w:rsidRDefault="00393A3C" w:rsidP="00393A3C">
    <w:pPr>
      <w:pStyle w:val="Encabezado"/>
      <w:rPr>
        <w:rFonts w:ascii="Cambria" w:hAnsi="Cambria"/>
        <w:b/>
        <w:i/>
      </w:rPr>
    </w:pPr>
    <w:r w:rsidRPr="00B04AC1">
      <w:rPr>
        <w:rFonts w:ascii="Cambria" w:hAnsi="Cambria"/>
        <w:b/>
        <w:i/>
      </w:rPr>
      <w:t>SGS-DES-</w:t>
    </w:r>
    <w:r w:rsidR="00B04AC1" w:rsidRPr="00B04AC1">
      <w:rPr>
        <w:rFonts w:ascii="Cambria" w:hAnsi="Cambria"/>
        <w:b/>
        <w:i/>
      </w:rPr>
      <w:t>A</w:t>
    </w:r>
    <w:r w:rsidRPr="00B04AC1">
      <w:rPr>
        <w:rFonts w:ascii="Cambria" w:hAnsi="Cambria"/>
        <w:b/>
        <w:i/>
      </w:rPr>
      <w:t>-</w:t>
    </w:r>
    <w:r w:rsidR="00B04AC1" w:rsidRPr="00B04AC1">
      <w:rPr>
        <w:rFonts w:ascii="Cambria" w:hAnsi="Cambria"/>
        <w:b/>
        <w:i/>
      </w:rPr>
      <w:t>047</w:t>
    </w:r>
    <w:r w:rsidRPr="00B04AC1">
      <w:rPr>
        <w:rFonts w:ascii="Cambria" w:hAnsi="Cambria"/>
        <w:b/>
        <w:i/>
      </w:rPr>
      <w:t>-2015</w:t>
    </w:r>
  </w:p>
  <w:p w14:paraId="468515CB" w14:textId="00603090" w:rsidR="00AC4A95" w:rsidRPr="00393A3C" w:rsidRDefault="00393A3C" w:rsidP="00393A3C">
    <w:pPr>
      <w:pStyle w:val="Encabezado"/>
      <w:rPr>
        <w:rFonts w:ascii="Cambria" w:hAnsi="Cambria"/>
        <w:i/>
      </w:rPr>
    </w:pPr>
    <w:r w:rsidRPr="00393A3C">
      <w:rPr>
        <w:rFonts w:ascii="Cambria" w:hAnsi="Cambria"/>
        <w:i/>
      </w:rPr>
      <w:t>Página | 2</w:t>
    </w:r>
  </w:p>
  <w:p w14:paraId="7AA1E682" w14:textId="77777777" w:rsidR="00AC4A95" w:rsidRDefault="00AC4A9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98AF1" w14:textId="77777777" w:rsidR="00393A3C" w:rsidRDefault="00393A3C" w:rsidP="00393A3C">
    <w:pPr>
      <w:pStyle w:val="Encabezado"/>
    </w:pPr>
    <w:r>
      <w:rPr>
        <w:noProof/>
        <w:lang w:val="es-CR" w:eastAsia="es-CR"/>
      </w:rPr>
      <mc:AlternateContent>
        <mc:Choice Requires="wps">
          <w:drawing>
            <wp:anchor distT="0" distB="0" distL="114300" distR="114300" simplePos="0" relativeHeight="251661312" behindDoc="0" locked="0" layoutInCell="1" allowOverlap="1" wp14:anchorId="59B42321" wp14:editId="6EB4922F">
              <wp:simplePos x="0" y="0"/>
              <wp:positionH relativeFrom="column">
                <wp:posOffset>4530725</wp:posOffset>
              </wp:positionH>
              <wp:positionV relativeFrom="paragraph">
                <wp:posOffset>-54366</wp:posOffset>
              </wp:positionV>
              <wp:extent cx="1230341" cy="1303193"/>
              <wp:effectExtent l="0" t="0" r="8255"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341" cy="1303193"/>
                      </a:xfrm>
                      <a:prstGeom prst="rect">
                        <a:avLst/>
                      </a:prstGeom>
                      <a:solidFill>
                        <a:srgbClr val="FFFFFF"/>
                      </a:solidFill>
                      <a:ln w="9525">
                        <a:noFill/>
                        <a:miter lim="800000"/>
                        <a:headEnd/>
                        <a:tailEnd/>
                      </a:ln>
                    </wps:spPr>
                    <wps:txbx>
                      <w:txbxContent>
                        <w:p w14:paraId="2F3F3F88" w14:textId="77777777" w:rsidR="00393A3C" w:rsidRDefault="00393A3C" w:rsidP="00393A3C">
                          <w:pPr>
                            <w:pStyle w:val="Encabezado"/>
                            <w:jc w:val="center"/>
                            <w:rPr>
                              <w:rFonts w:ascii="Arial" w:hAnsi="Arial" w:cs="Arial"/>
                              <w:bCs/>
                              <w:i/>
                              <w:color w:val="808080" w:themeColor="background1" w:themeShade="80"/>
                              <w:sz w:val="16"/>
                              <w:szCs w:val="16"/>
                            </w:rPr>
                          </w:pPr>
                          <w:r>
                            <w:rPr>
                              <w:rFonts w:ascii="Arial" w:hAnsi="Arial" w:cs="Arial"/>
                              <w:bCs/>
                              <w:i/>
                              <w:noProof/>
                              <w:color w:val="808080" w:themeColor="background1" w:themeShade="80"/>
                              <w:sz w:val="16"/>
                              <w:szCs w:val="16"/>
                              <w:lang w:val="es-CR" w:eastAsia="es-CR"/>
                            </w:rPr>
                            <w:drawing>
                              <wp:inline distT="0" distB="0" distL="0" distR="0" wp14:anchorId="3C223EAA" wp14:editId="08CADEFF">
                                <wp:extent cx="460020" cy="810491"/>
                                <wp:effectExtent l="0" t="0" r="0" b="889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459006" cy="808705"/>
                                        </a:xfrm>
                                        <a:prstGeom prst="rect">
                                          <a:avLst/>
                                        </a:prstGeom>
                                      </pic:spPr>
                                    </pic:pic>
                                  </a:graphicData>
                                </a:graphic>
                              </wp:inline>
                            </w:drawing>
                          </w:r>
                        </w:p>
                        <w:p w14:paraId="287519C0" w14:textId="77777777" w:rsidR="00393A3C" w:rsidRPr="00374377" w:rsidRDefault="00393A3C" w:rsidP="00393A3C">
                          <w:pPr>
                            <w:pStyle w:val="Encabezado"/>
                            <w:jc w:val="center"/>
                            <w:rPr>
                              <w:rFonts w:cstheme="minorHAnsi"/>
                              <w:bCs/>
                              <w:i/>
                              <w:color w:val="808080" w:themeColor="background1" w:themeShade="80"/>
                              <w:sz w:val="12"/>
                              <w:szCs w:val="12"/>
                            </w:rPr>
                          </w:pPr>
                          <w:r w:rsidRPr="00374377">
                            <w:rPr>
                              <w:rFonts w:cstheme="minorHAnsi"/>
                              <w:bCs/>
                              <w:i/>
                              <w:color w:val="808080" w:themeColor="background1" w:themeShade="80"/>
                              <w:sz w:val="12"/>
                              <w:szCs w:val="12"/>
                            </w:rPr>
                            <w:t xml:space="preserve">Sistema de Gestión de Calidad </w:t>
                          </w:r>
                        </w:p>
                        <w:p w14:paraId="2F69B052" w14:textId="77777777" w:rsidR="00393A3C" w:rsidRPr="00374377" w:rsidRDefault="00393A3C" w:rsidP="00393A3C">
                          <w:pPr>
                            <w:pStyle w:val="Encabezado"/>
                            <w:jc w:val="center"/>
                            <w:rPr>
                              <w:rFonts w:cstheme="minorHAnsi"/>
                              <w:sz w:val="12"/>
                              <w:szCs w:val="12"/>
                            </w:rPr>
                          </w:pPr>
                          <w:r w:rsidRPr="00374377">
                            <w:rPr>
                              <w:rFonts w:cstheme="minorHAnsi"/>
                              <w:bCs/>
                              <w:i/>
                              <w:color w:val="808080" w:themeColor="background1" w:themeShade="80"/>
                              <w:sz w:val="12"/>
                              <w:szCs w:val="12"/>
                            </w:rPr>
                            <w:t>Certificado INTE-ISO 9001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42321" id="_x0000_t202" coordsize="21600,21600" o:spt="202" path="m,l,21600r21600,l21600,xe">
              <v:stroke joinstyle="miter"/>
              <v:path gradientshapeok="t" o:connecttype="rect"/>
            </v:shapetype>
            <v:shape id="_x0000_s1027" type="#_x0000_t202" style="position:absolute;margin-left:356.75pt;margin-top:-4.3pt;width:96.9pt;height:10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" stroked="f">
              <v:textbox>
                <w:txbxContent>
                  <w:p w14:paraId="2F3F3F88" w14:textId="77777777" w:rsidR="00393A3C" w:rsidRDefault="00393A3C" w:rsidP="00393A3C">
                    <w:pPr>
                      <w:pStyle w:val="Encabezado"/>
                      <w:jc w:val="center"/>
                      <w:rPr>
                        <w:rFonts w:ascii="Arial" w:hAnsi="Arial" w:cs="Arial"/>
                        <w:bCs/>
                        <w:i/>
                        <w:color w:val="808080" w:themeColor="background1" w:themeShade="80"/>
                        <w:sz w:val="16"/>
                        <w:szCs w:val="16"/>
                      </w:rPr>
                    </w:pPr>
                    <w:r>
                      <w:rPr>
                        <w:rFonts w:ascii="Arial" w:hAnsi="Arial" w:cs="Arial"/>
                        <w:bCs/>
                        <w:i/>
                        <w:noProof/>
                        <w:color w:val="808080" w:themeColor="background1" w:themeShade="80"/>
                        <w:sz w:val="16"/>
                        <w:szCs w:val="16"/>
                        <w:lang w:val="es-CR" w:eastAsia="es-CR"/>
                      </w:rPr>
                      <w:drawing>
                        <wp:inline distT="0" distB="0" distL="0" distR="0" wp14:anchorId="3C223EAA" wp14:editId="08CADEFF">
                          <wp:extent cx="460020" cy="810491"/>
                          <wp:effectExtent l="0" t="0" r="0" b="889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2">
                                    <a:extLst>
                                      <a:ext uri="{28A0092B-C50C-407E-A947-70E740481C1C}">
                                        <a14:useLocalDpi xmlns:a14="http://schemas.microsoft.com/office/drawing/2010/main" val="0"/>
                                      </a:ext>
                                    </a:extLst>
                                  </a:blip>
                                  <a:stretch>
                                    <a:fillRect/>
                                  </a:stretch>
                                </pic:blipFill>
                                <pic:spPr>
                                  <a:xfrm>
                                    <a:off x="0" y="0"/>
                                    <a:ext cx="459006" cy="808705"/>
                                  </a:xfrm>
                                  <a:prstGeom prst="rect">
                                    <a:avLst/>
                                  </a:prstGeom>
                                </pic:spPr>
                              </pic:pic>
                            </a:graphicData>
                          </a:graphic>
                        </wp:inline>
                      </w:drawing>
                    </w:r>
                  </w:p>
                  <w:p w14:paraId="287519C0" w14:textId="77777777" w:rsidR="00393A3C" w:rsidRPr="00374377" w:rsidRDefault="00393A3C" w:rsidP="00393A3C">
                    <w:pPr>
                      <w:pStyle w:val="Encabezado"/>
                      <w:jc w:val="center"/>
                      <w:rPr>
                        <w:rFonts w:cstheme="minorHAnsi"/>
                        <w:bCs/>
                        <w:i/>
                        <w:color w:val="808080" w:themeColor="background1" w:themeShade="80"/>
                        <w:sz w:val="12"/>
                        <w:szCs w:val="12"/>
                      </w:rPr>
                    </w:pPr>
                    <w:r w:rsidRPr="00374377">
                      <w:rPr>
                        <w:rFonts w:cstheme="minorHAnsi"/>
                        <w:bCs/>
                        <w:i/>
                        <w:color w:val="808080" w:themeColor="background1" w:themeShade="80"/>
                        <w:sz w:val="12"/>
                        <w:szCs w:val="12"/>
                      </w:rPr>
                      <w:t xml:space="preserve">Sistema de Gestión de Calidad </w:t>
                    </w:r>
                  </w:p>
                  <w:p w14:paraId="2F69B052" w14:textId="77777777" w:rsidR="00393A3C" w:rsidRPr="00374377" w:rsidRDefault="00393A3C" w:rsidP="00393A3C">
                    <w:pPr>
                      <w:pStyle w:val="Encabezado"/>
                      <w:jc w:val="center"/>
                      <w:rPr>
                        <w:rFonts w:cstheme="minorHAnsi"/>
                        <w:sz w:val="12"/>
                        <w:szCs w:val="12"/>
                      </w:rPr>
                    </w:pPr>
                    <w:r w:rsidRPr="00374377">
                      <w:rPr>
                        <w:rFonts w:cstheme="minorHAnsi"/>
                        <w:bCs/>
                        <w:i/>
                        <w:color w:val="808080" w:themeColor="background1" w:themeShade="80"/>
                        <w:sz w:val="12"/>
                        <w:szCs w:val="12"/>
                      </w:rPr>
                      <w:t>Certificado INTE-ISO 9001</w:t>
                    </w:r>
                  </w:p>
                </w:txbxContent>
              </v:textbox>
            </v:shape>
          </w:pict>
        </mc:Fallback>
      </mc:AlternateContent>
    </w:r>
    <w:r>
      <w:rPr>
        <w:noProof/>
        <w:lang w:val="es-CR" w:eastAsia="es-CR"/>
      </w:rPr>
      <w:drawing>
        <wp:inline distT="0" distB="0" distL="0" distR="0" wp14:anchorId="2059162E" wp14:editId="14B494FE">
          <wp:extent cx="1209580" cy="971550"/>
          <wp:effectExtent l="0" t="0" r="0" b="0"/>
          <wp:docPr id="8"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3"/>
                  <a:stretch>
                    <a:fillRect/>
                  </a:stretch>
                </pic:blipFill>
                <pic:spPr>
                  <a:xfrm>
                    <a:off x="0" y="0"/>
                    <a:ext cx="1209580" cy="971550"/>
                  </a:xfrm>
                  <a:prstGeom prst="rect">
                    <a:avLst/>
                  </a:prstGeom>
                </pic:spPr>
              </pic:pic>
            </a:graphicData>
          </a:graphic>
        </wp:inline>
      </w:drawing>
    </w:r>
  </w:p>
  <w:p w14:paraId="5D11AE44" w14:textId="77777777" w:rsidR="00AC4A95" w:rsidRDefault="00AC4A9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E3"/>
    <w:rsid w:val="000F2AAD"/>
    <w:rsid w:val="00393A3C"/>
    <w:rsid w:val="0040450B"/>
    <w:rsid w:val="004E7499"/>
    <w:rsid w:val="004E7866"/>
    <w:rsid w:val="0064405F"/>
    <w:rsid w:val="007A46F7"/>
    <w:rsid w:val="007F7B17"/>
    <w:rsid w:val="009E27EF"/>
    <w:rsid w:val="00A32CF5"/>
    <w:rsid w:val="00AC4A95"/>
    <w:rsid w:val="00B04AC1"/>
    <w:rsid w:val="00EB07A6"/>
    <w:rsid w:val="00EE2EE3"/>
    <w:rsid w:val="00F45E0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7FBD1"/>
  <w15:chartTrackingRefBased/>
  <w15:docId w15:val="{692E37D4-E98A-464A-B838-700F7285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E3"/>
    <w:pPr>
      <w:spacing w:after="200" w:line="276" w:lineRule="auto"/>
    </w:pPr>
    <w:rPr>
      <w:rFonts w:ascii="Calibri" w:eastAsia="Calibri" w:hAnsi="Calibri" w:cs="Times New Roman"/>
      <w:lang w:val="es-ES"/>
    </w:rPr>
  </w:style>
  <w:style w:type="paragraph" w:styleId="Ttulo5">
    <w:name w:val="heading 5"/>
    <w:basedOn w:val="Normal"/>
    <w:next w:val="Normal"/>
    <w:link w:val="Ttulo5Car"/>
    <w:uiPriority w:val="9"/>
    <w:semiHidden/>
    <w:unhideWhenUsed/>
    <w:qFormat/>
    <w:rsid w:val="00EE2EE3"/>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EE2EE3"/>
    <w:pPr>
      <w:spacing w:after="120"/>
    </w:pPr>
  </w:style>
  <w:style w:type="character" w:customStyle="1" w:styleId="TextoindependienteCar">
    <w:name w:val="Texto independiente Car"/>
    <w:basedOn w:val="Fuentedeprrafopredeter"/>
    <w:link w:val="Textoindependiente"/>
    <w:uiPriority w:val="99"/>
    <w:rsid w:val="00EE2EE3"/>
    <w:rPr>
      <w:rFonts w:ascii="Calibri" w:eastAsia="Calibri" w:hAnsi="Calibri" w:cs="Times New Roman"/>
      <w:lang w:val="es-ES"/>
    </w:rPr>
  </w:style>
  <w:style w:type="character" w:customStyle="1" w:styleId="Ttulo5Car">
    <w:name w:val="Título 5 Car"/>
    <w:basedOn w:val="Fuentedeprrafopredeter"/>
    <w:link w:val="Ttulo5"/>
    <w:uiPriority w:val="9"/>
    <w:semiHidden/>
    <w:rsid w:val="00EE2EE3"/>
    <w:rPr>
      <w:rFonts w:asciiTheme="majorHAnsi" w:eastAsiaTheme="majorEastAsia" w:hAnsiTheme="majorHAnsi" w:cstheme="majorBidi"/>
      <w:color w:val="1F4D78" w:themeColor="accent1" w:themeShade="7F"/>
      <w:lang w:val="es-ES"/>
    </w:rPr>
  </w:style>
  <w:style w:type="paragraph" w:customStyle="1" w:styleId="Default">
    <w:name w:val="Default"/>
    <w:rsid w:val="00EE2EE3"/>
    <w:pPr>
      <w:autoSpaceDE w:val="0"/>
      <w:autoSpaceDN w:val="0"/>
      <w:adjustRightInd w:val="0"/>
      <w:spacing w:after="0" w:line="240" w:lineRule="auto"/>
    </w:pPr>
    <w:rPr>
      <w:rFonts w:ascii="Cambria" w:hAnsi="Cambria" w:cs="Cambria"/>
      <w:color w:val="000000"/>
      <w:sz w:val="24"/>
      <w:szCs w:val="24"/>
    </w:rPr>
  </w:style>
  <w:style w:type="table" w:styleId="Tablaconcuadrcula">
    <w:name w:val="Table Grid"/>
    <w:basedOn w:val="Tablanormal"/>
    <w:uiPriority w:val="59"/>
    <w:rsid w:val="00EE2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E2EE3"/>
    <w:rPr>
      <w:sz w:val="16"/>
      <w:szCs w:val="16"/>
    </w:rPr>
  </w:style>
  <w:style w:type="paragraph" w:styleId="Textocomentario">
    <w:name w:val="annotation text"/>
    <w:basedOn w:val="Normal"/>
    <w:link w:val="TextocomentarioCar"/>
    <w:uiPriority w:val="99"/>
    <w:semiHidden/>
    <w:unhideWhenUsed/>
    <w:rsid w:val="00EE2E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2EE3"/>
    <w:rPr>
      <w:rFonts w:ascii="Calibri" w:eastAsia="Calibri" w:hAnsi="Calibri" w:cs="Times New Roman"/>
      <w:sz w:val="20"/>
      <w:szCs w:val="20"/>
      <w:lang w:val="es-ES"/>
    </w:rPr>
  </w:style>
  <w:style w:type="paragraph" w:styleId="Textodeglobo">
    <w:name w:val="Balloon Text"/>
    <w:basedOn w:val="Normal"/>
    <w:link w:val="TextodegloboCar"/>
    <w:uiPriority w:val="99"/>
    <w:semiHidden/>
    <w:unhideWhenUsed/>
    <w:rsid w:val="00EE2E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EE3"/>
    <w:rPr>
      <w:rFonts w:ascii="Segoe UI" w:eastAsia="Calibri" w:hAnsi="Segoe UI" w:cs="Segoe UI"/>
      <w:sz w:val="18"/>
      <w:szCs w:val="18"/>
      <w:lang w:val="es-ES"/>
    </w:rPr>
  </w:style>
  <w:style w:type="paragraph" w:styleId="Encabezado">
    <w:name w:val="header"/>
    <w:basedOn w:val="Normal"/>
    <w:link w:val="EncabezadoCar"/>
    <w:uiPriority w:val="99"/>
    <w:unhideWhenUsed/>
    <w:rsid w:val="00AC4A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4A95"/>
    <w:rPr>
      <w:rFonts w:ascii="Calibri" w:eastAsia="Calibri" w:hAnsi="Calibri" w:cs="Times New Roman"/>
      <w:lang w:val="es-ES"/>
    </w:rPr>
  </w:style>
  <w:style w:type="paragraph" w:styleId="Piedepgina">
    <w:name w:val="footer"/>
    <w:basedOn w:val="Normal"/>
    <w:link w:val="PiedepginaCar"/>
    <w:unhideWhenUsed/>
    <w:rsid w:val="00AC4A95"/>
    <w:pPr>
      <w:tabs>
        <w:tab w:val="center" w:pos="4419"/>
        <w:tab w:val="right" w:pos="8838"/>
      </w:tabs>
      <w:spacing w:after="0" w:line="240" w:lineRule="auto"/>
    </w:pPr>
  </w:style>
  <w:style w:type="character" w:customStyle="1" w:styleId="PiedepginaCar">
    <w:name w:val="Pie de página Car"/>
    <w:basedOn w:val="Fuentedeprrafopredeter"/>
    <w:link w:val="Piedepgina"/>
    <w:rsid w:val="00AC4A95"/>
    <w:rPr>
      <w:rFonts w:ascii="Calibri" w:eastAsia="Calibri" w:hAnsi="Calibri" w:cs="Times New Roman"/>
      <w:lang w:val="es-ES"/>
    </w:rPr>
  </w:style>
  <w:style w:type="character" w:styleId="Hipervnculo">
    <w:name w:val="Hyperlink"/>
    <w:basedOn w:val="Fuentedeprrafopredeter"/>
    <w:uiPriority w:val="99"/>
    <w:rsid w:val="00AC4A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F19C1BB4622B44C860574DB85AD2056" ma:contentTypeVersion="5" ma:contentTypeDescription="Crear nuevo documento." ma:contentTypeScope="" ma:versionID="bb344f56418fb762ba0495317bf86aff">
  <xsd:schema xmlns:xsd="http://www.w3.org/2001/XMLSchema" xmlns:xs="http://www.w3.org/2001/XMLSchema" xmlns:p="http://schemas.microsoft.com/office/2006/metadata/properties" xmlns:ns2="b9fc4df0-8f56-46e7-b005-54afe0044df7" targetNamespace="http://schemas.microsoft.com/office/2006/metadata/properties" ma:root="true" ma:fieldsID="154b7da3cdb0e165b2ae8633cb5299c3" ns2:_="">
    <xsd:import namespace="b9fc4df0-8f56-46e7-b005-54afe0044df7"/>
    <xsd:element name="properties">
      <xsd:complexType>
        <xsd:sequence>
          <xsd:element name="documentManagement">
            <xsd:complexType>
              <xsd:all>
                <xsd:element ref="ns2:NumeroAcuerdo" minOccurs="0"/>
                <xsd:element ref="ns2:ContenidoMultilineaHTML"/>
                <xsd:element ref="ns2:FechaPublicacionDocumento" minOccurs="0"/>
                <xsd:element ref="ns2:TipoContenid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Acuerdo" ma:index="8" nillable="true" ma:displayName="Número Acuerdo" ma:description="" ma:internalName="NumeroAcuerdo">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FechaPublicacionDocumento" ma:index="10" nillable="true" ma:displayName="FechaPublicacionDocumento" ma:description="" ma:format="DateOnly" ma:internalName="FechaPublicacionDocumento">
      <xsd:simpleType>
        <xsd:restriction base="dms:DateTime"/>
      </xsd:simpleType>
    </xsd:element>
    <xsd:element name="TipoContenido" ma:index="11" nillable="true" ma:displayName="TipoContenido" ma:list="{ec55f565-d8ce-4d28-9f5f-877c6e6feccc}" ma:internalName="TipoContenido" ma:showField="Title" ma:web="b9fc4df0-8f56-46e7-b005-54afe0044df7">
      <xsd:simpleType>
        <xsd:restriction base="dms:Lookup"/>
      </xsd:simpleType>
    </xsd:element>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idoMultilineaHTML xmlns="b9fc4df0-8f56-46e7-b005-54afe0044df7">Derogado&amp;#58;&amp;#160;Modificación a acuerdo sobre lineamientos de solvencia Acuerdos SGS-DES-A-029-2013&amp;#160;</ContenidoMultilineaHTML>
    <NumeroAcuerdo xmlns="b9fc4df0-8f56-46e7-b005-54afe0044df7">SGS-DES-A-047-2015  </NumeroAcuerdo>
    <FechaPublicacionDocumento xmlns="b9fc4df0-8f56-46e7-b005-54afe0044df7" xsi:nil="true"/>
    <TipoContenido xmlns="b9fc4df0-8f56-46e7-b005-54afe0044df7" xsi:nil="true"/>
  </documentManagement>
</p:properties>
</file>

<file path=customXml/itemProps1.xml><?xml version="1.0" encoding="utf-8"?>
<ds:datastoreItem xmlns:ds="http://schemas.openxmlformats.org/officeDocument/2006/customXml" ds:itemID="{71C01E4B-EF57-4636-AB14-8D57240ADA3B}"/>
</file>

<file path=customXml/itemProps2.xml><?xml version="1.0" encoding="utf-8"?>
<ds:datastoreItem xmlns:ds="http://schemas.openxmlformats.org/officeDocument/2006/customXml" ds:itemID="{7BA1B7D2-10F3-45B3-AF87-1D63C19E3F7F}"/>
</file>

<file path=customXml/itemProps3.xml><?xml version="1.0" encoding="utf-8"?>
<ds:datastoreItem xmlns:ds="http://schemas.openxmlformats.org/officeDocument/2006/customXml" ds:itemID="{C45C8E14-472A-470A-9029-C665D2A1982F}"/>
</file>

<file path=docProps/app.xml><?xml version="1.0" encoding="utf-8"?>
<Properties xmlns="http://schemas.openxmlformats.org/officeDocument/2006/extended-properties" xmlns:vt="http://schemas.openxmlformats.org/officeDocument/2006/docPropsVTypes">
  <Template>Normal.dotm</Template>
  <TotalTime>1</TotalTime>
  <Pages>5</Pages>
  <Words>1313</Words>
  <Characters>7222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Modificación del capítulo IV - Tasa de interés técnica, del acuerdo SGS-DES-A-029-2013.</vt:lpstr>
    </vt:vector>
  </TitlesOfParts>
  <Company>BCCR</Company>
  <LinksUpToDate>false</LinksUpToDate>
  <CharactersWithSpaces>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SGS-DES-A-047-2015  </dc:title>
  <dc:subject/>
  <dc:creator>CAMACHO CERDAS FABIANA</dc:creator>
  <cp:keywords/>
  <dc:description/>
  <cp:lastModifiedBy>SABORIO ROJAS JUAN CARLOS</cp:lastModifiedBy>
  <cp:revision>3</cp:revision>
  <dcterms:created xsi:type="dcterms:W3CDTF">2015-12-18T22:50:00Z</dcterms:created>
  <dcterms:modified xsi:type="dcterms:W3CDTF">2015-12-18T22:59:00Z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0x010100AF19C1BB4622B44C860574DB85AD2056</vt:lpwstr>
  </property>
  <property fmtid="{D5CDD505-2E9C-101B-9397-08002B2CF9AE}" pid="3" name="WorkflowChangePath">
    <vt:lpwstr>c79e0cab-a8ae-461b-a204-5b042ad213d1,9;e28674c5-e858-4534-b154-7195290ac34f,10;</vt:lpwstr>
  </property>
</Properties>
</file>