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5FFB9" w14:textId="77777777" w:rsidR="00750FB9" w:rsidRPr="008B69DC" w:rsidRDefault="00750FB9" w:rsidP="008B69DC">
      <w:pPr>
        <w:ind w:left="-567"/>
        <w:jc w:val="both"/>
        <w:rPr>
          <w:rFonts w:asciiTheme="majorHAnsi" w:hAnsiTheme="majorHAnsi"/>
          <w:i/>
        </w:rPr>
      </w:pPr>
      <w:r w:rsidRPr="008B69DC">
        <w:rPr>
          <w:rFonts w:asciiTheme="majorHAnsi" w:hAnsiTheme="majorHAnsi"/>
          <w:i/>
        </w:rPr>
        <w:t>Tomás Soley Pérez</w:t>
      </w:r>
    </w:p>
    <w:p w14:paraId="7DA02675" w14:textId="77777777" w:rsidR="00750FB9" w:rsidRPr="008B69DC" w:rsidRDefault="00750FB9" w:rsidP="008B69DC">
      <w:pPr>
        <w:ind w:left="-567"/>
        <w:jc w:val="both"/>
        <w:rPr>
          <w:rFonts w:asciiTheme="majorHAnsi" w:hAnsiTheme="majorHAnsi"/>
          <w:i/>
        </w:rPr>
      </w:pPr>
      <w:r w:rsidRPr="008B69DC">
        <w:rPr>
          <w:rFonts w:asciiTheme="majorHAnsi" w:hAnsiTheme="majorHAnsi"/>
          <w:i/>
        </w:rPr>
        <w:t>Superintendente de Seguros</w:t>
      </w:r>
    </w:p>
    <w:p w14:paraId="03F056EF" w14:textId="77777777" w:rsidR="00750FB9" w:rsidRPr="008B69DC" w:rsidRDefault="00750FB9" w:rsidP="008B69DC">
      <w:pPr>
        <w:jc w:val="both"/>
        <w:rPr>
          <w:rFonts w:asciiTheme="majorHAnsi" w:hAnsiTheme="majorHAnsi"/>
          <w:b/>
        </w:rPr>
      </w:pPr>
    </w:p>
    <w:p w14:paraId="3643CF30" w14:textId="77777777" w:rsidR="00750FB9" w:rsidRDefault="00750FB9" w:rsidP="008B69DC">
      <w:pPr>
        <w:jc w:val="both"/>
        <w:rPr>
          <w:rFonts w:asciiTheme="majorHAnsi" w:hAnsiTheme="majorHAnsi"/>
          <w:b/>
        </w:rPr>
      </w:pPr>
    </w:p>
    <w:p w14:paraId="2F2CE218" w14:textId="77777777" w:rsidR="008B69DC" w:rsidRPr="008B69DC" w:rsidRDefault="008B69DC" w:rsidP="008B69DC">
      <w:pPr>
        <w:jc w:val="both"/>
        <w:rPr>
          <w:rFonts w:asciiTheme="majorHAnsi" w:hAnsiTheme="majorHAnsi"/>
          <w:b/>
          <w:sz w:val="28"/>
          <w:szCs w:val="28"/>
        </w:rPr>
      </w:pPr>
    </w:p>
    <w:p w14:paraId="62703F66" w14:textId="374E5F27" w:rsidR="00750FB9" w:rsidRPr="008B69DC" w:rsidRDefault="00750FB9" w:rsidP="008B69DC">
      <w:pPr>
        <w:jc w:val="center"/>
        <w:rPr>
          <w:rFonts w:asciiTheme="majorHAnsi" w:hAnsiTheme="majorHAnsi"/>
          <w:b/>
          <w:sz w:val="28"/>
          <w:szCs w:val="28"/>
        </w:rPr>
      </w:pPr>
      <w:r w:rsidRPr="008B69DC">
        <w:rPr>
          <w:rFonts w:asciiTheme="majorHAnsi" w:hAnsiTheme="majorHAnsi"/>
          <w:b/>
          <w:sz w:val="28"/>
          <w:szCs w:val="28"/>
        </w:rPr>
        <w:t>ACUERDO DE SUPERINTENDENTE</w:t>
      </w:r>
    </w:p>
    <w:p w14:paraId="4E0911FB" w14:textId="53A6500C" w:rsidR="00750FB9" w:rsidRPr="008B69DC" w:rsidRDefault="00750FB9" w:rsidP="008B69DC">
      <w:pPr>
        <w:jc w:val="center"/>
        <w:rPr>
          <w:rFonts w:asciiTheme="majorHAnsi" w:hAnsiTheme="majorHAnsi"/>
          <w:b/>
          <w:sz w:val="28"/>
          <w:szCs w:val="28"/>
        </w:rPr>
      </w:pPr>
      <w:r w:rsidRPr="008B69DC">
        <w:rPr>
          <w:rFonts w:asciiTheme="majorHAnsi" w:hAnsiTheme="majorHAnsi"/>
          <w:b/>
          <w:sz w:val="28"/>
          <w:szCs w:val="28"/>
        </w:rPr>
        <w:t>SGS-DES-A-0</w:t>
      </w:r>
      <w:r w:rsidR="00C94ACE">
        <w:rPr>
          <w:rFonts w:asciiTheme="majorHAnsi" w:hAnsiTheme="majorHAnsi"/>
          <w:b/>
          <w:sz w:val="28"/>
          <w:szCs w:val="28"/>
        </w:rPr>
        <w:t>53</w:t>
      </w:r>
      <w:r w:rsidRPr="008B69DC">
        <w:rPr>
          <w:rFonts w:asciiTheme="majorHAnsi" w:hAnsiTheme="majorHAnsi"/>
          <w:b/>
          <w:sz w:val="28"/>
          <w:szCs w:val="28"/>
        </w:rPr>
        <w:t>-2016</w:t>
      </w:r>
    </w:p>
    <w:p w14:paraId="4D039E07" w14:textId="77777777" w:rsidR="00750FB9" w:rsidRPr="008B69DC" w:rsidRDefault="00750FB9" w:rsidP="008B69DC">
      <w:pPr>
        <w:jc w:val="both"/>
        <w:rPr>
          <w:rFonts w:asciiTheme="majorHAnsi" w:hAnsiTheme="majorHAnsi"/>
          <w:b/>
        </w:rPr>
      </w:pPr>
    </w:p>
    <w:p w14:paraId="1ED25633" w14:textId="63852ECB" w:rsidR="00750FB9" w:rsidRPr="008B69DC" w:rsidRDefault="00750FB9" w:rsidP="008B69DC">
      <w:pPr>
        <w:pStyle w:val="Textoindependiente"/>
        <w:spacing w:after="0" w:line="240" w:lineRule="auto"/>
        <w:jc w:val="center"/>
        <w:rPr>
          <w:rFonts w:asciiTheme="majorHAnsi" w:hAnsiTheme="majorHAnsi"/>
          <w:b/>
          <w:sz w:val="24"/>
          <w:szCs w:val="24"/>
        </w:rPr>
      </w:pPr>
      <w:r w:rsidRPr="008B69DC">
        <w:rPr>
          <w:rFonts w:asciiTheme="majorHAnsi" w:hAnsiTheme="majorHAnsi"/>
          <w:b/>
          <w:sz w:val="24"/>
          <w:szCs w:val="24"/>
        </w:rPr>
        <w:t xml:space="preserve">Modificación del </w:t>
      </w:r>
      <w:r w:rsidR="00466B70" w:rsidRPr="008B69DC">
        <w:rPr>
          <w:rFonts w:asciiTheme="majorHAnsi" w:hAnsiTheme="majorHAnsi"/>
          <w:b/>
          <w:sz w:val="24"/>
          <w:szCs w:val="24"/>
        </w:rPr>
        <w:t>Transitorio</w:t>
      </w:r>
      <w:r w:rsidRPr="008B69DC">
        <w:rPr>
          <w:rFonts w:asciiTheme="majorHAnsi" w:hAnsiTheme="majorHAnsi"/>
          <w:b/>
          <w:sz w:val="24"/>
          <w:szCs w:val="24"/>
        </w:rPr>
        <w:t xml:space="preserve"> I </w:t>
      </w:r>
      <w:r w:rsidR="00466B70" w:rsidRPr="008B69DC">
        <w:rPr>
          <w:rFonts w:asciiTheme="majorHAnsi" w:hAnsiTheme="majorHAnsi"/>
          <w:b/>
          <w:sz w:val="24"/>
          <w:szCs w:val="24"/>
        </w:rPr>
        <w:t>referente a la  Ta</w:t>
      </w:r>
      <w:r w:rsidRPr="008B69DC">
        <w:rPr>
          <w:rFonts w:asciiTheme="majorHAnsi" w:hAnsiTheme="majorHAnsi"/>
          <w:b/>
          <w:sz w:val="24"/>
          <w:szCs w:val="24"/>
        </w:rPr>
        <w:t xml:space="preserve">sa de interés técnica, del acuerdo SGS-DES-A-029-2013 </w:t>
      </w:r>
      <w:r w:rsidRPr="008B69DC">
        <w:rPr>
          <w:rFonts w:asciiTheme="majorHAnsi" w:hAnsiTheme="majorHAnsi"/>
          <w:b/>
          <w:i/>
          <w:sz w:val="24"/>
          <w:szCs w:val="24"/>
        </w:rPr>
        <w:t>Lineamientos generales para la aplicación del reglamento sobre la solvencia de entidades de seguros y reaseguros</w:t>
      </w:r>
    </w:p>
    <w:p w14:paraId="0641AC56" w14:textId="77777777" w:rsidR="00750FB9" w:rsidRPr="008B69DC" w:rsidRDefault="00750FB9" w:rsidP="008B69DC">
      <w:pPr>
        <w:pStyle w:val="Textoindependiente"/>
        <w:spacing w:after="0" w:line="240" w:lineRule="auto"/>
        <w:jc w:val="both"/>
        <w:rPr>
          <w:rFonts w:asciiTheme="majorHAnsi" w:hAnsiTheme="majorHAnsi"/>
          <w:b/>
          <w:sz w:val="24"/>
          <w:szCs w:val="24"/>
        </w:rPr>
      </w:pPr>
    </w:p>
    <w:p w14:paraId="207D0F80" w14:textId="77777777" w:rsidR="00750FB9" w:rsidRPr="008B69DC" w:rsidRDefault="00750FB9" w:rsidP="008B69DC">
      <w:pPr>
        <w:pStyle w:val="Textoindependiente"/>
        <w:spacing w:after="0" w:line="240" w:lineRule="auto"/>
        <w:jc w:val="both"/>
        <w:rPr>
          <w:rFonts w:asciiTheme="majorHAnsi" w:hAnsiTheme="majorHAnsi"/>
          <w:b/>
          <w:sz w:val="24"/>
          <w:szCs w:val="24"/>
        </w:rPr>
      </w:pPr>
    </w:p>
    <w:p w14:paraId="78C85413" w14:textId="27217B7C" w:rsidR="00750FB9" w:rsidRPr="008B69DC" w:rsidRDefault="00750FB9" w:rsidP="008B69DC">
      <w:pPr>
        <w:pStyle w:val="Textoindependiente"/>
        <w:spacing w:after="0" w:line="240" w:lineRule="auto"/>
        <w:jc w:val="both"/>
        <w:rPr>
          <w:rFonts w:asciiTheme="majorHAnsi" w:hAnsiTheme="majorHAnsi"/>
          <w:sz w:val="24"/>
          <w:szCs w:val="24"/>
        </w:rPr>
      </w:pPr>
      <w:r w:rsidRPr="008B69DC">
        <w:rPr>
          <w:rFonts w:asciiTheme="majorHAnsi" w:hAnsiTheme="majorHAnsi"/>
          <w:sz w:val="24"/>
          <w:szCs w:val="24"/>
        </w:rPr>
        <w:t xml:space="preserve">El Superintendente General de Seguros a las </w:t>
      </w:r>
      <w:r w:rsidR="008B69DC">
        <w:rPr>
          <w:rFonts w:asciiTheme="majorHAnsi" w:hAnsiTheme="majorHAnsi"/>
          <w:sz w:val="24"/>
          <w:szCs w:val="24"/>
        </w:rPr>
        <w:t>diez</w:t>
      </w:r>
      <w:r w:rsidRPr="008B69DC">
        <w:rPr>
          <w:rFonts w:asciiTheme="majorHAnsi" w:hAnsiTheme="majorHAnsi"/>
          <w:sz w:val="24"/>
          <w:szCs w:val="24"/>
        </w:rPr>
        <w:t xml:space="preserve"> horas del </w:t>
      </w:r>
      <w:r w:rsidR="008B69DC">
        <w:rPr>
          <w:rFonts w:asciiTheme="majorHAnsi" w:hAnsiTheme="majorHAnsi"/>
          <w:sz w:val="24"/>
          <w:szCs w:val="24"/>
        </w:rPr>
        <w:t>nueve</w:t>
      </w:r>
      <w:r w:rsidRPr="008B69DC">
        <w:rPr>
          <w:rFonts w:asciiTheme="majorHAnsi" w:hAnsiTheme="majorHAnsi"/>
          <w:sz w:val="24"/>
          <w:szCs w:val="24"/>
        </w:rPr>
        <w:t xml:space="preserve"> de noviembre de dos mil dieciséis.</w:t>
      </w:r>
    </w:p>
    <w:p w14:paraId="384E4E0B" w14:textId="77777777" w:rsidR="00750FB9" w:rsidRDefault="00750FB9" w:rsidP="008B69DC">
      <w:pPr>
        <w:pStyle w:val="Textoindependiente"/>
        <w:spacing w:after="0" w:line="240" w:lineRule="auto"/>
        <w:jc w:val="both"/>
        <w:rPr>
          <w:rFonts w:asciiTheme="majorHAnsi" w:hAnsiTheme="majorHAnsi"/>
          <w:sz w:val="24"/>
          <w:szCs w:val="24"/>
        </w:rPr>
      </w:pPr>
    </w:p>
    <w:p w14:paraId="0946200D" w14:textId="77777777" w:rsidR="00B54C08" w:rsidRPr="008B69DC" w:rsidRDefault="00B54C08" w:rsidP="008B69DC">
      <w:pPr>
        <w:pStyle w:val="Textoindependiente"/>
        <w:spacing w:after="0" w:line="240" w:lineRule="auto"/>
        <w:jc w:val="both"/>
        <w:rPr>
          <w:rFonts w:asciiTheme="majorHAnsi" w:hAnsiTheme="majorHAnsi"/>
          <w:sz w:val="24"/>
          <w:szCs w:val="24"/>
        </w:rPr>
      </w:pPr>
    </w:p>
    <w:p w14:paraId="2F14E0A0" w14:textId="77777777" w:rsidR="00750FB9" w:rsidRPr="008B69DC" w:rsidRDefault="00750FB9" w:rsidP="008B69DC">
      <w:pPr>
        <w:pStyle w:val="Textoindependiente"/>
        <w:spacing w:after="0" w:line="240" w:lineRule="auto"/>
        <w:jc w:val="center"/>
        <w:rPr>
          <w:rFonts w:asciiTheme="majorHAnsi" w:hAnsiTheme="majorHAnsi"/>
          <w:b/>
          <w:sz w:val="28"/>
          <w:szCs w:val="28"/>
        </w:rPr>
      </w:pPr>
      <w:r w:rsidRPr="008B69DC">
        <w:rPr>
          <w:rFonts w:asciiTheme="majorHAnsi" w:hAnsiTheme="majorHAnsi"/>
          <w:b/>
          <w:sz w:val="28"/>
          <w:szCs w:val="28"/>
        </w:rPr>
        <w:t>Considerando que:</w:t>
      </w:r>
    </w:p>
    <w:p w14:paraId="6F550026" w14:textId="77777777" w:rsidR="00750FB9" w:rsidRPr="008B69DC" w:rsidRDefault="00750FB9" w:rsidP="008B69DC">
      <w:pPr>
        <w:pStyle w:val="Textoindependiente"/>
        <w:spacing w:after="0" w:line="240" w:lineRule="auto"/>
        <w:jc w:val="both"/>
        <w:rPr>
          <w:rFonts w:asciiTheme="majorHAnsi" w:hAnsiTheme="majorHAnsi"/>
          <w:b/>
          <w:sz w:val="24"/>
          <w:szCs w:val="24"/>
        </w:rPr>
      </w:pPr>
    </w:p>
    <w:p w14:paraId="2AF3B5FB" w14:textId="3726CA69" w:rsidR="00750FB9" w:rsidRPr="008B69DC" w:rsidRDefault="00466B70" w:rsidP="008B69DC">
      <w:pPr>
        <w:pStyle w:val="Textoindependiente"/>
        <w:numPr>
          <w:ilvl w:val="0"/>
          <w:numId w:val="4"/>
        </w:numPr>
        <w:spacing w:after="0" w:line="240" w:lineRule="auto"/>
        <w:ind w:hanging="720"/>
        <w:jc w:val="both"/>
        <w:rPr>
          <w:rFonts w:asciiTheme="majorHAnsi" w:hAnsiTheme="majorHAnsi"/>
          <w:b/>
          <w:sz w:val="24"/>
          <w:szCs w:val="24"/>
        </w:rPr>
      </w:pPr>
      <w:r w:rsidRPr="008B69DC">
        <w:rPr>
          <w:rFonts w:asciiTheme="majorHAnsi" w:hAnsiTheme="majorHAnsi"/>
          <w:sz w:val="24"/>
          <w:szCs w:val="24"/>
        </w:rPr>
        <w:t>E</w:t>
      </w:r>
      <w:r w:rsidR="00750FB9" w:rsidRPr="008B69DC">
        <w:rPr>
          <w:rFonts w:asciiTheme="majorHAnsi" w:hAnsiTheme="majorHAnsi"/>
          <w:sz w:val="24"/>
          <w:szCs w:val="24"/>
        </w:rPr>
        <w:t>l Consejo Nacional de Supervisión del Sistema Financiero</w:t>
      </w:r>
      <w:r w:rsidRPr="008B69DC">
        <w:rPr>
          <w:rFonts w:asciiTheme="majorHAnsi" w:hAnsiTheme="majorHAnsi"/>
          <w:sz w:val="24"/>
          <w:szCs w:val="24"/>
        </w:rPr>
        <w:t xml:space="preserve"> (CONASSIF)</w:t>
      </w:r>
      <w:r w:rsidR="00750FB9" w:rsidRPr="008B69DC">
        <w:rPr>
          <w:rFonts w:asciiTheme="majorHAnsi" w:hAnsiTheme="majorHAnsi"/>
          <w:sz w:val="24"/>
          <w:szCs w:val="24"/>
        </w:rPr>
        <w:t>,</w:t>
      </w:r>
      <w:r w:rsidRPr="008B69DC">
        <w:rPr>
          <w:rFonts w:asciiTheme="majorHAnsi" w:hAnsiTheme="majorHAnsi"/>
          <w:sz w:val="24"/>
          <w:szCs w:val="24"/>
        </w:rPr>
        <w:t xml:space="preserve"> de conformidad con lo dispuesto en el artículo 10 de la Ley Reguladora del Mercado de Seguros (LRMS), </w:t>
      </w:r>
      <w:r w:rsidR="00A75BD1" w:rsidRPr="008B69DC">
        <w:rPr>
          <w:rFonts w:asciiTheme="majorHAnsi" w:hAnsiTheme="majorHAnsi"/>
          <w:sz w:val="24"/>
          <w:szCs w:val="24"/>
        </w:rPr>
        <w:t>mediante el a</w:t>
      </w:r>
      <w:r w:rsidR="00750FB9" w:rsidRPr="008B69DC">
        <w:rPr>
          <w:rFonts w:asciiTheme="majorHAnsi" w:hAnsiTheme="majorHAnsi"/>
          <w:sz w:val="24"/>
          <w:szCs w:val="24"/>
        </w:rPr>
        <w:t>rtículo 7 del acta de la sesión 744-2008, celebrada el 18 de setiembre del 2008 y publicado en La Gaceta Nº 184 del 24 de setiembre del 2008 aprobó el Reglamento sobre la Solvencia de Entidades de Seguros y Reaseguros.</w:t>
      </w:r>
      <w:r w:rsidRPr="008B69DC">
        <w:rPr>
          <w:rFonts w:asciiTheme="majorHAnsi" w:hAnsiTheme="majorHAnsi"/>
          <w:sz w:val="24"/>
          <w:szCs w:val="24"/>
        </w:rPr>
        <w:t xml:space="preserve"> </w:t>
      </w:r>
    </w:p>
    <w:p w14:paraId="6299218B" w14:textId="77777777" w:rsidR="00750FB9" w:rsidRPr="008B69DC" w:rsidRDefault="00750FB9" w:rsidP="008B69DC">
      <w:pPr>
        <w:pStyle w:val="Textoindependiente"/>
        <w:spacing w:after="0" w:line="240" w:lineRule="auto"/>
        <w:ind w:left="720" w:hanging="720"/>
        <w:jc w:val="both"/>
        <w:rPr>
          <w:rFonts w:asciiTheme="majorHAnsi" w:hAnsiTheme="majorHAnsi"/>
          <w:b/>
          <w:sz w:val="24"/>
          <w:szCs w:val="24"/>
        </w:rPr>
      </w:pPr>
    </w:p>
    <w:p w14:paraId="27A8B6A7" w14:textId="7DDE7A84"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 xml:space="preserve">El </w:t>
      </w:r>
      <w:r w:rsidR="00466B70" w:rsidRPr="008B69DC">
        <w:rPr>
          <w:rFonts w:asciiTheme="majorHAnsi" w:hAnsiTheme="majorHAnsi"/>
          <w:sz w:val="24"/>
          <w:szCs w:val="24"/>
        </w:rPr>
        <w:t>CONASSIF</w:t>
      </w:r>
      <w:r w:rsidRPr="008B69DC">
        <w:rPr>
          <w:rFonts w:asciiTheme="majorHAnsi" w:hAnsiTheme="majorHAnsi"/>
          <w:sz w:val="24"/>
          <w:szCs w:val="24"/>
        </w:rPr>
        <w:t xml:space="preserve">, mediante el artículo 8 del acta de la sesión 1050-2013, celebrada el 2 de julio de 2013, aprobó la reforma integral del Reglamento sobre la Solvencia de Entidades de Seguros y Reaseguros, la cual fue publicada en el diario oficial </w:t>
      </w:r>
      <w:r w:rsidRPr="008B69DC">
        <w:rPr>
          <w:rFonts w:asciiTheme="majorHAnsi" w:hAnsiTheme="majorHAnsi"/>
          <w:i/>
          <w:sz w:val="24"/>
          <w:szCs w:val="24"/>
        </w:rPr>
        <w:t>La Gaceta</w:t>
      </w:r>
      <w:r w:rsidRPr="008B69DC">
        <w:rPr>
          <w:rFonts w:asciiTheme="majorHAnsi" w:hAnsiTheme="majorHAnsi"/>
          <w:sz w:val="24"/>
          <w:szCs w:val="24"/>
        </w:rPr>
        <w:t xml:space="preserve"> del 1 de agosto de 2013.</w:t>
      </w:r>
    </w:p>
    <w:p w14:paraId="0E73E064" w14:textId="77777777" w:rsidR="00750FB9" w:rsidRPr="008B69DC" w:rsidRDefault="00750FB9" w:rsidP="008B69DC">
      <w:pPr>
        <w:pStyle w:val="Textoindependiente"/>
        <w:spacing w:after="0" w:line="240" w:lineRule="auto"/>
        <w:ind w:left="720" w:hanging="720"/>
        <w:jc w:val="both"/>
        <w:rPr>
          <w:rFonts w:asciiTheme="majorHAnsi" w:hAnsiTheme="majorHAnsi"/>
          <w:sz w:val="24"/>
          <w:szCs w:val="24"/>
        </w:rPr>
      </w:pPr>
    </w:p>
    <w:p w14:paraId="0E7406E4" w14:textId="2B07B4C7"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 xml:space="preserve">El Artículo 4 y el inciso C del Anexo PT-3 del Reglamento sobre la Solvencia de Entidades Seguros y Reaseguros establece que corresponde al Superintendente </w:t>
      </w:r>
      <w:r w:rsidR="00466B70" w:rsidRPr="008B69DC">
        <w:rPr>
          <w:rFonts w:asciiTheme="majorHAnsi" w:hAnsiTheme="majorHAnsi"/>
          <w:sz w:val="24"/>
          <w:szCs w:val="24"/>
        </w:rPr>
        <w:t xml:space="preserve"> de Seguros </w:t>
      </w:r>
      <w:r w:rsidRPr="008B69DC">
        <w:rPr>
          <w:rFonts w:asciiTheme="majorHAnsi" w:hAnsiTheme="majorHAnsi"/>
          <w:sz w:val="24"/>
          <w:szCs w:val="24"/>
        </w:rPr>
        <w:t xml:space="preserve">emitir </w:t>
      </w:r>
      <w:r w:rsidR="004E6D7D" w:rsidRPr="008B69DC">
        <w:rPr>
          <w:rFonts w:asciiTheme="majorHAnsi" w:hAnsiTheme="majorHAnsi"/>
          <w:sz w:val="24"/>
          <w:szCs w:val="24"/>
        </w:rPr>
        <w:t>los lineamientos</w:t>
      </w:r>
      <w:r w:rsidRPr="008B69DC">
        <w:rPr>
          <w:rFonts w:asciiTheme="majorHAnsi" w:hAnsiTheme="majorHAnsi"/>
          <w:sz w:val="24"/>
          <w:szCs w:val="24"/>
        </w:rPr>
        <w:t xml:space="preserve"> </w:t>
      </w:r>
      <w:r w:rsidR="00466B70" w:rsidRPr="008B69DC">
        <w:rPr>
          <w:rFonts w:asciiTheme="majorHAnsi" w:hAnsiTheme="majorHAnsi"/>
          <w:sz w:val="24"/>
          <w:szCs w:val="24"/>
        </w:rPr>
        <w:t>g</w:t>
      </w:r>
      <w:r w:rsidRPr="008B69DC">
        <w:rPr>
          <w:rFonts w:asciiTheme="majorHAnsi" w:hAnsiTheme="majorHAnsi"/>
          <w:sz w:val="24"/>
          <w:szCs w:val="24"/>
        </w:rPr>
        <w:t>enerales para la aplicación de esa normativa, entre ellos lo relativo a la metodología de cálculo de la tasa de interés técnico.</w:t>
      </w:r>
    </w:p>
    <w:p w14:paraId="143912E7" w14:textId="77777777" w:rsidR="00750FB9" w:rsidRPr="008B69DC" w:rsidRDefault="00750FB9" w:rsidP="008B69DC">
      <w:pPr>
        <w:pStyle w:val="Textoindependiente"/>
        <w:spacing w:after="0" w:line="240" w:lineRule="auto"/>
        <w:ind w:left="720" w:hanging="720"/>
        <w:jc w:val="both"/>
        <w:rPr>
          <w:rFonts w:asciiTheme="majorHAnsi" w:hAnsiTheme="majorHAnsi"/>
          <w:sz w:val="24"/>
          <w:szCs w:val="24"/>
        </w:rPr>
      </w:pPr>
    </w:p>
    <w:p w14:paraId="6C96D2A0" w14:textId="14C54733"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El inciso j), del artículo 29 de la L</w:t>
      </w:r>
      <w:r w:rsidR="00466B70" w:rsidRPr="008B69DC">
        <w:rPr>
          <w:rFonts w:asciiTheme="majorHAnsi" w:hAnsiTheme="majorHAnsi"/>
          <w:sz w:val="24"/>
          <w:szCs w:val="24"/>
        </w:rPr>
        <w:t>RMS</w:t>
      </w:r>
      <w:r w:rsidRPr="008B69DC">
        <w:rPr>
          <w:rFonts w:asciiTheme="majorHAnsi" w:hAnsiTheme="majorHAnsi"/>
          <w:sz w:val="24"/>
          <w:szCs w:val="24"/>
        </w:rPr>
        <w:t xml:space="preserve"> faculta al Superintendente a dictar directrices de carácter técnico u operativo necesarias para el cumplimiento de los objetivos de supervisión que la misma Ley impone a la Superintendencia General de Seguros</w:t>
      </w:r>
      <w:r w:rsidR="00466B70" w:rsidRPr="008B69DC">
        <w:rPr>
          <w:rFonts w:asciiTheme="majorHAnsi" w:hAnsiTheme="majorHAnsi"/>
          <w:sz w:val="24"/>
          <w:szCs w:val="24"/>
        </w:rPr>
        <w:t xml:space="preserve"> (SUGESE)</w:t>
      </w:r>
      <w:r w:rsidRPr="008B69DC">
        <w:rPr>
          <w:rFonts w:asciiTheme="majorHAnsi" w:hAnsiTheme="majorHAnsi"/>
          <w:sz w:val="24"/>
          <w:szCs w:val="24"/>
        </w:rPr>
        <w:t>.</w:t>
      </w:r>
    </w:p>
    <w:p w14:paraId="711B327E" w14:textId="77777777" w:rsidR="00750FB9" w:rsidRPr="008B69DC" w:rsidRDefault="00750FB9" w:rsidP="008B69DC">
      <w:pPr>
        <w:pStyle w:val="Textoindependiente"/>
        <w:spacing w:after="0" w:line="240" w:lineRule="auto"/>
        <w:ind w:left="720" w:hanging="720"/>
        <w:jc w:val="both"/>
        <w:rPr>
          <w:rFonts w:asciiTheme="majorHAnsi" w:hAnsiTheme="majorHAnsi"/>
          <w:sz w:val="24"/>
          <w:szCs w:val="24"/>
        </w:rPr>
      </w:pPr>
    </w:p>
    <w:p w14:paraId="77A9EABE" w14:textId="6F49203A"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lastRenderedPageBreak/>
        <w:t>Mediante acuerdo SGS-A-009-2010 de las quince horas del nueve de noviembre de 2010, el Superintendente emitió los “</w:t>
      </w:r>
      <w:r w:rsidRPr="008B69DC">
        <w:rPr>
          <w:rFonts w:asciiTheme="majorHAnsi" w:hAnsiTheme="majorHAnsi"/>
          <w:i/>
          <w:sz w:val="24"/>
          <w:szCs w:val="24"/>
        </w:rPr>
        <w:t>Lineamientos generales para la aplicación del reglamento sobre la solvencia de entidades de seguros y reaseguros”</w:t>
      </w:r>
      <w:r w:rsidRPr="008B69DC">
        <w:rPr>
          <w:rFonts w:asciiTheme="majorHAnsi" w:hAnsiTheme="majorHAnsi"/>
          <w:sz w:val="24"/>
          <w:szCs w:val="24"/>
        </w:rPr>
        <w:t>, entre los cuales se incluye la metodología de cálculo de la tasa de interés técnico.</w:t>
      </w:r>
      <w:r w:rsidR="00466B70" w:rsidRPr="008B69DC">
        <w:rPr>
          <w:rFonts w:asciiTheme="majorHAnsi" w:hAnsiTheme="majorHAnsi"/>
          <w:sz w:val="24"/>
          <w:szCs w:val="24"/>
        </w:rPr>
        <w:t xml:space="preserve">  Posteriormente, mediante </w:t>
      </w:r>
      <w:r w:rsidRPr="008B69DC">
        <w:rPr>
          <w:rFonts w:asciiTheme="majorHAnsi" w:hAnsiTheme="majorHAnsi"/>
          <w:sz w:val="24"/>
          <w:szCs w:val="24"/>
        </w:rPr>
        <w:t>acuerdo SGS-DES-A-029-2013</w:t>
      </w:r>
      <w:r w:rsidR="00466B70" w:rsidRPr="008B69DC">
        <w:rPr>
          <w:rFonts w:asciiTheme="majorHAnsi" w:hAnsiTheme="majorHAnsi"/>
          <w:sz w:val="24"/>
          <w:szCs w:val="24"/>
        </w:rPr>
        <w:t xml:space="preserve">, </w:t>
      </w:r>
      <w:r w:rsidRPr="008B69DC">
        <w:rPr>
          <w:rFonts w:asciiTheme="majorHAnsi" w:hAnsiTheme="majorHAnsi"/>
          <w:sz w:val="24"/>
          <w:szCs w:val="24"/>
        </w:rPr>
        <w:t xml:space="preserve"> de</w:t>
      </w:r>
      <w:r w:rsidR="00A75BD1" w:rsidRPr="008B69DC">
        <w:rPr>
          <w:rFonts w:asciiTheme="majorHAnsi" w:hAnsiTheme="majorHAnsi"/>
          <w:sz w:val="24"/>
          <w:szCs w:val="24"/>
        </w:rPr>
        <w:t>l 17</w:t>
      </w:r>
      <w:r w:rsidRPr="008B69DC">
        <w:rPr>
          <w:rFonts w:asciiTheme="majorHAnsi" w:hAnsiTheme="majorHAnsi"/>
          <w:sz w:val="24"/>
          <w:szCs w:val="24"/>
        </w:rPr>
        <w:t xml:space="preserve"> de setiembre de 2013, </w:t>
      </w:r>
      <w:r w:rsidR="004E6D7D" w:rsidRPr="008B69DC">
        <w:rPr>
          <w:rFonts w:asciiTheme="majorHAnsi" w:hAnsiTheme="majorHAnsi"/>
          <w:sz w:val="24"/>
          <w:szCs w:val="24"/>
        </w:rPr>
        <w:t xml:space="preserve">fue modificado </w:t>
      </w:r>
      <w:r w:rsidRPr="008B69DC">
        <w:rPr>
          <w:rFonts w:asciiTheme="majorHAnsi" w:hAnsiTheme="majorHAnsi"/>
          <w:sz w:val="24"/>
          <w:szCs w:val="24"/>
        </w:rPr>
        <w:t>integralmente el acuerdo SGS-A-009-2010</w:t>
      </w:r>
      <w:r w:rsidRPr="008B69DC">
        <w:rPr>
          <w:rFonts w:asciiTheme="majorHAnsi" w:hAnsiTheme="majorHAnsi"/>
          <w:i/>
          <w:sz w:val="24"/>
          <w:szCs w:val="24"/>
        </w:rPr>
        <w:t>.</w:t>
      </w:r>
    </w:p>
    <w:p w14:paraId="4C9F638C" w14:textId="77777777" w:rsidR="00750FB9" w:rsidRPr="008B69DC" w:rsidRDefault="00750FB9" w:rsidP="008B69DC">
      <w:pPr>
        <w:pStyle w:val="Textoindependiente"/>
        <w:spacing w:after="0" w:line="240" w:lineRule="auto"/>
        <w:ind w:left="720" w:hanging="720"/>
        <w:jc w:val="both"/>
        <w:rPr>
          <w:rFonts w:asciiTheme="majorHAnsi" w:hAnsiTheme="majorHAnsi"/>
          <w:sz w:val="24"/>
          <w:szCs w:val="24"/>
        </w:rPr>
      </w:pPr>
    </w:p>
    <w:p w14:paraId="306449D6" w14:textId="05C883A2" w:rsidR="00750FB9" w:rsidRPr="008B69DC" w:rsidRDefault="00076C96"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En el acuerdo SGS-DES-A-029-2013, se establece en particular que, p</w:t>
      </w:r>
      <w:r w:rsidR="00466B70" w:rsidRPr="008B69DC">
        <w:rPr>
          <w:rFonts w:asciiTheme="majorHAnsi" w:hAnsiTheme="majorHAnsi"/>
          <w:sz w:val="24"/>
          <w:szCs w:val="24"/>
        </w:rPr>
        <w:t>ara el c</w:t>
      </w:r>
      <w:r w:rsidR="00A75BD1" w:rsidRPr="008B69DC">
        <w:rPr>
          <w:rFonts w:asciiTheme="majorHAnsi" w:hAnsiTheme="majorHAnsi"/>
          <w:sz w:val="24"/>
          <w:szCs w:val="24"/>
        </w:rPr>
        <w:t>álculo de la provisión matemática</w:t>
      </w:r>
      <w:r w:rsidR="00466B70" w:rsidRPr="008B69DC">
        <w:rPr>
          <w:rFonts w:asciiTheme="majorHAnsi" w:hAnsiTheme="majorHAnsi"/>
          <w:sz w:val="24"/>
          <w:szCs w:val="24"/>
        </w:rPr>
        <w:t xml:space="preserve"> de los seguros personales con duración de un año o vitalicios, se requiere contar con una tasa de interés técnico y, </w:t>
      </w:r>
      <w:r w:rsidR="00A75BD1" w:rsidRPr="008B69DC">
        <w:rPr>
          <w:rFonts w:asciiTheme="majorHAnsi" w:hAnsiTheme="majorHAnsi"/>
          <w:sz w:val="24"/>
          <w:szCs w:val="24"/>
        </w:rPr>
        <w:t>consecuentemente</w:t>
      </w:r>
      <w:r w:rsidR="00466B70" w:rsidRPr="008B69DC">
        <w:rPr>
          <w:rFonts w:asciiTheme="majorHAnsi" w:hAnsiTheme="majorHAnsi"/>
          <w:sz w:val="24"/>
          <w:szCs w:val="24"/>
        </w:rPr>
        <w:t xml:space="preserve">, la variación </w:t>
      </w:r>
      <w:r w:rsidR="00A75BD1" w:rsidRPr="008B69DC">
        <w:rPr>
          <w:rFonts w:asciiTheme="majorHAnsi" w:hAnsiTheme="majorHAnsi"/>
          <w:sz w:val="24"/>
          <w:szCs w:val="24"/>
        </w:rPr>
        <w:t xml:space="preserve">en </w:t>
      </w:r>
      <w:r w:rsidR="00466B70" w:rsidRPr="008B69DC">
        <w:rPr>
          <w:rFonts w:asciiTheme="majorHAnsi" w:hAnsiTheme="majorHAnsi"/>
          <w:sz w:val="24"/>
          <w:szCs w:val="24"/>
        </w:rPr>
        <w:t xml:space="preserve">dicha tasa impactará el resultado de </w:t>
      </w:r>
      <w:r w:rsidR="00A75BD1" w:rsidRPr="008B69DC">
        <w:rPr>
          <w:rFonts w:asciiTheme="majorHAnsi" w:hAnsiTheme="majorHAnsi"/>
          <w:sz w:val="24"/>
          <w:szCs w:val="24"/>
        </w:rPr>
        <w:t xml:space="preserve">esa </w:t>
      </w:r>
      <w:r w:rsidR="00466B70" w:rsidRPr="008B69DC">
        <w:rPr>
          <w:rFonts w:asciiTheme="majorHAnsi" w:hAnsiTheme="majorHAnsi"/>
          <w:sz w:val="24"/>
          <w:szCs w:val="24"/>
        </w:rPr>
        <w:t>provisión</w:t>
      </w:r>
    </w:p>
    <w:p w14:paraId="221EB6A7" w14:textId="1C9B830D" w:rsidR="00750FB9" w:rsidRPr="008B69DC" w:rsidRDefault="00750FB9" w:rsidP="008B69DC">
      <w:pPr>
        <w:pStyle w:val="Prrafodelista"/>
        <w:ind w:hanging="720"/>
        <w:jc w:val="both"/>
        <w:rPr>
          <w:rFonts w:asciiTheme="majorHAnsi" w:hAnsiTheme="majorHAnsi"/>
        </w:rPr>
      </w:pPr>
    </w:p>
    <w:p w14:paraId="0F51E2A3" w14:textId="3C9FAB62"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Mediante acuerdo SGS-DES-A-048-2015 de las diecisiete horas del veintidós de diciembre de dos mil quince, se modificó el artículo 24 del capítulo IV</w:t>
      </w:r>
      <w:r w:rsidR="00466B70" w:rsidRPr="008B69DC">
        <w:rPr>
          <w:rFonts w:asciiTheme="majorHAnsi" w:hAnsiTheme="majorHAnsi"/>
          <w:sz w:val="24"/>
          <w:szCs w:val="24"/>
        </w:rPr>
        <w:t xml:space="preserve"> del acuerdo SGS-DES-A-029-2013</w:t>
      </w:r>
      <w:r w:rsidRPr="008B69DC">
        <w:rPr>
          <w:rFonts w:asciiTheme="majorHAnsi" w:hAnsiTheme="majorHAnsi"/>
          <w:sz w:val="24"/>
          <w:szCs w:val="24"/>
        </w:rPr>
        <w:t xml:space="preserve">, </w:t>
      </w:r>
      <w:r w:rsidR="00466B70" w:rsidRPr="008B69DC">
        <w:rPr>
          <w:rFonts w:asciiTheme="majorHAnsi" w:hAnsiTheme="majorHAnsi"/>
          <w:sz w:val="24"/>
          <w:szCs w:val="24"/>
        </w:rPr>
        <w:t xml:space="preserve">en lo referente a la metodología de cálculo de la </w:t>
      </w:r>
      <w:r w:rsidRPr="008B69DC">
        <w:rPr>
          <w:rFonts w:asciiTheme="majorHAnsi" w:hAnsiTheme="majorHAnsi"/>
          <w:sz w:val="24"/>
          <w:szCs w:val="24"/>
        </w:rPr>
        <w:t>Tasa de Interés Técnica, con el propósito de darle mayor estabilidad</w:t>
      </w:r>
      <w:r w:rsidR="00A75BD1" w:rsidRPr="008B69DC">
        <w:rPr>
          <w:rFonts w:asciiTheme="majorHAnsi" w:hAnsiTheme="majorHAnsi"/>
          <w:sz w:val="24"/>
          <w:szCs w:val="24"/>
        </w:rPr>
        <w:t>.</w:t>
      </w:r>
      <w:r w:rsidRPr="008B69DC">
        <w:rPr>
          <w:rFonts w:asciiTheme="majorHAnsi" w:hAnsiTheme="majorHAnsi"/>
          <w:sz w:val="24"/>
          <w:szCs w:val="24"/>
        </w:rPr>
        <w:t xml:space="preserve"> </w:t>
      </w:r>
      <w:r w:rsidR="00466B70" w:rsidRPr="008B69DC">
        <w:rPr>
          <w:rFonts w:asciiTheme="majorHAnsi" w:hAnsiTheme="majorHAnsi"/>
          <w:sz w:val="24"/>
          <w:szCs w:val="24"/>
        </w:rPr>
        <w:t>Así, la reforma en cita buscó que la</w:t>
      </w:r>
      <w:r w:rsidR="00076C96" w:rsidRPr="008B69DC">
        <w:rPr>
          <w:rFonts w:asciiTheme="majorHAnsi" w:hAnsiTheme="majorHAnsi"/>
          <w:sz w:val="24"/>
          <w:szCs w:val="24"/>
        </w:rPr>
        <w:t xml:space="preserve">s aseguradoras no tuvieran que variar la provisión matemática en un periodo de </w:t>
      </w:r>
      <w:r w:rsidR="00A75BD1" w:rsidRPr="008B69DC">
        <w:rPr>
          <w:rFonts w:asciiTheme="majorHAnsi" w:hAnsiTheme="majorHAnsi"/>
          <w:sz w:val="24"/>
          <w:szCs w:val="24"/>
        </w:rPr>
        <w:t>disminución</w:t>
      </w:r>
      <w:r w:rsidR="00076C96" w:rsidRPr="008B69DC">
        <w:rPr>
          <w:rFonts w:asciiTheme="majorHAnsi" w:hAnsiTheme="majorHAnsi"/>
          <w:sz w:val="24"/>
          <w:szCs w:val="24"/>
        </w:rPr>
        <w:t xml:space="preserve"> de la tasa, para luego reversar el </w:t>
      </w:r>
      <w:r w:rsidR="00A75BD1" w:rsidRPr="008B69DC">
        <w:rPr>
          <w:rFonts w:asciiTheme="majorHAnsi" w:hAnsiTheme="majorHAnsi"/>
          <w:sz w:val="24"/>
          <w:szCs w:val="24"/>
        </w:rPr>
        <w:t>cambio</w:t>
      </w:r>
      <w:r w:rsidR="00076C96" w:rsidRPr="008B69DC">
        <w:rPr>
          <w:rFonts w:asciiTheme="majorHAnsi" w:hAnsiTheme="majorHAnsi"/>
          <w:sz w:val="24"/>
          <w:szCs w:val="24"/>
        </w:rPr>
        <w:t xml:space="preserve"> si</w:t>
      </w:r>
      <w:r w:rsidR="00A75BD1" w:rsidRPr="008B69DC">
        <w:rPr>
          <w:rFonts w:asciiTheme="majorHAnsi" w:hAnsiTheme="majorHAnsi"/>
          <w:sz w:val="24"/>
          <w:szCs w:val="24"/>
        </w:rPr>
        <w:t xml:space="preserve">, </w:t>
      </w:r>
      <w:r w:rsidR="00076C96" w:rsidRPr="008B69DC">
        <w:rPr>
          <w:rFonts w:asciiTheme="majorHAnsi" w:hAnsiTheme="majorHAnsi"/>
          <w:sz w:val="24"/>
          <w:szCs w:val="24"/>
        </w:rPr>
        <w:t>en el siguiente periodo se da un</w:t>
      </w:r>
      <w:r w:rsidR="00E630C1" w:rsidRPr="008B69DC">
        <w:rPr>
          <w:rFonts w:asciiTheme="majorHAnsi" w:hAnsiTheme="majorHAnsi"/>
          <w:sz w:val="24"/>
          <w:szCs w:val="24"/>
        </w:rPr>
        <w:t xml:space="preserve"> aumentos</w:t>
      </w:r>
      <w:r w:rsidR="00076C96" w:rsidRPr="008B69DC">
        <w:rPr>
          <w:rFonts w:asciiTheme="majorHAnsi" w:hAnsiTheme="majorHAnsi"/>
          <w:sz w:val="24"/>
          <w:szCs w:val="24"/>
        </w:rPr>
        <w:t xml:space="preserve"> de </w:t>
      </w:r>
      <w:r w:rsidR="00A75BD1" w:rsidRPr="008B69DC">
        <w:rPr>
          <w:rFonts w:asciiTheme="majorHAnsi" w:hAnsiTheme="majorHAnsi"/>
          <w:sz w:val="24"/>
          <w:szCs w:val="24"/>
        </w:rPr>
        <w:t>la tasa.</w:t>
      </w:r>
      <w:r w:rsidR="00076C96" w:rsidRPr="008B69DC">
        <w:rPr>
          <w:rFonts w:asciiTheme="majorHAnsi" w:hAnsiTheme="majorHAnsi"/>
          <w:sz w:val="24"/>
          <w:szCs w:val="24"/>
        </w:rPr>
        <w:t xml:space="preserve">   Además, </w:t>
      </w:r>
      <w:r w:rsidR="00A75BD1" w:rsidRPr="008B69DC">
        <w:rPr>
          <w:rFonts w:asciiTheme="majorHAnsi" w:hAnsiTheme="majorHAnsi"/>
          <w:sz w:val="24"/>
          <w:szCs w:val="24"/>
        </w:rPr>
        <w:t>como par</w:t>
      </w:r>
      <w:r w:rsidR="004658E1" w:rsidRPr="008B69DC">
        <w:rPr>
          <w:rFonts w:asciiTheme="majorHAnsi" w:hAnsiTheme="majorHAnsi"/>
          <w:sz w:val="24"/>
          <w:szCs w:val="24"/>
        </w:rPr>
        <w:t>t</w:t>
      </w:r>
      <w:r w:rsidR="00A75BD1" w:rsidRPr="008B69DC">
        <w:rPr>
          <w:rFonts w:asciiTheme="majorHAnsi" w:hAnsiTheme="majorHAnsi"/>
          <w:sz w:val="24"/>
          <w:szCs w:val="24"/>
        </w:rPr>
        <w:t>e de la reforma del artículo 24 del acuerdo SGS-DES-A-029-2013</w:t>
      </w:r>
      <w:r w:rsidR="00076C96" w:rsidRPr="008B69DC">
        <w:rPr>
          <w:rFonts w:asciiTheme="majorHAnsi" w:hAnsiTheme="majorHAnsi"/>
          <w:sz w:val="24"/>
          <w:szCs w:val="24"/>
        </w:rPr>
        <w:t xml:space="preserve">, se dispuso no penalizar la tasa de forma tal que los flujos se descuentan al 100% de ésta, no obstante el ajuste a dicho porcentaje se aplicaría paulatinamente en un lapso de cuatro años.  </w:t>
      </w:r>
    </w:p>
    <w:p w14:paraId="53704302" w14:textId="77777777" w:rsidR="00750FB9" w:rsidRPr="008B69DC" w:rsidRDefault="00750FB9" w:rsidP="008B69DC">
      <w:pPr>
        <w:pStyle w:val="Prrafodelista"/>
        <w:ind w:hanging="720"/>
        <w:jc w:val="both"/>
        <w:rPr>
          <w:rFonts w:asciiTheme="majorHAnsi" w:hAnsiTheme="majorHAnsi"/>
        </w:rPr>
      </w:pPr>
    </w:p>
    <w:p w14:paraId="4D1009F2" w14:textId="3E057613" w:rsidR="00076C96" w:rsidRPr="008B69DC" w:rsidRDefault="00076C96"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 xml:space="preserve">Que desde la emisión del acuerdo SGS-DES-A-048-2015, la tasa regulatoria en colones se calcula como un porcentaje del </w:t>
      </w:r>
      <w:r w:rsidRPr="008B69DC">
        <w:rPr>
          <w:rFonts w:asciiTheme="majorHAnsi" w:hAnsiTheme="majorHAnsi"/>
          <w:i/>
          <w:sz w:val="24"/>
          <w:szCs w:val="24"/>
        </w:rPr>
        <w:t>“ promedio simple de los tipos de interés de los valores emitidos por el gobierno central de Costa Rica, en moneda nacional, para los plazos de más de 3 años a 7 años, observados durante los últimos 24 meses</w:t>
      </w:r>
      <w:r w:rsidR="00A75BD1" w:rsidRPr="008B69DC">
        <w:rPr>
          <w:rFonts w:asciiTheme="majorHAnsi" w:hAnsiTheme="majorHAnsi"/>
          <w:i/>
          <w:sz w:val="24"/>
          <w:szCs w:val="24"/>
        </w:rPr>
        <w:t>”</w:t>
      </w:r>
      <w:r w:rsidRPr="008B69DC">
        <w:rPr>
          <w:rFonts w:asciiTheme="majorHAnsi" w:hAnsiTheme="majorHAnsi"/>
          <w:sz w:val="24"/>
          <w:szCs w:val="24"/>
        </w:rPr>
        <w:t xml:space="preserve"> y para moneda extranjera, </w:t>
      </w:r>
      <w:r w:rsidR="00A75BD1" w:rsidRPr="008B69DC">
        <w:rPr>
          <w:rFonts w:asciiTheme="majorHAnsi" w:hAnsiTheme="majorHAnsi"/>
          <w:sz w:val="24"/>
          <w:szCs w:val="24"/>
        </w:rPr>
        <w:t>como un porcentaje del “</w:t>
      </w:r>
      <w:r w:rsidR="00A75BD1" w:rsidRPr="008B69DC">
        <w:rPr>
          <w:rFonts w:asciiTheme="majorHAnsi" w:hAnsiTheme="majorHAnsi" w:cs="Calibri"/>
          <w:bCs/>
          <w:i/>
          <w:sz w:val="24"/>
          <w:szCs w:val="24"/>
          <w:lang w:val="es-CR"/>
        </w:rPr>
        <w:t>rendimiento de un portafolio hipotético constituido por valores de deuda soberana con categoría de riesgo BBB o superior, de países latinoamericanos, emitidos en moneda”.</w:t>
      </w:r>
    </w:p>
    <w:p w14:paraId="5FE00A8C" w14:textId="77777777" w:rsidR="00A75BD1" w:rsidRPr="008B69DC" w:rsidRDefault="00A75BD1" w:rsidP="008B69DC">
      <w:pPr>
        <w:pStyle w:val="Prrafodelista"/>
        <w:ind w:hanging="720"/>
        <w:jc w:val="both"/>
        <w:rPr>
          <w:rFonts w:asciiTheme="majorHAnsi" w:hAnsiTheme="majorHAnsi"/>
        </w:rPr>
      </w:pPr>
    </w:p>
    <w:p w14:paraId="3F326F91" w14:textId="453C3335"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 xml:space="preserve">Los </w:t>
      </w:r>
      <w:r w:rsidR="00A75BD1" w:rsidRPr="008B69DC">
        <w:rPr>
          <w:rFonts w:asciiTheme="majorHAnsi" w:hAnsiTheme="majorHAnsi"/>
          <w:sz w:val="24"/>
          <w:szCs w:val="24"/>
        </w:rPr>
        <w:t>tasas</w:t>
      </w:r>
      <w:r w:rsidRPr="008B69DC">
        <w:rPr>
          <w:rFonts w:asciiTheme="majorHAnsi" w:hAnsiTheme="majorHAnsi"/>
          <w:sz w:val="24"/>
          <w:szCs w:val="24"/>
        </w:rPr>
        <w:t xml:space="preserve"> de interés </w:t>
      </w:r>
      <w:r w:rsidR="00A75BD1" w:rsidRPr="008B69DC">
        <w:rPr>
          <w:rFonts w:asciiTheme="majorHAnsi" w:hAnsiTheme="majorHAnsi"/>
          <w:sz w:val="24"/>
          <w:szCs w:val="24"/>
        </w:rPr>
        <w:t>de los valores emitidos por el Gobierno C</w:t>
      </w:r>
      <w:r w:rsidRPr="008B69DC">
        <w:rPr>
          <w:rFonts w:asciiTheme="majorHAnsi" w:hAnsiTheme="majorHAnsi"/>
          <w:sz w:val="24"/>
          <w:szCs w:val="24"/>
        </w:rPr>
        <w:t>entral de Costa Rica, en moneda nacional, para los plazos de más de 3 años a 7 años, utilizados como referencia para el cálculo de la tasa regulatoria, han mostrado una tendencia a la baja</w:t>
      </w:r>
      <w:r w:rsidR="00A75BD1" w:rsidRPr="008B69DC">
        <w:rPr>
          <w:rFonts w:asciiTheme="majorHAnsi" w:hAnsiTheme="majorHAnsi"/>
          <w:sz w:val="24"/>
          <w:szCs w:val="24"/>
        </w:rPr>
        <w:t xml:space="preserve">.  Específicamente, la variación (disminución) del promedio mensual de </w:t>
      </w:r>
      <w:r w:rsidR="00B6525F" w:rsidRPr="008B69DC">
        <w:rPr>
          <w:rFonts w:asciiTheme="majorHAnsi" w:hAnsiTheme="majorHAnsi"/>
          <w:sz w:val="24"/>
          <w:szCs w:val="24"/>
        </w:rPr>
        <w:t>estas tasas</w:t>
      </w:r>
      <w:r w:rsidR="00A75BD1" w:rsidRPr="008B69DC">
        <w:rPr>
          <w:rFonts w:asciiTheme="majorHAnsi" w:hAnsiTheme="majorHAnsi"/>
          <w:sz w:val="24"/>
          <w:szCs w:val="24"/>
        </w:rPr>
        <w:t>, en una “ventana” de 24 meses, calculada con corte a mar</w:t>
      </w:r>
      <w:r w:rsidR="004658E1" w:rsidRPr="008B69DC">
        <w:rPr>
          <w:rFonts w:asciiTheme="majorHAnsi" w:hAnsiTheme="majorHAnsi"/>
          <w:sz w:val="24"/>
          <w:szCs w:val="24"/>
        </w:rPr>
        <w:t>zo de 2016 fue de</w:t>
      </w:r>
      <w:r w:rsidR="00A75BD1" w:rsidRPr="008B69DC">
        <w:rPr>
          <w:rFonts w:asciiTheme="majorHAnsi" w:hAnsiTheme="majorHAnsi"/>
          <w:sz w:val="24"/>
          <w:szCs w:val="24"/>
        </w:rPr>
        <w:t xml:space="preserve"> -29,7%, y </w:t>
      </w:r>
      <w:r w:rsidR="00B6525F" w:rsidRPr="008B69DC">
        <w:rPr>
          <w:rFonts w:asciiTheme="majorHAnsi" w:hAnsiTheme="majorHAnsi"/>
          <w:sz w:val="24"/>
          <w:szCs w:val="24"/>
        </w:rPr>
        <w:t>a setiembre de 2016 de -</w:t>
      </w:r>
      <w:r w:rsidR="00A75BD1" w:rsidRPr="008B69DC">
        <w:rPr>
          <w:rFonts w:asciiTheme="majorHAnsi" w:hAnsiTheme="majorHAnsi"/>
          <w:sz w:val="24"/>
          <w:szCs w:val="24"/>
        </w:rPr>
        <w:t xml:space="preserve">40,2%.  Esta situación ha implicado una </w:t>
      </w:r>
      <w:r w:rsidRPr="008B69DC">
        <w:rPr>
          <w:rFonts w:asciiTheme="majorHAnsi" w:hAnsiTheme="majorHAnsi"/>
          <w:sz w:val="24"/>
          <w:szCs w:val="24"/>
        </w:rPr>
        <w:t>baja en la tasa regulatoria calculada con cor</w:t>
      </w:r>
      <w:r w:rsidR="004658E1" w:rsidRPr="008B69DC">
        <w:rPr>
          <w:rFonts w:asciiTheme="majorHAnsi" w:hAnsiTheme="majorHAnsi"/>
          <w:sz w:val="24"/>
          <w:szCs w:val="24"/>
        </w:rPr>
        <w:t>te a setiembre del presente año</w:t>
      </w:r>
      <w:r w:rsidR="00A75BD1" w:rsidRPr="008B69DC">
        <w:rPr>
          <w:rFonts w:asciiTheme="majorHAnsi" w:hAnsiTheme="majorHAnsi"/>
          <w:sz w:val="24"/>
          <w:szCs w:val="24"/>
        </w:rPr>
        <w:t xml:space="preserve">, lo cual </w:t>
      </w:r>
      <w:r w:rsidRPr="008B69DC">
        <w:rPr>
          <w:rFonts w:asciiTheme="majorHAnsi" w:hAnsiTheme="majorHAnsi"/>
          <w:sz w:val="24"/>
          <w:szCs w:val="24"/>
        </w:rPr>
        <w:t>produce un aumento en las provisiones matemáticas de las entidades aseguradoras que la constituyen, así como una afectación en los resultados de dichas entidades.</w:t>
      </w:r>
    </w:p>
    <w:p w14:paraId="0CEED22A" w14:textId="77777777" w:rsidR="00750FB9" w:rsidRPr="008B69DC" w:rsidRDefault="00750FB9" w:rsidP="008B69DC">
      <w:pPr>
        <w:pStyle w:val="Prrafodelista"/>
        <w:ind w:hanging="720"/>
        <w:jc w:val="both"/>
        <w:rPr>
          <w:rFonts w:asciiTheme="majorHAnsi" w:hAnsiTheme="majorHAnsi"/>
        </w:rPr>
      </w:pPr>
    </w:p>
    <w:p w14:paraId="118D9765" w14:textId="7842003C" w:rsidR="00750FB9" w:rsidRPr="008B69DC" w:rsidRDefault="00750FB9"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El incremento a 70% en el porcentaje aplicable a la tasa regulatoria</w:t>
      </w:r>
      <w:r w:rsidR="004F1A6E" w:rsidRPr="008B69DC">
        <w:rPr>
          <w:rFonts w:asciiTheme="majorHAnsi" w:hAnsiTheme="majorHAnsi"/>
          <w:sz w:val="24"/>
          <w:szCs w:val="24"/>
        </w:rPr>
        <w:t>, no ha compensado la baja en lo</w:t>
      </w:r>
      <w:r w:rsidRPr="008B69DC">
        <w:rPr>
          <w:rFonts w:asciiTheme="majorHAnsi" w:hAnsiTheme="majorHAnsi"/>
          <w:sz w:val="24"/>
          <w:szCs w:val="24"/>
        </w:rPr>
        <w:t>s tipos de interés, lo que ha llevado a pasar de una tasa regulatoria de 5,72% a 5,</w:t>
      </w:r>
      <w:r w:rsidR="004658E1" w:rsidRPr="008B69DC">
        <w:rPr>
          <w:rFonts w:asciiTheme="majorHAnsi" w:hAnsiTheme="majorHAnsi"/>
          <w:sz w:val="24"/>
          <w:szCs w:val="24"/>
        </w:rPr>
        <w:t>18</w:t>
      </w:r>
      <w:r w:rsidRPr="008B69DC">
        <w:rPr>
          <w:rFonts w:asciiTheme="majorHAnsi" w:hAnsiTheme="majorHAnsi"/>
          <w:sz w:val="24"/>
          <w:szCs w:val="24"/>
        </w:rPr>
        <w:t>%, que implica que las entidades aseguradoras deban registrar un mayor pasivo por concepto de provisión matemática de los seguros personales.</w:t>
      </w:r>
      <w:r w:rsidR="00B6525F" w:rsidRPr="008B69DC">
        <w:rPr>
          <w:rFonts w:asciiTheme="majorHAnsi" w:hAnsiTheme="majorHAnsi"/>
          <w:sz w:val="24"/>
          <w:szCs w:val="24"/>
        </w:rPr>
        <w:t xml:space="preserve">  Esta situa</w:t>
      </w:r>
      <w:r w:rsidR="00076C96" w:rsidRPr="008B69DC">
        <w:rPr>
          <w:rFonts w:asciiTheme="majorHAnsi" w:hAnsiTheme="majorHAnsi"/>
          <w:sz w:val="24"/>
          <w:szCs w:val="24"/>
        </w:rPr>
        <w:t>ción variará cuando</w:t>
      </w:r>
      <w:r w:rsidR="00B6525F" w:rsidRPr="008B69DC">
        <w:rPr>
          <w:rFonts w:asciiTheme="majorHAnsi" w:hAnsiTheme="majorHAnsi"/>
          <w:sz w:val="24"/>
          <w:szCs w:val="24"/>
        </w:rPr>
        <w:t>,</w:t>
      </w:r>
      <w:r w:rsidR="00076C96" w:rsidRPr="008B69DC">
        <w:rPr>
          <w:rFonts w:asciiTheme="majorHAnsi" w:hAnsiTheme="majorHAnsi"/>
          <w:sz w:val="24"/>
          <w:szCs w:val="24"/>
        </w:rPr>
        <w:t xml:space="preserve"> a partir del primero de abril de 201</w:t>
      </w:r>
      <w:r w:rsidR="00B6525F" w:rsidRPr="008B69DC">
        <w:rPr>
          <w:rFonts w:asciiTheme="majorHAnsi" w:hAnsiTheme="majorHAnsi"/>
          <w:sz w:val="24"/>
          <w:szCs w:val="24"/>
        </w:rPr>
        <w:t>7</w:t>
      </w:r>
      <w:r w:rsidR="00076C96" w:rsidRPr="008B69DC">
        <w:rPr>
          <w:rFonts w:asciiTheme="majorHAnsi" w:hAnsiTheme="majorHAnsi"/>
          <w:sz w:val="24"/>
          <w:szCs w:val="24"/>
        </w:rPr>
        <w:t xml:space="preserve"> se aplique un aumento en el porcentaje </w:t>
      </w:r>
      <w:r w:rsidR="00B6525F" w:rsidRPr="008B69DC">
        <w:rPr>
          <w:rFonts w:asciiTheme="majorHAnsi" w:hAnsiTheme="majorHAnsi"/>
          <w:sz w:val="24"/>
          <w:szCs w:val="24"/>
        </w:rPr>
        <w:t xml:space="preserve">utilizado en </w:t>
      </w:r>
      <w:r w:rsidR="00076C96" w:rsidRPr="008B69DC">
        <w:rPr>
          <w:rFonts w:asciiTheme="majorHAnsi" w:hAnsiTheme="majorHAnsi"/>
          <w:sz w:val="24"/>
          <w:szCs w:val="24"/>
        </w:rPr>
        <w:t>el cálculo de la tasa  regulatoria, de un 70% a un 80%.</w:t>
      </w:r>
      <w:r w:rsidR="004E6D7D" w:rsidRPr="008B69DC">
        <w:rPr>
          <w:rFonts w:asciiTheme="majorHAnsi" w:hAnsiTheme="majorHAnsi"/>
          <w:sz w:val="24"/>
          <w:szCs w:val="24"/>
        </w:rPr>
        <w:t xml:space="preserve">   Por lo tanto, se considera prudente </w:t>
      </w:r>
      <w:r w:rsidRPr="008B69DC">
        <w:rPr>
          <w:rFonts w:asciiTheme="majorHAnsi" w:hAnsiTheme="majorHAnsi"/>
          <w:sz w:val="24"/>
          <w:szCs w:val="24"/>
        </w:rPr>
        <w:t xml:space="preserve"> ajustar el porcentaje aplicable a la tasa regulatoria</w:t>
      </w:r>
      <w:r w:rsidR="00B6525F" w:rsidRPr="008B69DC">
        <w:rPr>
          <w:rFonts w:asciiTheme="majorHAnsi" w:hAnsiTheme="majorHAnsi"/>
          <w:sz w:val="24"/>
          <w:szCs w:val="24"/>
        </w:rPr>
        <w:t>,</w:t>
      </w:r>
      <w:r w:rsidRPr="008B69DC">
        <w:rPr>
          <w:rFonts w:asciiTheme="majorHAnsi" w:hAnsiTheme="majorHAnsi"/>
          <w:sz w:val="24"/>
          <w:szCs w:val="24"/>
        </w:rPr>
        <w:t xml:space="preserve"> con la finalidad de que</w:t>
      </w:r>
      <w:r w:rsidR="00B6525F" w:rsidRPr="008B69DC">
        <w:rPr>
          <w:rFonts w:asciiTheme="majorHAnsi" w:hAnsiTheme="majorHAnsi"/>
          <w:sz w:val="24"/>
          <w:szCs w:val="24"/>
        </w:rPr>
        <w:t xml:space="preserve"> el nivel de</w:t>
      </w:r>
      <w:r w:rsidRPr="008B69DC">
        <w:rPr>
          <w:rFonts w:asciiTheme="majorHAnsi" w:hAnsiTheme="majorHAnsi"/>
          <w:sz w:val="24"/>
          <w:szCs w:val="24"/>
        </w:rPr>
        <w:t xml:space="preserve"> la provisión matemática no se</w:t>
      </w:r>
      <w:r w:rsidR="00B6525F" w:rsidRPr="008B69DC">
        <w:rPr>
          <w:rFonts w:asciiTheme="majorHAnsi" w:hAnsiTheme="majorHAnsi"/>
          <w:sz w:val="24"/>
          <w:szCs w:val="24"/>
        </w:rPr>
        <w:t>a</w:t>
      </w:r>
      <w:r w:rsidRPr="008B69DC">
        <w:rPr>
          <w:rFonts w:asciiTheme="majorHAnsi" w:hAnsiTheme="majorHAnsi"/>
          <w:sz w:val="24"/>
          <w:szCs w:val="24"/>
        </w:rPr>
        <w:t xml:space="preserve"> </w:t>
      </w:r>
      <w:r w:rsidR="004E6D7D" w:rsidRPr="008B69DC">
        <w:rPr>
          <w:rFonts w:asciiTheme="majorHAnsi" w:hAnsiTheme="majorHAnsi"/>
          <w:sz w:val="24"/>
          <w:szCs w:val="24"/>
        </w:rPr>
        <w:t>directamente</w:t>
      </w:r>
      <w:r w:rsidRPr="008B69DC">
        <w:rPr>
          <w:rFonts w:asciiTheme="majorHAnsi" w:hAnsiTheme="majorHAnsi"/>
          <w:sz w:val="24"/>
          <w:szCs w:val="24"/>
        </w:rPr>
        <w:t xml:space="preserve"> afectado por la situación actual de las tasas de interés de referencia</w:t>
      </w:r>
      <w:r w:rsidR="00B6525F" w:rsidRPr="008B69DC">
        <w:rPr>
          <w:rFonts w:asciiTheme="majorHAnsi" w:hAnsiTheme="majorHAnsi"/>
          <w:sz w:val="24"/>
          <w:szCs w:val="24"/>
        </w:rPr>
        <w:t xml:space="preserve">, </w:t>
      </w:r>
      <w:r w:rsidR="004E6D7D" w:rsidRPr="008B69DC">
        <w:rPr>
          <w:rFonts w:asciiTheme="majorHAnsi" w:hAnsiTheme="majorHAnsi"/>
          <w:sz w:val="24"/>
          <w:szCs w:val="24"/>
        </w:rPr>
        <w:t xml:space="preserve"> aunado al incremento que tendrá el porcentaje aplicable para el cálculo de la tasa de la tasa de interés regulatoria, según la metodología de cálculo establecida en</w:t>
      </w:r>
      <w:r w:rsidR="00B6525F" w:rsidRPr="008B69DC">
        <w:rPr>
          <w:rFonts w:asciiTheme="majorHAnsi" w:hAnsiTheme="majorHAnsi"/>
          <w:sz w:val="24"/>
          <w:szCs w:val="24"/>
        </w:rPr>
        <w:t xml:space="preserve"> </w:t>
      </w:r>
      <w:r w:rsidR="004E6D7D" w:rsidRPr="008B69DC">
        <w:rPr>
          <w:rFonts w:asciiTheme="majorHAnsi" w:hAnsiTheme="majorHAnsi"/>
          <w:sz w:val="24"/>
          <w:szCs w:val="24"/>
        </w:rPr>
        <w:t>el</w:t>
      </w:r>
      <w:r w:rsidR="00B6525F" w:rsidRPr="008B69DC">
        <w:rPr>
          <w:rFonts w:asciiTheme="majorHAnsi" w:hAnsiTheme="majorHAnsi"/>
          <w:sz w:val="24"/>
          <w:szCs w:val="24"/>
        </w:rPr>
        <w:t xml:space="preserve"> </w:t>
      </w:r>
      <w:r w:rsidR="004E6D7D" w:rsidRPr="008B69DC">
        <w:rPr>
          <w:rFonts w:asciiTheme="majorHAnsi" w:hAnsiTheme="majorHAnsi"/>
          <w:sz w:val="24"/>
          <w:szCs w:val="24"/>
        </w:rPr>
        <w:t xml:space="preserve"> artículo 29 del </w:t>
      </w:r>
      <w:r w:rsidR="00B6525F" w:rsidRPr="008B69DC">
        <w:rPr>
          <w:rFonts w:asciiTheme="majorHAnsi" w:hAnsiTheme="majorHAnsi"/>
          <w:sz w:val="24"/>
          <w:szCs w:val="24"/>
        </w:rPr>
        <w:t>A</w:t>
      </w:r>
      <w:r w:rsidR="004E6D7D" w:rsidRPr="008B69DC">
        <w:rPr>
          <w:rFonts w:asciiTheme="majorHAnsi" w:hAnsiTheme="majorHAnsi"/>
          <w:sz w:val="24"/>
          <w:szCs w:val="24"/>
        </w:rPr>
        <w:t>cuerdo de Superintendente SGS-DES-A-029-2013.</w:t>
      </w:r>
    </w:p>
    <w:p w14:paraId="0AB644EE" w14:textId="77777777" w:rsidR="004E6D7D" w:rsidRPr="008B69DC" w:rsidRDefault="004E6D7D" w:rsidP="008B69DC">
      <w:pPr>
        <w:pStyle w:val="Textoindependiente"/>
        <w:spacing w:after="0" w:line="240" w:lineRule="auto"/>
        <w:ind w:left="720" w:hanging="720"/>
        <w:jc w:val="both"/>
        <w:rPr>
          <w:rFonts w:asciiTheme="majorHAnsi" w:hAnsiTheme="majorHAnsi"/>
          <w:sz w:val="24"/>
          <w:szCs w:val="24"/>
        </w:rPr>
      </w:pPr>
    </w:p>
    <w:p w14:paraId="7FF5A94C" w14:textId="0105616D" w:rsidR="00750FB9" w:rsidRPr="008B69DC" w:rsidRDefault="004E6D7D" w:rsidP="008B69DC">
      <w:pPr>
        <w:pStyle w:val="Textoindependiente"/>
        <w:numPr>
          <w:ilvl w:val="0"/>
          <w:numId w:val="4"/>
        </w:numPr>
        <w:spacing w:after="0" w:line="240" w:lineRule="auto"/>
        <w:ind w:hanging="720"/>
        <w:jc w:val="both"/>
        <w:rPr>
          <w:rFonts w:asciiTheme="majorHAnsi" w:hAnsiTheme="majorHAnsi"/>
          <w:sz w:val="24"/>
          <w:szCs w:val="24"/>
        </w:rPr>
      </w:pPr>
      <w:r w:rsidRPr="008B69DC">
        <w:rPr>
          <w:rFonts w:asciiTheme="majorHAnsi" w:hAnsiTheme="majorHAnsi"/>
          <w:sz w:val="24"/>
          <w:szCs w:val="24"/>
        </w:rPr>
        <w:t xml:space="preserve">La modificación incluida en este acuerdo, busca dar estabilidad a la provisión matemática de los seguros de largo plazo, evitando que se dote la provisión por la baja en la tasa regulatoria, para posteriormente disminuirla cuando se aplique el aumento en el porcentaje </w:t>
      </w:r>
      <w:r w:rsidR="00E630C1" w:rsidRPr="008B69DC">
        <w:rPr>
          <w:rFonts w:asciiTheme="majorHAnsi" w:hAnsiTheme="majorHAnsi"/>
          <w:sz w:val="24"/>
          <w:szCs w:val="24"/>
        </w:rPr>
        <w:t xml:space="preserve">de gradualidad </w:t>
      </w:r>
      <w:r w:rsidRPr="008B69DC">
        <w:rPr>
          <w:rFonts w:asciiTheme="majorHAnsi" w:hAnsiTheme="majorHAnsi"/>
          <w:sz w:val="24"/>
          <w:szCs w:val="24"/>
        </w:rPr>
        <w:t xml:space="preserve">que </w:t>
      </w:r>
      <w:r w:rsidR="00B6525F" w:rsidRPr="008B69DC">
        <w:rPr>
          <w:rFonts w:asciiTheme="majorHAnsi" w:hAnsiTheme="majorHAnsi"/>
          <w:sz w:val="24"/>
          <w:szCs w:val="24"/>
        </w:rPr>
        <w:t xml:space="preserve">se utiliza </w:t>
      </w:r>
      <w:r w:rsidRPr="008B69DC">
        <w:rPr>
          <w:rFonts w:asciiTheme="majorHAnsi" w:hAnsiTheme="majorHAnsi"/>
          <w:sz w:val="24"/>
          <w:szCs w:val="24"/>
        </w:rPr>
        <w:t>para su  cálculo, con el consecuente efecto en los resultados de la entidad</w:t>
      </w:r>
      <w:r w:rsidR="00E630C1" w:rsidRPr="008B69DC">
        <w:rPr>
          <w:rFonts w:asciiTheme="majorHAnsi" w:hAnsiTheme="majorHAnsi"/>
          <w:sz w:val="24"/>
          <w:szCs w:val="24"/>
        </w:rPr>
        <w:t xml:space="preserve"> sin que se observe un problema de riesgo subyacente que requiera exigir mayor capital</w:t>
      </w:r>
      <w:r w:rsidR="00B6525F" w:rsidRPr="008B69DC">
        <w:rPr>
          <w:rFonts w:asciiTheme="majorHAnsi" w:hAnsiTheme="majorHAnsi"/>
          <w:sz w:val="24"/>
          <w:szCs w:val="24"/>
        </w:rPr>
        <w:t xml:space="preserve">. Esta </w:t>
      </w:r>
      <w:r w:rsidRPr="008B69DC">
        <w:rPr>
          <w:rFonts w:asciiTheme="majorHAnsi" w:hAnsiTheme="majorHAnsi"/>
          <w:sz w:val="24"/>
          <w:szCs w:val="24"/>
        </w:rPr>
        <w:t xml:space="preserve">situación </w:t>
      </w:r>
      <w:r w:rsidR="00B6525F" w:rsidRPr="008B69DC">
        <w:rPr>
          <w:rFonts w:asciiTheme="majorHAnsi" w:hAnsiTheme="majorHAnsi"/>
          <w:sz w:val="24"/>
          <w:szCs w:val="24"/>
        </w:rPr>
        <w:t xml:space="preserve">justifica </w:t>
      </w:r>
      <w:r w:rsidRPr="008B69DC">
        <w:rPr>
          <w:rFonts w:asciiTheme="majorHAnsi" w:hAnsiTheme="majorHAnsi"/>
          <w:sz w:val="24"/>
          <w:szCs w:val="24"/>
        </w:rPr>
        <w:t>eximir esta reforma normativa de la consulta a la industria, establecida en el artículo 361, inciso 2, de la Ley General de Administración Pública.</w:t>
      </w:r>
    </w:p>
    <w:p w14:paraId="0E6CBDE0" w14:textId="1E2856C0" w:rsidR="00750FB9" w:rsidRDefault="00750FB9" w:rsidP="008B69DC">
      <w:pPr>
        <w:jc w:val="both"/>
        <w:rPr>
          <w:rFonts w:asciiTheme="majorHAnsi" w:hAnsiTheme="majorHAnsi"/>
        </w:rPr>
      </w:pPr>
    </w:p>
    <w:p w14:paraId="1FC9DCCD" w14:textId="77777777" w:rsidR="00B54C08" w:rsidRPr="00B54C08" w:rsidRDefault="00B54C08" w:rsidP="008B69DC">
      <w:pPr>
        <w:jc w:val="both"/>
        <w:rPr>
          <w:rFonts w:asciiTheme="majorHAnsi" w:hAnsiTheme="majorHAnsi"/>
        </w:rPr>
      </w:pPr>
    </w:p>
    <w:p w14:paraId="7CBCF830" w14:textId="77777777" w:rsidR="00750FB9" w:rsidRPr="008B69DC" w:rsidRDefault="00750FB9" w:rsidP="008B69DC">
      <w:pPr>
        <w:pStyle w:val="Textoindependiente"/>
        <w:spacing w:after="0" w:line="240" w:lineRule="auto"/>
        <w:jc w:val="center"/>
        <w:rPr>
          <w:rFonts w:asciiTheme="majorHAnsi" w:hAnsiTheme="majorHAnsi"/>
          <w:b/>
          <w:sz w:val="28"/>
          <w:szCs w:val="28"/>
        </w:rPr>
      </w:pPr>
      <w:r w:rsidRPr="008B69DC">
        <w:rPr>
          <w:rFonts w:asciiTheme="majorHAnsi" w:hAnsiTheme="majorHAnsi"/>
          <w:b/>
          <w:sz w:val="28"/>
          <w:szCs w:val="28"/>
        </w:rPr>
        <w:t>Dispone:</w:t>
      </w:r>
    </w:p>
    <w:p w14:paraId="788A4404" w14:textId="77777777" w:rsidR="00750FB9" w:rsidRPr="008B69DC" w:rsidRDefault="00750FB9" w:rsidP="008B69DC">
      <w:pPr>
        <w:pStyle w:val="Textoindependiente"/>
        <w:spacing w:after="0" w:line="240" w:lineRule="auto"/>
        <w:jc w:val="both"/>
        <w:rPr>
          <w:rFonts w:asciiTheme="majorHAnsi" w:hAnsiTheme="majorHAnsi"/>
          <w:b/>
          <w:bCs/>
          <w:sz w:val="24"/>
          <w:szCs w:val="24"/>
        </w:rPr>
      </w:pPr>
    </w:p>
    <w:p w14:paraId="425F727E" w14:textId="190B853F" w:rsidR="004E6D7D" w:rsidRPr="008B69DC" w:rsidRDefault="004E6D7D" w:rsidP="008B69DC">
      <w:pPr>
        <w:pStyle w:val="Textoindependiente"/>
        <w:spacing w:after="0" w:line="240" w:lineRule="auto"/>
        <w:jc w:val="both"/>
        <w:rPr>
          <w:rFonts w:asciiTheme="majorHAnsi" w:hAnsiTheme="majorHAnsi"/>
          <w:sz w:val="24"/>
          <w:szCs w:val="24"/>
        </w:rPr>
      </w:pPr>
      <w:r w:rsidRPr="008B69DC">
        <w:rPr>
          <w:rFonts w:asciiTheme="majorHAnsi" w:hAnsiTheme="majorHAnsi"/>
          <w:b/>
          <w:bCs/>
          <w:sz w:val="24"/>
          <w:szCs w:val="24"/>
        </w:rPr>
        <w:t xml:space="preserve">PRIMERO: Modificar el  transitorio I del  </w:t>
      </w:r>
      <w:r w:rsidR="00750FB9" w:rsidRPr="008B69DC">
        <w:rPr>
          <w:rFonts w:asciiTheme="majorHAnsi" w:hAnsiTheme="majorHAnsi"/>
          <w:sz w:val="24"/>
          <w:szCs w:val="24"/>
        </w:rPr>
        <w:t xml:space="preserve"> Acuerdo SGS-DES-A-029-2013, </w:t>
      </w:r>
      <w:r w:rsidR="00750FB9" w:rsidRPr="008B69DC">
        <w:rPr>
          <w:rFonts w:asciiTheme="majorHAnsi" w:hAnsiTheme="majorHAnsi"/>
          <w:i/>
          <w:sz w:val="24"/>
          <w:szCs w:val="24"/>
        </w:rPr>
        <w:t>Lineamientos Generales para la Aplicación del Reglamento sobre la Solvencia de Entidades de Seguros y Reaseguro</w:t>
      </w:r>
      <w:r w:rsidRPr="008B69DC">
        <w:rPr>
          <w:rFonts w:asciiTheme="majorHAnsi" w:hAnsiTheme="majorHAnsi"/>
          <w:sz w:val="24"/>
          <w:szCs w:val="24"/>
        </w:rPr>
        <w:t>s, para que en adelante se lea de la siguiente forma:</w:t>
      </w:r>
    </w:p>
    <w:p w14:paraId="4F64F43D" w14:textId="77777777" w:rsidR="004E6D7D" w:rsidRPr="008B69DC" w:rsidRDefault="004E6D7D" w:rsidP="008B69DC">
      <w:pPr>
        <w:pStyle w:val="Textoindependiente"/>
        <w:spacing w:after="0" w:line="240" w:lineRule="auto"/>
        <w:jc w:val="both"/>
        <w:rPr>
          <w:rFonts w:asciiTheme="majorHAnsi" w:hAnsiTheme="majorHAnsi"/>
          <w:sz w:val="24"/>
          <w:szCs w:val="24"/>
        </w:rPr>
      </w:pPr>
    </w:p>
    <w:p w14:paraId="5D11A677" w14:textId="77777777" w:rsidR="00B54C08" w:rsidRDefault="00B54C08">
      <w:pPr>
        <w:spacing w:after="200" w:line="276" w:lineRule="auto"/>
        <w:rPr>
          <w:rFonts w:asciiTheme="majorHAnsi" w:eastAsia="Calibri" w:hAnsiTheme="majorHAnsi"/>
          <w:b/>
          <w:lang w:eastAsia="en-US"/>
        </w:rPr>
      </w:pPr>
      <w:r>
        <w:rPr>
          <w:rFonts w:asciiTheme="majorHAnsi" w:hAnsiTheme="majorHAnsi"/>
          <w:b/>
        </w:rPr>
        <w:br w:type="page"/>
      </w:r>
    </w:p>
    <w:p w14:paraId="210BA154" w14:textId="50796B2E" w:rsidR="004E6D7D" w:rsidRPr="008B69DC" w:rsidRDefault="004E6D7D" w:rsidP="008B69DC">
      <w:pPr>
        <w:pStyle w:val="Textoindependiente"/>
        <w:spacing w:after="0" w:line="240" w:lineRule="auto"/>
        <w:jc w:val="both"/>
        <w:rPr>
          <w:rFonts w:asciiTheme="majorHAnsi" w:hAnsiTheme="majorHAnsi"/>
          <w:b/>
          <w:sz w:val="24"/>
          <w:szCs w:val="24"/>
        </w:rPr>
      </w:pPr>
      <w:r w:rsidRPr="008B69DC">
        <w:rPr>
          <w:rFonts w:asciiTheme="majorHAnsi" w:hAnsiTheme="majorHAnsi"/>
          <w:b/>
          <w:sz w:val="24"/>
          <w:szCs w:val="24"/>
        </w:rPr>
        <w:t>Transitorio I</w:t>
      </w:r>
      <w:bookmarkStart w:id="0" w:name="_GoBack"/>
      <w:bookmarkEnd w:id="0"/>
    </w:p>
    <w:p w14:paraId="793E27AA" w14:textId="77777777" w:rsidR="004E6D7D" w:rsidRPr="008B69DC" w:rsidRDefault="004E6D7D" w:rsidP="008B69DC">
      <w:pPr>
        <w:pStyle w:val="Textoindependiente"/>
        <w:spacing w:after="0" w:line="240" w:lineRule="auto"/>
        <w:jc w:val="both"/>
        <w:rPr>
          <w:rFonts w:asciiTheme="majorHAnsi" w:eastAsiaTheme="majorEastAsia" w:hAnsiTheme="majorHAnsi" w:cstheme="majorBidi"/>
          <w:sz w:val="24"/>
          <w:szCs w:val="24"/>
          <w:lang w:eastAsia="es-ES"/>
        </w:rPr>
      </w:pPr>
    </w:p>
    <w:p w14:paraId="5638D647" w14:textId="77777777" w:rsidR="004E6D7D" w:rsidRPr="008B69DC" w:rsidRDefault="004E6D7D" w:rsidP="008B69DC">
      <w:pPr>
        <w:pStyle w:val="Textoindependiente"/>
        <w:spacing w:after="0" w:line="240" w:lineRule="auto"/>
        <w:jc w:val="both"/>
        <w:rPr>
          <w:rFonts w:asciiTheme="majorHAnsi" w:eastAsiaTheme="majorEastAsia" w:hAnsiTheme="majorHAnsi" w:cstheme="majorBidi"/>
          <w:b/>
          <w:sz w:val="24"/>
          <w:szCs w:val="24"/>
          <w:lang w:eastAsia="es-ES"/>
        </w:rPr>
      </w:pPr>
      <w:r w:rsidRPr="008B69DC">
        <w:rPr>
          <w:rFonts w:asciiTheme="majorHAnsi" w:eastAsiaTheme="majorEastAsia" w:hAnsiTheme="majorHAnsi" w:cstheme="majorBidi"/>
          <w:sz w:val="24"/>
          <w:szCs w:val="24"/>
          <w:lang w:eastAsia="es-ES"/>
        </w:rPr>
        <w:t>Para llegar al porcentaje de 100% a aplicar a la tasa de interés técnica, según lo establecido en el artículo 24 de este acuerdo, se aplicará la siguiente gradualidad:</w:t>
      </w:r>
    </w:p>
    <w:p w14:paraId="5D813590" w14:textId="77777777" w:rsidR="004E6D7D" w:rsidRPr="008B69DC" w:rsidRDefault="004E6D7D" w:rsidP="008B69DC">
      <w:pPr>
        <w:pStyle w:val="Textoindependiente"/>
        <w:spacing w:after="0" w:line="240" w:lineRule="auto"/>
        <w:jc w:val="both"/>
        <w:rPr>
          <w:rFonts w:asciiTheme="majorHAnsi" w:eastAsiaTheme="majorEastAsia" w:hAnsiTheme="majorHAnsi" w:cstheme="majorBidi"/>
          <w:b/>
          <w:sz w:val="24"/>
          <w:szCs w:val="24"/>
          <w:lang w:eastAsia="es-ES"/>
        </w:rPr>
      </w:pPr>
    </w:p>
    <w:tbl>
      <w:tblPr>
        <w:tblStyle w:val="Tablaconcuadrcula"/>
        <w:tblW w:w="5549" w:type="dxa"/>
        <w:jc w:val="center"/>
        <w:tblLayout w:type="fixed"/>
        <w:tblLook w:val="04A0" w:firstRow="1" w:lastRow="0" w:firstColumn="1" w:lastColumn="0" w:noHBand="0" w:noVBand="1"/>
      </w:tblPr>
      <w:tblGrid>
        <w:gridCol w:w="2830"/>
        <w:gridCol w:w="2719"/>
      </w:tblGrid>
      <w:tr w:rsidR="004E6D7D" w:rsidRPr="008B69DC" w14:paraId="53AA9557" w14:textId="77777777" w:rsidTr="008B69DC">
        <w:trPr>
          <w:trHeight w:val="326"/>
          <w:jc w:val="center"/>
        </w:trPr>
        <w:tc>
          <w:tcPr>
            <w:tcW w:w="2830" w:type="dxa"/>
            <w:shd w:val="clear" w:color="auto" w:fill="8DB3E2" w:themeFill="text2" w:themeFillTint="66"/>
            <w:vAlign w:val="center"/>
          </w:tcPr>
          <w:p w14:paraId="40F0B200" w14:textId="622421A9" w:rsidR="004E6D7D" w:rsidRPr="008B69DC" w:rsidRDefault="004E6D7D" w:rsidP="008B69DC">
            <w:pPr>
              <w:pStyle w:val="Default"/>
              <w:jc w:val="center"/>
              <w:rPr>
                <w:rFonts w:asciiTheme="majorHAnsi" w:eastAsiaTheme="majorEastAsia" w:hAnsiTheme="majorHAnsi" w:cstheme="majorBidi"/>
                <w:b/>
                <w:color w:val="auto"/>
                <w:lang w:eastAsia="es-ES"/>
              </w:rPr>
            </w:pPr>
            <w:r w:rsidRPr="008B69DC">
              <w:rPr>
                <w:rFonts w:asciiTheme="majorHAnsi" w:eastAsiaTheme="majorEastAsia" w:hAnsiTheme="majorHAnsi" w:cstheme="majorBidi"/>
                <w:b/>
                <w:color w:val="auto"/>
                <w:lang w:eastAsia="es-ES"/>
              </w:rPr>
              <w:t>A partir del</w:t>
            </w:r>
          </w:p>
        </w:tc>
        <w:tc>
          <w:tcPr>
            <w:tcW w:w="2719" w:type="dxa"/>
            <w:shd w:val="clear" w:color="auto" w:fill="8DB3E2" w:themeFill="text2" w:themeFillTint="66"/>
            <w:vAlign w:val="center"/>
          </w:tcPr>
          <w:p w14:paraId="6CE977EC" w14:textId="77777777" w:rsidR="004E6D7D" w:rsidRPr="008B69DC" w:rsidRDefault="004E6D7D" w:rsidP="008B69DC">
            <w:pPr>
              <w:pStyle w:val="Default"/>
              <w:jc w:val="center"/>
              <w:rPr>
                <w:rFonts w:asciiTheme="majorHAnsi" w:eastAsiaTheme="majorEastAsia" w:hAnsiTheme="majorHAnsi" w:cstheme="majorBidi"/>
                <w:b/>
                <w:color w:val="auto"/>
                <w:lang w:eastAsia="es-ES"/>
              </w:rPr>
            </w:pPr>
            <w:r w:rsidRPr="008B69DC">
              <w:rPr>
                <w:rFonts w:asciiTheme="majorHAnsi" w:eastAsiaTheme="majorEastAsia" w:hAnsiTheme="majorHAnsi" w:cstheme="majorBidi"/>
                <w:b/>
                <w:color w:val="auto"/>
                <w:lang w:eastAsia="es-ES"/>
              </w:rPr>
              <w:t>Porcentaje a aplicar</w:t>
            </w:r>
          </w:p>
        </w:tc>
      </w:tr>
      <w:tr w:rsidR="004E6D7D" w:rsidRPr="008B69DC" w14:paraId="5DC51872" w14:textId="77777777" w:rsidTr="008B69DC">
        <w:trPr>
          <w:trHeight w:val="318"/>
          <w:jc w:val="center"/>
        </w:trPr>
        <w:tc>
          <w:tcPr>
            <w:tcW w:w="2830" w:type="dxa"/>
          </w:tcPr>
          <w:p w14:paraId="52300724" w14:textId="615A1C8E"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 de abril de 2016</w:t>
            </w:r>
          </w:p>
        </w:tc>
        <w:tc>
          <w:tcPr>
            <w:tcW w:w="2719" w:type="dxa"/>
          </w:tcPr>
          <w:p w14:paraId="178ED66F"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70%</w:t>
            </w:r>
          </w:p>
        </w:tc>
      </w:tr>
      <w:tr w:rsidR="004E6D7D" w:rsidRPr="008B69DC" w14:paraId="254EF6AD" w14:textId="77777777" w:rsidTr="008B69DC">
        <w:trPr>
          <w:trHeight w:val="326"/>
          <w:jc w:val="center"/>
        </w:trPr>
        <w:tc>
          <w:tcPr>
            <w:tcW w:w="2830" w:type="dxa"/>
          </w:tcPr>
          <w:p w14:paraId="1CA63894" w14:textId="590663A4"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 de noviembre de 2016</w:t>
            </w:r>
          </w:p>
        </w:tc>
        <w:tc>
          <w:tcPr>
            <w:tcW w:w="2719" w:type="dxa"/>
          </w:tcPr>
          <w:p w14:paraId="2FD54F46" w14:textId="652969E3"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77,28%</w:t>
            </w:r>
          </w:p>
        </w:tc>
      </w:tr>
      <w:tr w:rsidR="004E6D7D" w:rsidRPr="008B69DC" w14:paraId="5CF13340" w14:textId="77777777" w:rsidTr="008B69DC">
        <w:trPr>
          <w:trHeight w:val="279"/>
          <w:jc w:val="center"/>
        </w:trPr>
        <w:tc>
          <w:tcPr>
            <w:tcW w:w="2830" w:type="dxa"/>
          </w:tcPr>
          <w:p w14:paraId="6D47A920"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 de abril de 2017</w:t>
            </w:r>
          </w:p>
        </w:tc>
        <w:tc>
          <w:tcPr>
            <w:tcW w:w="2719" w:type="dxa"/>
          </w:tcPr>
          <w:p w14:paraId="7130170D"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80%</w:t>
            </w:r>
          </w:p>
        </w:tc>
      </w:tr>
      <w:tr w:rsidR="004E6D7D" w:rsidRPr="008B69DC" w14:paraId="5A42CAEF" w14:textId="77777777" w:rsidTr="008B69DC">
        <w:trPr>
          <w:trHeight w:val="264"/>
          <w:jc w:val="center"/>
        </w:trPr>
        <w:tc>
          <w:tcPr>
            <w:tcW w:w="2830" w:type="dxa"/>
          </w:tcPr>
          <w:p w14:paraId="2C47FCE3"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 de abril de 2018</w:t>
            </w:r>
          </w:p>
        </w:tc>
        <w:tc>
          <w:tcPr>
            <w:tcW w:w="2719" w:type="dxa"/>
          </w:tcPr>
          <w:p w14:paraId="60BD53C0"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90%</w:t>
            </w:r>
          </w:p>
        </w:tc>
      </w:tr>
      <w:tr w:rsidR="004E6D7D" w:rsidRPr="008B69DC" w14:paraId="4660404F" w14:textId="77777777" w:rsidTr="008B69DC">
        <w:trPr>
          <w:trHeight w:val="264"/>
          <w:jc w:val="center"/>
        </w:trPr>
        <w:tc>
          <w:tcPr>
            <w:tcW w:w="2830" w:type="dxa"/>
          </w:tcPr>
          <w:p w14:paraId="4F701907"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 de abril de 2019</w:t>
            </w:r>
          </w:p>
        </w:tc>
        <w:tc>
          <w:tcPr>
            <w:tcW w:w="2719" w:type="dxa"/>
          </w:tcPr>
          <w:p w14:paraId="1A7CF218" w14:textId="77777777" w:rsidR="004E6D7D" w:rsidRPr="008B69DC" w:rsidRDefault="004E6D7D" w:rsidP="008B69DC">
            <w:pPr>
              <w:pStyle w:val="Default"/>
              <w:jc w:val="both"/>
              <w:rPr>
                <w:rFonts w:asciiTheme="majorHAnsi" w:eastAsiaTheme="majorEastAsia" w:hAnsiTheme="majorHAnsi" w:cstheme="majorBidi"/>
                <w:color w:val="auto"/>
                <w:lang w:eastAsia="es-ES"/>
              </w:rPr>
            </w:pPr>
            <w:r w:rsidRPr="008B69DC">
              <w:rPr>
                <w:rFonts w:asciiTheme="majorHAnsi" w:eastAsiaTheme="majorEastAsia" w:hAnsiTheme="majorHAnsi" w:cstheme="majorBidi"/>
                <w:color w:val="auto"/>
                <w:lang w:eastAsia="es-ES"/>
              </w:rPr>
              <w:t>100%</w:t>
            </w:r>
          </w:p>
        </w:tc>
      </w:tr>
    </w:tbl>
    <w:p w14:paraId="758FFC60" w14:textId="0821BD49" w:rsidR="004E6D7D" w:rsidRPr="008B69DC" w:rsidRDefault="004E6D7D" w:rsidP="008B69DC">
      <w:pPr>
        <w:pStyle w:val="Textoindependiente"/>
        <w:spacing w:after="0" w:line="240" w:lineRule="auto"/>
        <w:jc w:val="both"/>
        <w:rPr>
          <w:rFonts w:asciiTheme="majorHAnsi" w:hAnsiTheme="majorHAnsi"/>
          <w:b/>
          <w:sz w:val="24"/>
          <w:szCs w:val="24"/>
          <w:lang w:val="es-CR"/>
        </w:rPr>
      </w:pPr>
    </w:p>
    <w:p w14:paraId="2FD1DB5F" w14:textId="43C90D90" w:rsidR="004E6D7D" w:rsidRPr="008B69DC" w:rsidRDefault="004E6D7D" w:rsidP="008B69DC">
      <w:pPr>
        <w:widowControl w:val="0"/>
        <w:jc w:val="both"/>
        <w:rPr>
          <w:rFonts w:asciiTheme="majorHAnsi" w:hAnsiTheme="majorHAnsi"/>
          <w:bCs/>
        </w:rPr>
      </w:pPr>
      <w:r w:rsidRPr="008B69DC">
        <w:rPr>
          <w:rFonts w:asciiTheme="majorHAnsi" w:hAnsiTheme="majorHAnsi"/>
          <w:bCs/>
        </w:rPr>
        <w:t>Las entidades de seguros, si es de su interés, podrán presentar un reproceso del cálculo de la provisión matemática  y del modelo de saldos contables al 31 de octubre de 2016,</w:t>
      </w:r>
      <w:r w:rsidR="00160EDF" w:rsidRPr="008B69DC">
        <w:rPr>
          <w:rFonts w:asciiTheme="majorHAnsi" w:hAnsiTheme="majorHAnsi"/>
          <w:bCs/>
        </w:rPr>
        <w:t xml:space="preserve"> utilizando el porcentaje vigente a partir del 1° de noviembre de 2016.  Dicha g</w:t>
      </w:r>
      <w:r w:rsidRPr="008B69DC">
        <w:rPr>
          <w:rFonts w:asciiTheme="majorHAnsi" w:hAnsiTheme="majorHAnsi"/>
          <w:bCs/>
        </w:rPr>
        <w:t xml:space="preserve">estión </w:t>
      </w:r>
      <w:r w:rsidR="00E630C1" w:rsidRPr="008B69DC">
        <w:rPr>
          <w:rFonts w:asciiTheme="majorHAnsi" w:hAnsiTheme="majorHAnsi"/>
          <w:bCs/>
        </w:rPr>
        <w:t>s</w:t>
      </w:r>
      <w:r w:rsidRPr="008B69DC">
        <w:rPr>
          <w:rFonts w:asciiTheme="majorHAnsi" w:hAnsiTheme="majorHAnsi"/>
          <w:bCs/>
        </w:rPr>
        <w:t xml:space="preserve">e podrá </w:t>
      </w:r>
      <w:r w:rsidR="00E630C1" w:rsidRPr="008B69DC">
        <w:rPr>
          <w:rFonts w:asciiTheme="majorHAnsi" w:hAnsiTheme="majorHAnsi"/>
          <w:bCs/>
        </w:rPr>
        <w:t xml:space="preserve">realizar </w:t>
      </w:r>
      <w:r w:rsidRPr="008B69DC">
        <w:rPr>
          <w:rFonts w:asciiTheme="majorHAnsi" w:hAnsiTheme="majorHAnsi"/>
          <w:bCs/>
        </w:rPr>
        <w:t>en los tres días hábiles siguientes a la comunicación de este acuerdo.</w:t>
      </w:r>
    </w:p>
    <w:p w14:paraId="708BB1F1" w14:textId="7CBC80E7" w:rsidR="00750FB9" w:rsidRPr="008B69DC" w:rsidRDefault="00750FB9" w:rsidP="008B69DC">
      <w:pPr>
        <w:jc w:val="both"/>
        <w:rPr>
          <w:rFonts w:asciiTheme="majorHAnsi" w:hAnsiTheme="majorHAnsi"/>
          <w:b/>
        </w:rPr>
      </w:pPr>
    </w:p>
    <w:p w14:paraId="612CEFE8" w14:textId="2CE38071" w:rsidR="004E6D7D" w:rsidRPr="008B69DC" w:rsidRDefault="00750FB9" w:rsidP="008B69DC">
      <w:pPr>
        <w:jc w:val="both"/>
        <w:rPr>
          <w:rFonts w:asciiTheme="majorHAnsi" w:hAnsiTheme="majorHAnsi"/>
          <w:bCs/>
          <w:lang w:val="es-CR"/>
        </w:rPr>
      </w:pPr>
      <w:r w:rsidRPr="008B69DC">
        <w:rPr>
          <w:rFonts w:asciiTheme="majorHAnsi" w:hAnsiTheme="majorHAnsi"/>
          <w:b/>
          <w:bCs/>
        </w:rPr>
        <w:t>SEGUNDO</w:t>
      </w:r>
      <w:r w:rsidRPr="008B69DC">
        <w:rPr>
          <w:rFonts w:asciiTheme="majorHAnsi" w:hAnsiTheme="majorHAnsi"/>
          <w:b/>
          <w:bCs/>
          <w:lang w:val="es-CR"/>
        </w:rPr>
        <w:t>:</w:t>
      </w:r>
      <w:r w:rsidRPr="008B69DC">
        <w:rPr>
          <w:rFonts w:asciiTheme="majorHAnsi" w:hAnsiTheme="majorHAnsi"/>
          <w:bCs/>
          <w:lang w:val="es-CR"/>
        </w:rPr>
        <w:t xml:space="preserve"> </w:t>
      </w:r>
      <w:r w:rsidR="004E6D7D" w:rsidRPr="008B69DC">
        <w:rPr>
          <w:rFonts w:asciiTheme="majorHAnsi" w:hAnsiTheme="majorHAnsi"/>
          <w:bCs/>
          <w:lang w:val="es-CR"/>
        </w:rPr>
        <w:t xml:space="preserve">  Eliminar los transitorios II y III del Acuerdo de Superintendente SGS-DES-A-029-2013,   por cuanto su vigencia ha caducado.</w:t>
      </w:r>
    </w:p>
    <w:p w14:paraId="1887CD81" w14:textId="77777777" w:rsidR="004E6D7D" w:rsidRPr="008B69DC" w:rsidRDefault="004E6D7D" w:rsidP="008B69DC">
      <w:pPr>
        <w:jc w:val="both"/>
        <w:rPr>
          <w:rFonts w:asciiTheme="majorHAnsi" w:hAnsiTheme="majorHAnsi"/>
          <w:bCs/>
          <w:lang w:val="es-CR"/>
        </w:rPr>
      </w:pPr>
    </w:p>
    <w:p w14:paraId="3A365540" w14:textId="13FC8AF9" w:rsidR="00750FB9" w:rsidRPr="008B69DC" w:rsidRDefault="004E6D7D" w:rsidP="008B69DC">
      <w:pPr>
        <w:jc w:val="both"/>
        <w:rPr>
          <w:rFonts w:asciiTheme="majorHAnsi" w:hAnsiTheme="majorHAnsi"/>
          <w:bCs/>
          <w:lang w:val="es-CR"/>
        </w:rPr>
      </w:pPr>
      <w:r w:rsidRPr="008B69DC">
        <w:rPr>
          <w:rFonts w:asciiTheme="majorHAnsi" w:hAnsiTheme="majorHAnsi"/>
          <w:b/>
          <w:bCs/>
          <w:lang w:val="es-CR"/>
        </w:rPr>
        <w:t>TERCERO</w:t>
      </w:r>
      <w:r w:rsidRPr="008B69DC">
        <w:rPr>
          <w:rFonts w:asciiTheme="majorHAnsi" w:hAnsiTheme="majorHAnsi"/>
          <w:bCs/>
          <w:lang w:val="es-CR"/>
        </w:rPr>
        <w:t xml:space="preserve">: </w:t>
      </w:r>
      <w:r w:rsidR="00750FB9" w:rsidRPr="008B69DC">
        <w:rPr>
          <w:rFonts w:asciiTheme="majorHAnsi" w:hAnsiTheme="majorHAnsi"/>
          <w:bCs/>
          <w:lang w:val="es-CR"/>
        </w:rPr>
        <w:t>Actualizar la versión publicada del Acuerdo de Superintendente SGS-DES-A-029-2013 para incluir las modificaciones señaladas en este acuerdo.</w:t>
      </w:r>
    </w:p>
    <w:p w14:paraId="517144E7" w14:textId="77777777" w:rsidR="00750FB9" w:rsidRPr="008B69DC" w:rsidRDefault="00750FB9" w:rsidP="008B69DC">
      <w:pPr>
        <w:jc w:val="both"/>
        <w:rPr>
          <w:rFonts w:asciiTheme="majorHAnsi" w:hAnsiTheme="majorHAnsi"/>
          <w:bCs/>
        </w:rPr>
      </w:pPr>
    </w:p>
    <w:p w14:paraId="016D24CB" w14:textId="77777777" w:rsidR="00750FB9" w:rsidRPr="008B69DC" w:rsidRDefault="00750FB9" w:rsidP="008B69DC">
      <w:pPr>
        <w:jc w:val="both"/>
        <w:rPr>
          <w:rFonts w:asciiTheme="majorHAnsi" w:hAnsiTheme="majorHAnsi"/>
          <w:bCs/>
        </w:rPr>
      </w:pPr>
    </w:p>
    <w:p w14:paraId="53292F2D" w14:textId="77777777" w:rsidR="00750FB9" w:rsidRPr="008B69DC" w:rsidRDefault="00750FB9" w:rsidP="008B69DC">
      <w:pPr>
        <w:jc w:val="both"/>
        <w:rPr>
          <w:rFonts w:asciiTheme="majorHAnsi" w:hAnsiTheme="majorHAnsi"/>
        </w:rPr>
      </w:pPr>
      <w:r w:rsidRPr="008B69DC">
        <w:rPr>
          <w:rFonts w:asciiTheme="majorHAnsi" w:hAnsiTheme="majorHAnsi"/>
          <w:bCs/>
        </w:rPr>
        <w:t>Rige a partir de su notificación.</w:t>
      </w:r>
    </w:p>
    <w:p w14:paraId="6E03AA5C" w14:textId="77777777" w:rsidR="00750FB9" w:rsidRDefault="00750FB9" w:rsidP="008B69DC">
      <w:pPr>
        <w:jc w:val="both"/>
        <w:rPr>
          <w:rFonts w:asciiTheme="majorHAnsi" w:hAnsiTheme="majorHAnsi"/>
        </w:rPr>
      </w:pPr>
    </w:p>
    <w:p w14:paraId="692BCACD" w14:textId="1956965A" w:rsidR="00B54C08" w:rsidRDefault="00B54C08" w:rsidP="008B69DC">
      <w:pPr>
        <w:jc w:val="both"/>
        <w:rPr>
          <w:rFonts w:asciiTheme="majorHAnsi" w:hAnsiTheme="majorHAnsi"/>
        </w:rPr>
      </w:pPr>
    </w:p>
    <w:p w14:paraId="6634F98D" w14:textId="77777777" w:rsidR="00B54C08" w:rsidRPr="008B69DC" w:rsidRDefault="00B54C08" w:rsidP="008B69DC">
      <w:pPr>
        <w:jc w:val="both"/>
        <w:rPr>
          <w:rFonts w:asciiTheme="majorHAnsi" w:hAnsiTheme="majorHAnsi"/>
        </w:rPr>
      </w:pPr>
    </w:p>
    <w:p w14:paraId="5999A4FA" w14:textId="5F3EFB97" w:rsidR="005A1442" w:rsidRPr="008B69DC" w:rsidRDefault="00750FB9" w:rsidP="00B54C08">
      <w:pPr>
        <w:jc w:val="both"/>
        <w:rPr>
          <w:rFonts w:asciiTheme="majorHAnsi" w:hAnsiTheme="majorHAnsi"/>
        </w:rPr>
      </w:pPr>
      <w:r w:rsidRPr="008B69DC">
        <w:rPr>
          <w:rFonts w:asciiTheme="majorHAnsi" w:hAnsiTheme="majorHAnsi"/>
          <w:noProof/>
          <w:lang w:val="es-CR" w:eastAsia="es-CR"/>
        </w:rPr>
        <w:drawing>
          <wp:inline distT="0" distB="0" distL="0" distR="0" wp14:anchorId="4B4BBBD9" wp14:editId="33724E32">
            <wp:extent cx="2658108" cy="547998"/>
            <wp:effectExtent l="0" t="0" r="0" b="5080"/>
            <wp:docPr id="1" name="0 Imagen"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00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8108" cy="547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sectPr w:rsidR="005A1442" w:rsidRPr="008B69DC" w:rsidSect="008B69DC">
      <w:headerReference w:type="default" r:id="rId12"/>
      <w:footerReference w:type="default" r:id="rId13"/>
      <w:headerReference w:type="first" r:id="rId14"/>
      <w:footerReference w:type="first" r:id="rId15"/>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DC4D" w14:textId="77777777" w:rsidR="00750FB9" w:rsidRDefault="00750FB9" w:rsidP="005A1442">
      <w:r>
        <w:separator/>
      </w:r>
    </w:p>
  </w:endnote>
  <w:endnote w:type="continuationSeparator" w:id="0">
    <w:p w14:paraId="356C3D2B" w14:textId="77777777" w:rsidR="00750FB9" w:rsidRDefault="00750FB9" w:rsidP="005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5EDB2" w14:textId="77777777" w:rsidR="005A1442" w:rsidRDefault="005A1442" w:rsidP="005A1442">
    <w:pPr>
      <w:pStyle w:val="Piedepgina"/>
      <w:pBdr>
        <w:top w:val="single" w:sz="4" w:space="1" w:color="auto"/>
      </w:pBdr>
      <w:rPr>
        <w:sz w:val="16"/>
        <w:szCs w:val="16"/>
      </w:rPr>
    </w:pPr>
  </w:p>
  <w:p w14:paraId="59DCB289" w14:textId="77777777" w:rsidR="005A1442" w:rsidRDefault="005A1442" w:rsidP="005A1442">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Teléfonos: 2243-5108</w:t>
    </w:r>
    <w:r>
      <w:rPr>
        <w:rFonts w:ascii="Baskerville Old Face" w:hAnsi="Baskerville Old Face"/>
        <w:sz w:val="18"/>
        <w:szCs w:val="18"/>
      </w:rPr>
      <w:t xml:space="preserve">, </w:t>
    </w:r>
    <w:r w:rsidRPr="00121F8C">
      <w:rPr>
        <w:rFonts w:ascii="Baskerville Old Face" w:hAnsi="Baskerville Old Face"/>
        <w:sz w:val="18"/>
        <w:szCs w:val="18"/>
      </w:rPr>
      <w:t>2243-5103  •  Fax: 2243-5151</w:t>
    </w:r>
  </w:p>
  <w:p w14:paraId="02BA08B1" w14:textId="77777777" w:rsidR="005A1442" w:rsidRDefault="005A1442" w:rsidP="005A1442">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Dirección: Edificio Torre del Este, Piso 8</w:t>
    </w:r>
  </w:p>
  <w:p w14:paraId="35EC1663" w14:textId="77777777" w:rsidR="005A1442" w:rsidRPr="005A1442" w:rsidRDefault="0018217B" w:rsidP="005A1442">
    <w:pPr>
      <w:pStyle w:val="Piedepgina"/>
      <w:tabs>
        <w:tab w:val="clear" w:pos="8838"/>
      </w:tabs>
      <w:jc w:val="right"/>
      <w:rPr>
        <w:rFonts w:ascii="Baskerville Old Face" w:hAnsi="Baskerville Old Face"/>
        <w:sz w:val="18"/>
        <w:szCs w:val="18"/>
      </w:rPr>
    </w:pPr>
    <w:hyperlink r:id="rId1" w:history="1">
      <w:r w:rsidR="005A1442" w:rsidRPr="00121F8C">
        <w:rPr>
          <w:rStyle w:val="Hipervnculo"/>
          <w:rFonts w:ascii="Baskerville Old Face" w:hAnsi="Baskerville Old Face"/>
          <w:sz w:val="18"/>
          <w:szCs w:val="18"/>
        </w:rPr>
        <w:t>sugese@sugese.fi.cr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3D2B5" w14:textId="77777777" w:rsidR="0038157B" w:rsidRDefault="0038157B" w:rsidP="0038157B">
    <w:pPr>
      <w:pStyle w:val="Piedepgina"/>
      <w:pBdr>
        <w:top w:val="single" w:sz="4" w:space="1" w:color="auto"/>
      </w:pBdr>
      <w:rPr>
        <w:sz w:val="16"/>
        <w:szCs w:val="16"/>
      </w:rPr>
    </w:pPr>
  </w:p>
  <w:p w14:paraId="4A47337C" w14:textId="77777777" w:rsidR="0038157B" w:rsidRDefault="0038157B" w:rsidP="0038157B">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Teléfonos: 2243-5108</w:t>
    </w:r>
    <w:r>
      <w:rPr>
        <w:rFonts w:ascii="Baskerville Old Face" w:hAnsi="Baskerville Old Face"/>
        <w:sz w:val="18"/>
        <w:szCs w:val="18"/>
      </w:rPr>
      <w:t xml:space="preserve">, </w:t>
    </w:r>
    <w:r w:rsidRPr="00121F8C">
      <w:rPr>
        <w:rFonts w:ascii="Baskerville Old Face" w:hAnsi="Baskerville Old Face"/>
        <w:sz w:val="18"/>
        <w:szCs w:val="18"/>
      </w:rPr>
      <w:t>2243-5103  •  Fax: 2243-5151</w:t>
    </w:r>
  </w:p>
  <w:p w14:paraId="288EEBB3" w14:textId="77777777" w:rsidR="0038157B" w:rsidRDefault="0038157B" w:rsidP="0038157B">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Dirección: Edificio Torre del Este, Piso 8</w:t>
    </w:r>
  </w:p>
  <w:p w14:paraId="0DF4E8BA" w14:textId="77777777" w:rsidR="0038157B" w:rsidRPr="0038157B" w:rsidRDefault="0018217B" w:rsidP="0038157B">
    <w:pPr>
      <w:pStyle w:val="Piedepgina"/>
      <w:tabs>
        <w:tab w:val="clear" w:pos="8838"/>
      </w:tabs>
      <w:jc w:val="right"/>
      <w:rPr>
        <w:rFonts w:ascii="Baskerville Old Face" w:hAnsi="Baskerville Old Face"/>
        <w:sz w:val="18"/>
        <w:szCs w:val="18"/>
      </w:rPr>
    </w:pPr>
    <w:hyperlink r:id="rId1" w:history="1">
      <w:r w:rsidR="0038157B" w:rsidRPr="00121F8C">
        <w:rPr>
          <w:rStyle w:val="Hipervnculo"/>
          <w:rFonts w:ascii="Baskerville Old Face" w:hAnsi="Baskerville Old Face"/>
          <w:sz w:val="18"/>
          <w:szCs w:val="18"/>
        </w:rPr>
        <w:t>sugese@sugese.fi.cr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EE174" w14:textId="77777777" w:rsidR="00750FB9" w:rsidRDefault="00750FB9" w:rsidP="005A1442">
      <w:r>
        <w:separator/>
      </w:r>
    </w:p>
  </w:footnote>
  <w:footnote w:type="continuationSeparator" w:id="0">
    <w:p w14:paraId="4B086AEC" w14:textId="77777777" w:rsidR="00750FB9" w:rsidRDefault="00750FB9" w:rsidP="005A1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AAEC" w14:textId="77777777" w:rsidR="00B54C08" w:rsidRPr="008B69DC" w:rsidRDefault="00B54C08" w:rsidP="00B54C08">
    <w:pPr>
      <w:pStyle w:val="Encabezado"/>
      <w:jc w:val="both"/>
      <w:rPr>
        <w:rFonts w:asciiTheme="majorHAnsi" w:hAnsiTheme="majorHAnsi"/>
        <w:sz w:val="24"/>
        <w:szCs w:val="24"/>
      </w:rPr>
    </w:pPr>
    <w:r w:rsidRPr="008B69DC">
      <w:rPr>
        <w:rFonts w:asciiTheme="majorHAnsi" w:hAnsiTheme="majorHAnsi"/>
        <w:noProof/>
        <w:sz w:val="24"/>
        <w:szCs w:val="24"/>
        <w:lang w:eastAsia="es-CR"/>
      </w:rPr>
      <mc:AlternateContent>
        <mc:Choice Requires="wps">
          <w:drawing>
            <wp:anchor distT="0" distB="0" distL="114300" distR="114300" simplePos="0" relativeHeight="251663360" behindDoc="0" locked="0" layoutInCell="1" allowOverlap="1" wp14:anchorId="3D4BEEB9" wp14:editId="2511F6EA">
              <wp:simplePos x="0" y="0"/>
              <wp:positionH relativeFrom="column">
                <wp:posOffset>4702175</wp:posOffset>
              </wp:positionH>
              <wp:positionV relativeFrom="paragraph">
                <wp:posOffset>-216535</wp:posOffset>
              </wp:positionV>
              <wp:extent cx="1230341" cy="1303193"/>
              <wp:effectExtent l="0" t="0" r="8255"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341" cy="1303193"/>
                      </a:xfrm>
                      <a:prstGeom prst="rect">
                        <a:avLst/>
                      </a:prstGeom>
                      <a:solidFill>
                        <a:srgbClr val="FFFFFF"/>
                      </a:solidFill>
                      <a:ln w="9525">
                        <a:noFill/>
                        <a:miter lim="800000"/>
                        <a:headEnd/>
                        <a:tailEnd/>
                      </a:ln>
                    </wps:spPr>
                    <wps:txbx>
                      <w:txbxContent>
                        <w:p w14:paraId="62E94B8A" w14:textId="77777777" w:rsidR="00B54C08" w:rsidRDefault="00B54C08" w:rsidP="00B54C08">
                          <w:pPr>
                            <w:pStyle w:val="Encabezado"/>
                            <w:jc w:val="center"/>
                            <w:rPr>
                              <w:rFonts w:ascii="Arial" w:hAnsi="Arial" w:cs="Arial"/>
                              <w:bCs/>
                              <w:i/>
                              <w:color w:val="808080" w:themeColor="background1" w:themeShade="80"/>
                              <w:sz w:val="16"/>
                              <w:szCs w:val="16"/>
                            </w:rPr>
                          </w:pPr>
                          <w:r>
                            <w:rPr>
                              <w:rFonts w:ascii="Arial" w:hAnsi="Arial" w:cs="Arial"/>
                              <w:bCs/>
                              <w:i/>
                              <w:noProof/>
                              <w:color w:val="808080" w:themeColor="background1" w:themeShade="80"/>
                              <w:sz w:val="16"/>
                              <w:szCs w:val="16"/>
                              <w:lang w:eastAsia="es-CR"/>
                            </w:rPr>
                            <w:drawing>
                              <wp:inline distT="0" distB="0" distL="0" distR="0" wp14:anchorId="35FC26F3" wp14:editId="256F1B2F">
                                <wp:extent cx="460020" cy="810491"/>
                                <wp:effectExtent l="0" t="0" r="0" b="889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459006" cy="808705"/>
                                        </a:xfrm>
                                        <a:prstGeom prst="rect">
                                          <a:avLst/>
                                        </a:prstGeom>
                                      </pic:spPr>
                                    </pic:pic>
                                  </a:graphicData>
                                </a:graphic>
                              </wp:inline>
                            </w:drawing>
                          </w:r>
                        </w:p>
                        <w:p w14:paraId="2B03DA74" w14:textId="77777777" w:rsidR="00B54C08" w:rsidRPr="00374377" w:rsidRDefault="00B54C08" w:rsidP="00B54C08">
                          <w:pPr>
                            <w:pStyle w:val="Encabezado"/>
                            <w:jc w:val="center"/>
                            <w:rPr>
                              <w:rFonts w:cstheme="minorHAnsi"/>
                              <w:bCs/>
                              <w:i/>
                              <w:color w:val="808080" w:themeColor="background1" w:themeShade="80"/>
                              <w:sz w:val="12"/>
                              <w:szCs w:val="12"/>
                            </w:rPr>
                          </w:pPr>
                          <w:r w:rsidRPr="00374377">
                            <w:rPr>
                              <w:rFonts w:cstheme="minorHAnsi"/>
                              <w:bCs/>
                              <w:i/>
                              <w:color w:val="808080" w:themeColor="background1" w:themeShade="80"/>
                              <w:sz w:val="12"/>
                              <w:szCs w:val="12"/>
                            </w:rPr>
                            <w:t xml:space="preserve">Sistema de Gestión de Calidad </w:t>
                          </w:r>
                        </w:p>
                        <w:p w14:paraId="4DE06E81" w14:textId="77777777" w:rsidR="00B54C08" w:rsidRPr="00374377" w:rsidRDefault="00B54C08" w:rsidP="00B54C08">
                          <w:pPr>
                            <w:pStyle w:val="Encabezado"/>
                            <w:jc w:val="center"/>
                            <w:rPr>
                              <w:rFonts w:cstheme="minorHAnsi"/>
                              <w:sz w:val="12"/>
                              <w:szCs w:val="12"/>
                            </w:rPr>
                          </w:pPr>
                          <w:r w:rsidRPr="00374377">
                            <w:rPr>
                              <w:rFonts w:cstheme="minorHAnsi"/>
                              <w:bCs/>
                              <w:i/>
                              <w:color w:val="808080" w:themeColor="background1" w:themeShade="80"/>
                              <w:sz w:val="12"/>
                              <w:szCs w:val="12"/>
                            </w:rPr>
                            <w:t>Certificado INTE-ISO 9001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BEEB9" id="_x0000_t202" coordsize="21600,21600" o:spt="202" path="m,l,21600r21600,l21600,xe">
              <v:stroke joinstyle="miter"/>
              <v:path gradientshapeok="t" o:connecttype="rect"/>
            </v:shapetype>
            <v:shape id="Cuadro de texto 2" o:spid="_x0000_s1026" type="#_x0000_t202" style="position:absolute;left:0;text-align:left;margin-left:370.25pt;margin-top:-17.05pt;width:96.9pt;height:10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" stroked="f">
              <v:textbox>
                <w:txbxContent>
                  <w:p w14:paraId="62E94B8A" w14:textId="77777777" w:rsidR="00B54C08" w:rsidRDefault="00B54C08" w:rsidP="00B54C08">
                    <w:pPr>
                      <w:pStyle w:val="Encabezado"/>
                      <w:jc w:val="center"/>
                      <w:rPr>
                        <w:rFonts w:ascii="Arial" w:hAnsi="Arial" w:cs="Arial"/>
                        <w:bCs/>
                        <w:i/>
                        <w:color w:val="808080" w:themeColor="background1" w:themeShade="80"/>
                        <w:sz w:val="16"/>
                        <w:szCs w:val="16"/>
                      </w:rPr>
                    </w:pPr>
                    <w:r>
                      <w:rPr>
                        <w:rFonts w:ascii="Arial" w:hAnsi="Arial" w:cs="Arial"/>
                        <w:bCs/>
                        <w:i/>
                        <w:noProof/>
                        <w:color w:val="808080" w:themeColor="background1" w:themeShade="80"/>
                        <w:sz w:val="16"/>
                        <w:szCs w:val="16"/>
                        <w:lang w:eastAsia="es-CR"/>
                      </w:rPr>
                      <w:drawing>
                        <wp:inline distT="0" distB="0" distL="0" distR="0" wp14:anchorId="35FC26F3" wp14:editId="256F1B2F">
                          <wp:extent cx="460020" cy="810491"/>
                          <wp:effectExtent l="0" t="0" r="0" b="889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
                                    <a:extLst>
                                      <a:ext uri="{28A0092B-C50C-407E-A947-70E740481C1C}">
                                        <a14:useLocalDpi xmlns:a14="http://schemas.microsoft.com/office/drawing/2010/main" val="0"/>
                                      </a:ext>
                                    </a:extLst>
                                  </a:blip>
                                  <a:stretch>
                                    <a:fillRect/>
                                  </a:stretch>
                                </pic:blipFill>
                                <pic:spPr>
                                  <a:xfrm>
                                    <a:off x="0" y="0"/>
                                    <a:ext cx="459006" cy="808705"/>
                                  </a:xfrm>
                                  <a:prstGeom prst="rect">
                                    <a:avLst/>
                                  </a:prstGeom>
                                </pic:spPr>
                              </pic:pic>
                            </a:graphicData>
                          </a:graphic>
                        </wp:inline>
                      </w:drawing>
                    </w:r>
                  </w:p>
                  <w:p w14:paraId="2B03DA74" w14:textId="77777777" w:rsidR="00B54C08" w:rsidRPr="00374377" w:rsidRDefault="00B54C08" w:rsidP="00B54C08">
                    <w:pPr>
                      <w:pStyle w:val="Encabezado"/>
                      <w:jc w:val="center"/>
                      <w:rPr>
                        <w:rFonts w:cstheme="minorHAnsi"/>
                        <w:bCs/>
                        <w:i/>
                        <w:color w:val="808080" w:themeColor="background1" w:themeShade="80"/>
                        <w:sz w:val="12"/>
                        <w:szCs w:val="12"/>
                      </w:rPr>
                    </w:pPr>
                    <w:r w:rsidRPr="00374377">
                      <w:rPr>
                        <w:rFonts w:cstheme="minorHAnsi"/>
                        <w:bCs/>
                        <w:i/>
                        <w:color w:val="808080" w:themeColor="background1" w:themeShade="80"/>
                        <w:sz w:val="12"/>
                        <w:szCs w:val="12"/>
                      </w:rPr>
                      <w:t xml:space="preserve">Sistema de Gestión de Calidad </w:t>
                    </w:r>
                  </w:p>
                  <w:p w14:paraId="4DE06E81" w14:textId="77777777" w:rsidR="00B54C08" w:rsidRPr="00374377" w:rsidRDefault="00B54C08" w:rsidP="00B54C08">
                    <w:pPr>
                      <w:pStyle w:val="Encabezado"/>
                      <w:jc w:val="center"/>
                      <w:rPr>
                        <w:rFonts w:cstheme="minorHAnsi"/>
                        <w:sz w:val="12"/>
                        <w:szCs w:val="12"/>
                      </w:rPr>
                    </w:pPr>
                    <w:r w:rsidRPr="00374377">
                      <w:rPr>
                        <w:rFonts w:cstheme="minorHAnsi"/>
                        <w:bCs/>
                        <w:i/>
                        <w:color w:val="808080" w:themeColor="background1" w:themeShade="80"/>
                        <w:sz w:val="12"/>
                        <w:szCs w:val="12"/>
                      </w:rPr>
                      <w:t>Certificado INTE-ISO 9001</w:t>
                    </w:r>
                  </w:p>
                </w:txbxContent>
              </v:textbox>
            </v:shape>
          </w:pict>
        </mc:Fallback>
      </mc:AlternateContent>
    </w:r>
    <w:r w:rsidRPr="008B69DC">
      <w:rPr>
        <w:rFonts w:asciiTheme="majorHAnsi" w:hAnsiTheme="majorHAnsi"/>
        <w:noProof/>
        <w:sz w:val="24"/>
        <w:szCs w:val="24"/>
        <w:lang w:eastAsia="es-CR"/>
      </w:rPr>
      <w:drawing>
        <wp:inline distT="0" distB="0" distL="0" distR="0" wp14:anchorId="3D3A4254" wp14:editId="7F0F69C0">
          <wp:extent cx="1209580" cy="971550"/>
          <wp:effectExtent l="19050" t="0" r="0" b="0"/>
          <wp:docPr id="8"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3"/>
                  <a:stretch>
                    <a:fillRect/>
                  </a:stretch>
                </pic:blipFill>
                <pic:spPr>
                  <a:xfrm>
                    <a:off x="0" y="0"/>
                    <a:ext cx="1209580" cy="971550"/>
                  </a:xfrm>
                  <a:prstGeom prst="rect">
                    <a:avLst/>
                  </a:prstGeom>
                </pic:spPr>
              </pic:pic>
            </a:graphicData>
          </a:graphic>
        </wp:inline>
      </w:drawing>
    </w:r>
  </w:p>
  <w:p w14:paraId="7413F932" w14:textId="77777777" w:rsidR="00B54C08" w:rsidRPr="008B69DC" w:rsidRDefault="00B54C08" w:rsidP="00B54C08">
    <w:pPr>
      <w:pStyle w:val="Encabezado"/>
      <w:jc w:val="right"/>
      <w:rPr>
        <w:rFonts w:asciiTheme="majorHAnsi" w:hAnsiTheme="majorHAnsi"/>
        <w:sz w:val="16"/>
        <w:szCs w:val="16"/>
      </w:rPr>
    </w:pPr>
  </w:p>
  <w:p w14:paraId="2D8975ED" w14:textId="29EC3223" w:rsidR="0038157B" w:rsidRPr="00B54C08" w:rsidRDefault="0038157B" w:rsidP="0038157B">
    <w:pPr>
      <w:pStyle w:val="Encabezado"/>
      <w:rPr>
        <w:rFonts w:asciiTheme="majorHAnsi" w:hAnsiTheme="majorHAnsi"/>
        <w:b/>
        <w:i/>
        <w:sz w:val="24"/>
        <w:szCs w:val="24"/>
        <w:lang w:val="es-MX"/>
      </w:rPr>
    </w:pPr>
    <w:r w:rsidRPr="00B54C08">
      <w:rPr>
        <w:rFonts w:asciiTheme="majorHAnsi" w:hAnsiTheme="majorHAnsi"/>
        <w:b/>
        <w:i/>
        <w:sz w:val="24"/>
        <w:szCs w:val="24"/>
        <w:lang w:val="es-MX"/>
      </w:rPr>
      <w:t>SGS-DES-</w:t>
    </w:r>
    <w:r w:rsidR="00B54C08">
      <w:rPr>
        <w:rFonts w:asciiTheme="majorHAnsi" w:hAnsiTheme="majorHAnsi"/>
        <w:b/>
        <w:i/>
        <w:sz w:val="24"/>
        <w:szCs w:val="24"/>
        <w:lang w:val="es-MX"/>
      </w:rPr>
      <w:t>A-</w:t>
    </w:r>
    <w:r w:rsidR="00C94ACE">
      <w:rPr>
        <w:rFonts w:asciiTheme="majorHAnsi" w:hAnsiTheme="majorHAnsi"/>
        <w:b/>
        <w:i/>
        <w:sz w:val="24"/>
        <w:szCs w:val="24"/>
        <w:lang w:val="es-MX"/>
      </w:rPr>
      <w:t>053</w:t>
    </w:r>
    <w:r w:rsidR="00B54C08">
      <w:rPr>
        <w:rFonts w:asciiTheme="majorHAnsi" w:hAnsiTheme="majorHAnsi"/>
        <w:b/>
        <w:i/>
        <w:sz w:val="24"/>
        <w:szCs w:val="24"/>
        <w:lang w:val="es-MX"/>
      </w:rPr>
      <w:t>-2016</w:t>
    </w:r>
  </w:p>
  <w:p w14:paraId="0D7DC41E" w14:textId="0A61A175" w:rsidR="0038157B" w:rsidRPr="00B54C08" w:rsidRDefault="00B54C08" w:rsidP="0038157B">
    <w:pPr>
      <w:pStyle w:val="Encabezado"/>
      <w:rPr>
        <w:rFonts w:asciiTheme="majorHAnsi" w:hAnsiTheme="majorHAnsi"/>
        <w:sz w:val="24"/>
        <w:szCs w:val="24"/>
        <w:lang w:val="es-MX"/>
      </w:rPr>
    </w:pPr>
    <w:r>
      <w:rPr>
        <w:rFonts w:asciiTheme="majorHAnsi" w:hAnsiTheme="majorHAnsi"/>
        <w:sz w:val="24"/>
        <w:szCs w:val="24"/>
        <w:lang w:val="es-MX"/>
      </w:rPr>
      <w:t>Página</w:t>
    </w:r>
    <w:r w:rsidR="0038157B" w:rsidRPr="00B54C08">
      <w:rPr>
        <w:rFonts w:asciiTheme="majorHAnsi" w:hAnsiTheme="majorHAnsi"/>
        <w:sz w:val="24"/>
        <w:szCs w:val="24"/>
        <w:lang w:val="es-MX"/>
      </w:rPr>
      <w:t xml:space="preserve"> </w:t>
    </w:r>
    <w:r w:rsidR="0038157B" w:rsidRPr="00B54C08">
      <w:rPr>
        <w:rFonts w:asciiTheme="majorHAnsi" w:hAnsiTheme="majorHAnsi"/>
        <w:sz w:val="24"/>
        <w:szCs w:val="24"/>
        <w:lang w:val="es-MX"/>
      </w:rPr>
      <w:fldChar w:fldCharType="begin"/>
    </w:r>
    <w:r w:rsidR="0038157B" w:rsidRPr="00B54C08">
      <w:rPr>
        <w:rFonts w:asciiTheme="majorHAnsi" w:hAnsiTheme="majorHAnsi"/>
        <w:sz w:val="24"/>
        <w:szCs w:val="24"/>
        <w:lang w:val="es-MX"/>
      </w:rPr>
      <w:instrText xml:space="preserve"> PAGE   \* MERGEFORMAT </w:instrText>
    </w:r>
    <w:r w:rsidR="0038157B" w:rsidRPr="00B54C08">
      <w:rPr>
        <w:rFonts w:asciiTheme="majorHAnsi" w:hAnsiTheme="majorHAnsi"/>
        <w:sz w:val="24"/>
        <w:szCs w:val="24"/>
        <w:lang w:val="es-MX"/>
      </w:rPr>
      <w:fldChar w:fldCharType="separate"/>
    </w:r>
    <w:r w:rsidR="0018217B">
      <w:rPr>
        <w:rFonts w:asciiTheme="majorHAnsi" w:hAnsiTheme="majorHAnsi"/>
        <w:noProof/>
        <w:sz w:val="24"/>
        <w:szCs w:val="24"/>
        <w:lang w:val="es-MX"/>
      </w:rPr>
      <w:t>4</w:t>
    </w:r>
    <w:r w:rsidR="0038157B" w:rsidRPr="00B54C08">
      <w:rPr>
        <w:rFonts w:asciiTheme="majorHAnsi" w:hAnsiTheme="majorHAnsi"/>
        <w:sz w:val="24"/>
        <w:szCs w:val="24"/>
        <w:lang w:val="es-MX"/>
      </w:rPr>
      <w:fldChar w:fldCharType="end"/>
    </w:r>
  </w:p>
  <w:p w14:paraId="2CD95D29" w14:textId="77777777" w:rsidR="0038157B" w:rsidRPr="00B54C08" w:rsidRDefault="0038157B">
    <w:pPr>
      <w:pStyle w:val="Encabezado"/>
      <w:rPr>
        <w:rFonts w:asciiTheme="majorHAnsi" w:hAnsiTheme="majorHAnsi"/>
        <w:sz w:val="24"/>
        <w:szCs w:val="2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534BF" w14:textId="77777777" w:rsidR="0038157B" w:rsidRPr="008B69DC" w:rsidRDefault="0038157B" w:rsidP="008B69DC">
    <w:pPr>
      <w:pStyle w:val="Encabezado"/>
      <w:jc w:val="both"/>
      <w:rPr>
        <w:rFonts w:asciiTheme="majorHAnsi" w:hAnsiTheme="majorHAnsi"/>
        <w:sz w:val="24"/>
        <w:szCs w:val="24"/>
      </w:rPr>
    </w:pPr>
    <w:r w:rsidRPr="008B69DC">
      <w:rPr>
        <w:rFonts w:asciiTheme="majorHAnsi" w:hAnsiTheme="majorHAnsi"/>
        <w:noProof/>
        <w:sz w:val="24"/>
        <w:szCs w:val="24"/>
        <w:lang w:eastAsia="es-CR"/>
      </w:rPr>
      <mc:AlternateContent>
        <mc:Choice Requires="wps">
          <w:drawing>
            <wp:anchor distT="0" distB="0" distL="114300" distR="114300" simplePos="0" relativeHeight="251653120" behindDoc="0" locked="0" layoutInCell="1" allowOverlap="1" wp14:anchorId="16FBDBAF" wp14:editId="699DA1A1">
              <wp:simplePos x="0" y="0"/>
              <wp:positionH relativeFrom="column">
                <wp:posOffset>4702175</wp:posOffset>
              </wp:positionH>
              <wp:positionV relativeFrom="paragraph">
                <wp:posOffset>-216535</wp:posOffset>
              </wp:positionV>
              <wp:extent cx="1230341" cy="1303193"/>
              <wp:effectExtent l="0" t="0" r="8255"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0341" cy="1303193"/>
                      </a:xfrm>
                      <a:prstGeom prst="rect">
                        <a:avLst/>
                      </a:prstGeom>
                      <a:solidFill>
                        <a:srgbClr val="FFFFFF"/>
                      </a:solidFill>
                      <a:ln w="9525">
                        <a:noFill/>
                        <a:miter lim="800000"/>
                        <a:headEnd/>
                        <a:tailEnd/>
                      </a:ln>
                    </wps:spPr>
                    <wps:txbx>
                      <w:txbxContent>
                        <w:p w14:paraId="056DB808" w14:textId="77777777" w:rsidR="0038157B" w:rsidRDefault="0038157B" w:rsidP="0038157B">
                          <w:pPr>
                            <w:pStyle w:val="Encabezado"/>
                            <w:jc w:val="center"/>
                            <w:rPr>
                              <w:rFonts w:ascii="Arial" w:hAnsi="Arial" w:cs="Arial"/>
                              <w:bCs/>
                              <w:i/>
                              <w:color w:val="808080" w:themeColor="background1" w:themeShade="80"/>
                              <w:sz w:val="16"/>
                              <w:szCs w:val="16"/>
                            </w:rPr>
                          </w:pPr>
                          <w:r>
                            <w:rPr>
                              <w:rFonts w:ascii="Arial" w:hAnsi="Arial" w:cs="Arial"/>
                              <w:bCs/>
                              <w:i/>
                              <w:noProof/>
                              <w:color w:val="808080" w:themeColor="background1" w:themeShade="80"/>
                              <w:sz w:val="16"/>
                              <w:szCs w:val="16"/>
                              <w:lang w:eastAsia="es-CR"/>
                            </w:rPr>
                            <w:drawing>
                              <wp:inline distT="0" distB="0" distL="0" distR="0" wp14:anchorId="23D8145C" wp14:editId="3391E05E">
                                <wp:extent cx="460020" cy="810491"/>
                                <wp:effectExtent l="0" t="0" r="0" b="889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459006" cy="808705"/>
                                        </a:xfrm>
                                        <a:prstGeom prst="rect">
                                          <a:avLst/>
                                        </a:prstGeom>
                                      </pic:spPr>
                                    </pic:pic>
                                  </a:graphicData>
                                </a:graphic>
                              </wp:inline>
                            </w:drawing>
                          </w:r>
                        </w:p>
                        <w:p w14:paraId="5D39C859" w14:textId="77777777" w:rsidR="0038157B" w:rsidRPr="00374377" w:rsidRDefault="0038157B" w:rsidP="0038157B">
                          <w:pPr>
                            <w:pStyle w:val="Encabezado"/>
                            <w:jc w:val="center"/>
                            <w:rPr>
                              <w:rFonts w:cstheme="minorHAnsi"/>
                              <w:bCs/>
                              <w:i/>
                              <w:color w:val="808080" w:themeColor="background1" w:themeShade="80"/>
                              <w:sz w:val="12"/>
                              <w:szCs w:val="12"/>
                            </w:rPr>
                          </w:pPr>
                          <w:r w:rsidRPr="00374377">
                            <w:rPr>
                              <w:rFonts w:cstheme="minorHAnsi"/>
                              <w:bCs/>
                              <w:i/>
                              <w:color w:val="808080" w:themeColor="background1" w:themeShade="80"/>
                              <w:sz w:val="12"/>
                              <w:szCs w:val="12"/>
                            </w:rPr>
                            <w:t xml:space="preserve">Sistema de Gestión de Calidad </w:t>
                          </w:r>
                        </w:p>
                        <w:p w14:paraId="0CC7D614" w14:textId="77777777" w:rsidR="0038157B" w:rsidRPr="00374377" w:rsidRDefault="0038157B" w:rsidP="0038157B">
                          <w:pPr>
                            <w:pStyle w:val="Encabezado"/>
                            <w:jc w:val="center"/>
                            <w:rPr>
                              <w:rFonts w:cstheme="minorHAnsi"/>
                              <w:sz w:val="12"/>
                              <w:szCs w:val="12"/>
                            </w:rPr>
                          </w:pPr>
                          <w:r w:rsidRPr="00374377">
                            <w:rPr>
                              <w:rFonts w:cstheme="minorHAnsi"/>
                              <w:bCs/>
                              <w:i/>
                              <w:color w:val="808080" w:themeColor="background1" w:themeShade="80"/>
                              <w:sz w:val="12"/>
                              <w:szCs w:val="12"/>
                            </w:rPr>
                            <w:t>Certificado INTE-ISO 9001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BDBAF" id="_x0000_t202" coordsize="21600,21600" o:spt="202" path="m,l,21600r21600,l21600,xe">
              <v:stroke joinstyle="miter"/>
              <v:path gradientshapeok="t" o:connecttype="rect"/>
            </v:shapetype>
            <v:shape id="_x0000_s1027" type="#_x0000_t202" style="position:absolute;left:0;text-align:left;margin-left:370.25pt;margin-top:-17.05pt;width:96.9pt;height:10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" stroked="f">
              <v:textbox>
                <w:txbxContent>
                  <w:p w14:paraId="056DB808" w14:textId="77777777" w:rsidR="0038157B" w:rsidRDefault="0038157B" w:rsidP="0038157B">
                    <w:pPr>
                      <w:pStyle w:val="Encabezado"/>
                      <w:jc w:val="center"/>
                      <w:rPr>
                        <w:rFonts w:ascii="Arial" w:hAnsi="Arial" w:cs="Arial"/>
                        <w:bCs/>
                        <w:i/>
                        <w:color w:val="808080" w:themeColor="background1" w:themeShade="80"/>
                        <w:sz w:val="16"/>
                        <w:szCs w:val="16"/>
                      </w:rPr>
                    </w:pPr>
                    <w:r>
                      <w:rPr>
                        <w:rFonts w:ascii="Arial" w:hAnsi="Arial" w:cs="Arial"/>
                        <w:bCs/>
                        <w:i/>
                        <w:noProof/>
                        <w:color w:val="808080" w:themeColor="background1" w:themeShade="80"/>
                        <w:sz w:val="16"/>
                        <w:szCs w:val="16"/>
                        <w:lang w:eastAsia="es-CR"/>
                      </w:rPr>
                      <w:drawing>
                        <wp:inline distT="0" distB="0" distL="0" distR="0" wp14:anchorId="23D8145C" wp14:editId="3391E05E">
                          <wp:extent cx="460020" cy="810491"/>
                          <wp:effectExtent l="0" t="0" r="0" b="889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
                                    <a:extLst>
                                      <a:ext uri="{28A0092B-C50C-407E-A947-70E740481C1C}">
                                        <a14:useLocalDpi xmlns:a14="http://schemas.microsoft.com/office/drawing/2010/main" val="0"/>
                                      </a:ext>
                                    </a:extLst>
                                  </a:blip>
                                  <a:stretch>
                                    <a:fillRect/>
                                  </a:stretch>
                                </pic:blipFill>
                                <pic:spPr>
                                  <a:xfrm>
                                    <a:off x="0" y="0"/>
                                    <a:ext cx="459006" cy="808705"/>
                                  </a:xfrm>
                                  <a:prstGeom prst="rect">
                                    <a:avLst/>
                                  </a:prstGeom>
                                </pic:spPr>
                              </pic:pic>
                            </a:graphicData>
                          </a:graphic>
                        </wp:inline>
                      </w:drawing>
                    </w:r>
                  </w:p>
                  <w:p w14:paraId="5D39C859" w14:textId="77777777" w:rsidR="0038157B" w:rsidRPr="00374377" w:rsidRDefault="0038157B" w:rsidP="0038157B">
                    <w:pPr>
                      <w:pStyle w:val="Encabezado"/>
                      <w:jc w:val="center"/>
                      <w:rPr>
                        <w:rFonts w:cstheme="minorHAnsi"/>
                        <w:bCs/>
                        <w:i/>
                        <w:color w:val="808080" w:themeColor="background1" w:themeShade="80"/>
                        <w:sz w:val="12"/>
                        <w:szCs w:val="12"/>
                      </w:rPr>
                    </w:pPr>
                    <w:r w:rsidRPr="00374377">
                      <w:rPr>
                        <w:rFonts w:cstheme="minorHAnsi"/>
                        <w:bCs/>
                        <w:i/>
                        <w:color w:val="808080" w:themeColor="background1" w:themeShade="80"/>
                        <w:sz w:val="12"/>
                        <w:szCs w:val="12"/>
                      </w:rPr>
                      <w:t xml:space="preserve">Sistema de Gestión de Calidad </w:t>
                    </w:r>
                  </w:p>
                  <w:p w14:paraId="0CC7D614" w14:textId="77777777" w:rsidR="0038157B" w:rsidRPr="00374377" w:rsidRDefault="0038157B" w:rsidP="0038157B">
                    <w:pPr>
                      <w:pStyle w:val="Encabezado"/>
                      <w:jc w:val="center"/>
                      <w:rPr>
                        <w:rFonts w:cstheme="minorHAnsi"/>
                        <w:sz w:val="12"/>
                        <w:szCs w:val="12"/>
                      </w:rPr>
                    </w:pPr>
                    <w:r w:rsidRPr="00374377">
                      <w:rPr>
                        <w:rFonts w:cstheme="minorHAnsi"/>
                        <w:bCs/>
                        <w:i/>
                        <w:color w:val="808080" w:themeColor="background1" w:themeShade="80"/>
                        <w:sz w:val="12"/>
                        <w:szCs w:val="12"/>
                      </w:rPr>
                      <w:t>Certificado INTE-ISO 9001</w:t>
                    </w:r>
                  </w:p>
                </w:txbxContent>
              </v:textbox>
            </v:shape>
          </w:pict>
        </mc:Fallback>
      </mc:AlternateContent>
    </w:r>
    <w:r w:rsidRPr="008B69DC">
      <w:rPr>
        <w:rFonts w:asciiTheme="majorHAnsi" w:hAnsiTheme="majorHAnsi"/>
        <w:noProof/>
        <w:sz w:val="24"/>
        <w:szCs w:val="24"/>
        <w:lang w:eastAsia="es-CR"/>
      </w:rPr>
      <w:drawing>
        <wp:inline distT="0" distB="0" distL="0" distR="0" wp14:anchorId="232D551C" wp14:editId="1D26D303">
          <wp:extent cx="1209580" cy="971550"/>
          <wp:effectExtent l="19050" t="0" r="0" b="0"/>
          <wp:docPr id="5"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3"/>
                  <a:stretch>
                    <a:fillRect/>
                  </a:stretch>
                </pic:blipFill>
                <pic:spPr>
                  <a:xfrm>
                    <a:off x="0" y="0"/>
                    <a:ext cx="1209580" cy="971550"/>
                  </a:xfrm>
                  <a:prstGeom prst="rect">
                    <a:avLst/>
                  </a:prstGeom>
                </pic:spPr>
              </pic:pic>
            </a:graphicData>
          </a:graphic>
        </wp:inline>
      </w:drawing>
    </w:r>
  </w:p>
  <w:p w14:paraId="175535F7" w14:textId="77777777" w:rsidR="0038157B" w:rsidRPr="008B69DC" w:rsidRDefault="0038157B" w:rsidP="008B69DC">
    <w:pPr>
      <w:pStyle w:val="Encabezado"/>
      <w:jc w:val="right"/>
      <w:rPr>
        <w:rFonts w:asciiTheme="majorHAnsi" w:hAnsiTheme="maj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53B8D"/>
    <w:multiLevelType w:val="hybridMultilevel"/>
    <w:tmpl w:val="DBF49E3E"/>
    <w:lvl w:ilvl="0" w:tplc="3218119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3CD7658"/>
    <w:multiLevelType w:val="hybridMultilevel"/>
    <w:tmpl w:val="C6044122"/>
    <w:lvl w:ilvl="0" w:tplc="3218119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72525AC"/>
    <w:multiLevelType w:val="hybridMultilevel"/>
    <w:tmpl w:val="01C08D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603350AF"/>
    <w:multiLevelType w:val="hybridMultilevel"/>
    <w:tmpl w:val="DBF49E3E"/>
    <w:lvl w:ilvl="0" w:tplc="32181194">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42"/>
    <w:rsid w:val="00003EEF"/>
    <w:rsid w:val="000076D1"/>
    <w:rsid w:val="000105FD"/>
    <w:rsid w:val="00015CC4"/>
    <w:rsid w:val="000230EC"/>
    <w:rsid w:val="00037F14"/>
    <w:rsid w:val="00043989"/>
    <w:rsid w:val="000476C1"/>
    <w:rsid w:val="00055413"/>
    <w:rsid w:val="00067CF6"/>
    <w:rsid w:val="000752F9"/>
    <w:rsid w:val="000760ED"/>
    <w:rsid w:val="00076C96"/>
    <w:rsid w:val="00083A78"/>
    <w:rsid w:val="0008604D"/>
    <w:rsid w:val="000A2288"/>
    <w:rsid w:val="000B2E1D"/>
    <w:rsid w:val="000C7644"/>
    <w:rsid w:val="000D4883"/>
    <w:rsid w:val="000F4177"/>
    <w:rsid w:val="00112325"/>
    <w:rsid w:val="00133DA2"/>
    <w:rsid w:val="00135FBF"/>
    <w:rsid w:val="00140B90"/>
    <w:rsid w:val="00146B1D"/>
    <w:rsid w:val="001551CB"/>
    <w:rsid w:val="00160EDF"/>
    <w:rsid w:val="00167B6E"/>
    <w:rsid w:val="0017138C"/>
    <w:rsid w:val="0018143B"/>
    <w:rsid w:val="0018217B"/>
    <w:rsid w:val="001A29D3"/>
    <w:rsid w:val="001A6FE9"/>
    <w:rsid w:val="001B3C85"/>
    <w:rsid w:val="001B6EE9"/>
    <w:rsid w:val="001C344D"/>
    <w:rsid w:val="001D2BCA"/>
    <w:rsid w:val="001F362F"/>
    <w:rsid w:val="002048C0"/>
    <w:rsid w:val="002218A1"/>
    <w:rsid w:val="00221996"/>
    <w:rsid w:val="00222862"/>
    <w:rsid w:val="00234ECC"/>
    <w:rsid w:val="002440B8"/>
    <w:rsid w:val="00247E9E"/>
    <w:rsid w:val="00267429"/>
    <w:rsid w:val="0028286F"/>
    <w:rsid w:val="00286975"/>
    <w:rsid w:val="00291CE7"/>
    <w:rsid w:val="002A04A2"/>
    <w:rsid w:val="002C3B80"/>
    <w:rsid w:val="002C3DDE"/>
    <w:rsid w:val="002C572C"/>
    <w:rsid w:val="002C76DF"/>
    <w:rsid w:val="002D7832"/>
    <w:rsid w:val="002E02EC"/>
    <w:rsid w:val="002E6AFE"/>
    <w:rsid w:val="002F22F3"/>
    <w:rsid w:val="002F2345"/>
    <w:rsid w:val="002F51B5"/>
    <w:rsid w:val="00304DCB"/>
    <w:rsid w:val="0030537C"/>
    <w:rsid w:val="00305398"/>
    <w:rsid w:val="00333BA8"/>
    <w:rsid w:val="00336659"/>
    <w:rsid w:val="00343523"/>
    <w:rsid w:val="00343D0D"/>
    <w:rsid w:val="003623F7"/>
    <w:rsid w:val="0036475D"/>
    <w:rsid w:val="00366016"/>
    <w:rsid w:val="003758F1"/>
    <w:rsid w:val="00376DE7"/>
    <w:rsid w:val="0038157B"/>
    <w:rsid w:val="00391C88"/>
    <w:rsid w:val="003A39BC"/>
    <w:rsid w:val="003A53B0"/>
    <w:rsid w:val="003B043B"/>
    <w:rsid w:val="003B6304"/>
    <w:rsid w:val="003B7CC2"/>
    <w:rsid w:val="003E469F"/>
    <w:rsid w:val="003E62CB"/>
    <w:rsid w:val="003E721F"/>
    <w:rsid w:val="004263F9"/>
    <w:rsid w:val="004277B9"/>
    <w:rsid w:val="00432474"/>
    <w:rsid w:val="00454C55"/>
    <w:rsid w:val="004658E1"/>
    <w:rsid w:val="00466B70"/>
    <w:rsid w:val="0047219D"/>
    <w:rsid w:val="004948D8"/>
    <w:rsid w:val="00495470"/>
    <w:rsid w:val="00496C81"/>
    <w:rsid w:val="004A03B7"/>
    <w:rsid w:val="004A495A"/>
    <w:rsid w:val="004B767D"/>
    <w:rsid w:val="004C4D3C"/>
    <w:rsid w:val="004D2EB0"/>
    <w:rsid w:val="004D7196"/>
    <w:rsid w:val="004E6D7D"/>
    <w:rsid w:val="004E7104"/>
    <w:rsid w:val="004F1A6E"/>
    <w:rsid w:val="004F5023"/>
    <w:rsid w:val="004F6969"/>
    <w:rsid w:val="0050151B"/>
    <w:rsid w:val="0050185B"/>
    <w:rsid w:val="00501E0F"/>
    <w:rsid w:val="005078E4"/>
    <w:rsid w:val="00514940"/>
    <w:rsid w:val="005241EE"/>
    <w:rsid w:val="00524C83"/>
    <w:rsid w:val="0053290C"/>
    <w:rsid w:val="00533746"/>
    <w:rsid w:val="005442FF"/>
    <w:rsid w:val="00545CD6"/>
    <w:rsid w:val="00556620"/>
    <w:rsid w:val="0056158A"/>
    <w:rsid w:val="0056224B"/>
    <w:rsid w:val="00576230"/>
    <w:rsid w:val="005A1442"/>
    <w:rsid w:val="005C5B11"/>
    <w:rsid w:val="005C69FA"/>
    <w:rsid w:val="005C7CD2"/>
    <w:rsid w:val="005D13DD"/>
    <w:rsid w:val="005E7FD4"/>
    <w:rsid w:val="005F395A"/>
    <w:rsid w:val="00602EC0"/>
    <w:rsid w:val="00604DED"/>
    <w:rsid w:val="00621BF4"/>
    <w:rsid w:val="00626ECF"/>
    <w:rsid w:val="00632C9E"/>
    <w:rsid w:val="006428F4"/>
    <w:rsid w:val="00646CD3"/>
    <w:rsid w:val="00650488"/>
    <w:rsid w:val="00650E64"/>
    <w:rsid w:val="00652E5B"/>
    <w:rsid w:val="0066556D"/>
    <w:rsid w:val="006655C3"/>
    <w:rsid w:val="006678C2"/>
    <w:rsid w:val="00671DEB"/>
    <w:rsid w:val="00672C4A"/>
    <w:rsid w:val="00673269"/>
    <w:rsid w:val="00674F4F"/>
    <w:rsid w:val="006772DD"/>
    <w:rsid w:val="006829C1"/>
    <w:rsid w:val="0068417D"/>
    <w:rsid w:val="006848D6"/>
    <w:rsid w:val="006943A2"/>
    <w:rsid w:val="006A1A25"/>
    <w:rsid w:val="006B4EA1"/>
    <w:rsid w:val="006C624C"/>
    <w:rsid w:val="006C76B1"/>
    <w:rsid w:val="006D0952"/>
    <w:rsid w:val="006E01DB"/>
    <w:rsid w:val="006E1EC2"/>
    <w:rsid w:val="006F4D20"/>
    <w:rsid w:val="00706543"/>
    <w:rsid w:val="00712FFB"/>
    <w:rsid w:val="00715BD0"/>
    <w:rsid w:val="007170ED"/>
    <w:rsid w:val="00725048"/>
    <w:rsid w:val="00725493"/>
    <w:rsid w:val="00726CEB"/>
    <w:rsid w:val="007272CC"/>
    <w:rsid w:val="007324F8"/>
    <w:rsid w:val="007327C9"/>
    <w:rsid w:val="0074198B"/>
    <w:rsid w:val="007437E6"/>
    <w:rsid w:val="00746E52"/>
    <w:rsid w:val="00750FB9"/>
    <w:rsid w:val="007636BD"/>
    <w:rsid w:val="00771580"/>
    <w:rsid w:val="00792726"/>
    <w:rsid w:val="007A0A2A"/>
    <w:rsid w:val="007A1E7F"/>
    <w:rsid w:val="007A22EA"/>
    <w:rsid w:val="007A2A51"/>
    <w:rsid w:val="007B04A5"/>
    <w:rsid w:val="007C19A7"/>
    <w:rsid w:val="007D2DAF"/>
    <w:rsid w:val="007E41E5"/>
    <w:rsid w:val="007E46F1"/>
    <w:rsid w:val="007E66C6"/>
    <w:rsid w:val="008022A8"/>
    <w:rsid w:val="0080328F"/>
    <w:rsid w:val="00821436"/>
    <w:rsid w:val="008259A0"/>
    <w:rsid w:val="008370FF"/>
    <w:rsid w:val="0084745C"/>
    <w:rsid w:val="0085586B"/>
    <w:rsid w:val="00857848"/>
    <w:rsid w:val="00857AD8"/>
    <w:rsid w:val="008605C0"/>
    <w:rsid w:val="00866B92"/>
    <w:rsid w:val="008704B7"/>
    <w:rsid w:val="008747C3"/>
    <w:rsid w:val="008778EF"/>
    <w:rsid w:val="00895D99"/>
    <w:rsid w:val="008962DC"/>
    <w:rsid w:val="00896B04"/>
    <w:rsid w:val="008974D8"/>
    <w:rsid w:val="008A3070"/>
    <w:rsid w:val="008A591C"/>
    <w:rsid w:val="008B69DC"/>
    <w:rsid w:val="008D17A9"/>
    <w:rsid w:val="008D2116"/>
    <w:rsid w:val="008D2BC8"/>
    <w:rsid w:val="00915452"/>
    <w:rsid w:val="00922C3E"/>
    <w:rsid w:val="00931297"/>
    <w:rsid w:val="00945EF5"/>
    <w:rsid w:val="00947CCD"/>
    <w:rsid w:val="0095414B"/>
    <w:rsid w:val="009565BF"/>
    <w:rsid w:val="00964169"/>
    <w:rsid w:val="00975A49"/>
    <w:rsid w:val="00987B3B"/>
    <w:rsid w:val="009A2106"/>
    <w:rsid w:val="009A6A84"/>
    <w:rsid w:val="009B35A6"/>
    <w:rsid w:val="009D11AB"/>
    <w:rsid w:val="009D5FAF"/>
    <w:rsid w:val="00A07AB5"/>
    <w:rsid w:val="00A12AE9"/>
    <w:rsid w:val="00A16168"/>
    <w:rsid w:val="00A2009B"/>
    <w:rsid w:val="00A33527"/>
    <w:rsid w:val="00A37C0C"/>
    <w:rsid w:val="00A46328"/>
    <w:rsid w:val="00A57156"/>
    <w:rsid w:val="00A66E6E"/>
    <w:rsid w:val="00A75BD1"/>
    <w:rsid w:val="00A8710B"/>
    <w:rsid w:val="00AA35AB"/>
    <w:rsid w:val="00AB1CD0"/>
    <w:rsid w:val="00AB33C3"/>
    <w:rsid w:val="00AC0D3F"/>
    <w:rsid w:val="00AD00BB"/>
    <w:rsid w:val="00AE0313"/>
    <w:rsid w:val="00AF37F5"/>
    <w:rsid w:val="00B04011"/>
    <w:rsid w:val="00B12501"/>
    <w:rsid w:val="00B21C1A"/>
    <w:rsid w:val="00B2475F"/>
    <w:rsid w:val="00B25C9B"/>
    <w:rsid w:val="00B300E9"/>
    <w:rsid w:val="00B32651"/>
    <w:rsid w:val="00B40526"/>
    <w:rsid w:val="00B45FD8"/>
    <w:rsid w:val="00B50514"/>
    <w:rsid w:val="00B54C08"/>
    <w:rsid w:val="00B6525F"/>
    <w:rsid w:val="00B826E2"/>
    <w:rsid w:val="00B910A3"/>
    <w:rsid w:val="00B95233"/>
    <w:rsid w:val="00B96A9E"/>
    <w:rsid w:val="00BA2A3A"/>
    <w:rsid w:val="00BA4095"/>
    <w:rsid w:val="00BA4EB8"/>
    <w:rsid w:val="00BB64F2"/>
    <w:rsid w:val="00BC2F23"/>
    <w:rsid w:val="00BD18FF"/>
    <w:rsid w:val="00BE08B6"/>
    <w:rsid w:val="00BE61CE"/>
    <w:rsid w:val="00BF28E2"/>
    <w:rsid w:val="00BF5BF7"/>
    <w:rsid w:val="00BF67A7"/>
    <w:rsid w:val="00C00485"/>
    <w:rsid w:val="00C05704"/>
    <w:rsid w:val="00C240F2"/>
    <w:rsid w:val="00C276E6"/>
    <w:rsid w:val="00C52BC9"/>
    <w:rsid w:val="00C64061"/>
    <w:rsid w:val="00C82150"/>
    <w:rsid w:val="00C846AA"/>
    <w:rsid w:val="00C85E4F"/>
    <w:rsid w:val="00C94ACE"/>
    <w:rsid w:val="00CA7870"/>
    <w:rsid w:val="00CA7AE4"/>
    <w:rsid w:val="00CB0CC5"/>
    <w:rsid w:val="00CC4427"/>
    <w:rsid w:val="00CC5D7F"/>
    <w:rsid w:val="00CE3032"/>
    <w:rsid w:val="00CF181A"/>
    <w:rsid w:val="00D06152"/>
    <w:rsid w:val="00D13047"/>
    <w:rsid w:val="00D15050"/>
    <w:rsid w:val="00D15CCE"/>
    <w:rsid w:val="00D20E5C"/>
    <w:rsid w:val="00D27227"/>
    <w:rsid w:val="00D332E9"/>
    <w:rsid w:val="00D36B9F"/>
    <w:rsid w:val="00D6484A"/>
    <w:rsid w:val="00D70C14"/>
    <w:rsid w:val="00D74E1D"/>
    <w:rsid w:val="00D84595"/>
    <w:rsid w:val="00D92485"/>
    <w:rsid w:val="00D92CD1"/>
    <w:rsid w:val="00DA2D4F"/>
    <w:rsid w:val="00DA5032"/>
    <w:rsid w:val="00DB041E"/>
    <w:rsid w:val="00DB1CE2"/>
    <w:rsid w:val="00DB4D57"/>
    <w:rsid w:val="00DB63A8"/>
    <w:rsid w:val="00DC1346"/>
    <w:rsid w:val="00DC26B0"/>
    <w:rsid w:val="00DC2FD3"/>
    <w:rsid w:val="00DD035E"/>
    <w:rsid w:val="00DD1A0E"/>
    <w:rsid w:val="00DD480F"/>
    <w:rsid w:val="00DD4EE4"/>
    <w:rsid w:val="00DF1CE6"/>
    <w:rsid w:val="00DF2BE9"/>
    <w:rsid w:val="00DF3ABA"/>
    <w:rsid w:val="00E04EAD"/>
    <w:rsid w:val="00E06E7D"/>
    <w:rsid w:val="00E06F9A"/>
    <w:rsid w:val="00E157FF"/>
    <w:rsid w:val="00E20D65"/>
    <w:rsid w:val="00E25B90"/>
    <w:rsid w:val="00E2643F"/>
    <w:rsid w:val="00E320DA"/>
    <w:rsid w:val="00E37A14"/>
    <w:rsid w:val="00E40FF3"/>
    <w:rsid w:val="00E42E5A"/>
    <w:rsid w:val="00E43276"/>
    <w:rsid w:val="00E51B7E"/>
    <w:rsid w:val="00E630C1"/>
    <w:rsid w:val="00E645D5"/>
    <w:rsid w:val="00E67EDC"/>
    <w:rsid w:val="00E75421"/>
    <w:rsid w:val="00E8166D"/>
    <w:rsid w:val="00E86F7B"/>
    <w:rsid w:val="00E913C9"/>
    <w:rsid w:val="00E93FB0"/>
    <w:rsid w:val="00EA03A0"/>
    <w:rsid w:val="00EA0A06"/>
    <w:rsid w:val="00EA1A46"/>
    <w:rsid w:val="00EB1C88"/>
    <w:rsid w:val="00EB5517"/>
    <w:rsid w:val="00EC0737"/>
    <w:rsid w:val="00EE5C1F"/>
    <w:rsid w:val="00EE6EF6"/>
    <w:rsid w:val="00EF0B3D"/>
    <w:rsid w:val="00EF5858"/>
    <w:rsid w:val="00F046DF"/>
    <w:rsid w:val="00F0751F"/>
    <w:rsid w:val="00F17004"/>
    <w:rsid w:val="00F1744F"/>
    <w:rsid w:val="00F178E2"/>
    <w:rsid w:val="00F17E74"/>
    <w:rsid w:val="00F30C6B"/>
    <w:rsid w:val="00F33704"/>
    <w:rsid w:val="00F34196"/>
    <w:rsid w:val="00F36332"/>
    <w:rsid w:val="00F41D5A"/>
    <w:rsid w:val="00F46E76"/>
    <w:rsid w:val="00F47064"/>
    <w:rsid w:val="00F5139D"/>
    <w:rsid w:val="00F5175B"/>
    <w:rsid w:val="00F611D6"/>
    <w:rsid w:val="00F615EE"/>
    <w:rsid w:val="00F6508B"/>
    <w:rsid w:val="00F84235"/>
    <w:rsid w:val="00F87AC4"/>
    <w:rsid w:val="00F952FA"/>
    <w:rsid w:val="00FA56C0"/>
    <w:rsid w:val="00FB6C78"/>
    <w:rsid w:val="00FC2DDB"/>
    <w:rsid w:val="00FC5636"/>
    <w:rsid w:val="00FC7C8A"/>
    <w:rsid w:val="00FD0685"/>
    <w:rsid w:val="00FE165F"/>
    <w:rsid w:val="00FE1C22"/>
    <w:rsid w:val="00FE3A47"/>
    <w:rsid w:val="00FF04D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9F4FC9"/>
  <w15:docId w15:val="{FA202D28-6252-4E35-8956-CFB65B35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5A1442"/>
  </w:style>
  <w:style w:type="paragraph" w:styleId="Piedepgina">
    <w:name w:val="footer"/>
    <w:basedOn w:val="Normal"/>
    <w:link w:val="PiedepginaCar"/>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rsid w:val="005A1442"/>
  </w:style>
  <w:style w:type="paragraph" w:styleId="Textodeglobo">
    <w:name w:val="Balloon Text"/>
    <w:basedOn w:val="Normal"/>
    <w:link w:val="TextodegloboCar"/>
    <w:uiPriority w:val="99"/>
    <w:semiHidden/>
    <w:unhideWhenUsed/>
    <w:rsid w:val="005A1442"/>
    <w:rPr>
      <w:rFonts w:ascii="Tahoma" w:eastAsiaTheme="minorHAnsi"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5A1442"/>
    <w:rPr>
      <w:rFonts w:ascii="Tahoma" w:hAnsi="Tahoma" w:cs="Tahoma"/>
      <w:sz w:val="16"/>
      <w:szCs w:val="16"/>
    </w:rPr>
  </w:style>
  <w:style w:type="character" w:styleId="Hipervnculo">
    <w:name w:val="Hyperlink"/>
    <w:basedOn w:val="Fuentedeprrafopredeter"/>
    <w:uiPriority w:val="99"/>
    <w:rsid w:val="005A1442"/>
    <w:rPr>
      <w:color w:val="0000FF"/>
      <w:u w:val="single"/>
    </w:rPr>
  </w:style>
  <w:style w:type="paragraph" w:styleId="Textoindependiente">
    <w:name w:val="Body Text"/>
    <w:basedOn w:val="Normal"/>
    <w:link w:val="TextoindependienteCar"/>
    <w:uiPriority w:val="99"/>
    <w:unhideWhenUsed/>
    <w:rsid w:val="00750FB9"/>
    <w:pPr>
      <w:spacing w:after="120" w:line="276" w:lineRule="auto"/>
    </w:pPr>
    <w:rPr>
      <w:rFonts w:ascii="Calibri" w:eastAsia="Calibri" w:hAnsi="Calibri"/>
      <w:sz w:val="22"/>
      <w:szCs w:val="22"/>
      <w:lang w:eastAsia="en-US"/>
    </w:rPr>
  </w:style>
  <w:style w:type="character" w:customStyle="1" w:styleId="TextoindependienteCar">
    <w:name w:val="Texto independiente Car"/>
    <w:basedOn w:val="Fuentedeprrafopredeter"/>
    <w:link w:val="Textoindependiente"/>
    <w:uiPriority w:val="99"/>
    <w:rsid w:val="00750FB9"/>
    <w:rPr>
      <w:rFonts w:ascii="Calibri" w:eastAsia="Calibri" w:hAnsi="Calibri" w:cs="Times New Roman"/>
      <w:lang w:val="es-ES"/>
    </w:rPr>
  </w:style>
  <w:style w:type="paragraph" w:styleId="Prrafodelista">
    <w:name w:val="List Paragraph"/>
    <w:basedOn w:val="Normal"/>
    <w:uiPriority w:val="34"/>
    <w:qFormat/>
    <w:rsid w:val="00750FB9"/>
    <w:pPr>
      <w:ind w:left="720"/>
      <w:contextualSpacing/>
    </w:pPr>
  </w:style>
  <w:style w:type="character" w:styleId="Refdecomentario">
    <w:name w:val="annotation reference"/>
    <w:basedOn w:val="Fuentedeprrafopredeter"/>
    <w:uiPriority w:val="99"/>
    <w:semiHidden/>
    <w:unhideWhenUsed/>
    <w:rsid w:val="00750FB9"/>
    <w:rPr>
      <w:sz w:val="16"/>
      <w:szCs w:val="16"/>
    </w:rPr>
  </w:style>
  <w:style w:type="paragraph" w:styleId="Textocomentario">
    <w:name w:val="annotation text"/>
    <w:basedOn w:val="Normal"/>
    <w:link w:val="TextocomentarioCar"/>
    <w:uiPriority w:val="99"/>
    <w:semiHidden/>
    <w:unhideWhenUsed/>
    <w:rsid w:val="00750FB9"/>
    <w:rPr>
      <w:sz w:val="20"/>
      <w:szCs w:val="20"/>
    </w:rPr>
  </w:style>
  <w:style w:type="character" w:customStyle="1" w:styleId="TextocomentarioCar">
    <w:name w:val="Texto comentario Car"/>
    <w:basedOn w:val="Fuentedeprrafopredeter"/>
    <w:link w:val="Textocomentario"/>
    <w:uiPriority w:val="99"/>
    <w:semiHidden/>
    <w:rsid w:val="00750FB9"/>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76C96"/>
    <w:rPr>
      <w:b/>
      <w:bCs/>
    </w:rPr>
  </w:style>
  <w:style w:type="character" w:customStyle="1" w:styleId="AsuntodelcomentarioCar">
    <w:name w:val="Asunto del comentario Car"/>
    <w:basedOn w:val="TextocomentarioCar"/>
    <w:link w:val="Asuntodelcomentario"/>
    <w:uiPriority w:val="99"/>
    <w:semiHidden/>
    <w:rsid w:val="00076C96"/>
    <w:rPr>
      <w:rFonts w:ascii="Times New Roman" w:eastAsia="Times New Roman" w:hAnsi="Times New Roman" w:cs="Times New Roman"/>
      <w:b/>
      <w:bCs/>
      <w:sz w:val="20"/>
      <w:szCs w:val="20"/>
      <w:lang w:val="es-ES" w:eastAsia="es-ES"/>
    </w:rPr>
  </w:style>
  <w:style w:type="paragraph" w:customStyle="1" w:styleId="Default">
    <w:name w:val="Default"/>
    <w:rsid w:val="004E6D7D"/>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4E6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07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jA1V0n9fyowcllqkriwVng+S9YaYo1XbUd3tKfSn3JU=</DigestValue>
    </Reference>
    <Reference Type="http://www.w3.org/2000/09/xmldsig#Object" URI="#idOfficeObject">
      <DigestMethod Algorithm="http://www.w3.org/2001/04/xmlenc#sha256"/>
      <DigestValue>ESS4lzHxogDShkxZTRcR1fL61J9UuPWN6loEDL0dNz8=</DigestValue>
    </Reference>
    <Reference Type="http://uri.etsi.org/01903#SignedProperties" URI="#idSignedProperties">
      <Transforms>
        <Transform Algorithm="http://www.w3.org/TR/2001/REC-xml-c14n-20010315"/>
      </Transforms>
      <DigestMethod Algorithm="http://www.w3.org/2001/04/xmlenc#sha256"/>
      <DigestValue>VXgneJEQ0MRSgSg9myEhnLOLWS0pUuEin5t5E4xeorI=</DigestValue>
    </Reference>
  </SignedInfo>
  <SignatureValue>HVmbM2tuEZ5GRhssjrS+/4NpwVUGyntFhrJJlyv7mAx0XzGwazidGPznjICtzzCUCezB0jllZdef
eR6dk6PBFXwTkAnKKjSqJVbX1GAqVxpMDNlP5mXbbLmzhohtxShRWYSD3RCJmUjVblcu8zMKkMQf
kldW5wa1ZQ2jE+x1X5HE90et52JVW7/AKl2K38bvpukS4oDKu7rTjJbf/llNmD4rtBssFTEkPqci
5qqh46TCZppE+CB0onGRRWa8UgjD3/+x5da3YMyCHUUMWTS6YuEh2YBDHudiGwa52U8A+bT92LTa
9PCIPnXeUigyZ6DFJSMFXFRj+5MvzFqPjknN2A==</SignatureValue>
  <KeyInfo>
    <X509Data>
      <X509Certificate>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ukqV++ybU8Sg/EM4gxrifi+5hB7I+OWNdguLBzRh56EVszoQpCUQtxjY2vKwUrzu15B7QWeztPgtdkJVKwhP7zHYSBEfxxitKeReTWJO1vVQezlYwMacmqDIk+PGzDY6G4zsYj3KSz6OwNSPKg2A0Rqg0nCl40KRgCB76DsOp1h/pgP8AeCq/WXjp//tZTurP3GFOehlH/Co8SWNA/iqQ2lfFlj0bOAwzcvc4uDGxMhQQJygutcCuclqnyLqYl0P8wt3vwcvcr4NtaVMGE7TeWKN9MZfI/7AJMLV5gYlcrNmYLEODp6VuYxzg9gkf7gswdM1EIRK05D2CZmNYnBGu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Transform>
          <Transform Algorithm="http://www.w3.org/TR/2001/REC-xml-c14n-20010315"/>
        </Transforms>
        <DigestMethod Algorithm="http://www.w3.org/2001/04/xmlenc#sha256"/>
        <DigestValue>AcCIIY+qKXNQ7DiBfEGqvalo3/GdJQ9ntDEH5R4+wRE=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lhKddSBvIkQ3iVtdiiRkQDiq28yev8k01CIcs7GZdRc=</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lhKddSBvIkQ3iVtdiiRkQDiq28yev8k01CIcs7GZdRc=</DigestValue>
      </Reference>
      <Reference URI="/word/document.xml?ContentType=application/vnd.openxmlformats-officedocument.wordprocessingml.document.main+xml">
        <DigestMethod Algorithm="http://www.w3.org/2001/04/xmlenc#sha256"/>
        <DigestValue>znZlKlEfu2WMiSJdLeF32iPrzRehU1kXgjUuTXTMo8E=</DigestValue>
      </Reference>
      <Reference URI="/word/endnotes.xml?ContentType=application/vnd.openxmlformats-officedocument.wordprocessingml.endnotes+xml">
        <DigestMethod Algorithm="http://www.w3.org/2001/04/xmlenc#sha256"/>
        <DigestValue>2sXxeSQB9DArvVvNUDF4eKYyhlmmJSb1mMbVRWAbhEM=</DigestValue>
      </Reference>
      <Reference URI="/word/fontTable.xml?ContentType=application/vnd.openxmlformats-officedocument.wordprocessingml.fontTable+xml">
        <DigestMethod Algorithm="http://www.w3.org/2001/04/xmlenc#sha256"/>
        <DigestValue>xnLLAPNMiEtF7VaTt+8Nf+alWEiK7POvGunqZKmtkUE=</DigestValue>
      </Reference>
      <Reference URI="/word/footer1.xml?ContentType=application/vnd.openxmlformats-officedocument.wordprocessingml.footer+xml">
        <DigestMethod Algorithm="http://www.w3.org/2001/04/xmlenc#sha256"/>
        <DigestValue>Qm2BbTexTz3Isjl8R4WMRP4awYLVDup0tGC+ZZlppG0=</DigestValue>
      </Reference>
      <Reference URI="/word/footer2.xml?ContentType=application/vnd.openxmlformats-officedocument.wordprocessingml.footer+xml">
        <DigestMethod Algorithm="http://www.w3.org/2001/04/xmlenc#sha256"/>
        <DigestValue>UrG398uKNu5ykbQvvFGai1OT1BaDIz231qnVNOutwA4=</DigestValue>
      </Reference>
      <Reference URI="/word/footnotes.xml?ContentType=application/vnd.openxmlformats-officedocument.wordprocessingml.footnotes+xml">
        <DigestMethod Algorithm="http://www.w3.org/2001/04/xmlenc#sha256"/>
        <DigestValue>TKeCd/ghTqOy4EbORpKk3ZYMzwfGKS303sVpsEEpsI0=</DigestValue>
      </Reference>
      <Reference URI="/word/header1.xml?ContentType=application/vnd.openxmlformats-officedocument.wordprocessingml.header+xml">
        <DigestMethod Algorithm="http://www.w3.org/2001/04/xmlenc#sha256"/>
        <DigestValue>BqxhiJ5LIL+mC85Nx0yyZLVGffUEEjq4I9NgWKrCsIg=</DigestValue>
      </Reference>
      <Reference URI="/word/header2.xml?ContentType=application/vnd.openxmlformats-officedocument.wordprocessingml.header+xml">
        <DigestMethod Algorithm="http://www.w3.org/2001/04/xmlenc#sha256"/>
        <DigestValue>giCh8t8GZleM43Yh/JkIOoElqJdYhL/AKlKgY2qzAcw=</DigestValue>
      </Reference>
      <Reference URI="/word/media/image1.png?ContentType=image/png">
        <DigestMethod Algorithm="http://www.w3.org/2001/04/xmlenc#sha256"/>
        <DigestValue>8ow0IbLvIuBewu4WCsfpgILO/EmmHhLyHA30uNxvsQ8=</DigestValue>
      </Reference>
      <Reference URI="/word/media/image2.jpg?ContentType=image/jpeg">
        <DigestMethod Algorithm="http://www.w3.org/2001/04/xmlenc#sha256"/>
        <DigestValue>DyH2g0dzVMIhx1t3Y5oPnHXyhC0WyC/wP/B2uZdLp10=</DigestValue>
      </Reference>
      <Reference URI="/word/media/image20.jpg?ContentType=image/jpeg">
        <DigestMethod Algorithm="http://www.w3.org/2001/04/xmlenc#sha256"/>
        <DigestValue>DyH2g0dzVMIhx1t3Y5oPnHXyhC0WyC/wP/B2uZdLp10=</DigestValue>
      </Reference>
      <Reference URI="/word/media/image3.jpeg?ContentType=image/jpeg">
        <DigestMethod Algorithm="http://www.w3.org/2001/04/xmlenc#sha256"/>
        <DigestValue>KGoi/VrShY6YD7s5ypHuq/O1xHA2AZr+klKbbEvy9h8=</DigestValue>
      </Reference>
      <Reference URI="/word/numbering.xml?ContentType=application/vnd.openxmlformats-officedocument.wordprocessingml.numbering+xml">
        <DigestMethod Algorithm="http://www.w3.org/2001/04/xmlenc#sha256"/>
        <DigestValue>cPHWI3nES/MMCueJ0hTj8JxSkg+nkC83lqZbyvST7Ew=</DigestValue>
      </Reference>
      <Reference URI="/word/settings.xml?ContentType=application/vnd.openxmlformats-officedocument.wordprocessingml.settings+xml">
        <DigestMethod Algorithm="http://www.w3.org/2001/04/xmlenc#sha256"/>
        <DigestValue>fR1ejb3LPcBmqGEE/msoLl6hqOzO2UOd1mdUk+OY9Hg=</DigestValue>
      </Reference>
      <Reference URI="/word/styles.xml?ContentType=application/vnd.openxmlformats-officedocument.wordprocessingml.styles+xml">
        <DigestMethod Algorithm="http://www.w3.org/2001/04/xmlenc#sha256"/>
        <DigestValue>0iP8izTMZ+cy2ggVOH9CqeHB2ujkR71TU8/qBxI/mNM=</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dwc9eK/S2YSz5ljw4xHFx+bmcbxDWqBhNyrJAxnzc/0=</DigestValue>
      </Reference>
    </Manifest>
    <SignatureProperties>
      <SignatureProperty Id="idSignatureTime" Target="#idPackageSignature">
        <mdssi:SignatureTime xmlns:mdssi="http://schemas.openxmlformats.org/package/2006/digital-signature">
          <mdssi:Format>YYYY-MM-DDThh:mm:ssTZD</mdssi:Format>
          <mdssi:Value>2016-11-09T20:32:41Z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2016-11-09T20:32:41Z</xd:SigningTime>
          <xd:SigningCertificate>
            <xd:Cert>
              <xd:CertDigest>
                <DigestMethod Algorithm="http://www.w3.org/2001/04/xmlenc#sha256"/>
                <DigestValue>yPuE9rLdUpmK1gQPpEE5t70a5X0NT1U09J/mBcEoHi4=</DigestValue>
              </xd:CertDigest>
              <xd:IssuerSerial>
                <X509IssuerName>CN=CA SINPE - PERSONA FISICA v2, OU=DIVISION SISTEMAS DE PAGO, O=BANCO CENTRAL DE COSTA RICA, C=CR, SERIALNUMBER=CPJ-4-000-004017</X509IssuerName>
                <X509SerialNumber>446015082375296061040661732517249444554507831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yQYJKoZIhvcNAQcCoIIKujCCCrYCAQMxDzANBglghkgBZQMEAgEFADBzBgsqhkiG9w0BCRABBKBkBGIwYAIBAQYIYIE8AQEBAQUwMTANBglghkgBZQMEAgEFAAQgA3rQjOKDFXkdVBhGX+GQAlkBbi4Zrc/Chu96kHTE8dsCBADcr6UYDzIwMTYxMTA5MjAzMjQz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</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</xd:EncapsulatedCRLValue>
                <xd:EncapsulatedCRLValue>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</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YNkbVP2NhmERl0gXMYKLsqlNLJk=</xd:ByKey>
                  </xd:ResponderID>
                  <xd:ProducedAt>2016-11-09T20:22:29Z</xd:ProducedAt>
                </xd:OCSPIdentifier>
                <xd:DigestAlgAndValue>
                  <DigestMethod Algorithm="http://www.w3.org/2001/04/xmlenc#sha256"/>
                  <DigestValue>QBNmPOEEvThjtiQSwHHNtNmgjdIsyWIWvMJEX3mN5dE=</DigestValue>
                </xd:DigestAlgAndValue>
              </xd:OCSPRef>
            </xd:OCSPRefs>
            <xd:CRLRefs>
              <xd:CRLRef>
                <xd:DigestAlgAndValue>
                  <DigestMethod Algorithm="http://www.w3.org/2001/04/xmlenc#sha256"/>
                  <DigestValue>1Fun9IOlDLiw0dJv1ILB1vx8hOxpSLcuG/70aK6Oucs=</DigestValue>
                </xd:DigestAlgAndValue>
                <xd:CRLIdentifier>
                  <xd:Issuer>CN=CA POLITICA PERSONA FISICA - COSTA RICA v2, OU=DCFD, O=MICITT, C=CR, SERIALNUMBER=CPJ-2-100-098311</xd:Issuer>
                  <xd:IssueTime>2016-10-06T22:02:56Z</xd:IssueTime>
                </xd:CRLIdentifier>
              </xd:CRLRef>
              <xd:CRLRef>
                <xd:DigestAlgAndValue>
                  <DigestMethod Algorithm="http://www.w3.org/2001/04/xmlenc#sha256"/>
                  <DigestValue>S3Dck58XTk0BohauwhGSl3kD3BwXk7jkr5zwmAvSBNo=</DigestValue>
                </xd:DigestAlgAndValue>
                <xd:CRLIdentifier>
                  <xd:Issuer>CN=CA RAIZ NACIONAL - COSTA RICA v2, C=CR, O=MICITT, OU=DCFD, SERIALNUMBER=CPJ-2-100-098311</xd:Issuer>
                  <xd:IssueTime>2016-10-06T21:50:33Z</xd:IssueTime>
                </xd:CRLIdentifier>
              </xd:CRLRef>
            </xd:CRLRefs>
          </xd:CompleteRevocationRefs>
          <xd:RevocationValues>
            <xd:OCSPValues>
              <xd:EncapsulatedOCSPValue>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</xd:EncapsulatedOCSPValue>
            </xd:OCSPValues>
            <xd:CRLValues>
              <xd:EncapsulatedCRLValue>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</xd:EncapsulatedCRLValue>
              <xd:EncapsulatedCRLValue>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</xd:EncapsulatedCRLValue>
            </xd:CRLValues>
          </xd:RevocationValues>
          <xd:SigAndRefsTimeStamp>
            <CanonicalizationMethod Algorithm="http://www.w3.org/TR/2001/REC-xml-c14n-20010315"/>
            <xd:EncapsulatedTimeStamp>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</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2016-11-09T06:00:00+00:00</FechaPublicacionDocumento>
    <NormativaRelacionada xmlns="b9fc4df0-8f56-46e7-b005-54afe0044df7">&lt;div class="ExternalClass11874121CB994CAB91BD77446865A8A0"&gt;SUGESE 02-13 Reglamento Solvencia Entidades de Seguros y Reaseguros y Acuerdo SGS-DES-A-029-2013&amp;#160;&lt;/div&gt;</NormativaRelacionada>
    <ContenidoMultilineaHTML xmlns="b9fc4df0-8f56-46e7-b005-54afe0044df7">Presenta el acuerdo SGS-DES-A-053-2016 con las modificaciones al Transitorio I sobre Tasa de Interés Técnica, establecida en el acuerdo SGS-DES-A-029-2013&amp;#160;</ContenidoMultilineaHTML>
    <NumeroAcuerdo xmlns="b9fc4df0-8f56-46e7-b005-54afe0044df7">SGS-DES-A-053-2016   </NumeroAcuerdo>
    <TipoContenido xmlns="b9fc4df0-8f56-46e7-b005-54afe0044df7">6</TipoContenid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C5259700016054FB9EF02CC18F40A60" ma:contentTypeVersion="6" ma:contentTypeDescription="Crear nuevo documento." ma:contentTypeScope="" ma:versionID="b9c0e0c741e91f52546f6fa1418e81a2">
  <xsd:schema xmlns:xsd="http://www.w3.org/2001/XMLSchema" xmlns:xs="http://www.w3.org/2001/XMLSchema" xmlns:p="http://schemas.microsoft.com/office/2006/metadata/properties" xmlns:ns2="b9fc4df0-8f56-46e7-b005-54afe0044df7" targetNamespace="http://schemas.microsoft.com/office/2006/metadata/properties" ma:root="true" ma:fieldsID="4e86dda2f0fdd5bfa93fc52ff69e4c55" ns2:_="">
    <xsd:import namespace="b9fc4df0-8f56-46e7-b005-54afe0044df7"/>
    <xsd:element name="properties">
      <xsd:complexType>
        <xsd:sequence>
          <xsd:element name="documentManagement">
            <xsd:complexType>
              <xsd:all>
                <xsd:element ref="ns2:NumeroAcuerdo" minOccurs="0"/>
                <xsd:element ref="ns2:ContenidoMultilineaHTML"/>
                <xsd:element ref="ns2:NormativaRelacionada" minOccurs="0"/>
                <xsd:element ref="ns2:FechaPublicacionDocumento" minOccurs="0"/>
                <xsd:element ref="ns2:SharedWithUsers" minOccurs="0"/>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NumeroAcuerdo" ma:index="8" nillable="true" ma:displayName="Número Acuerdo" ma:description="" ma:internalName="NumeroAcuerdo">
      <xsd:simpleType>
        <xsd:restriction base="dms:Text"/>
      </xsd:simpleType>
    </xsd:element>
    <xsd:element name="ContenidoMultilineaHTML" ma:index="9" ma:displayName="ContenidoMultilineaHTML" ma:description="" ma:internalName="ContenidoMultilineaHTML">
      <xsd:simpleType>
        <xsd:restriction base="dms:Unknown"/>
      </xsd:simpleType>
    </xsd:element>
    <xsd:element name="NormativaRelacionada" ma:index="10" nillable="true" ma:displayName="Normativa Relacionada" ma:internalName="NormativaRelacionada">
      <xsd:simpleType>
        <xsd:restriction base="dms:Note">
          <xsd:maxLength value="255"/>
        </xsd:restriction>
      </xsd:simpleType>
    </xsd:element>
    <xsd:element name="FechaPublicacionDocumento" ma:index="11" nillable="true" ma:displayName="FechaPublicacionDocumento" ma:description="" ma:internalName="FechaPublicacionDocumento">
      <xsd:simpleType>
        <xsd:restriction base="dms:DateTime"/>
      </xsd:simpleType>
    </xsd:element>
    <xsd:element name="SharedWithUsers" ma:index="12"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Contenido" ma:index="13"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3B8CA-9F00-4BE0-A559-F902D54CC45B}"/>
</file>

<file path=customXml/itemProps2.xml><?xml version="1.0" encoding="utf-8"?>
<ds:datastoreItem xmlns:ds="http://schemas.openxmlformats.org/officeDocument/2006/customXml" ds:itemID="{1C780EBA-2FEE-485A-AC1E-E7A0BDAF3FBE}"/>
</file>

<file path=customXml/itemProps3.xml><?xml version="1.0" encoding="utf-8"?>
<ds:datastoreItem xmlns:ds="http://schemas.openxmlformats.org/officeDocument/2006/customXml" ds:itemID="{EF4E1602-95FC-428F-93B7-A25BBD57B9DE}"/>
</file>

<file path=customXml/itemProps4.xml><?xml version="1.0" encoding="utf-8"?>
<ds:datastoreItem xmlns:ds="http://schemas.openxmlformats.org/officeDocument/2006/customXml" ds:itemID="{1F421A7C-C274-4B21-A35A-9D2854BD69C0}"/>
</file>

<file path=docProps/app.xml><?xml version="1.0" encoding="utf-8"?>
<Properties xmlns="http://schemas.openxmlformats.org/officeDocument/2006/extended-properties" xmlns:vt="http://schemas.openxmlformats.org/officeDocument/2006/docPropsVTypes">
  <Template>Normal</Template>
  <TotalTime>4</TotalTime>
  <Pages>4</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Superintendencia General de Seguros</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SGS-A-0053-2016   </dc:title>
  <dc:creator>VELEZ MAURICIO LILIANA</dc:creator>
  <cp:lastModifiedBy>SOLEY PEREZ TOMAS</cp:lastModifiedBy>
  <cp:revision>4</cp:revision>
  <dcterms:created xsi:type="dcterms:W3CDTF">2016-11-09T16:11:00Z</dcterms:created>
  <dcterms:modified xsi:type="dcterms:W3CDTF">2016-11-09T20:32:00Z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0x0101002C5259700016054FB9EF02CC18F40A60</vt:lpwstr>
  </property>
  <property fmtid="{D5CDD505-2E9C-101B-9397-08002B2CF9AE}" pid="3" name="WorkflowChangePath">
    <vt:lpwstr>e28674c5-e858-4534-b154-7195290ac34f,7;c79e0cab-a8ae-461b-a204-5b042ad213d1,8;</vt:lpwstr>
  </property>
  <property fmtid="{D5CDD505-2E9C-101B-9397-08002B2CF9AE}" pid="4" name="_MarkAsFinal">
    <vt:bool>true</vt:bool>
  </property>
</Properties>
</file>