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72610" w14:textId="77777777" w:rsidR="00C00485" w:rsidRPr="00006AAE" w:rsidRDefault="00C00485" w:rsidP="00006AAE">
      <w:pPr>
        <w:rPr>
          <w:rFonts w:asciiTheme="majorHAnsi" w:hAnsiTheme="majorHAnsi"/>
        </w:rPr>
      </w:pPr>
      <w:bookmarkStart w:id="0" w:name="_GoBack"/>
      <w:bookmarkEnd w:id="0"/>
    </w:p>
    <w:p w14:paraId="6A9C17EA" w14:textId="77777777" w:rsidR="002218A1" w:rsidRPr="00006AAE" w:rsidRDefault="002218A1" w:rsidP="00006AAE">
      <w:pPr>
        <w:ind w:left="-567"/>
        <w:jc w:val="both"/>
        <w:rPr>
          <w:rFonts w:asciiTheme="majorHAnsi" w:hAnsiTheme="majorHAnsi"/>
          <w:i/>
          <w:color w:val="000000"/>
          <w:szCs w:val="22"/>
        </w:rPr>
      </w:pPr>
      <w:r w:rsidRPr="00006AAE">
        <w:rPr>
          <w:rFonts w:asciiTheme="majorHAnsi" w:hAnsiTheme="majorHAnsi"/>
          <w:i/>
          <w:color w:val="000000"/>
          <w:szCs w:val="22"/>
        </w:rPr>
        <w:t>Tomás Soley Pérez</w:t>
      </w:r>
    </w:p>
    <w:p w14:paraId="014E5FA0" w14:textId="77777777" w:rsidR="002218A1" w:rsidRPr="00006AAE" w:rsidRDefault="002218A1" w:rsidP="00006AAE">
      <w:pPr>
        <w:ind w:left="-567"/>
        <w:jc w:val="both"/>
        <w:rPr>
          <w:rFonts w:asciiTheme="majorHAnsi" w:hAnsiTheme="majorHAnsi"/>
          <w:i/>
          <w:color w:val="000000"/>
          <w:szCs w:val="22"/>
        </w:rPr>
      </w:pPr>
      <w:r w:rsidRPr="00006AAE">
        <w:rPr>
          <w:rFonts w:asciiTheme="majorHAnsi" w:hAnsiTheme="majorHAnsi"/>
          <w:i/>
          <w:color w:val="000000"/>
          <w:szCs w:val="22"/>
        </w:rPr>
        <w:t>Superintendente de Seguros</w:t>
      </w:r>
    </w:p>
    <w:p w14:paraId="36B73B04" w14:textId="77777777" w:rsidR="002218A1" w:rsidRPr="00006AAE" w:rsidRDefault="002218A1" w:rsidP="00006AAE">
      <w:pPr>
        <w:ind w:left="-567"/>
        <w:jc w:val="both"/>
        <w:rPr>
          <w:rFonts w:asciiTheme="majorHAnsi" w:hAnsiTheme="majorHAnsi"/>
          <w:i/>
          <w:color w:val="000000"/>
          <w:szCs w:val="22"/>
        </w:rPr>
      </w:pPr>
    </w:p>
    <w:p w14:paraId="2E5FE3A5" w14:textId="77777777" w:rsidR="005A1442" w:rsidRPr="00006AAE" w:rsidRDefault="005A1442" w:rsidP="00006AAE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054"/>
      </w:tblGrid>
      <w:tr w:rsidR="00EE5C72" w:rsidRPr="00006AAE" w14:paraId="41874914" w14:textId="77777777" w:rsidTr="00EE5C72">
        <w:trPr>
          <w:trHeight w:val="278"/>
          <w:jc w:val="center"/>
        </w:trPr>
        <w:tc>
          <w:tcPr>
            <w:tcW w:w="5000" w:type="pct"/>
          </w:tcPr>
          <w:p w14:paraId="2FACF20E" w14:textId="77777777" w:rsidR="00EE5C72" w:rsidRPr="00006AAE" w:rsidRDefault="00EE5C72" w:rsidP="00006AAE">
            <w:pPr>
              <w:pStyle w:val="Textoindependiente"/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06AAE">
              <w:rPr>
                <w:rFonts w:asciiTheme="majorHAnsi" w:hAnsiTheme="majorHAnsi"/>
                <w:b/>
                <w:sz w:val="32"/>
                <w:szCs w:val="32"/>
              </w:rPr>
              <w:t>ACUERDO DE SUPERINTENDENTE</w:t>
            </w:r>
          </w:p>
          <w:p w14:paraId="18CED702" w14:textId="77777777" w:rsidR="00EE5C72" w:rsidRPr="00006AAE" w:rsidRDefault="00EE5C72" w:rsidP="00006AAE">
            <w:pPr>
              <w:pStyle w:val="Textoindependiente"/>
              <w:spacing w:after="0" w:line="240" w:lineRule="auto"/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14:paraId="521B2BFC" w14:textId="074EF05D" w:rsidR="00EE5C72" w:rsidRPr="00A15F1A" w:rsidRDefault="00EE5C72" w:rsidP="00006AAE">
            <w:pPr>
              <w:pStyle w:val="Textoindependiente"/>
              <w:spacing w:after="0" w:line="240" w:lineRule="auto"/>
              <w:jc w:val="center"/>
              <w:rPr>
                <w:rFonts w:asciiTheme="majorHAnsi" w:hAnsiTheme="majorHAnsi"/>
                <w:b/>
                <w:i/>
                <w:sz w:val="32"/>
                <w:szCs w:val="32"/>
              </w:rPr>
            </w:pPr>
            <w:r w:rsidRPr="00A15F1A">
              <w:rPr>
                <w:rFonts w:asciiTheme="majorHAnsi" w:hAnsiTheme="majorHAnsi"/>
                <w:b/>
                <w:i/>
                <w:sz w:val="32"/>
                <w:szCs w:val="32"/>
              </w:rPr>
              <w:t>SGS-DES-A-</w:t>
            </w:r>
            <w:r w:rsidR="00162D87">
              <w:rPr>
                <w:rFonts w:asciiTheme="majorHAnsi" w:hAnsiTheme="majorHAnsi"/>
                <w:b/>
                <w:i/>
                <w:sz w:val="32"/>
                <w:szCs w:val="32"/>
              </w:rPr>
              <w:t>042</w:t>
            </w:r>
            <w:r w:rsidRPr="00A15F1A">
              <w:rPr>
                <w:rFonts w:asciiTheme="majorHAnsi" w:hAnsiTheme="majorHAnsi"/>
                <w:b/>
                <w:i/>
                <w:sz w:val="32"/>
                <w:szCs w:val="32"/>
              </w:rPr>
              <w:t>-2014</w:t>
            </w:r>
          </w:p>
          <w:p w14:paraId="77734E97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b/>
                <w:color w:val="000000"/>
                <w:sz w:val="32"/>
                <w:szCs w:val="32"/>
              </w:rPr>
            </w:pPr>
          </w:p>
          <w:p w14:paraId="1D9AF437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 xml:space="preserve">Modificación del acuerdo SGS-DES-A-021-2013 </w:t>
            </w:r>
            <w:r w:rsidRPr="00006AAE">
              <w:rPr>
                <w:rFonts w:asciiTheme="majorHAnsi" w:hAnsiTheme="majorHAnsi"/>
                <w:b/>
                <w:i/>
                <w:color w:val="000000"/>
              </w:rPr>
              <w:t>“Disposiciones para la Remisión de la Información Contable y Estadística a la Superintendencia General de Seguros por parte de las Entidades Supervisadas”</w:t>
            </w:r>
            <w:r w:rsidRPr="00006AAE">
              <w:rPr>
                <w:rFonts w:asciiTheme="majorHAnsi" w:hAnsiTheme="majorHAnsi"/>
                <w:b/>
                <w:color w:val="000000"/>
              </w:rPr>
              <w:t xml:space="preserve">, para modificar los modelos 1 y 2 del estándar de negocios correspondientes al </w:t>
            </w:r>
            <w:r w:rsidRPr="00006AAE">
              <w:rPr>
                <w:rFonts w:asciiTheme="majorHAnsi" w:hAnsiTheme="majorHAnsi"/>
                <w:b/>
              </w:rPr>
              <w:t xml:space="preserve">Balance </w:t>
            </w:r>
            <w:r w:rsidRPr="00006AAE">
              <w:rPr>
                <w:rFonts w:asciiTheme="majorHAnsi" w:hAnsiTheme="majorHAnsi"/>
                <w:b/>
                <w:color w:val="000000"/>
              </w:rPr>
              <w:t>General y Estado de Resultados y otros cambios menores.</w:t>
            </w:r>
          </w:p>
          <w:p w14:paraId="5C97911C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</w:p>
          <w:p w14:paraId="3DA6C2AD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</w:p>
        </w:tc>
      </w:tr>
      <w:tr w:rsidR="00EE5C72" w:rsidRPr="00006AAE" w14:paraId="4ACE15D2" w14:textId="77777777" w:rsidTr="00EE5C72">
        <w:trPr>
          <w:jc w:val="center"/>
        </w:trPr>
        <w:tc>
          <w:tcPr>
            <w:tcW w:w="5000" w:type="pct"/>
          </w:tcPr>
          <w:p w14:paraId="7E0B631F" w14:textId="7CFAF92E" w:rsidR="00EE5C72" w:rsidRPr="00006AAE" w:rsidRDefault="00EE5C72" w:rsidP="00006AAE">
            <w:pPr>
              <w:widowControl w:val="0"/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El Superintendente General de Seguros a las </w:t>
            </w:r>
            <w:r w:rsidR="00A15F1A">
              <w:rPr>
                <w:rFonts w:asciiTheme="majorHAnsi" w:hAnsiTheme="majorHAnsi"/>
                <w:color w:val="000000"/>
              </w:rPr>
              <w:t>once</w:t>
            </w:r>
            <w:r w:rsidRPr="00006AAE">
              <w:rPr>
                <w:rFonts w:asciiTheme="majorHAnsi" w:hAnsiTheme="majorHAnsi"/>
                <w:color w:val="000000"/>
              </w:rPr>
              <w:t xml:space="preserve"> horas del </w:t>
            </w:r>
            <w:r w:rsidR="00A15F1A">
              <w:rPr>
                <w:rFonts w:asciiTheme="majorHAnsi" w:hAnsiTheme="majorHAnsi"/>
                <w:color w:val="000000"/>
              </w:rPr>
              <w:t>di</w:t>
            </w:r>
            <w:r w:rsidR="00162D87">
              <w:rPr>
                <w:rFonts w:asciiTheme="majorHAnsi" w:hAnsiTheme="majorHAnsi"/>
                <w:color w:val="000000"/>
              </w:rPr>
              <w:t>e</w:t>
            </w:r>
            <w:r w:rsidR="00A15F1A">
              <w:rPr>
                <w:rFonts w:asciiTheme="majorHAnsi" w:hAnsiTheme="majorHAnsi"/>
                <w:color w:val="000000"/>
              </w:rPr>
              <w:t>ciocho</w:t>
            </w:r>
            <w:r w:rsidRPr="00006AAE">
              <w:rPr>
                <w:rFonts w:asciiTheme="majorHAnsi" w:hAnsiTheme="majorHAnsi"/>
                <w:color w:val="000000"/>
              </w:rPr>
              <w:t xml:space="preserve"> de </w:t>
            </w:r>
            <w:r w:rsidR="00006AAE">
              <w:rPr>
                <w:rFonts w:asciiTheme="majorHAnsi" w:hAnsiTheme="majorHAnsi"/>
                <w:color w:val="000000"/>
              </w:rPr>
              <w:t>diciembre</w:t>
            </w:r>
            <w:r w:rsidRPr="00006AAE">
              <w:rPr>
                <w:rFonts w:asciiTheme="majorHAnsi" w:hAnsiTheme="majorHAnsi"/>
                <w:color w:val="000000"/>
              </w:rPr>
              <w:t xml:space="preserve"> de dos mil catorce, considerando que:</w:t>
            </w:r>
          </w:p>
          <w:p w14:paraId="15E69AD2" w14:textId="77777777" w:rsidR="00EE5C72" w:rsidRPr="00006AAE" w:rsidRDefault="00EE5C72" w:rsidP="00006AAE">
            <w:pPr>
              <w:widowControl w:val="0"/>
              <w:jc w:val="both"/>
              <w:rPr>
                <w:rFonts w:asciiTheme="majorHAnsi" w:hAnsiTheme="majorHAnsi"/>
                <w:b/>
                <w:i/>
              </w:rPr>
            </w:pPr>
          </w:p>
        </w:tc>
      </w:tr>
      <w:tr w:rsidR="00EE5C72" w:rsidRPr="00006AAE" w14:paraId="2E67BAF0" w14:textId="77777777" w:rsidTr="00EE5C72">
        <w:trPr>
          <w:jc w:val="center"/>
        </w:trPr>
        <w:tc>
          <w:tcPr>
            <w:tcW w:w="5000" w:type="pct"/>
          </w:tcPr>
          <w:p w14:paraId="5F280795" w14:textId="77777777" w:rsidR="00EE5C72" w:rsidRPr="00006AAE" w:rsidRDefault="00EE5C72" w:rsidP="00006AAE">
            <w:pPr>
              <w:widowControl w:val="0"/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1. La Ley Reguladora del Mercado de Seguros, Ley N° 8653 mediante artículos 25 c) y 26 g) de la Ley N° 8653 establece que las entidades aseguradoras y reaseguradoras y los intermediarios del mercado de seguros están obligados a proporcionar a la Superintendencia la información correcta y completa, dentro de los plazos y las formalidades requeridos con el fin de cumplir con el objetivo definido en el artículo 29, de </w:t>
            </w:r>
            <w:r w:rsidRPr="00006AAE">
              <w:rPr>
                <w:rFonts w:asciiTheme="majorHAnsi" w:hAnsiTheme="majorHAnsi"/>
                <w:i/>
                <w:color w:val="000000"/>
              </w:rPr>
              <w:t>“velar por la estabilidad y el eficiente funcionamiento del mercado de seguros, así como entregar la más amplia información a los asegurados”</w:t>
            </w:r>
          </w:p>
          <w:p w14:paraId="1DB7C75B" w14:textId="77777777" w:rsidR="00EE5C72" w:rsidRPr="00006AAE" w:rsidRDefault="00EE5C72" w:rsidP="00006AAE">
            <w:pPr>
              <w:widowControl w:val="0"/>
              <w:jc w:val="both"/>
              <w:rPr>
                <w:rFonts w:asciiTheme="majorHAnsi" w:hAnsiTheme="majorHAnsi"/>
                <w:b/>
                <w:i/>
              </w:rPr>
            </w:pPr>
          </w:p>
        </w:tc>
      </w:tr>
      <w:tr w:rsidR="00EE5C72" w:rsidRPr="00006AAE" w14:paraId="225FA004" w14:textId="77777777" w:rsidTr="00EE5C72">
        <w:trPr>
          <w:jc w:val="center"/>
        </w:trPr>
        <w:tc>
          <w:tcPr>
            <w:tcW w:w="5000" w:type="pct"/>
          </w:tcPr>
          <w:p w14:paraId="5C7B4A99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2. En concordancia con lo anterior el </w:t>
            </w:r>
            <w:r w:rsidRPr="00006AAE">
              <w:rPr>
                <w:rFonts w:asciiTheme="majorHAnsi" w:hAnsiTheme="majorHAnsi"/>
                <w:i/>
                <w:color w:val="000000"/>
              </w:rPr>
              <w:t>Reglamento Relativo a la Información Financiera de Entidades, Grupos y Conglomerados Financieros</w:t>
            </w:r>
            <w:r w:rsidRPr="00006AAE">
              <w:rPr>
                <w:rFonts w:asciiTheme="majorHAnsi" w:hAnsiTheme="majorHAnsi"/>
                <w:color w:val="000000"/>
              </w:rPr>
              <w:t>, establece la obligación por parte de las entidades supervisadas de presentar información contable a la Superintendencia General de Seguros, así como los modelos de estados financieros que éstas deben preparar a partir de enero de 2015.</w:t>
            </w:r>
          </w:p>
          <w:p w14:paraId="00E9BF61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5DC59FBA" w14:textId="77777777" w:rsidTr="00EE5C72">
        <w:trPr>
          <w:jc w:val="center"/>
        </w:trPr>
        <w:tc>
          <w:tcPr>
            <w:tcW w:w="5000" w:type="pct"/>
          </w:tcPr>
          <w:p w14:paraId="498A80A3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3.  El Superintendente mediante acuerdo SGS-DES-A-021-2013 del 23 de mayo de 2013 emitió las </w:t>
            </w:r>
            <w:r w:rsidRPr="00006AAE">
              <w:rPr>
                <w:rFonts w:asciiTheme="majorHAnsi" w:hAnsiTheme="majorHAnsi"/>
                <w:i/>
                <w:color w:val="000000"/>
              </w:rPr>
              <w:t>Disposiciones para la Remisión de la Información Contable y Estadística a la Superintendencia General de Seguros por parte de las Entidades Supervisadas</w:t>
            </w:r>
            <w:r w:rsidRPr="00006AAE">
              <w:rPr>
                <w:rFonts w:asciiTheme="majorHAnsi" w:hAnsiTheme="majorHAnsi"/>
                <w:color w:val="000000"/>
              </w:rPr>
              <w:t>, el cual indica la información que deben enviar las entidades supervisadas, así como su periodicidad, plazo y medio de remisión.</w:t>
            </w:r>
          </w:p>
          <w:p w14:paraId="6175C19F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</w:p>
          <w:p w14:paraId="448BF35D" w14:textId="77777777" w:rsidR="00EE5C72" w:rsidRDefault="00EE5C72" w:rsidP="00006AAE">
            <w:pPr>
              <w:jc w:val="both"/>
              <w:rPr>
                <w:rFonts w:asciiTheme="majorHAnsi" w:hAnsiTheme="majorHAnsi"/>
              </w:rPr>
            </w:pPr>
          </w:p>
          <w:p w14:paraId="7D91CF2B" w14:textId="77777777" w:rsidR="00A15F1A" w:rsidRPr="00006AAE" w:rsidRDefault="00A15F1A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5FB867D3" w14:textId="77777777" w:rsidTr="00EE5C72">
        <w:trPr>
          <w:trHeight w:val="152"/>
          <w:jc w:val="center"/>
        </w:trPr>
        <w:tc>
          <w:tcPr>
            <w:tcW w:w="5000" w:type="pct"/>
          </w:tcPr>
          <w:p w14:paraId="018D8D33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lastRenderedPageBreak/>
              <w:t xml:space="preserve">4. Mediante artículo 14, de la sesión del 1130-2014, celebrada el 20 de octubre de 2014, el CONASSIF remitió en consulta una modificación de los modelos de estados financieros normados en el </w:t>
            </w:r>
            <w:r w:rsidRPr="00006AAE">
              <w:rPr>
                <w:rFonts w:asciiTheme="majorHAnsi" w:hAnsiTheme="majorHAnsi"/>
                <w:i/>
                <w:color w:val="000000"/>
              </w:rPr>
              <w:t>Reglamento Relativo a la Información Financiera de Entidades, Grupos y Conglomerados Financieros</w:t>
            </w:r>
            <w:r w:rsidRPr="00006AAE">
              <w:rPr>
                <w:rFonts w:asciiTheme="majorHAnsi" w:hAnsiTheme="majorHAnsi"/>
                <w:color w:val="000000"/>
              </w:rPr>
              <w:t>, con el propósito de mejorar la revelación de las cuentas de seguro que funcionan como cuenta corriente, lo que hace necesario ajustar los modelos de Balance General y Estado de Resultados del acuerdo SGS-DES-A-021-2013.</w:t>
            </w:r>
          </w:p>
          <w:p w14:paraId="2E6E7CD9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65C4D789" w14:textId="77777777" w:rsidTr="00EE5C72">
        <w:trPr>
          <w:jc w:val="center"/>
        </w:trPr>
        <w:tc>
          <w:tcPr>
            <w:tcW w:w="5000" w:type="pct"/>
          </w:tcPr>
          <w:p w14:paraId="4073EA93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5. De igual forma, mediante artículo 9 de la sesión 1131-2014, del 27 de octubre, el CONASSIF aprobó la modificación de los ramos incluidos en el Anexo 1 del </w:t>
            </w:r>
            <w:r w:rsidRPr="00006AAE">
              <w:rPr>
                <w:rFonts w:asciiTheme="majorHAnsi" w:hAnsiTheme="majorHAnsi"/>
                <w:i/>
                <w:color w:val="000000"/>
              </w:rPr>
              <w:t>Reglamento sobre Autorizaciones, Registros y Requisitos de Funcionamiento de Entidades Supervisadas por la Superintendencia General de Seguros</w:t>
            </w:r>
            <w:r w:rsidRPr="00006AAE">
              <w:rPr>
                <w:rFonts w:asciiTheme="majorHAnsi" w:hAnsiTheme="majorHAnsi"/>
                <w:color w:val="000000"/>
              </w:rPr>
              <w:t>, la cual debe ser replicada en el resto de la normativa aplicable a las entidades supervisadas.</w:t>
            </w:r>
          </w:p>
          <w:p w14:paraId="39FACE30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77C95FA0" w14:textId="77777777" w:rsidTr="00EE5C72">
        <w:trPr>
          <w:trHeight w:val="144"/>
          <w:jc w:val="center"/>
        </w:trPr>
        <w:tc>
          <w:tcPr>
            <w:tcW w:w="5000" w:type="pct"/>
          </w:tcPr>
          <w:p w14:paraId="4B8D8347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6. Por otra parte, mediante acuerdos SGS-DES-A-034-2014 y SGS-DES-A-036-2014 la Superintendencia General de Seguros modificó los Anexos 4 y 5 del acuerdo SGS-DES-A-021-2013 que contienen el modelo de información relacionada con el </w:t>
            </w:r>
            <w:r w:rsidRPr="00006AAE">
              <w:rPr>
                <w:rFonts w:asciiTheme="majorHAnsi" w:hAnsiTheme="majorHAnsi"/>
                <w:i/>
                <w:color w:val="000000"/>
              </w:rPr>
              <w:t>“Régimen de suficiencia de capital y solvencia”</w:t>
            </w:r>
            <w:r w:rsidRPr="00006AAE">
              <w:rPr>
                <w:rFonts w:asciiTheme="majorHAnsi" w:hAnsiTheme="majorHAnsi"/>
                <w:color w:val="000000"/>
              </w:rPr>
              <w:t xml:space="preserve"> y el </w:t>
            </w:r>
            <w:r w:rsidRPr="00006AAE">
              <w:rPr>
                <w:rFonts w:asciiTheme="majorHAnsi" w:hAnsiTheme="majorHAnsi"/>
                <w:i/>
                <w:color w:val="000000"/>
              </w:rPr>
              <w:t>“Estándar de Negocios”</w:t>
            </w:r>
            <w:r w:rsidRPr="00006AAE">
              <w:rPr>
                <w:rFonts w:asciiTheme="majorHAnsi" w:hAnsiTheme="majorHAnsi"/>
                <w:color w:val="000000"/>
              </w:rPr>
              <w:t xml:space="preserve"> para el uso del Sistema de Supervisión de Seguros, los cuales incluyen la información requerida en los Anexos 2, 3 y 6 de dicho acuerdo relacionados con la determinación del RSC-3, el RSC-4 y el registro auxiliar de inversiones, generándose una duplicación del requerimiento en el acuerdo.</w:t>
            </w:r>
          </w:p>
          <w:p w14:paraId="0EF212D6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307303F9" w14:textId="77777777" w:rsidTr="00EE5C72">
        <w:trPr>
          <w:jc w:val="center"/>
        </w:trPr>
        <w:tc>
          <w:tcPr>
            <w:tcW w:w="5000" w:type="pct"/>
          </w:tcPr>
          <w:p w14:paraId="03666CB2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t xml:space="preserve">7. El inciso 2) del artículo 361 de la Ley General de la Administración Pública establece que  </w:t>
            </w:r>
            <w:r w:rsidRPr="00006AAE">
              <w:rPr>
                <w:rFonts w:asciiTheme="majorHAnsi" w:hAnsiTheme="majorHAnsi"/>
                <w:i/>
                <w:color w:val="000000"/>
              </w:rPr>
              <w:t>“Se concederá a las entidades representativas de intereses de carácter general o corporativo afectados por la disposición la oportunidad de exponer su parecer, dentro del plazo de diez días, salvo cuando se opongan a ello razones de interés público o de urgencia debidamente consignadas en el anteproyecto.”</w:t>
            </w:r>
          </w:p>
          <w:p w14:paraId="0B64ADFA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5FB52610" w14:textId="77777777" w:rsidTr="00EE5C72">
        <w:trPr>
          <w:jc w:val="center"/>
        </w:trPr>
        <w:tc>
          <w:tcPr>
            <w:tcW w:w="5000" w:type="pct"/>
          </w:tcPr>
          <w:p w14:paraId="476C2B1E" w14:textId="77777777" w:rsidR="00EE5C72" w:rsidRPr="00006AAE" w:rsidRDefault="00EE5C72" w:rsidP="00006AAE">
            <w:pPr>
              <w:pStyle w:val="Textoindependiente3"/>
              <w:tabs>
                <w:tab w:val="left" w:pos="857"/>
                <w:tab w:val="left" w:pos="1168"/>
              </w:tabs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  <w:r w:rsidRPr="00006AAE">
              <w:rPr>
                <w:rFonts w:asciiTheme="majorHAnsi" w:eastAsia="Calibri" w:hAnsiTheme="majorHAnsi"/>
                <w:sz w:val="24"/>
                <w:szCs w:val="24"/>
                <w:lang w:eastAsia="en-US"/>
              </w:rPr>
              <w:t>8.  Que mediante oficios  SGS-DES-O-1958-2014 y SGS-DES-O-2046-2014 del 14 y 28 de noviembre de 2014, de conformidad con lo estipulado en el artículo 361, numeral 2, de la Ley General de Administración Pública, fue remitido a consulta de las entidades de seguros para sus comentarios y observaciones, la modificación al acuerdo SGS-DES-A-021-2013, con el fin de cambiar modificar los modelos 1 y 2 del estándar de negocios correspondientes al Balance General y Estado de Resultados y otros cambios menores.</w:t>
            </w:r>
          </w:p>
          <w:p w14:paraId="1BBEF890" w14:textId="77777777" w:rsidR="00EE5C72" w:rsidRDefault="00EE5C72" w:rsidP="00006AAE">
            <w:pPr>
              <w:pStyle w:val="Textoindependiente3"/>
              <w:tabs>
                <w:tab w:val="left" w:pos="857"/>
                <w:tab w:val="left" w:pos="1168"/>
              </w:tabs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</w:p>
          <w:p w14:paraId="3B99F03A" w14:textId="0E3ED033" w:rsidR="00A15F1A" w:rsidRDefault="00A15F1A" w:rsidP="00006AAE">
            <w:pPr>
              <w:pStyle w:val="Textoindependiente3"/>
              <w:tabs>
                <w:tab w:val="left" w:pos="857"/>
                <w:tab w:val="left" w:pos="1168"/>
              </w:tabs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</w:p>
          <w:p w14:paraId="4C7060CF" w14:textId="77777777" w:rsidR="00A15F1A" w:rsidRPr="00006AAE" w:rsidRDefault="00A15F1A" w:rsidP="00006AAE">
            <w:pPr>
              <w:pStyle w:val="Textoindependiente3"/>
              <w:tabs>
                <w:tab w:val="left" w:pos="857"/>
                <w:tab w:val="left" w:pos="1168"/>
              </w:tabs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</w:p>
          <w:p w14:paraId="08527DEA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  <w:r w:rsidRPr="00006AAE">
              <w:rPr>
                <w:rFonts w:asciiTheme="majorHAnsi" w:hAnsiTheme="majorHAnsi"/>
              </w:rPr>
              <w:t>9. Finalizado el plazo de consulta, los comentarios y observaciones recibidos por la Superintendencia fueron analizados e incorporados al acuerdo si correspondía, por lo que lo procedente es emitir el acuerdo de forma definitiva por parte del Superintendente.</w:t>
            </w:r>
          </w:p>
        </w:tc>
      </w:tr>
    </w:tbl>
    <w:p w14:paraId="0768F578" w14:textId="77777777" w:rsidR="00006AAE" w:rsidRDefault="00006AAE" w:rsidP="00006AAE">
      <w:pPr>
        <w:jc w:val="center"/>
        <w:rPr>
          <w:rFonts w:asciiTheme="majorHAnsi" w:hAnsiTheme="majorHAnsi"/>
          <w:b/>
          <w:color w:val="000000"/>
          <w:sz w:val="32"/>
          <w:szCs w:val="32"/>
        </w:rPr>
      </w:pPr>
    </w:p>
    <w:p w14:paraId="609DBD2E" w14:textId="77777777" w:rsidR="00006AAE" w:rsidRPr="00006AAE" w:rsidRDefault="00006AAE" w:rsidP="00006AAE">
      <w:pPr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006AAE">
        <w:rPr>
          <w:rFonts w:asciiTheme="majorHAnsi" w:hAnsiTheme="majorHAnsi"/>
          <w:b/>
          <w:color w:val="000000"/>
          <w:sz w:val="32"/>
          <w:szCs w:val="32"/>
        </w:rPr>
        <w:t>Dispone:</w:t>
      </w:r>
    </w:p>
    <w:p w14:paraId="1E6F7D95" w14:textId="77777777" w:rsidR="00006AAE" w:rsidRPr="00006AAE" w:rsidRDefault="00006AAE" w:rsidP="00006AAE">
      <w:pPr>
        <w:jc w:val="center"/>
        <w:rPr>
          <w:rFonts w:asciiTheme="majorHAnsi" w:hAnsiTheme="majorHAnsi"/>
          <w:b/>
          <w:color w:val="000000"/>
        </w:rPr>
      </w:pPr>
    </w:p>
    <w:p w14:paraId="363177E0" w14:textId="77777777" w:rsidR="00006AAE" w:rsidRPr="00006AAE" w:rsidRDefault="00006AAE" w:rsidP="00006AAE">
      <w:pPr>
        <w:jc w:val="both"/>
        <w:rPr>
          <w:rFonts w:asciiTheme="majorHAnsi" w:hAnsiTheme="majorHAnsi"/>
          <w:color w:val="000000"/>
        </w:rPr>
      </w:pPr>
      <w:r w:rsidRPr="00006AAE">
        <w:rPr>
          <w:rFonts w:asciiTheme="majorHAnsi" w:hAnsiTheme="majorHAnsi"/>
          <w:b/>
          <w:color w:val="000000"/>
        </w:rPr>
        <w:t>Primero:</w:t>
      </w:r>
      <w:r w:rsidRPr="00006AAE">
        <w:rPr>
          <w:rFonts w:asciiTheme="majorHAnsi" w:hAnsiTheme="majorHAnsi"/>
          <w:color w:val="000000"/>
        </w:rPr>
        <w:t xml:space="preserve"> Modificar el artículo 2 del Acuerdo SGS-DES-A-021-2013 de forma tal que se lea de la siguiente manera:</w:t>
      </w:r>
    </w:p>
    <w:p w14:paraId="22D08F70" w14:textId="77777777" w:rsidR="00006AAE" w:rsidRPr="00006AAE" w:rsidRDefault="00006AAE" w:rsidP="00006AAE">
      <w:pPr>
        <w:jc w:val="both"/>
        <w:rPr>
          <w:rFonts w:asciiTheme="majorHAnsi" w:hAnsiTheme="majorHAnsi"/>
          <w:i/>
          <w:color w:val="000000"/>
        </w:rPr>
      </w:pPr>
    </w:p>
    <w:p w14:paraId="361B84F8" w14:textId="77777777" w:rsidR="00006AAE" w:rsidRPr="00006AAE" w:rsidRDefault="00006AAE" w:rsidP="00006AAE">
      <w:pPr>
        <w:jc w:val="both"/>
        <w:rPr>
          <w:rFonts w:asciiTheme="majorHAnsi" w:hAnsiTheme="majorHAnsi"/>
          <w:b/>
          <w:i/>
          <w:color w:val="000000"/>
        </w:rPr>
      </w:pPr>
      <w:r w:rsidRPr="00006AAE">
        <w:rPr>
          <w:rFonts w:asciiTheme="majorHAnsi" w:hAnsiTheme="majorHAnsi"/>
          <w:b/>
          <w:i/>
          <w:color w:val="000000"/>
        </w:rPr>
        <w:t>Artículo 2. Información que deben Enviar las Entidades de Seguros, Periodicidad, Plazo y Medio de Remisión</w:t>
      </w:r>
    </w:p>
    <w:p w14:paraId="58C8EA4B" w14:textId="77777777" w:rsidR="00006AAE" w:rsidRDefault="00006AAE" w:rsidP="00006AAE">
      <w:pPr>
        <w:jc w:val="both"/>
        <w:rPr>
          <w:rFonts w:asciiTheme="majorHAnsi" w:hAnsiTheme="majorHAnsi"/>
          <w:i/>
          <w:color w:val="000000"/>
        </w:rPr>
      </w:pPr>
      <w:r w:rsidRPr="00006AAE">
        <w:rPr>
          <w:rFonts w:asciiTheme="majorHAnsi" w:hAnsiTheme="majorHAnsi"/>
          <w:i/>
          <w:color w:val="000000"/>
        </w:rPr>
        <w:t>Las entidades de seguros supervisadas deben remitir a la Superintendencia la siguiente información, en las condiciones que se indican a continuación:</w:t>
      </w:r>
    </w:p>
    <w:p w14:paraId="6654260B" w14:textId="77777777" w:rsidR="00006AAE" w:rsidRPr="00006AAE" w:rsidRDefault="00006AAE" w:rsidP="00006AAE">
      <w:pPr>
        <w:jc w:val="both"/>
        <w:rPr>
          <w:rFonts w:asciiTheme="majorHAnsi" w:hAnsiTheme="majorHAnsi"/>
          <w:i/>
          <w:color w:val="000000"/>
        </w:rPr>
      </w:pPr>
    </w:p>
    <w:tbl>
      <w:tblPr>
        <w:tblW w:w="8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1980"/>
        <w:gridCol w:w="1842"/>
        <w:gridCol w:w="2269"/>
        <w:gridCol w:w="2737"/>
      </w:tblGrid>
      <w:tr w:rsidR="00006AAE" w:rsidRPr="00006AAE" w14:paraId="348AD902" w14:textId="77777777" w:rsidTr="000B31FC">
        <w:trPr>
          <w:cantSplit/>
          <w:trHeight w:val="43"/>
          <w:tblHeader/>
          <w:jc w:val="center"/>
        </w:trPr>
        <w:tc>
          <w:tcPr>
            <w:tcW w:w="1121" w:type="pct"/>
            <w:shd w:val="clear" w:color="auto" w:fill="D9D9D9" w:themeFill="background1" w:themeFillShade="D9"/>
            <w:noWrap/>
            <w:vAlign w:val="center"/>
          </w:tcPr>
          <w:p w14:paraId="4E614C6B" w14:textId="77777777" w:rsidR="00006AAE" w:rsidRPr="00006AAE" w:rsidRDefault="00006AAE" w:rsidP="00362C1D">
            <w:pPr>
              <w:widowControl w:val="0"/>
              <w:jc w:val="center"/>
              <w:rPr>
                <w:rFonts w:asciiTheme="majorHAnsi" w:hAnsiTheme="majorHAnsi"/>
                <w:b/>
                <w:i/>
                <w:snapToGrid w:val="0"/>
                <w:color w:val="FFFFFF" w:themeColor="background1"/>
              </w:rPr>
            </w:pPr>
            <w:r w:rsidRPr="00006AAE">
              <w:rPr>
                <w:rFonts w:asciiTheme="majorHAnsi" w:hAnsiTheme="majorHAnsi"/>
                <w:b/>
                <w:i/>
                <w:snapToGrid w:val="0"/>
              </w:rPr>
              <w:t>Información</w:t>
            </w:r>
          </w:p>
        </w:tc>
        <w:tc>
          <w:tcPr>
            <w:tcW w:w="1043" w:type="pct"/>
            <w:shd w:val="clear" w:color="auto" w:fill="D9D9D9" w:themeFill="background1" w:themeFillShade="D9"/>
            <w:noWrap/>
            <w:vAlign w:val="center"/>
          </w:tcPr>
          <w:p w14:paraId="05BD8023" w14:textId="77777777" w:rsidR="00006AAE" w:rsidRPr="00006AAE" w:rsidRDefault="00006AAE" w:rsidP="00362C1D">
            <w:pPr>
              <w:widowControl w:val="0"/>
              <w:jc w:val="center"/>
              <w:rPr>
                <w:rFonts w:asciiTheme="majorHAnsi" w:hAnsiTheme="majorHAnsi"/>
                <w:i/>
              </w:rPr>
            </w:pPr>
            <w:r w:rsidRPr="00006AAE">
              <w:rPr>
                <w:rFonts w:asciiTheme="majorHAnsi" w:hAnsiTheme="majorHAnsi"/>
                <w:b/>
                <w:i/>
                <w:snapToGrid w:val="0"/>
              </w:rPr>
              <w:t>Periodicidad</w:t>
            </w:r>
          </w:p>
        </w:tc>
        <w:tc>
          <w:tcPr>
            <w:tcW w:w="1285" w:type="pct"/>
            <w:shd w:val="clear" w:color="auto" w:fill="D9D9D9" w:themeFill="background1" w:themeFillShade="D9"/>
            <w:noWrap/>
            <w:vAlign w:val="center"/>
          </w:tcPr>
          <w:p w14:paraId="51E97B55" w14:textId="77777777" w:rsidR="00006AAE" w:rsidRPr="00006AAE" w:rsidRDefault="00006AAE" w:rsidP="00362C1D">
            <w:pPr>
              <w:widowControl w:val="0"/>
              <w:jc w:val="center"/>
              <w:rPr>
                <w:rFonts w:asciiTheme="majorHAnsi" w:hAnsiTheme="majorHAnsi"/>
                <w:b/>
                <w:i/>
                <w:snapToGrid w:val="0"/>
              </w:rPr>
            </w:pPr>
            <w:r w:rsidRPr="00006AAE">
              <w:rPr>
                <w:rFonts w:asciiTheme="majorHAnsi" w:hAnsiTheme="majorHAnsi"/>
                <w:b/>
                <w:i/>
                <w:snapToGrid w:val="0"/>
              </w:rPr>
              <w:t>Plazo de entrega</w:t>
            </w:r>
          </w:p>
        </w:tc>
        <w:tc>
          <w:tcPr>
            <w:tcW w:w="1550" w:type="pct"/>
            <w:shd w:val="clear" w:color="auto" w:fill="D9D9D9" w:themeFill="background1" w:themeFillShade="D9"/>
            <w:noWrap/>
            <w:vAlign w:val="center"/>
          </w:tcPr>
          <w:p w14:paraId="052D43B3" w14:textId="77777777" w:rsidR="00006AAE" w:rsidRPr="00006AAE" w:rsidRDefault="00006AAE" w:rsidP="00362C1D">
            <w:pPr>
              <w:widowControl w:val="0"/>
              <w:jc w:val="center"/>
              <w:rPr>
                <w:rFonts w:asciiTheme="majorHAnsi" w:hAnsiTheme="majorHAnsi"/>
                <w:b/>
                <w:i/>
                <w:snapToGrid w:val="0"/>
              </w:rPr>
            </w:pPr>
            <w:r w:rsidRPr="00006AAE">
              <w:rPr>
                <w:rFonts w:asciiTheme="majorHAnsi" w:hAnsiTheme="majorHAnsi"/>
                <w:b/>
                <w:i/>
                <w:snapToGrid w:val="0"/>
              </w:rPr>
              <w:t>Medio</w:t>
            </w:r>
          </w:p>
        </w:tc>
      </w:tr>
      <w:tr w:rsidR="00006AAE" w:rsidRPr="00006AAE" w14:paraId="534C130B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4DB3F74B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>Registro Único de Personas  Beneficiarias</w:t>
            </w:r>
          </w:p>
        </w:tc>
        <w:tc>
          <w:tcPr>
            <w:tcW w:w="1043" w:type="pct"/>
            <w:noWrap/>
          </w:tcPr>
          <w:p w14:paraId="0C22E2B9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i/>
              </w:rPr>
            </w:pPr>
            <w:r w:rsidRPr="00006AAE">
              <w:rPr>
                <w:rFonts w:asciiTheme="majorHAnsi" w:hAnsiTheme="majorHAnsi"/>
                <w:i/>
              </w:rPr>
              <w:t>Al menos una vez al mes</w:t>
            </w:r>
          </w:p>
        </w:tc>
        <w:tc>
          <w:tcPr>
            <w:tcW w:w="1285" w:type="pct"/>
            <w:noWrap/>
          </w:tcPr>
          <w:p w14:paraId="31608AF4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i/>
              </w:rPr>
            </w:pPr>
            <w:r w:rsidRPr="00006AAE">
              <w:rPr>
                <w:rFonts w:asciiTheme="majorHAnsi" w:hAnsiTheme="majorHAnsi"/>
                <w:i/>
              </w:rPr>
              <w:t>A más tardar diez días  hábiles después de finalizar cada mes</w:t>
            </w:r>
          </w:p>
        </w:tc>
        <w:tc>
          <w:tcPr>
            <w:tcW w:w="1550" w:type="pct"/>
            <w:noWrap/>
          </w:tcPr>
          <w:p w14:paraId="5FBF91DF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i/>
              </w:rPr>
            </w:pPr>
            <w:r w:rsidRPr="00006AAE">
              <w:rPr>
                <w:rFonts w:asciiTheme="majorHAnsi" w:hAnsiTheme="majorHAnsi"/>
                <w:i/>
              </w:rPr>
              <w:t>Web Service, a través de archivos *.xml o *.zip que contengan *.xml,, de conformidad con Estándar electrónico para Registro Único de Personas Beneficiarias, incluido en el Anexo 7</w:t>
            </w:r>
          </w:p>
        </w:tc>
      </w:tr>
      <w:tr w:rsidR="00006AAE" w:rsidRPr="00006AAE" w14:paraId="4568BB61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28837094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trike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Registro Público de Vehículos Asegurados con el Seguro Obligatorio de Vehículos Automotores</w:t>
            </w:r>
          </w:p>
        </w:tc>
        <w:tc>
          <w:tcPr>
            <w:tcW w:w="1043" w:type="pct"/>
            <w:noWrap/>
          </w:tcPr>
          <w:p w14:paraId="5582A09A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bCs/>
                <w:i/>
                <w:strike/>
              </w:rPr>
            </w:pPr>
            <w:r w:rsidRPr="00006AAE">
              <w:rPr>
                <w:rFonts w:asciiTheme="majorHAnsi" w:hAnsiTheme="majorHAnsi"/>
                <w:bCs/>
                <w:i/>
              </w:rPr>
              <w:t>Semanal</w:t>
            </w:r>
          </w:p>
        </w:tc>
        <w:tc>
          <w:tcPr>
            <w:tcW w:w="1285" w:type="pct"/>
            <w:noWrap/>
          </w:tcPr>
          <w:p w14:paraId="0F580EB0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  <w:strike/>
              </w:rPr>
            </w:pPr>
            <w:r w:rsidRPr="00006AAE">
              <w:rPr>
                <w:rFonts w:asciiTheme="majorHAnsi" w:hAnsiTheme="majorHAnsi"/>
                <w:bCs/>
                <w:i/>
              </w:rPr>
              <w:t>El tercer día hábil de la semana siguiente con corte de movimientos a las 11:59 p.m. del domingo anterior.</w:t>
            </w:r>
          </w:p>
        </w:tc>
        <w:tc>
          <w:tcPr>
            <w:tcW w:w="1550" w:type="pct"/>
            <w:noWrap/>
          </w:tcPr>
          <w:p w14:paraId="40382824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Carga a través de web service de archivos *.xml ó *.zip que contengan *.xml, de conformidad con el Estándar para Registro Seguro Obligatorio de Vehículos Automotores (SOA), incluido en el </w:t>
            </w:r>
            <w:r w:rsidRPr="00006AAE">
              <w:rPr>
                <w:rFonts w:asciiTheme="majorHAnsi" w:hAnsiTheme="majorHAnsi"/>
                <w:b/>
                <w:i/>
              </w:rPr>
              <w:t>Anexo 9</w:t>
            </w:r>
            <w:r w:rsidRPr="00006AAE">
              <w:rPr>
                <w:rFonts w:asciiTheme="majorHAnsi" w:hAnsiTheme="majorHAnsi"/>
                <w:i/>
              </w:rPr>
              <w:t xml:space="preserve">, </w:t>
            </w:r>
            <w:r w:rsidRPr="00006AAE">
              <w:rPr>
                <w:rFonts w:asciiTheme="majorHAnsi" w:hAnsiTheme="majorHAnsi"/>
                <w:bCs/>
                <w:i/>
              </w:rPr>
              <w:t>a través de SUGESE en Línea; o bien carga manual de los mismos archivos ante una eventualidad previamente justificada.</w:t>
            </w:r>
          </w:p>
        </w:tc>
      </w:tr>
      <w:tr w:rsidR="00006AAE" w:rsidRPr="00006AAE" w14:paraId="2648CD69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5DE94AF5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trike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>Asegurados y Siniestralidad del Seguro Obligatorio de Vehículos Automotores</w:t>
            </w:r>
          </w:p>
        </w:tc>
        <w:tc>
          <w:tcPr>
            <w:tcW w:w="1043" w:type="pct"/>
            <w:noWrap/>
          </w:tcPr>
          <w:p w14:paraId="59ED8739" w14:textId="77777777" w:rsidR="00006AAE" w:rsidRPr="00006AAE" w:rsidRDefault="00006AAE" w:rsidP="00362C1D">
            <w:pPr>
              <w:widowControl w:val="0"/>
              <w:jc w:val="center"/>
              <w:rPr>
                <w:rFonts w:asciiTheme="majorHAnsi" w:hAnsiTheme="majorHAnsi" w:cstheme="minorHAnsi"/>
                <w:b/>
                <w:i/>
                <w:snapToGrid w:val="0"/>
              </w:rPr>
            </w:pPr>
            <w:r w:rsidRPr="00006AAE">
              <w:rPr>
                <w:rFonts w:asciiTheme="majorHAnsi" w:hAnsiTheme="majorHAnsi" w:cstheme="minorHAnsi"/>
                <w:i/>
                <w:snapToGrid w:val="0"/>
              </w:rPr>
              <w:t>Mensual</w:t>
            </w:r>
          </w:p>
          <w:p w14:paraId="086976F8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bCs/>
                <w:i/>
                <w:strike/>
              </w:rPr>
            </w:pPr>
          </w:p>
        </w:tc>
        <w:tc>
          <w:tcPr>
            <w:tcW w:w="1285" w:type="pct"/>
            <w:noWrap/>
          </w:tcPr>
          <w:p w14:paraId="5105B2BA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  <w:strike/>
              </w:rPr>
            </w:pPr>
            <w:r w:rsidRPr="00006AAE">
              <w:rPr>
                <w:rFonts w:asciiTheme="majorHAnsi" w:hAnsiTheme="majorHAnsi" w:cstheme="minorHAnsi"/>
                <w:bCs/>
                <w:i/>
              </w:rPr>
              <w:t>15 días hábiles después del cierre mensual,   según corresponda</w:t>
            </w:r>
          </w:p>
        </w:tc>
        <w:tc>
          <w:tcPr>
            <w:tcW w:w="1550" w:type="pct"/>
            <w:noWrap/>
          </w:tcPr>
          <w:p w14:paraId="62A670F8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i/>
                <w:strike/>
                <w:snapToGrid w:val="0"/>
              </w:rPr>
            </w:pPr>
            <w:r w:rsidRPr="00006AAE">
              <w:rPr>
                <w:rFonts w:asciiTheme="majorHAnsi" w:hAnsiTheme="majorHAnsi" w:cstheme="minorHAnsi"/>
                <w:i/>
                <w:snapToGrid w:val="0"/>
              </w:rPr>
              <w:t xml:space="preserve">En hoja electrónica, por correo electrónico, según formato establecido en el  </w:t>
            </w:r>
            <w:r w:rsidRPr="00006AAE">
              <w:rPr>
                <w:rFonts w:asciiTheme="majorHAnsi" w:hAnsiTheme="majorHAnsi" w:cstheme="minorHAnsi"/>
                <w:b/>
                <w:i/>
                <w:snapToGrid w:val="0"/>
              </w:rPr>
              <w:t>Anexo 10</w:t>
            </w:r>
            <w:r w:rsidRPr="00006AAE">
              <w:rPr>
                <w:rFonts w:asciiTheme="majorHAnsi" w:hAnsiTheme="majorHAnsi" w:cstheme="minorHAnsi"/>
                <w:i/>
                <w:snapToGrid w:val="0"/>
              </w:rPr>
              <w:t>.</w:t>
            </w:r>
          </w:p>
        </w:tc>
      </w:tr>
      <w:tr w:rsidR="00006AAE" w:rsidRPr="00006AAE" w14:paraId="61D8FF19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51FCFD86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 w:cstheme="minorHAnsi"/>
                <w:bCs/>
                <w:i/>
                <w:color w:val="000000" w:themeColor="text1"/>
              </w:rPr>
            </w:pPr>
            <w:r w:rsidRPr="00006AAE">
              <w:rPr>
                <w:rFonts w:asciiTheme="majorHAnsi" w:hAnsiTheme="majorHAnsi" w:cstheme="minorHAnsi"/>
                <w:bCs/>
                <w:i/>
                <w:color w:val="000000" w:themeColor="text1"/>
              </w:rPr>
              <w:t xml:space="preserve">Saldos Contables (según lo establecido en el Plan de Cuentas) y datos contables adicionales </w:t>
            </w:r>
          </w:p>
        </w:tc>
        <w:tc>
          <w:tcPr>
            <w:tcW w:w="1043" w:type="pct"/>
            <w:noWrap/>
          </w:tcPr>
          <w:p w14:paraId="7196E959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 w:cstheme="minorHAnsi"/>
                <w:b/>
                <w:i/>
                <w:snapToGrid w:val="0"/>
                <w:color w:val="000000" w:themeColor="text1"/>
              </w:rPr>
            </w:pPr>
            <w:r w:rsidRPr="00006AAE">
              <w:rPr>
                <w:rFonts w:asciiTheme="majorHAnsi" w:hAnsiTheme="majorHAnsi" w:cstheme="minorHAnsi"/>
                <w:i/>
                <w:snapToGrid w:val="0"/>
                <w:color w:val="000000" w:themeColor="text1"/>
              </w:rPr>
              <w:t>Mensual</w:t>
            </w:r>
          </w:p>
          <w:p w14:paraId="4582FC35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 w:cstheme="minorHAnsi"/>
                <w:b/>
                <w:i/>
                <w:snapToGrid w:val="0"/>
                <w:color w:val="000000" w:themeColor="text1"/>
              </w:rPr>
            </w:pPr>
          </w:p>
        </w:tc>
        <w:tc>
          <w:tcPr>
            <w:tcW w:w="1285" w:type="pct"/>
            <w:noWrap/>
          </w:tcPr>
          <w:p w14:paraId="4D126747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 w:cstheme="minorHAnsi"/>
                <w:bCs/>
                <w:i/>
                <w:color w:val="000000" w:themeColor="text1"/>
              </w:rPr>
            </w:pPr>
            <w:r w:rsidRPr="00006AAE">
              <w:rPr>
                <w:rFonts w:asciiTheme="majorHAnsi" w:hAnsiTheme="majorHAnsi" w:cstheme="minorHAnsi"/>
                <w:bCs/>
                <w:i/>
                <w:color w:val="000000" w:themeColor="text1"/>
              </w:rPr>
              <w:t>5 días hábiles después del cierre mensual,   según corresponda</w:t>
            </w:r>
          </w:p>
        </w:tc>
        <w:tc>
          <w:tcPr>
            <w:tcW w:w="1550" w:type="pct"/>
            <w:noWrap/>
          </w:tcPr>
          <w:p w14:paraId="5610E975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 w:cstheme="minorHAnsi"/>
                <w:i/>
                <w:snapToGrid w:val="0"/>
                <w:color w:val="000000" w:themeColor="text1"/>
              </w:rPr>
            </w:pPr>
            <w:r w:rsidRPr="00006AAE">
              <w:rPr>
                <w:rFonts w:asciiTheme="majorHAnsi" w:hAnsiTheme="majorHAnsi" w:cstheme="minorHAnsi"/>
                <w:i/>
                <w:snapToGrid w:val="0"/>
                <w:color w:val="000000" w:themeColor="text1"/>
              </w:rPr>
              <w:t xml:space="preserve">En hoja electrónica, por correo electrónico, según formato establecido en el  </w:t>
            </w:r>
            <w:r w:rsidRPr="00006AAE">
              <w:rPr>
                <w:rFonts w:asciiTheme="majorHAnsi" w:hAnsiTheme="majorHAnsi" w:cstheme="minorHAnsi"/>
                <w:b/>
                <w:i/>
                <w:snapToGrid w:val="0"/>
                <w:color w:val="000000" w:themeColor="text1"/>
              </w:rPr>
              <w:t>Anexo 1</w:t>
            </w:r>
            <w:r w:rsidRPr="00006AAE">
              <w:rPr>
                <w:rFonts w:asciiTheme="majorHAnsi" w:hAnsiTheme="majorHAnsi" w:cstheme="minorHAnsi"/>
                <w:i/>
                <w:snapToGrid w:val="0"/>
                <w:color w:val="000000" w:themeColor="text1"/>
              </w:rPr>
              <w:t>.</w:t>
            </w:r>
          </w:p>
        </w:tc>
      </w:tr>
      <w:tr w:rsidR="00006AAE" w:rsidRPr="00006AAE" w14:paraId="0E8BA1C5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5CBF5ADD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>Régimen de suficiencia de capital y solvencia</w:t>
            </w:r>
          </w:p>
        </w:tc>
        <w:tc>
          <w:tcPr>
            <w:tcW w:w="1043" w:type="pct"/>
            <w:noWrap/>
          </w:tcPr>
          <w:p w14:paraId="340DC8FF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Mensual</w:t>
            </w:r>
          </w:p>
        </w:tc>
        <w:tc>
          <w:tcPr>
            <w:tcW w:w="1285" w:type="pct"/>
            <w:noWrap/>
          </w:tcPr>
          <w:p w14:paraId="0FE4AA05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mensual</w:t>
            </w:r>
          </w:p>
        </w:tc>
        <w:tc>
          <w:tcPr>
            <w:tcW w:w="1550" w:type="pct"/>
            <w:noWrap/>
          </w:tcPr>
          <w:p w14:paraId="525B2AF4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En hoja electrónica, por correo electrónico, según formato establecido en el 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4.</w:t>
            </w:r>
          </w:p>
        </w:tc>
      </w:tr>
      <w:tr w:rsidR="00006AAE" w:rsidRPr="00006AAE" w14:paraId="6CCF9741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1DC9AEDA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1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Balance General (Activo, Pasivo y Patrimonio)</w:t>
            </w:r>
          </w:p>
        </w:tc>
        <w:tc>
          <w:tcPr>
            <w:tcW w:w="1043" w:type="pct"/>
            <w:noWrap/>
          </w:tcPr>
          <w:p w14:paraId="5D45A215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5367E502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53C94E59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</w:t>
            </w:r>
          </w:p>
        </w:tc>
      </w:tr>
      <w:tr w:rsidR="00006AAE" w:rsidRPr="00006AAE" w14:paraId="4DDE1CB4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72EA7A2B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lastRenderedPageBreak/>
              <w:t>Modelo 2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Estado de Resultados y Cuenta de Resultados Técnico Financiera</w:t>
            </w:r>
          </w:p>
        </w:tc>
        <w:tc>
          <w:tcPr>
            <w:tcW w:w="1043" w:type="pct"/>
            <w:noWrap/>
          </w:tcPr>
          <w:p w14:paraId="285DB0A5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2D4E6882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340C1067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</w:t>
            </w:r>
          </w:p>
        </w:tc>
      </w:tr>
      <w:tr w:rsidR="00006AAE" w:rsidRPr="00006AAE" w14:paraId="76C4B05B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5D0004B3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3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Inversiones Financieras</w:t>
            </w:r>
          </w:p>
        </w:tc>
        <w:tc>
          <w:tcPr>
            <w:tcW w:w="1043" w:type="pct"/>
            <w:noWrap/>
          </w:tcPr>
          <w:p w14:paraId="64C122AA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Mensual</w:t>
            </w:r>
          </w:p>
        </w:tc>
        <w:tc>
          <w:tcPr>
            <w:tcW w:w="1285" w:type="pct"/>
            <w:noWrap/>
          </w:tcPr>
          <w:p w14:paraId="605BB337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  <w:highlight w:val="yellow"/>
              </w:rPr>
            </w:pPr>
            <w:r w:rsidRPr="00006AAE">
              <w:rPr>
                <w:rFonts w:asciiTheme="majorHAnsi" w:hAnsiTheme="majorHAnsi"/>
                <w:bCs/>
                <w:i/>
              </w:rPr>
              <w:t>5 días hábiles después del cierre de cada mes.</w:t>
            </w:r>
          </w:p>
        </w:tc>
        <w:tc>
          <w:tcPr>
            <w:tcW w:w="1550" w:type="pct"/>
            <w:noWrap/>
          </w:tcPr>
          <w:p w14:paraId="38F72E8E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5.</w:t>
            </w:r>
          </w:p>
          <w:p w14:paraId="7DC1D4CD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</w:p>
          <w:p w14:paraId="100DA6CD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</w:p>
        </w:tc>
      </w:tr>
      <w:tr w:rsidR="00006AAE" w:rsidRPr="00006AAE" w14:paraId="21F2253E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72AE8180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4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Estado de Cambios en el Patrimonio </w:t>
            </w:r>
          </w:p>
        </w:tc>
        <w:tc>
          <w:tcPr>
            <w:tcW w:w="1043" w:type="pct"/>
            <w:noWrap/>
          </w:tcPr>
          <w:p w14:paraId="2BAB01D0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5A715B35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49C4E781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5.</w:t>
            </w:r>
          </w:p>
        </w:tc>
      </w:tr>
      <w:tr w:rsidR="00006AAE" w:rsidRPr="00006AAE" w14:paraId="4F3A303D" w14:textId="77777777" w:rsidTr="000B31FC">
        <w:trPr>
          <w:cantSplit/>
          <w:trHeight w:val="1509"/>
          <w:jc w:val="center"/>
        </w:trPr>
        <w:tc>
          <w:tcPr>
            <w:tcW w:w="1121" w:type="pct"/>
            <w:noWrap/>
          </w:tcPr>
          <w:p w14:paraId="618B8C25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5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Saldos Contables</w:t>
            </w:r>
          </w:p>
        </w:tc>
        <w:tc>
          <w:tcPr>
            <w:tcW w:w="1043" w:type="pct"/>
            <w:noWrap/>
          </w:tcPr>
          <w:p w14:paraId="418C525D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>Mensual</w:t>
            </w:r>
          </w:p>
        </w:tc>
        <w:tc>
          <w:tcPr>
            <w:tcW w:w="1285" w:type="pct"/>
            <w:noWrap/>
          </w:tcPr>
          <w:p w14:paraId="3F409B58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>5 días hábiles después del cierre de cada mes.</w:t>
            </w:r>
          </w:p>
        </w:tc>
        <w:tc>
          <w:tcPr>
            <w:tcW w:w="1550" w:type="pct"/>
            <w:noWrap/>
          </w:tcPr>
          <w:p w14:paraId="2C94457A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Anexo 5.</w:t>
            </w:r>
          </w:p>
        </w:tc>
      </w:tr>
      <w:tr w:rsidR="00006AAE" w:rsidRPr="00006AAE" w14:paraId="1B193C9D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0659629D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6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Aporte a Bomberos </w:t>
            </w:r>
          </w:p>
        </w:tc>
        <w:tc>
          <w:tcPr>
            <w:tcW w:w="1043" w:type="pct"/>
            <w:noWrap/>
          </w:tcPr>
          <w:p w14:paraId="2E28DB55" w14:textId="77777777" w:rsidR="00006AAE" w:rsidRPr="00006AAE" w:rsidRDefault="00006AAE" w:rsidP="00362C1D">
            <w:pPr>
              <w:widowControl w:val="0"/>
              <w:ind w:left="94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Mensual</w:t>
            </w:r>
          </w:p>
        </w:tc>
        <w:tc>
          <w:tcPr>
            <w:tcW w:w="1285" w:type="pct"/>
            <w:noWrap/>
          </w:tcPr>
          <w:p w14:paraId="70730B7E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5 días hábiles después del cierre de cada mes.</w:t>
            </w:r>
          </w:p>
        </w:tc>
        <w:tc>
          <w:tcPr>
            <w:tcW w:w="1550" w:type="pct"/>
            <w:noWrap/>
          </w:tcPr>
          <w:p w14:paraId="088CC2C9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5.</w:t>
            </w:r>
          </w:p>
        </w:tc>
      </w:tr>
      <w:tr w:rsidR="00006AAE" w:rsidRPr="00006AAE" w14:paraId="5097A26A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3237113A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lastRenderedPageBreak/>
              <w:t>Modelo 7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Canales de Comercialización </w:t>
            </w:r>
          </w:p>
        </w:tc>
        <w:tc>
          <w:tcPr>
            <w:tcW w:w="1043" w:type="pct"/>
            <w:noWrap/>
          </w:tcPr>
          <w:p w14:paraId="059CAEC6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66E98718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27F08128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5.</w:t>
            </w:r>
          </w:p>
        </w:tc>
      </w:tr>
      <w:tr w:rsidR="00006AAE" w:rsidRPr="00006AAE" w14:paraId="3B8282A0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643E8FE7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8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Producción y Población Asegurada</w:t>
            </w:r>
          </w:p>
        </w:tc>
        <w:tc>
          <w:tcPr>
            <w:tcW w:w="1043" w:type="pct"/>
            <w:noWrap/>
          </w:tcPr>
          <w:p w14:paraId="4F237120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1DB7BB28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  <w:color w:val="FF0000"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2C93C1E7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</w:t>
            </w:r>
          </w:p>
        </w:tc>
      </w:tr>
      <w:tr w:rsidR="00006AAE" w:rsidRPr="00006AAE" w14:paraId="782A5D97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18DA0773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9: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Run Off</w:t>
            </w:r>
          </w:p>
        </w:tc>
        <w:tc>
          <w:tcPr>
            <w:tcW w:w="1043" w:type="pct"/>
            <w:noWrap/>
          </w:tcPr>
          <w:p w14:paraId="7F5C79A6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19B3E253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24FE37EF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</w:t>
            </w:r>
          </w:p>
          <w:p w14:paraId="47B4A4FD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</w:p>
        </w:tc>
      </w:tr>
      <w:tr w:rsidR="00006AAE" w:rsidRPr="00006AAE" w14:paraId="28A89475" w14:textId="77777777" w:rsidTr="000B31FC">
        <w:trPr>
          <w:cantSplit/>
          <w:trHeight w:val="43"/>
          <w:jc w:val="center"/>
        </w:trPr>
        <w:tc>
          <w:tcPr>
            <w:tcW w:w="1121" w:type="pct"/>
            <w:noWrap/>
          </w:tcPr>
          <w:p w14:paraId="0C556857" w14:textId="77777777" w:rsidR="00006AAE" w:rsidRPr="00006AAE" w:rsidRDefault="00006AAE" w:rsidP="00362C1D">
            <w:pPr>
              <w:pStyle w:val="Textoindependiente"/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06AAE">
              <w:rPr>
                <w:rFonts w:asciiTheme="majorHAnsi" w:hAnsiTheme="majorHAnsi"/>
                <w:b/>
                <w:i/>
                <w:sz w:val="24"/>
                <w:szCs w:val="24"/>
              </w:rPr>
              <w:t>Modelo 10 SSS:</w:t>
            </w:r>
            <w:r w:rsidRPr="00006AAE">
              <w:rPr>
                <w:rFonts w:asciiTheme="majorHAnsi" w:hAnsiTheme="majorHAnsi"/>
                <w:i/>
                <w:sz w:val="24"/>
                <w:szCs w:val="24"/>
              </w:rPr>
              <w:t xml:space="preserve"> Seguros paritarios</w:t>
            </w:r>
          </w:p>
        </w:tc>
        <w:tc>
          <w:tcPr>
            <w:tcW w:w="1043" w:type="pct"/>
            <w:noWrap/>
          </w:tcPr>
          <w:p w14:paraId="43907618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Trimestral</w:t>
            </w:r>
          </w:p>
        </w:tc>
        <w:tc>
          <w:tcPr>
            <w:tcW w:w="1285" w:type="pct"/>
            <w:noWrap/>
          </w:tcPr>
          <w:p w14:paraId="180F622B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>15 días hábiles después del cierre de los meses de marzo, junio, setiembre y diciembre</w:t>
            </w:r>
          </w:p>
        </w:tc>
        <w:tc>
          <w:tcPr>
            <w:tcW w:w="1550" w:type="pct"/>
            <w:noWrap/>
          </w:tcPr>
          <w:p w14:paraId="2135D13B" w14:textId="77777777" w:rsidR="00006AAE" w:rsidRPr="00006AAE" w:rsidRDefault="00006AAE" w:rsidP="00362C1D">
            <w:pPr>
              <w:widowControl w:val="0"/>
              <w:jc w:val="both"/>
              <w:rPr>
                <w:rFonts w:asciiTheme="majorHAnsi" w:hAnsiTheme="majorHAnsi"/>
                <w:bCs/>
                <w:i/>
              </w:rPr>
            </w:pPr>
            <w:r w:rsidRPr="00006AAE">
              <w:rPr>
                <w:rFonts w:asciiTheme="majorHAnsi" w:hAnsiTheme="majorHAnsi"/>
                <w:bCs/>
                <w:i/>
              </w:rPr>
              <w:t xml:space="preserve">Web Service, a través de archivos *.xml, de conformidad con Estándar de Negocio para Entidades de Seguros, incluido en el </w:t>
            </w:r>
            <w:r w:rsidRPr="00006AAE">
              <w:rPr>
                <w:rFonts w:asciiTheme="majorHAnsi" w:hAnsiTheme="majorHAnsi"/>
                <w:b/>
                <w:bCs/>
                <w:i/>
              </w:rPr>
              <w:t>Anexo 5</w:t>
            </w:r>
          </w:p>
        </w:tc>
      </w:tr>
    </w:tbl>
    <w:p w14:paraId="2ED13509" w14:textId="77777777" w:rsidR="00006AAE" w:rsidRPr="00006AAE" w:rsidRDefault="00006AAE" w:rsidP="00006AAE">
      <w:pPr>
        <w:jc w:val="both"/>
        <w:rPr>
          <w:rFonts w:asciiTheme="majorHAnsi" w:hAnsiTheme="majorHAnsi"/>
          <w:i/>
          <w:color w:val="000000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054"/>
      </w:tblGrid>
      <w:tr w:rsidR="00EE5C72" w:rsidRPr="00006AAE" w14:paraId="6A107F91" w14:textId="77777777" w:rsidTr="00EE5C72">
        <w:trPr>
          <w:jc w:val="center"/>
        </w:trPr>
        <w:tc>
          <w:tcPr>
            <w:tcW w:w="5000" w:type="pct"/>
          </w:tcPr>
          <w:p w14:paraId="53CC922C" w14:textId="70E42E1D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  <w:r w:rsidRPr="00006AAE">
              <w:rPr>
                <w:rFonts w:asciiTheme="majorHAnsi" w:hAnsiTheme="majorHAnsi"/>
                <w:i/>
                <w:color w:val="000000"/>
              </w:rPr>
              <w:t>La falta de presentación de esta documentación, la presentación fuera de plazo, la remisión incompleta, la presentación en formatos diferentes al establecido, la falta de veracidad de la misma o la formulación de estados que no reflejen la imagen fiel de la entidad al término del ejercicio de referencia, constituyen infracciones a la normativa vigente, y pueden  dar lugar a las correspondientes sanciones en los términos previstos en la Ley Reguladora del Mercado de Seguros.</w:t>
            </w:r>
            <w:r w:rsidR="00006AAE">
              <w:rPr>
                <w:rFonts w:asciiTheme="majorHAnsi" w:hAnsiTheme="majorHAnsi"/>
                <w:i/>
                <w:color w:val="000000"/>
              </w:rPr>
              <w:t>”</w:t>
            </w:r>
          </w:p>
        </w:tc>
      </w:tr>
    </w:tbl>
    <w:p w14:paraId="5CEDCA98" w14:textId="77777777" w:rsidR="00A15F1A" w:rsidRDefault="00A15F1A">
      <w:r>
        <w:br w:type="page"/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054"/>
      </w:tblGrid>
      <w:tr w:rsidR="00EE5C72" w:rsidRPr="00006AAE" w14:paraId="6EE0CBF7" w14:textId="77777777" w:rsidTr="00EE5C72">
        <w:trPr>
          <w:jc w:val="center"/>
        </w:trPr>
        <w:tc>
          <w:tcPr>
            <w:tcW w:w="5000" w:type="pct"/>
          </w:tcPr>
          <w:p w14:paraId="5CC9618B" w14:textId="480402D7" w:rsidR="00D84E47" w:rsidRDefault="00D84E47" w:rsidP="00006AAE">
            <w:pPr>
              <w:jc w:val="both"/>
              <w:rPr>
                <w:rFonts w:asciiTheme="majorHAnsi" w:hAnsiTheme="majorHAnsi"/>
                <w:b/>
                <w:color w:val="000000"/>
              </w:rPr>
            </w:pPr>
          </w:p>
          <w:p w14:paraId="4E6DC6EE" w14:textId="77777777" w:rsidR="00006AAE" w:rsidRPr="00006AAE" w:rsidRDefault="00006AAE" w:rsidP="00006AAE">
            <w:pPr>
              <w:jc w:val="both"/>
              <w:rPr>
                <w:rFonts w:asciiTheme="majorHAnsi" w:hAnsiTheme="majorHAnsi"/>
                <w:b/>
                <w:color w:val="000000"/>
              </w:rPr>
            </w:pPr>
          </w:p>
          <w:p w14:paraId="15FAD8DC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>Segundo:</w:t>
            </w:r>
            <w:r w:rsidRPr="00006AAE">
              <w:rPr>
                <w:rFonts w:asciiTheme="majorHAnsi" w:hAnsiTheme="majorHAnsi"/>
                <w:color w:val="000000"/>
              </w:rPr>
              <w:t xml:space="preserve"> Modificar los Anexos 4 y 5 del acuerdo SGS-DES-A-021-2013 para que se lean de la siguiente manera:</w:t>
            </w:r>
          </w:p>
          <w:p w14:paraId="535E3B13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</w:p>
          <w:p w14:paraId="610D28DC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</w:p>
          <w:p w14:paraId="50E55B69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</w:p>
          <w:p w14:paraId="09F09CAC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>Anexo 4. Régimen de Suficiencia de Capital y Solvencia</w:t>
            </w:r>
          </w:p>
          <w:p w14:paraId="6EB71792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</w:p>
          <w:p w14:paraId="011038E0" w14:textId="7D56EC23" w:rsidR="00EE5C72" w:rsidRPr="00006AAE" w:rsidRDefault="00B35E7A" w:rsidP="00006AAE">
            <w:pPr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object w:dxaOrig="1550" w:dyaOrig="991" w14:anchorId="0A874B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10" o:title=""/>
                </v:shape>
                <o:OLEObject Type="Embed" ProgID="Excel.SheetMacroEnabled.12" ShapeID="_x0000_i1025" DrawAspect="Icon" ObjectID="_1480408335" r:id="rId11"/>
              </w:object>
            </w:r>
          </w:p>
          <w:p w14:paraId="66628E2A" w14:textId="77777777" w:rsidR="00EE5C72" w:rsidRPr="00006AAE" w:rsidRDefault="00EE5C72" w:rsidP="00006AAE">
            <w:pPr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cr/>
            </w:r>
            <w:r w:rsidRPr="00006AAE">
              <w:rPr>
                <w:rFonts w:asciiTheme="majorHAnsi" w:hAnsiTheme="majorHAnsi"/>
                <w:b/>
                <w:color w:val="000000"/>
              </w:rPr>
              <w:t>Anexo 5. Estándar de Negocio para Entidades de Seguros</w:t>
            </w:r>
          </w:p>
          <w:p w14:paraId="6DF4C237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</w:p>
          <w:bookmarkStart w:id="1" w:name="_MON_1480230786"/>
          <w:bookmarkEnd w:id="1"/>
          <w:p w14:paraId="61CB9EEE" w14:textId="77777777" w:rsidR="00EE5C72" w:rsidRPr="00006AAE" w:rsidRDefault="00006AAE" w:rsidP="00006AAE">
            <w:pPr>
              <w:jc w:val="center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color w:val="000000"/>
              </w:rPr>
              <w:object w:dxaOrig="1240" w:dyaOrig="792" w14:anchorId="46BE8DB7">
                <v:shape id="_x0000_i1026" type="#_x0000_t75" style="width:62.5pt;height:40.1pt" o:ole="">
                  <v:imagedata r:id="rId12" o:title=""/>
                </v:shape>
                <o:OLEObject Type="Embed" ProgID="Word.Document.12" ShapeID="_x0000_i1026" DrawAspect="Icon" ObjectID="_1480408336" r:id="rId13">
                  <o:FieldCodes>\s</o:FieldCodes>
                </o:OLEObject>
              </w:object>
            </w:r>
          </w:p>
          <w:bookmarkStart w:id="2" w:name="_MON_1480231572"/>
          <w:bookmarkEnd w:id="2"/>
          <w:p w14:paraId="5B9D007A" w14:textId="316AE3DF" w:rsidR="00EE5C72" w:rsidRPr="00006AAE" w:rsidRDefault="00006AAE" w:rsidP="00006AAE">
            <w:pPr>
              <w:jc w:val="center"/>
              <w:rPr>
                <w:rFonts w:asciiTheme="majorHAnsi" w:hAnsiTheme="majorHAnsi"/>
              </w:rPr>
            </w:pPr>
            <w:r w:rsidRPr="00006AAE">
              <w:rPr>
                <w:rFonts w:asciiTheme="majorHAnsi" w:hAnsiTheme="majorHAnsi"/>
                <w:color w:val="000000"/>
              </w:rPr>
              <w:object w:dxaOrig="1240" w:dyaOrig="792" w14:anchorId="174F87A4">
                <v:shape id="_x0000_i1027" type="#_x0000_t75" style="width:62.5pt;height:40.1pt" o:ole="">
                  <v:imagedata r:id="rId14" o:title=""/>
                </v:shape>
                <o:OLEObject Type="Embed" ProgID="Word.Document.12" ShapeID="_x0000_i1027" DrawAspect="Icon" ObjectID="_1480408337" r:id="rId15">
                  <o:FieldCodes>\s</o:FieldCodes>
                </o:OLEObject>
              </w:object>
            </w:r>
          </w:p>
          <w:p w14:paraId="28752721" w14:textId="77777777" w:rsidR="00D84E47" w:rsidRPr="00006AAE" w:rsidRDefault="00D84E47" w:rsidP="00006AAE">
            <w:pPr>
              <w:jc w:val="center"/>
              <w:rPr>
                <w:rFonts w:asciiTheme="majorHAnsi" w:hAnsiTheme="majorHAnsi"/>
                <w:color w:val="000000"/>
              </w:rPr>
            </w:pPr>
          </w:p>
          <w:p w14:paraId="3128375E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</w:p>
        </w:tc>
      </w:tr>
      <w:tr w:rsidR="00EE5C72" w:rsidRPr="00006AAE" w14:paraId="5FCD97C8" w14:textId="77777777" w:rsidTr="00EE5C72">
        <w:trPr>
          <w:trHeight w:val="200"/>
          <w:jc w:val="center"/>
        </w:trPr>
        <w:tc>
          <w:tcPr>
            <w:tcW w:w="5000" w:type="pct"/>
          </w:tcPr>
          <w:p w14:paraId="40FDB320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b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>Tercero:</w:t>
            </w:r>
            <w:r w:rsidRPr="00006AAE">
              <w:rPr>
                <w:rFonts w:asciiTheme="majorHAnsi" w:hAnsiTheme="majorHAnsi"/>
                <w:color w:val="000000"/>
              </w:rPr>
              <w:t xml:space="preserve"> Eliminar los Anexos 2, 3 y 6 del acuerdo SGS-DES-A-021-2013.</w:t>
            </w:r>
          </w:p>
        </w:tc>
      </w:tr>
      <w:tr w:rsidR="00EE5C72" w:rsidRPr="00006AAE" w14:paraId="649CAAE1" w14:textId="77777777" w:rsidTr="00EE5C72">
        <w:trPr>
          <w:trHeight w:val="200"/>
          <w:jc w:val="center"/>
        </w:trPr>
        <w:tc>
          <w:tcPr>
            <w:tcW w:w="5000" w:type="pct"/>
          </w:tcPr>
          <w:p w14:paraId="1982457F" w14:textId="77777777" w:rsidR="00D84E47" w:rsidRPr="00006AAE" w:rsidRDefault="00D84E47" w:rsidP="00006AAE">
            <w:pPr>
              <w:jc w:val="both"/>
              <w:rPr>
                <w:rFonts w:asciiTheme="majorHAnsi" w:hAnsiTheme="majorHAnsi"/>
                <w:b/>
                <w:color w:val="000000"/>
              </w:rPr>
            </w:pPr>
          </w:p>
          <w:p w14:paraId="6D44C698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>Cuarto:</w:t>
            </w:r>
            <w:r w:rsidRPr="00006AAE">
              <w:rPr>
                <w:rFonts w:asciiTheme="majorHAnsi" w:hAnsiTheme="majorHAnsi"/>
                <w:color w:val="000000"/>
              </w:rPr>
              <w:t xml:space="preserve"> Actualizar la versión publicada del Acuerdo SGS-DES-A-021-2013 para incluir las modificaciones señaladas en este acuerdo.</w:t>
            </w:r>
          </w:p>
          <w:p w14:paraId="0283A77D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  <w:color w:val="000000"/>
              </w:rPr>
            </w:pPr>
          </w:p>
          <w:p w14:paraId="0FBD1A0A" w14:textId="77777777" w:rsidR="00EE5C72" w:rsidRPr="00006AAE" w:rsidRDefault="00EE5C72" w:rsidP="00006AAE">
            <w:pPr>
              <w:jc w:val="both"/>
              <w:rPr>
                <w:rFonts w:asciiTheme="majorHAnsi" w:hAnsiTheme="majorHAnsi"/>
              </w:rPr>
            </w:pPr>
            <w:r w:rsidRPr="00006AAE">
              <w:rPr>
                <w:rFonts w:asciiTheme="majorHAnsi" w:hAnsiTheme="majorHAnsi"/>
                <w:b/>
                <w:color w:val="000000"/>
              </w:rPr>
              <w:t>Rige a partir del 1 de enero del 2015.</w:t>
            </w:r>
          </w:p>
        </w:tc>
      </w:tr>
    </w:tbl>
    <w:p w14:paraId="695461E3" w14:textId="77777777" w:rsidR="00EE5C72" w:rsidRPr="00006AAE" w:rsidRDefault="00EE5C72" w:rsidP="00006AAE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653C2DBC" w14:textId="77777777" w:rsidR="00EE5C72" w:rsidRPr="00006AAE" w:rsidRDefault="00EE5C72" w:rsidP="00006AAE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50B37131" w14:textId="5988CCE6" w:rsidR="00EE5C72" w:rsidRPr="00A15F1A" w:rsidRDefault="00877B36" w:rsidP="00006AAE">
      <w:pPr>
        <w:jc w:val="both"/>
        <w:rPr>
          <w:rFonts w:asciiTheme="majorHAnsi" w:hAnsiTheme="majorHAnsi"/>
          <w:color w:val="000000"/>
          <w:sz w:val="22"/>
          <w:szCs w:val="22"/>
        </w:rPr>
      </w:pPr>
      <w:r w:rsidRPr="00A15F1A">
        <w:rPr>
          <w:rFonts w:asciiTheme="majorHAnsi" w:hAnsiTheme="majorHAnsi"/>
        </w:rPr>
        <w:t>Notifíquese.</w:t>
      </w:r>
    </w:p>
    <w:p w14:paraId="0F0A5439" w14:textId="77777777" w:rsidR="00EE5C72" w:rsidRPr="00006AAE" w:rsidRDefault="00EE5C72" w:rsidP="00006AAE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2956CF34" w14:textId="77777777" w:rsidR="005A1442" w:rsidRPr="00006AAE" w:rsidRDefault="005A1442" w:rsidP="00006AAE">
      <w:pPr>
        <w:rPr>
          <w:rFonts w:asciiTheme="majorHAnsi" w:hAnsiTheme="majorHAnsi"/>
          <w:lang w:val="es-CR"/>
        </w:rPr>
      </w:pPr>
    </w:p>
    <w:p w14:paraId="0257B8DD" w14:textId="77777777" w:rsidR="005A1442" w:rsidRPr="00006AAE" w:rsidRDefault="005A1442" w:rsidP="00006AAE">
      <w:pPr>
        <w:rPr>
          <w:rFonts w:asciiTheme="majorHAnsi" w:hAnsiTheme="majorHAnsi"/>
          <w:lang w:val="es-CR"/>
        </w:rPr>
      </w:pPr>
      <w:r w:rsidRPr="00006AAE">
        <w:rPr>
          <w:rFonts w:asciiTheme="majorHAnsi" w:hAnsiTheme="majorHAnsi"/>
          <w:noProof/>
          <w:lang w:val="es-CR" w:eastAsia="es-CR"/>
        </w:rPr>
        <w:drawing>
          <wp:inline distT="0" distB="0" distL="0" distR="0" wp14:anchorId="6113501B" wp14:editId="3CF4F81F">
            <wp:extent cx="2499360" cy="524291"/>
            <wp:effectExtent l="0" t="0" r="0" b="9525"/>
            <wp:docPr id="1" name="0 Imagen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image0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3DB118C" w14:textId="457A4B26" w:rsidR="005A1442" w:rsidRPr="00006AAE" w:rsidRDefault="005A1442" w:rsidP="00694E33">
      <w:pPr>
        <w:spacing w:after="200" w:line="276" w:lineRule="auto"/>
        <w:rPr>
          <w:rFonts w:asciiTheme="majorHAnsi" w:hAnsiTheme="majorHAnsi"/>
        </w:rPr>
      </w:pPr>
    </w:p>
    <w:sectPr w:rsidR="005A1442" w:rsidRPr="00006AAE" w:rsidSect="0038157B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BE799" w14:textId="77777777" w:rsidR="00EE5C72" w:rsidRDefault="00EE5C72" w:rsidP="005A1442">
      <w:r>
        <w:separator/>
      </w:r>
    </w:p>
  </w:endnote>
  <w:endnote w:type="continuationSeparator" w:id="0">
    <w:p w14:paraId="07DBD87D" w14:textId="77777777" w:rsidR="00EE5C72" w:rsidRDefault="00EE5C72" w:rsidP="005A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2626B" w14:textId="77777777" w:rsidR="005A1442" w:rsidRDefault="005A1442" w:rsidP="005A1442">
    <w:pPr>
      <w:pStyle w:val="Piedepgina"/>
      <w:pBdr>
        <w:top w:val="single" w:sz="4" w:space="1" w:color="auto"/>
      </w:pBdr>
      <w:rPr>
        <w:sz w:val="16"/>
        <w:szCs w:val="16"/>
      </w:rPr>
    </w:pPr>
  </w:p>
  <w:p w14:paraId="54F66149" w14:textId="77777777" w:rsidR="005A1442" w:rsidRDefault="005A1442" w:rsidP="005A1442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Teléfonos: 2243-5108</w:t>
    </w:r>
    <w:r>
      <w:rPr>
        <w:rFonts w:ascii="Baskerville Old Face" w:hAnsi="Baskerville Old Face"/>
        <w:sz w:val="18"/>
        <w:szCs w:val="18"/>
      </w:rPr>
      <w:t xml:space="preserve">, </w:t>
    </w:r>
    <w:r w:rsidRPr="00121F8C">
      <w:rPr>
        <w:rFonts w:ascii="Baskerville Old Face" w:hAnsi="Baskerville Old Face"/>
        <w:sz w:val="18"/>
        <w:szCs w:val="18"/>
      </w:rPr>
      <w:t>2243-5103  •  Fax: 2243-5151</w:t>
    </w:r>
  </w:p>
  <w:p w14:paraId="0AFF1320" w14:textId="77777777" w:rsidR="005A1442" w:rsidRDefault="005A1442" w:rsidP="005A1442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Dirección: Edificio Torre del Este, Piso 8</w:t>
    </w:r>
  </w:p>
  <w:p w14:paraId="768D71C9" w14:textId="77777777" w:rsidR="005A1442" w:rsidRPr="005A1442" w:rsidRDefault="0091366A" w:rsidP="005A1442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5A1442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3F8E4" w14:textId="77777777" w:rsidR="0038157B" w:rsidRDefault="0038157B" w:rsidP="0038157B">
    <w:pPr>
      <w:pStyle w:val="Piedepgina"/>
      <w:pBdr>
        <w:top w:val="single" w:sz="4" w:space="1" w:color="auto"/>
      </w:pBdr>
      <w:rPr>
        <w:sz w:val="16"/>
        <w:szCs w:val="16"/>
      </w:rPr>
    </w:pPr>
  </w:p>
  <w:p w14:paraId="73FFF327" w14:textId="77777777" w:rsidR="0038157B" w:rsidRDefault="0038157B" w:rsidP="0038157B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Teléfonos: 2243-5108</w:t>
    </w:r>
    <w:r>
      <w:rPr>
        <w:rFonts w:ascii="Baskerville Old Face" w:hAnsi="Baskerville Old Face"/>
        <w:sz w:val="18"/>
        <w:szCs w:val="18"/>
      </w:rPr>
      <w:t xml:space="preserve">, </w:t>
    </w:r>
    <w:r w:rsidRPr="00121F8C">
      <w:rPr>
        <w:rFonts w:ascii="Baskerville Old Face" w:hAnsi="Baskerville Old Face"/>
        <w:sz w:val="18"/>
        <w:szCs w:val="18"/>
      </w:rPr>
      <w:t>2243-5103  •  Fax: 2243-5151</w:t>
    </w:r>
  </w:p>
  <w:p w14:paraId="3D202571" w14:textId="77777777" w:rsidR="0038157B" w:rsidRDefault="0038157B" w:rsidP="0038157B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Dirección: Edificio Torre del Este, Piso 8</w:t>
    </w:r>
  </w:p>
  <w:p w14:paraId="154926B6" w14:textId="77777777" w:rsidR="0038157B" w:rsidRPr="0038157B" w:rsidRDefault="0091366A" w:rsidP="0038157B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38157B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DF8EB6" w14:textId="77777777" w:rsidR="00EE5C72" w:rsidRDefault="00EE5C72" w:rsidP="005A1442">
      <w:r>
        <w:separator/>
      </w:r>
    </w:p>
  </w:footnote>
  <w:footnote w:type="continuationSeparator" w:id="0">
    <w:p w14:paraId="13880E89" w14:textId="77777777" w:rsidR="00EE5C72" w:rsidRDefault="00EE5C72" w:rsidP="005A14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F124A" w14:textId="77777777" w:rsidR="005A1442" w:rsidRDefault="00221996">
    <w:pPr>
      <w:pStyle w:val="Encabezado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714926" wp14:editId="650FEF60">
              <wp:simplePos x="0" y="0"/>
              <wp:positionH relativeFrom="column">
                <wp:posOffset>4530956</wp:posOffset>
              </wp:positionH>
              <wp:positionV relativeFrom="paragraph">
                <wp:posOffset>-283325</wp:posOffset>
              </wp:positionV>
              <wp:extent cx="1230341" cy="1303193"/>
              <wp:effectExtent l="0" t="0" r="8255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0341" cy="130319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16A91" w14:textId="77777777" w:rsidR="00221996" w:rsidRDefault="00B25C9B" w:rsidP="00221996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i/>
                              <w:noProof/>
                              <w:color w:val="808080" w:themeColor="background1" w:themeShade="80"/>
                              <w:sz w:val="16"/>
                              <w:szCs w:val="16"/>
                              <w:lang w:eastAsia="es-CR"/>
                            </w:rPr>
                            <w:drawing>
                              <wp:inline distT="0" distB="0" distL="0" distR="0" wp14:anchorId="43586636" wp14:editId="31560B4C">
                                <wp:extent cx="460020" cy="810491"/>
                                <wp:effectExtent l="0" t="0" r="0" b="8890"/>
                                <wp:docPr id="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9006" cy="8087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320D85" w14:textId="77777777" w:rsidR="00221996" w:rsidRPr="00374377" w:rsidRDefault="00221996" w:rsidP="00221996">
                          <w:pPr>
                            <w:pStyle w:val="Encabezado"/>
                            <w:jc w:val="center"/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Sistema de Gestión de Calidad </w:t>
                          </w:r>
                        </w:p>
                        <w:p w14:paraId="1C3DA726" w14:textId="77777777" w:rsidR="00221996" w:rsidRPr="00374377" w:rsidRDefault="00221996" w:rsidP="00221996">
                          <w:pPr>
                            <w:pStyle w:val="Encabezado"/>
                            <w:jc w:val="center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Certificado INTE-ISO 9001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56.75pt;margin-top:-22.3pt;width:96.9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" stroked="f">
              <v:textbox>
                <w:txbxContent>
                  <w:p w14:paraId="56116A91" w14:textId="77777777" w:rsidR="00221996" w:rsidRDefault="00B25C9B" w:rsidP="00221996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i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Cs/>
                        <w:i/>
                        <w:noProof/>
                        <w:color w:val="808080" w:themeColor="background1" w:themeShade="80"/>
                        <w:sz w:val="16"/>
                        <w:szCs w:val="16"/>
                        <w:lang w:eastAsia="es-CR"/>
                      </w:rPr>
                      <w:drawing>
                        <wp:inline distT="0" distB="0" distL="0" distR="0" wp14:anchorId="43586636" wp14:editId="31560B4C">
                          <wp:extent cx="460020" cy="810491"/>
                          <wp:effectExtent l="0" t="0" r="0" b="8890"/>
                          <wp:docPr id="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9006" cy="8087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5320D85" w14:textId="77777777" w:rsidR="00221996" w:rsidRPr="00374377" w:rsidRDefault="00221996" w:rsidP="00221996">
                    <w:pPr>
                      <w:pStyle w:val="Encabezado"/>
                      <w:jc w:val="center"/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374377"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Sistema de Gestión de Calidad </w:t>
                    </w:r>
                  </w:p>
                  <w:p w14:paraId="1C3DA726" w14:textId="77777777" w:rsidR="00221996" w:rsidRPr="00374377" w:rsidRDefault="00221996" w:rsidP="00221996">
                    <w:pPr>
                      <w:pStyle w:val="Encabezado"/>
                      <w:jc w:val="center"/>
                      <w:rPr>
                        <w:rFonts w:cstheme="minorHAnsi"/>
                        <w:sz w:val="12"/>
                        <w:szCs w:val="12"/>
                      </w:rPr>
                    </w:pPr>
                    <w:r w:rsidRPr="00374377"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>Certificado INTE-ISO 9001</w:t>
                    </w:r>
                  </w:p>
                </w:txbxContent>
              </v:textbox>
            </v:shape>
          </w:pict>
        </mc:Fallback>
      </mc:AlternateContent>
    </w:r>
    <w:r w:rsidR="005A1442">
      <w:rPr>
        <w:noProof/>
        <w:lang w:eastAsia="es-CR"/>
      </w:rPr>
      <w:drawing>
        <wp:inline distT="0" distB="0" distL="0" distR="0" wp14:anchorId="2F5F1509" wp14:editId="6DB6C7F8">
          <wp:extent cx="1209580" cy="971550"/>
          <wp:effectExtent l="19050" t="0" r="0" b="0"/>
          <wp:docPr id="2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BD8104" w14:textId="77777777" w:rsidR="0038157B" w:rsidRDefault="0038157B" w:rsidP="0038157B">
    <w:pPr>
      <w:pStyle w:val="Encabezado"/>
      <w:rPr>
        <w:rFonts w:asciiTheme="majorHAnsi" w:hAnsiTheme="majorHAnsi"/>
        <w:b/>
        <w:i/>
        <w:lang w:val="es-MX"/>
      </w:rPr>
    </w:pPr>
  </w:p>
  <w:p w14:paraId="1B0B5205" w14:textId="74911CD6" w:rsidR="0038157B" w:rsidRPr="00221460" w:rsidRDefault="00162D87" w:rsidP="0038157B">
    <w:pPr>
      <w:pStyle w:val="Encabezado"/>
      <w:rPr>
        <w:rFonts w:asciiTheme="majorHAnsi" w:hAnsiTheme="majorHAnsi"/>
        <w:b/>
        <w:i/>
        <w:lang w:val="es-MX"/>
      </w:rPr>
    </w:pPr>
    <w:r>
      <w:rPr>
        <w:rFonts w:asciiTheme="majorHAnsi" w:hAnsiTheme="majorHAnsi"/>
        <w:b/>
        <w:i/>
        <w:lang w:val="es-MX"/>
      </w:rPr>
      <w:t>SGS-DES-A</w:t>
    </w:r>
    <w:r w:rsidR="0038157B">
      <w:rPr>
        <w:rFonts w:asciiTheme="majorHAnsi" w:hAnsiTheme="majorHAnsi"/>
        <w:b/>
        <w:i/>
        <w:lang w:val="es-MX"/>
      </w:rPr>
      <w:t>-</w:t>
    </w:r>
    <w:r>
      <w:rPr>
        <w:rFonts w:asciiTheme="majorHAnsi" w:hAnsiTheme="majorHAnsi"/>
        <w:b/>
        <w:i/>
        <w:lang w:val="es-MX"/>
      </w:rPr>
      <w:t>042</w:t>
    </w:r>
    <w:r w:rsidR="0038157B">
      <w:rPr>
        <w:rFonts w:asciiTheme="majorHAnsi" w:hAnsiTheme="majorHAnsi"/>
        <w:b/>
        <w:i/>
        <w:lang w:val="es-MX"/>
      </w:rPr>
      <w:t>-201</w:t>
    </w:r>
    <w:r w:rsidR="00DF730A">
      <w:rPr>
        <w:rFonts w:asciiTheme="majorHAnsi" w:hAnsiTheme="majorHAnsi"/>
        <w:b/>
        <w:i/>
        <w:lang w:val="es-MX"/>
      </w:rPr>
      <w:t>4</w:t>
    </w:r>
  </w:p>
  <w:p w14:paraId="1C563BF2" w14:textId="77777777" w:rsidR="0038157B" w:rsidRPr="00221460" w:rsidRDefault="0038157B" w:rsidP="0038157B">
    <w:pPr>
      <w:pStyle w:val="Encabezado"/>
      <w:rPr>
        <w:rFonts w:asciiTheme="majorHAnsi" w:hAnsiTheme="majorHAnsi"/>
        <w:i/>
        <w:lang w:val="es-MX"/>
      </w:rPr>
    </w:pPr>
    <w:r w:rsidRPr="00221460">
      <w:rPr>
        <w:rFonts w:asciiTheme="majorHAnsi" w:hAnsiTheme="majorHAnsi"/>
        <w:i/>
        <w:lang w:val="es-MX"/>
      </w:rPr>
      <w:t xml:space="preserve">Página | </w:t>
    </w:r>
    <w:r w:rsidRPr="00221460">
      <w:rPr>
        <w:rFonts w:asciiTheme="majorHAnsi" w:hAnsiTheme="majorHAnsi"/>
        <w:i/>
        <w:lang w:val="es-MX"/>
      </w:rPr>
      <w:fldChar w:fldCharType="begin"/>
    </w:r>
    <w:r w:rsidRPr="00221460">
      <w:rPr>
        <w:rFonts w:asciiTheme="majorHAnsi" w:hAnsiTheme="majorHAnsi"/>
        <w:i/>
        <w:lang w:val="es-MX"/>
      </w:rPr>
      <w:instrText xml:space="preserve"> PAGE   \* MERGEFORMAT </w:instrText>
    </w:r>
    <w:r w:rsidRPr="00221460">
      <w:rPr>
        <w:rFonts w:asciiTheme="majorHAnsi" w:hAnsiTheme="majorHAnsi"/>
        <w:i/>
        <w:lang w:val="es-MX"/>
      </w:rPr>
      <w:fldChar w:fldCharType="separate"/>
    </w:r>
    <w:r w:rsidR="0091366A">
      <w:rPr>
        <w:rFonts w:asciiTheme="majorHAnsi" w:hAnsiTheme="majorHAnsi"/>
        <w:i/>
        <w:noProof/>
        <w:lang w:val="es-MX"/>
      </w:rPr>
      <w:t>2</w:t>
    </w:r>
    <w:r w:rsidRPr="00221460">
      <w:rPr>
        <w:rFonts w:asciiTheme="majorHAnsi" w:hAnsiTheme="majorHAnsi"/>
        <w:i/>
        <w:lang w:val="es-MX"/>
      </w:rPr>
      <w:fldChar w:fldCharType="end"/>
    </w:r>
  </w:p>
  <w:p w14:paraId="33467A3F" w14:textId="77777777" w:rsidR="0038157B" w:rsidRPr="0038157B" w:rsidRDefault="0038157B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97062" w14:textId="77777777" w:rsidR="0038157B" w:rsidRDefault="0038157B" w:rsidP="0038157B">
    <w:pPr>
      <w:pStyle w:val="Encabezado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25CCC" wp14:editId="794EC091">
              <wp:simplePos x="0" y="0"/>
              <wp:positionH relativeFrom="column">
                <wp:posOffset>4530956</wp:posOffset>
              </wp:positionH>
              <wp:positionV relativeFrom="paragraph">
                <wp:posOffset>-283325</wp:posOffset>
              </wp:positionV>
              <wp:extent cx="1230341" cy="1303193"/>
              <wp:effectExtent l="0" t="0" r="8255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0341" cy="130319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AF396" w14:textId="77777777" w:rsidR="0038157B" w:rsidRDefault="0038157B" w:rsidP="0038157B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i/>
                              <w:noProof/>
                              <w:color w:val="808080" w:themeColor="background1" w:themeShade="80"/>
                              <w:sz w:val="16"/>
                              <w:szCs w:val="16"/>
                              <w:lang w:eastAsia="es-CR"/>
                            </w:rPr>
                            <w:drawing>
                              <wp:inline distT="0" distB="0" distL="0" distR="0" wp14:anchorId="4CFC28BE" wp14:editId="00B3DB77">
                                <wp:extent cx="460020" cy="810491"/>
                                <wp:effectExtent l="0" t="0" r="0" b="8890"/>
                                <wp:docPr id="6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9006" cy="8087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EFABF8" w14:textId="77777777" w:rsidR="0038157B" w:rsidRPr="00374377" w:rsidRDefault="0038157B" w:rsidP="0038157B">
                          <w:pPr>
                            <w:pStyle w:val="Encabezado"/>
                            <w:jc w:val="center"/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Sistema de Gestión de Calidad </w:t>
                          </w:r>
                        </w:p>
                        <w:p w14:paraId="0DA500EB" w14:textId="77777777" w:rsidR="0038157B" w:rsidRPr="00374377" w:rsidRDefault="0038157B" w:rsidP="0038157B">
                          <w:pPr>
                            <w:pStyle w:val="Encabezado"/>
                            <w:jc w:val="center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Certificado INTE-ISO 9001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6.75pt;margin-top:-22.3pt;width:96.9pt;height:10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" stroked="f">
              <v:textbox>
                <w:txbxContent>
                  <w:p w14:paraId="74CAF396" w14:textId="77777777" w:rsidR="0038157B" w:rsidRDefault="0038157B" w:rsidP="0038157B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i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Cs/>
                        <w:i/>
                        <w:noProof/>
                        <w:color w:val="808080" w:themeColor="background1" w:themeShade="80"/>
                        <w:sz w:val="16"/>
                        <w:szCs w:val="16"/>
                        <w:lang w:eastAsia="es-CR"/>
                      </w:rPr>
                      <w:drawing>
                        <wp:inline distT="0" distB="0" distL="0" distR="0" wp14:anchorId="4CFC28BE" wp14:editId="00B3DB77">
                          <wp:extent cx="460020" cy="810491"/>
                          <wp:effectExtent l="0" t="0" r="0" b="8890"/>
                          <wp:docPr id="6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9006" cy="8087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EFABF8" w14:textId="77777777" w:rsidR="0038157B" w:rsidRPr="00374377" w:rsidRDefault="0038157B" w:rsidP="0038157B">
                    <w:pPr>
                      <w:pStyle w:val="Encabezado"/>
                      <w:jc w:val="center"/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374377"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Sistema de Gestión de Calidad </w:t>
                    </w:r>
                  </w:p>
                  <w:p w14:paraId="0DA500EB" w14:textId="77777777" w:rsidR="0038157B" w:rsidRPr="00374377" w:rsidRDefault="0038157B" w:rsidP="0038157B">
                    <w:pPr>
                      <w:pStyle w:val="Encabezado"/>
                      <w:jc w:val="center"/>
                      <w:rPr>
                        <w:rFonts w:cstheme="minorHAnsi"/>
                        <w:sz w:val="12"/>
                        <w:szCs w:val="12"/>
                      </w:rPr>
                    </w:pPr>
                    <w:r w:rsidRPr="00374377">
                      <w:rPr>
                        <w:rFonts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>Certificado INTE-ISO 9001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R"/>
      </w:rPr>
      <w:drawing>
        <wp:inline distT="0" distB="0" distL="0" distR="0" wp14:anchorId="5D3E7F4C" wp14:editId="41A673EE">
          <wp:extent cx="1209580" cy="971550"/>
          <wp:effectExtent l="19050" t="0" r="0" b="0"/>
          <wp:docPr id="5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A9297C" w14:textId="77777777" w:rsidR="0038157B" w:rsidRDefault="0038157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442"/>
    <w:rsid w:val="00003EEF"/>
    <w:rsid w:val="00006AAE"/>
    <w:rsid w:val="000076D1"/>
    <w:rsid w:val="000105FD"/>
    <w:rsid w:val="000155EE"/>
    <w:rsid w:val="00015CC4"/>
    <w:rsid w:val="000230EC"/>
    <w:rsid w:val="00037F14"/>
    <w:rsid w:val="00043989"/>
    <w:rsid w:val="000476C1"/>
    <w:rsid w:val="00055413"/>
    <w:rsid w:val="00067CF6"/>
    <w:rsid w:val="000752F9"/>
    <w:rsid w:val="000760ED"/>
    <w:rsid w:val="00083A78"/>
    <w:rsid w:val="0008604D"/>
    <w:rsid w:val="000A2288"/>
    <w:rsid w:val="000B2E1D"/>
    <w:rsid w:val="000B31FC"/>
    <w:rsid w:val="000C7644"/>
    <w:rsid w:val="000D4883"/>
    <w:rsid w:val="000F4177"/>
    <w:rsid w:val="00112325"/>
    <w:rsid w:val="00133DA2"/>
    <w:rsid w:val="00135FBF"/>
    <w:rsid w:val="00140B90"/>
    <w:rsid w:val="00146B1D"/>
    <w:rsid w:val="001551CB"/>
    <w:rsid w:val="00162D87"/>
    <w:rsid w:val="00167B6E"/>
    <w:rsid w:val="0017138C"/>
    <w:rsid w:val="0018143B"/>
    <w:rsid w:val="001A29D3"/>
    <w:rsid w:val="001A6FE9"/>
    <w:rsid w:val="001B3C85"/>
    <w:rsid w:val="001B6EE9"/>
    <w:rsid w:val="001C344D"/>
    <w:rsid w:val="001D2BCA"/>
    <w:rsid w:val="001F362F"/>
    <w:rsid w:val="002048C0"/>
    <w:rsid w:val="002218A1"/>
    <w:rsid w:val="00221996"/>
    <w:rsid w:val="00222862"/>
    <w:rsid w:val="00234ECC"/>
    <w:rsid w:val="002440B8"/>
    <w:rsid w:val="00247E9E"/>
    <w:rsid w:val="00267429"/>
    <w:rsid w:val="0028286F"/>
    <w:rsid w:val="00286975"/>
    <w:rsid w:val="00291CE7"/>
    <w:rsid w:val="002A04A2"/>
    <w:rsid w:val="002C3B80"/>
    <w:rsid w:val="002C3DDE"/>
    <w:rsid w:val="002C572C"/>
    <w:rsid w:val="002C76DF"/>
    <w:rsid w:val="002D7832"/>
    <w:rsid w:val="002E02EC"/>
    <w:rsid w:val="002E6AFE"/>
    <w:rsid w:val="002F22F3"/>
    <w:rsid w:val="002F2345"/>
    <w:rsid w:val="002F51B5"/>
    <w:rsid w:val="00304DCB"/>
    <w:rsid w:val="0030537C"/>
    <w:rsid w:val="00305398"/>
    <w:rsid w:val="00333BA8"/>
    <w:rsid w:val="00336659"/>
    <w:rsid w:val="00343523"/>
    <w:rsid w:val="00343D0D"/>
    <w:rsid w:val="003623F7"/>
    <w:rsid w:val="0036345E"/>
    <w:rsid w:val="0036475D"/>
    <w:rsid w:val="00366016"/>
    <w:rsid w:val="003758F1"/>
    <w:rsid w:val="00376DE7"/>
    <w:rsid w:val="0038157B"/>
    <w:rsid w:val="00391C88"/>
    <w:rsid w:val="003A39BC"/>
    <w:rsid w:val="003A53B0"/>
    <w:rsid w:val="003B043B"/>
    <w:rsid w:val="003B6304"/>
    <w:rsid w:val="003B7CC2"/>
    <w:rsid w:val="003E469F"/>
    <w:rsid w:val="003E62CB"/>
    <w:rsid w:val="003E721F"/>
    <w:rsid w:val="004263F9"/>
    <w:rsid w:val="004277B9"/>
    <w:rsid w:val="00432474"/>
    <w:rsid w:val="00454C55"/>
    <w:rsid w:val="0047219D"/>
    <w:rsid w:val="004948D8"/>
    <w:rsid w:val="00495470"/>
    <w:rsid w:val="00496C81"/>
    <w:rsid w:val="004A03B7"/>
    <w:rsid w:val="004A495A"/>
    <w:rsid w:val="004B767D"/>
    <w:rsid w:val="004C4D3C"/>
    <w:rsid w:val="004D2EB0"/>
    <w:rsid w:val="004D7196"/>
    <w:rsid w:val="004E7104"/>
    <w:rsid w:val="004F5023"/>
    <w:rsid w:val="004F6969"/>
    <w:rsid w:val="0050151B"/>
    <w:rsid w:val="0050185B"/>
    <w:rsid w:val="00501E0F"/>
    <w:rsid w:val="005078E4"/>
    <w:rsid w:val="00514940"/>
    <w:rsid w:val="005241EE"/>
    <w:rsid w:val="00524C83"/>
    <w:rsid w:val="0053290C"/>
    <w:rsid w:val="00533746"/>
    <w:rsid w:val="005442FF"/>
    <w:rsid w:val="00545CD6"/>
    <w:rsid w:val="00556620"/>
    <w:rsid w:val="0056158A"/>
    <w:rsid w:val="0056224B"/>
    <w:rsid w:val="00576230"/>
    <w:rsid w:val="005A1442"/>
    <w:rsid w:val="005C5B11"/>
    <w:rsid w:val="005C69FA"/>
    <w:rsid w:val="005C7CD2"/>
    <w:rsid w:val="005D13DD"/>
    <w:rsid w:val="005E7FD4"/>
    <w:rsid w:val="005F395A"/>
    <w:rsid w:val="00602EC0"/>
    <w:rsid w:val="00604DED"/>
    <w:rsid w:val="00607A8D"/>
    <w:rsid w:val="00621BF4"/>
    <w:rsid w:val="00626ECF"/>
    <w:rsid w:val="00632C9E"/>
    <w:rsid w:val="006428F4"/>
    <w:rsid w:val="00646CD3"/>
    <w:rsid w:val="00650488"/>
    <w:rsid w:val="00650E64"/>
    <w:rsid w:val="00652E5B"/>
    <w:rsid w:val="0066556D"/>
    <w:rsid w:val="006655C3"/>
    <w:rsid w:val="006678C2"/>
    <w:rsid w:val="00671DEB"/>
    <w:rsid w:val="00672C4A"/>
    <w:rsid w:val="00673269"/>
    <w:rsid w:val="00674F4F"/>
    <w:rsid w:val="006772DD"/>
    <w:rsid w:val="006829C1"/>
    <w:rsid w:val="0068417D"/>
    <w:rsid w:val="006848D6"/>
    <w:rsid w:val="006943A2"/>
    <w:rsid w:val="00694E33"/>
    <w:rsid w:val="006A1A25"/>
    <w:rsid w:val="006B4EA1"/>
    <w:rsid w:val="006C624C"/>
    <w:rsid w:val="006C76B1"/>
    <w:rsid w:val="006D0952"/>
    <w:rsid w:val="006E01DB"/>
    <w:rsid w:val="006E1EC2"/>
    <w:rsid w:val="006F4D20"/>
    <w:rsid w:val="00706543"/>
    <w:rsid w:val="00712FFB"/>
    <w:rsid w:val="00715BD0"/>
    <w:rsid w:val="007170ED"/>
    <w:rsid w:val="00725048"/>
    <w:rsid w:val="00725493"/>
    <w:rsid w:val="00726CEB"/>
    <w:rsid w:val="007272CC"/>
    <w:rsid w:val="007324F8"/>
    <w:rsid w:val="007327C9"/>
    <w:rsid w:val="0074198B"/>
    <w:rsid w:val="007437E6"/>
    <w:rsid w:val="00746E52"/>
    <w:rsid w:val="007636BD"/>
    <w:rsid w:val="00771580"/>
    <w:rsid w:val="00792726"/>
    <w:rsid w:val="007A0A2A"/>
    <w:rsid w:val="007A1E7F"/>
    <w:rsid w:val="007A22EA"/>
    <w:rsid w:val="007A2A51"/>
    <w:rsid w:val="007B04A5"/>
    <w:rsid w:val="007C19A7"/>
    <w:rsid w:val="007D2DAF"/>
    <w:rsid w:val="007E41E5"/>
    <w:rsid w:val="007E46F1"/>
    <w:rsid w:val="007E66C6"/>
    <w:rsid w:val="008022A8"/>
    <w:rsid w:val="0080328F"/>
    <w:rsid w:val="00821436"/>
    <w:rsid w:val="008259A0"/>
    <w:rsid w:val="008370FF"/>
    <w:rsid w:val="0085586B"/>
    <w:rsid w:val="00857848"/>
    <w:rsid w:val="00857AD8"/>
    <w:rsid w:val="008605C0"/>
    <w:rsid w:val="00866B92"/>
    <w:rsid w:val="008704B7"/>
    <w:rsid w:val="008747C3"/>
    <w:rsid w:val="008778EF"/>
    <w:rsid w:val="00877B36"/>
    <w:rsid w:val="00895D99"/>
    <w:rsid w:val="008962DC"/>
    <w:rsid w:val="00896B04"/>
    <w:rsid w:val="008974D8"/>
    <w:rsid w:val="008A3070"/>
    <w:rsid w:val="008A591C"/>
    <w:rsid w:val="008D17A9"/>
    <w:rsid w:val="008D2116"/>
    <w:rsid w:val="008D2523"/>
    <w:rsid w:val="008D2BC8"/>
    <w:rsid w:val="00902FB0"/>
    <w:rsid w:val="0091366A"/>
    <w:rsid w:val="00915452"/>
    <w:rsid w:val="00922C3E"/>
    <w:rsid w:val="00931297"/>
    <w:rsid w:val="00947CCD"/>
    <w:rsid w:val="0095414B"/>
    <w:rsid w:val="009565BF"/>
    <w:rsid w:val="00964169"/>
    <w:rsid w:val="00975A49"/>
    <w:rsid w:val="00987B3B"/>
    <w:rsid w:val="009A2106"/>
    <w:rsid w:val="009A6A84"/>
    <w:rsid w:val="009B35A6"/>
    <w:rsid w:val="009D11AB"/>
    <w:rsid w:val="009D5FAF"/>
    <w:rsid w:val="00A07AB5"/>
    <w:rsid w:val="00A12AE9"/>
    <w:rsid w:val="00A15F1A"/>
    <w:rsid w:val="00A16168"/>
    <w:rsid w:val="00A2009B"/>
    <w:rsid w:val="00A33527"/>
    <w:rsid w:val="00A37C0C"/>
    <w:rsid w:val="00A46328"/>
    <w:rsid w:val="00A57156"/>
    <w:rsid w:val="00A66E6E"/>
    <w:rsid w:val="00A8710B"/>
    <w:rsid w:val="00AA35AB"/>
    <w:rsid w:val="00AB1CD0"/>
    <w:rsid w:val="00AB33C3"/>
    <w:rsid w:val="00AC0D3F"/>
    <w:rsid w:val="00AD00BB"/>
    <w:rsid w:val="00AE0313"/>
    <w:rsid w:val="00AF37F5"/>
    <w:rsid w:val="00B04011"/>
    <w:rsid w:val="00B12501"/>
    <w:rsid w:val="00B21C1A"/>
    <w:rsid w:val="00B2475F"/>
    <w:rsid w:val="00B25C9B"/>
    <w:rsid w:val="00B300E9"/>
    <w:rsid w:val="00B32651"/>
    <w:rsid w:val="00B35E7A"/>
    <w:rsid w:val="00B40526"/>
    <w:rsid w:val="00B45FD8"/>
    <w:rsid w:val="00B50514"/>
    <w:rsid w:val="00B826E2"/>
    <w:rsid w:val="00B910A3"/>
    <w:rsid w:val="00B95233"/>
    <w:rsid w:val="00B96A9E"/>
    <w:rsid w:val="00BA2A3A"/>
    <w:rsid w:val="00BA4095"/>
    <w:rsid w:val="00BA4EB8"/>
    <w:rsid w:val="00BB64F2"/>
    <w:rsid w:val="00BC2F23"/>
    <w:rsid w:val="00BD18FF"/>
    <w:rsid w:val="00BD251B"/>
    <w:rsid w:val="00BE08B6"/>
    <w:rsid w:val="00BE61CE"/>
    <w:rsid w:val="00BF28E2"/>
    <w:rsid w:val="00BF5BF7"/>
    <w:rsid w:val="00BF67A7"/>
    <w:rsid w:val="00C00485"/>
    <w:rsid w:val="00C05704"/>
    <w:rsid w:val="00C240F2"/>
    <w:rsid w:val="00C276E6"/>
    <w:rsid w:val="00C52BC9"/>
    <w:rsid w:val="00C64061"/>
    <w:rsid w:val="00C82150"/>
    <w:rsid w:val="00C846AA"/>
    <w:rsid w:val="00C85E4F"/>
    <w:rsid w:val="00CA7870"/>
    <w:rsid w:val="00CA7AE4"/>
    <w:rsid w:val="00CB0CC5"/>
    <w:rsid w:val="00CC4427"/>
    <w:rsid w:val="00CC5D7F"/>
    <w:rsid w:val="00CC7AE2"/>
    <w:rsid w:val="00CE3032"/>
    <w:rsid w:val="00CF181A"/>
    <w:rsid w:val="00D06152"/>
    <w:rsid w:val="00D13047"/>
    <w:rsid w:val="00D15050"/>
    <w:rsid w:val="00D15CCE"/>
    <w:rsid w:val="00D20E5C"/>
    <w:rsid w:val="00D27227"/>
    <w:rsid w:val="00D332E9"/>
    <w:rsid w:val="00D36B9F"/>
    <w:rsid w:val="00D6484A"/>
    <w:rsid w:val="00D70C14"/>
    <w:rsid w:val="00D74E1D"/>
    <w:rsid w:val="00D84595"/>
    <w:rsid w:val="00D84E47"/>
    <w:rsid w:val="00D92485"/>
    <w:rsid w:val="00D92CD1"/>
    <w:rsid w:val="00DA2D4F"/>
    <w:rsid w:val="00DA5032"/>
    <w:rsid w:val="00DB041E"/>
    <w:rsid w:val="00DB1CE2"/>
    <w:rsid w:val="00DB4D57"/>
    <w:rsid w:val="00DB63A8"/>
    <w:rsid w:val="00DC1346"/>
    <w:rsid w:val="00DC26B0"/>
    <w:rsid w:val="00DC2FD3"/>
    <w:rsid w:val="00DD035E"/>
    <w:rsid w:val="00DD1A0E"/>
    <w:rsid w:val="00DD480F"/>
    <w:rsid w:val="00DD4EE4"/>
    <w:rsid w:val="00DF1CE6"/>
    <w:rsid w:val="00DF2BE9"/>
    <w:rsid w:val="00DF3ABA"/>
    <w:rsid w:val="00DF730A"/>
    <w:rsid w:val="00E03D85"/>
    <w:rsid w:val="00E04EAD"/>
    <w:rsid w:val="00E06E7D"/>
    <w:rsid w:val="00E06F9A"/>
    <w:rsid w:val="00E157FF"/>
    <w:rsid w:val="00E20D65"/>
    <w:rsid w:val="00E25B90"/>
    <w:rsid w:val="00E2643F"/>
    <w:rsid w:val="00E320DA"/>
    <w:rsid w:val="00E37A14"/>
    <w:rsid w:val="00E40FF3"/>
    <w:rsid w:val="00E42E5A"/>
    <w:rsid w:val="00E43276"/>
    <w:rsid w:val="00E51B7E"/>
    <w:rsid w:val="00E645D5"/>
    <w:rsid w:val="00E67EDC"/>
    <w:rsid w:val="00E75421"/>
    <w:rsid w:val="00E8166D"/>
    <w:rsid w:val="00E86F7B"/>
    <w:rsid w:val="00E913C9"/>
    <w:rsid w:val="00E93FB0"/>
    <w:rsid w:val="00EA03A0"/>
    <w:rsid w:val="00EA0A06"/>
    <w:rsid w:val="00EA1A46"/>
    <w:rsid w:val="00EB1C88"/>
    <w:rsid w:val="00EB5517"/>
    <w:rsid w:val="00EC0737"/>
    <w:rsid w:val="00EE5C1F"/>
    <w:rsid w:val="00EE5C72"/>
    <w:rsid w:val="00EE6EF6"/>
    <w:rsid w:val="00EF0B3D"/>
    <w:rsid w:val="00EF5858"/>
    <w:rsid w:val="00F046DF"/>
    <w:rsid w:val="00F0751F"/>
    <w:rsid w:val="00F17004"/>
    <w:rsid w:val="00F1744F"/>
    <w:rsid w:val="00F178E2"/>
    <w:rsid w:val="00F17E74"/>
    <w:rsid w:val="00F30C6B"/>
    <w:rsid w:val="00F33704"/>
    <w:rsid w:val="00F34196"/>
    <w:rsid w:val="00F36332"/>
    <w:rsid w:val="00F41D5A"/>
    <w:rsid w:val="00F46E76"/>
    <w:rsid w:val="00F47064"/>
    <w:rsid w:val="00F5139D"/>
    <w:rsid w:val="00F611D6"/>
    <w:rsid w:val="00F615EE"/>
    <w:rsid w:val="00F6508B"/>
    <w:rsid w:val="00F84235"/>
    <w:rsid w:val="00F87AC4"/>
    <w:rsid w:val="00F952FA"/>
    <w:rsid w:val="00FA56C0"/>
    <w:rsid w:val="00FB6C78"/>
    <w:rsid w:val="00FC2DDB"/>
    <w:rsid w:val="00FC5636"/>
    <w:rsid w:val="00FC7C8A"/>
    <w:rsid w:val="00FD0685"/>
    <w:rsid w:val="00FE165F"/>
    <w:rsid w:val="00FE1C22"/>
    <w:rsid w:val="00FE3A47"/>
    <w:rsid w:val="00FF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9B6D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1442"/>
  </w:style>
  <w:style w:type="paragraph" w:styleId="Piedepgina">
    <w:name w:val="footer"/>
    <w:basedOn w:val="Normal"/>
    <w:link w:val="PiedepginaCar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5A1442"/>
  </w:style>
  <w:style w:type="paragraph" w:styleId="Textodeglobo">
    <w:name w:val="Balloon Text"/>
    <w:basedOn w:val="Normal"/>
    <w:link w:val="TextodegloboCar"/>
    <w:uiPriority w:val="99"/>
    <w:semiHidden/>
    <w:unhideWhenUsed/>
    <w:rsid w:val="005A1442"/>
    <w:rPr>
      <w:rFonts w:ascii="Tahoma" w:eastAsiaTheme="minorHAnsi" w:hAnsi="Tahoma" w:cs="Tahoma"/>
      <w:sz w:val="16"/>
      <w:szCs w:val="16"/>
      <w:lang w:val="es-C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4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A1442"/>
    <w:rPr>
      <w:color w:val="0000FF"/>
      <w:u w:val="single"/>
    </w:rPr>
  </w:style>
  <w:style w:type="paragraph" w:styleId="Textoindependiente3">
    <w:name w:val="Body Text 3"/>
    <w:basedOn w:val="Normal"/>
    <w:link w:val="Textoindependiente3Car1"/>
    <w:rsid w:val="00EE5C72"/>
    <w:pPr>
      <w:widowControl w:val="0"/>
      <w:jc w:val="both"/>
    </w:pPr>
    <w:rPr>
      <w:sz w:val="28"/>
      <w:szCs w:val="16"/>
    </w:rPr>
  </w:style>
  <w:style w:type="character" w:customStyle="1" w:styleId="Textoindependiente3Car">
    <w:name w:val="Texto independiente 3 Car"/>
    <w:basedOn w:val="Fuentedeprrafopredeter"/>
    <w:uiPriority w:val="99"/>
    <w:semiHidden/>
    <w:rsid w:val="00EE5C7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1">
    <w:name w:val="Texto independiente 3 Car1"/>
    <w:link w:val="Textoindependiente3"/>
    <w:rsid w:val="00EE5C72"/>
    <w:rPr>
      <w:rFonts w:ascii="Times New Roman" w:eastAsia="Times New Roman" w:hAnsi="Times New Roman" w:cs="Times New Roman"/>
      <w:sz w:val="28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EE5C7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EE5C72"/>
    <w:rPr>
      <w:rFonts w:ascii="Calibri" w:eastAsia="Calibri" w:hAnsi="Calibri" w:cs="Times New Roman"/>
      <w:lang w:val="es-ES"/>
    </w:rPr>
  </w:style>
  <w:style w:type="paragraph" w:styleId="Textonotapie">
    <w:name w:val="footnote text"/>
    <w:basedOn w:val="Normal"/>
    <w:link w:val="TextonotapieCar"/>
    <w:uiPriority w:val="99"/>
    <w:rsid w:val="00EE5C72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E5C72"/>
    <w:rPr>
      <w:rFonts w:ascii="Times New Roman" w:eastAsia="Times New Roman" w:hAnsi="Times New Roman" w:cs="Times New Roman"/>
      <w:sz w:val="20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rsid w:val="00EE5C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EE5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1442"/>
  </w:style>
  <w:style w:type="paragraph" w:styleId="Piedepgina">
    <w:name w:val="footer"/>
    <w:basedOn w:val="Normal"/>
    <w:link w:val="PiedepginaCar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5A1442"/>
  </w:style>
  <w:style w:type="paragraph" w:styleId="Textodeglobo">
    <w:name w:val="Balloon Text"/>
    <w:basedOn w:val="Normal"/>
    <w:link w:val="TextodegloboCar"/>
    <w:uiPriority w:val="99"/>
    <w:semiHidden/>
    <w:unhideWhenUsed/>
    <w:rsid w:val="005A1442"/>
    <w:rPr>
      <w:rFonts w:ascii="Tahoma" w:eastAsiaTheme="minorHAnsi" w:hAnsi="Tahoma" w:cs="Tahoma"/>
      <w:sz w:val="16"/>
      <w:szCs w:val="16"/>
      <w:lang w:val="es-C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4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A1442"/>
    <w:rPr>
      <w:color w:val="0000FF"/>
      <w:u w:val="single"/>
    </w:rPr>
  </w:style>
  <w:style w:type="paragraph" w:styleId="Textoindependiente3">
    <w:name w:val="Body Text 3"/>
    <w:basedOn w:val="Normal"/>
    <w:link w:val="Textoindependiente3Car1"/>
    <w:rsid w:val="00EE5C72"/>
    <w:pPr>
      <w:widowControl w:val="0"/>
      <w:jc w:val="both"/>
    </w:pPr>
    <w:rPr>
      <w:sz w:val="28"/>
      <w:szCs w:val="16"/>
    </w:rPr>
  </w:style>
  <w:style w:type="character" w:customStyle="1" w:styleId="Textoindependiente3Car">
    <w:name w:val="Texto independiente 3 Car"/>
    <w:basedOn w:val="Fuentedeprrafopredeter"/>
    <w:uiPriority w:val="99"/>
    <w:semiHidden/>
    <w:rsid w:val="00EE5C7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1">
    <w:name w:val="Texto independiente 3 Car1"/>
    <w:link w:val="Textoindependiente3"/>
    <w:rsid w:val="00EE5C72"/>
    <w:rPr>
      <w:rFonts w:ascii="Times New Roman" w:eastAsia="Times New Roman" w:hAnsi="Times New Roman" w:cs="Times New Roman"/>
      <w:sz w:val="28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EE5C7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EE5C72"/>
    <w:rPr>
      <w:rFonts w:ascii="Calibri" w:eastAsia="Calibri" w:hAnsi="Calibri" w:cs="Times New Roman"/>
      <w:lang w:val="es-ES"/>
    </w:rPr>
  </w:style>
  <w:style w:type="paragraph" w:styleId="Textonotapie">
    <w:name w:val="footnote text"/>
    <w:basedOn w:val="Normal"/>
    <w:link w:val="TextonotapieCar"/>
    <w:uiPriority w:val="99"/>
    <w:rsid w:val="00EE5C72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E5C72"/>
    <w:rPr>
      <w:rFonts w:ascii="Times New Roman" w:eastAsia="Times New Roman" w:hAnsi="Times New Roman" w:cs="Times New Roman"/>
      <w:sz w:val="20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rsid w:val="00EE5C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EE5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2.doc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Macro-Enabled_Worksheet1.xlsm"/><Relationship Id="rId5" Type="http://schemas.microsoft.com/office/2007/relationships/stylesWithEffects" Target="stylesWithEffect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bMk/LxOqbaEJCdTSgWSy9VPrwlc=</DigestValue>
    </Reference>
    <Reference URI="#idOfficeObject" Type="http://www.w3.org/2000/09/xmldsig#Object">
      <DigestMethod Algorithm="http://www.w3.org/2000/09/xmldsig#sha1"/>
      <DigestValue>l1+4xOmnj5LAE7MZL6NpB4GUMOk=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XB51PeZzBc5pacef+o87eUrbfIQ=</DigestValue>
    </Reference>
  </SignedInfo>
  <SignatureValue>JPsekSLvqRLXwaoWhpNbehfNRplOWltaVqHDcgw1G81wqyZpyzPNwdh+6/wOWx2UlxVFbll0Q4bD
NcxVzFL9g3zcsT7kVi0P6QWCk/s+ZwQTRrLopCG6mpTDqHnkAUNMTj11i3cJr+oHSFJO3E78VAv4
WX2+u3L4LZNeu890iuZfaQvrsgIjOwKDZYxvmHXUKY0Asfxbk+4PE7pl1S01f/1NgOC5+y1OVMWO
uYlZNCabtQnV4gVMaUjEjg9QRPlXBVnk5P+6z179MwOk9fmJh1rXLF3k1feO4PFexKEPEt5xLFXC
OKCcFDs14iiVi761sY4m27WUksqchwJGlF1eag==</SignatureValue>
  <KeyInfo>
    <X509Data>
      <X509Certificate>MIIFkTCCBHmgAwIBAgIKUljQ1wABAALykjANBgkqhkiG9w0BAQUFADCBmjEVMBMGA1UEBRMMNC0w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7/kobanCxxCBdsgD1EpisOWHBT0=</DigestValue>
      </Reference>
      <Reference URI="/word/media/image1.emf?ContentType=image/x-emf">
        <DigestMethod Algorithm="http://www.w3.org/2000/09/xmldsig#sha1"/>
        <DigestValue>ZuKAfSzs7sJb15ScpFfz97S+TiM=</DigestValue>
      </Reference>
      <Reference URI="/word/embeddings/Microsoft_Word_Document2.docx?ContentType=application/vnd.openxmlformats-officedocument.wordprocessingml.document">
        <DigestMethod Algorithm="http://www.w3.org/2000/09/xmldsig#sha1"/>
        <DigestValue>w4LRE577IKnpZ5wMLwkLDTC6sZ0=</DigestValue>
      </Reference>
      <Reference URI="/word/media/image2.emf?ContentType=image/x-emf">
        <DigestMethod Algorithm="http://www.w3.org/2000/09/xmldsig#sha1"/>
        <DigestValue>Y3zeJUCqdr7SjAe/E4aJmvHpBkg=</DigestValue>
      </Reference>
      <Reference URI="/word/media/image5.jpg?ContentType=image/jpeg">
        <DigestMethod Algorithm="http://www.w3.org/2000/09/xmldsig#sha1"/>
        <DigestValue>Fyi8YrIf7zjcRft90WMeR55jjxo=</DigestValue>
      </Reference>
      <Reference URI="/word/media/image6.jpeg?ContentType=image/jpeg">
        <DigestMethod Algorithm="http://www.w3.org/2000/09/xmldsig#sha1"/>
        <DigestValue>Dq+Wcmhq9Z83GdLIM6FN8WyDIuc=</DigestValue>
      </Reference>
      <Reference URI="/word/media/image3.emf?ContentType=image/x-emf">
        <DigestMethod Algorithm="http://www.w3.org/2000/09/xmldsig#sha1"/>
        <DigestValue>0E2tSBZSKIOAdp15Ml8OKUmFuL8=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embeddings/Microsoft_Excel_Macro-Enabled_Worksheet1.xlsm?ContentType=application/vnd.ms-excel.sheet.macroEnabled.12">
        <DigestMethod Algorithm="http://www.w3.org/2000/09/xmldsig#sha1"/>
        <DigestValue>cIbILW4BX4qN8oJamOLUpLAOkhA=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eC0O8Wxba+XZXarlMwD/NeT9PJw=</DigestValue>
      </Reference>
      <Reference URI="/word/styles.xml?ContentType=application/vnd.openxmlformats-officedocument.wordprocessingml.styles+xml">
        <DigestMethod Algorithm="http://www.w3.org/2000/09/xmldsig#sha1"/>
        <DigestValue>D6PIKU+/jYmcccPvLk1BvsjzmFI=</DigestValue>
      </Reference>
      <Reference URI="/word/settings.xml?ContentType=application/vnd.openxmlformats-officedocument.wordprocessingml.settings+xml">
        <DigestMethod Algorithm="http://www.w3.org/2000/09/xmldsig#sha1"/>
        <DigestValue>aDdElM6ouaH6gdOeGTIzZpzb6Xg=</DigestValue>
      </Reference>
      <Reference URI="/word/media/image50.jpg?ContentType=image/jpeg">
        <DigestMethod Algorithm="http://www.w3.org/2000/09/xmldsig#sha1"/>
        <DigestValue>Fyi8YrIf7zjcRft90WMeR55jjxo=</DigestValue>
      </Reference>
      <Reference URI="/word/media/image4.png?ContentType=image/png">
        <DigestMethod Algorithm="http://www.w3.org/2000/09/xmldsig#sha1"/>
        <DigestValue>iLifPaKfOOVVMaqdWpE3EyqkaUI=</DigestValue>
      </Reference>
      <Reference URI="/word/footer2.xml?ContentType=application/vnd.openxmlformats-officedocument.wordprocessingml.footer+xml">
        <DigestMethod Algorithm="http://www.w3.org/2000/09/xmldsig#sha1"/>
        <DigestValue>EuJsvvAiYUGvyLUCryIfT13xzo0=</DigestValue>
      </Reference>
      <Reference URI="/word/header1.xml?ContentType=application/vnd.openxmlformats-officedocument.wordprocessingml.header+xml">
        <DigestMethod Algorithm="http://www.w3.org/2000/09/xmldsig#sha1"/>
        <DigestValue>rP+0npUQJqBt0d4Cvc8edGbvZ/8=</DigestValue>
      </Reference>
      <Reference URI="/word/endnotes.xml?ContentType=application/vnd.openxmlformats-officedocument.wordprocessingml.endnotes+xml">
        <DigestMethod Algorithm="http://www.w3.org/2000/09/xmldsig#sha1"/>
        <DigestValue>jhidthBTg2GAO817Y44b760vDLQ=</DigestValue>
      </Reference>
      <Reference URI="/word/document.xml?ContentType=application/vnd.openxmlformats-officedocument.wordprocessingml.document.main+xml">
        <DigestMethod Algorithm="http://www.w3.org/2000/09/xmldsig#sha1"/>
        <DigestValue>eyzDM50ripNG7oJ0forjHkQMgTA=</DigestValue>
      </Reference>
      <Reference URI="/word/footnotes.xml?ContentType=application/vnd.openxmlformats-officedocument.wordprocessingml.footnotes+xml">
        <DigestMethod Algorithm="http://www.w3.org/2000/09/xmldsig#sha1"/>
        <DigestValue>JSIEp35E8uEAacnuxRU/126fhLo=</DigestValue>
      </Reference>
      <Reference URI="/word/embeddings/Microsoft_Word_Document3.docx?ContentType=application/vnd.openxmlformats-officedocument.wordprocessingml.document">
        <DigestMethod Algorithm="http://www.w3.org/2000/09/xmldsig#sha1"/>
        <DigestValue>PRLD+gyuQDtdnP6dnCeA8MX8inU=</DigestValue>
      </Reference>
      <Reference URI="/word/footer1.xml?ContentType=application/vnd.openxmlformats-officedocument.wordprocessingml.footer+xml">
        <DigestMethod Algorithm="http://www.w3.org/2000/09/xmldsig#sha1"/>
        <DigestValue>mSyw17p3agL0qykwKUPp+dorP3M=</DigestValue>
      </Reference>
      <Reference URI="/word/header2.xml?ContentType=application/vnd.openxmlformats-officedocument.wordprocessingml.header+xml">
        <DigestMethod Algorithm="http://www.w3.org/2000/09/xmldsig#sha1"/>
        <DigestValue>uhOC2kpMV6FV4g3GNKcZdNYDOlo=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A9a/FnjPSIJEr5k50aptdRA9zjs=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A9a/FnjPSIJEr5k50aptdRA9zjs=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8Y2e3LWlyUNkhRT78wjSsq42Bc8=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8Y2e3LWlyUNkhRT78wjSsq42Bc8=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1a+kZbs9+zNb6FXkciWvuz63Ia0=</DigestValue>
      </Reference>
    </Manifest>
    <SignatureProperties>
      <SignatureProperty Id="idSignatureTime" Target="#idPackageSignature">
        <mdssi:SignatureTime>
          <mdssi:Format>YYYY-MM-DDThh:mm:ssTZD</mdssi:Format>
          <mdssi:Value>2014-12-18T17:25:24Z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Modificación SGS-DES-A-021-2013 ajustedes SSS </SignatureComments>
          <WindowsVersion>6.1</WindowsVersion>
          <OfficeVersion>14.0</OfficeVersion>
          <ApplicationVersion>14.0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2014-12-18T17:25:24Z</xd:SigningTime>
          <xd:SigningCertificate>
            <xd:Cert>
              <xd:CertDigest>
                <DigestMethod Algorithm="http://www.w3.org/2000/09/xmldsig#sha1"/>
                <DigestValue>hG+dFEpTuDxrjvGO6P0tJ5DDZDw=</DigestValue>
              </xd:CertDigest>
              <xd:IssuerSerial>
                <X509IssuerName>CN=CA SINPE - PERSONA FISICA, OU=DIVISION DE SERVICIOS FINANCIEROS, O=BANCO CENTRAL DE COSTA RICA, C=CR, SERIALNUMBER=4-000-004017</X509IssuerName>
                <X509SerialNumber>388872413570481525027474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JlgYJKoZIhvcNAQcCoIIJhzCCCYMCAQMxCzAJBgUrDgMCGgUAMGIGCyqGSIb3DQEJEAEEoFMEUTBPAgEBBghggTwBAQEBBTAhMAkGBSsOAwIaBQAEFNWwqjjelov0Hz7l4+oLCfwk9AdcAgMzQUcYDzIwMTQxMjE4MTcyNTMzWjAEgAIB9AEB/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+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+qNsdxy8Pxs7+IpKalr7lv1XyfL2R5syoFRun3iPwUh9n0p8Hf95hCOvX2Q5oXmo8gFwFEeyJlBmdrfRJySXI3wVZtqVXzl1N8eoGu5ACUl5DzqR9D0qXa2ZQ3mC44WFRlsQeBksW6dYre63e6Q9GR5lUVEdKHcQ6iriOObcwugTRA6krGTS5vaojHef2sGW7tBgETU8dMKAyxLFsPUw6KoW4C2Oxirp6smr6qHilccZgZ8mkDCmqCIaWF1u8fDBMyjwZMkxkAC/jazI4Fjg1tFUDQwEzfN8VVCsq3eoJY+YkBsVLlOjEtpilAItHuluIEVM1IXI66/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jE4MTcyNTMzWjAjBgkqhkiG9w0BCQQxFgQUNcliZ9I1ystPQ239yJ1EzOfEHrQwKwYLKoZIhvcNAQkQAgwxHDAaMBgwFgQUUpI2iOELIULzcMUtuK4/KyTk6kMwDQYJKoZIhvcNAQEBBQAEggEA0dUqjtzXvbJo9VRZSFPMTE/VkmEDej8lLsLDyhH5qPUMSW+0g0gHRm/4GvLZP4jHK5UwTiuLs2IhH8jiHTKGwawBF9iI1odJ5A6+FnhP4ELuuVh3GL+E9dwZsgpL0zGGY+MDbXgXts0B+8PtBYtyHSc7YDo4sB6Pek7QNJR+zfuZV1T5Rbl0hIoAGJnpOE+Y8kuaARnhrNNHtC6cArKL7cranhqhivuFwmZGo6WAZyN3J6xtTGxBnP8cJML9761F1s9uN6FYkcRlzQln6bWZT4PjkbR+oZCd300sQLwlrQN90wNN22WZ5cqFDiG0YsL7zQDlXgET6G/K3brwafN8MQ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qWerd5oGmweCBWnUTpLoaB2h0r4=</DigestValue>
                </xd:CertDigest>
                <xd:IssuerSerial>
                  <X509IssuerName>CN=CA POLITICA PERSONA FISICA - COSTA RICA, OU=DCFD, O=MICIT, C=CR, SERIALNUMBER=CPJ-2-100-098311</X509IssuerName>
                  <X509SerialNumber>468315649193549518772797807762302239277842436</X509SerialNumber>
                </xd:IssuerSerial>
              </xd:Cert>
              <xd:Cert>
                <xd:CertDigest>
                  <DigestMethod Algorithm="http://www.w3.org/2000/09/xmldsig#sha1"/>
                  <DigestValue>LUgs4Am7xp/bOrjyGxZaLqZRMWc=</DigestValue>
                </xd:CertDigest>
                <xd:IssuerSerial>
                  <X509IssuerName>CN=CA RAIZ NACIONAL - COSTA RICA, C=CR, O=MICIT, OU=DCFD, SERIALNUMBER=CPJ-2-100-098311</X509IssuerName>
                  <X509SerialNumber>458409546684849037770754</X509SerialNumber>
                </xd:IssuerSerial>
              </xd:Cert>
              <xd:Cert>
                <xd:CertDigest>
                  <DigestMethod Algorithm="http://www.w3.org/2000/09/xmldsig#sha1"/>
                  <DigestValue>Hz1WgCbjcsEiJEUzozn4bf38+qs=</DigestValue>
                </xd:CertDigest>
                <xd:IssuerSerial>
                  <X509IssuerName>CN=CA RAIZ NACIONAL - COSTA RICA, C=CR, O=MICIT, OU=DCFD, SERIALNUMBER=CPJ-2-100-098311</X509IssuerName>
                  <X509SerialNumber>164790747737892938508956538822974288145</X509SerialNumber>
                </xd:IssuerSerial>
              </xd:Cert>
            </xd:CertRefs>
          </xd:CompleteCertificateRefs>
          <xd:CertificateValues>
            <xd:EncapsulatedX509Certificate>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Ar412HeEsDxQf9To62YTZF5qLvzPstsGNOqWAdMd6avdzdt0Ptjsbydg3V9jzpabaCGXyrZ9tioF7UrXuMFQm3M+qhKU4CuLkEDmBjJWmetFCVe/zjsYkKIxbb8sz/kgaGE9aSaB1fBmpS/q9MvqWnJSiu3++zS79typTftlK24ZJRMPtS/LKikKGEHtSkWNmncaLH/W1VRzeQe8WNom4S4HVoC9Wb2yryh5eInHCiwRg+o/MTvAWlCaAF3AwgXA3IEbhBugFK8gYVKii2aznvWtxJp+ZQ3VCoH1Su5xRgJW/aEJFZr4/gNHFfPWTEbA2aANxkPgDp2VvUEcsh+WIg==</xd:EncapsulatedX509Certificate>
            <xd:EncapsulatedX509Certificate>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/cq6mWb6hYg8o0fnC1pvU0l86YkC+vdJDYbj23eWtpH8q6PE78DOLCLyUVPdQ1Cf6g8XPHTPpmKP+MnqpwWRxuMZlirZmfMz3A2MPVLgjhBIHmObHucyhcJXAVuWxKpYwrmxQc102df8wkxqqlz/p/5uMDA+Lxzjwpp4hvn7wntrgyGZ8Z9yw6EMYV4yAl7/QmCNeXqaex/FJEdz5dSpo1FTdV6ukOmhI3VBND/Mx0SEEK/AMgXNG8znBOZ+dYM2jqoE7m60xUl/665asApYY7DT5qHNXjj4EL7Qbpw1RQxEv/2Zs6e41esELl+I8xNfQAmOgEUqJmxCHk3I4rUjAgMBAAGjggf3MIIH8zAPBgNVHRMBAf8EBTADAQH/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</xd:EncapsulatedX509Certificate>
            <xd:EncapsulatedX509Certificate>MIIFuTCCA6GgAwIBAgIQe/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</xd:EncapsulatedX509Certificate>
          </xd:CertificateValues>
          <xd:CompleteRevocationRefs>
            <xd:OCSPRefs>
              <xd:OCSPRef>
                <xd:OCSPIdentifier>
                  <xd:ResponderID>
                    <xd:ByKey>QfDdrOKJ0bfl0zmQf7Lma3ppvKk=</xd:ByKey>
                  </xd:ResponderID>
                  <xd:ProducedAt>2014-12-17T15:15:21Z</xd:ProducedAt>
                </xd:OCSPIdentifier>
                <xd:DigestAlgAndValue>
                  <DigestMethod Algorithm="http://www.w3.org/2000/09/xmldsig#sha1"/>
                  <DigestValue>zFb+ATMB/Cx6NLGv6JbzS7kVA3U=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8RiHXDRf4fuICUWtUHGB3Z2Md+U=</DigestValue>
                </xd:DigestAlgAndValue>
                <xd:CRLIdentifier>
                  <xd:Issuer>CN=CA POLITICA PERSONA FISICA - COSTA RICA, OU=DCFD, O=MICIT, C=CR, SERIALNUMBER=CPJ-2-100-098311</xd:Issuer>
                  <xd:IssueTime>2014-11-03T16:43:13Z</xd:IssueTime>
                </xd:CRLIdentifier>
              </xd:CRLRef>
              <xd:CRLRef>
                <xd:DigestAlgAndValue>
                  <DigestMethod Algorithm="http://www.w3.org/2000/09/xmldsig#sha1"/>
                  <DigestValue>FhfWE9zm2EPZGS9Gy4bsbomYJa4=</DigestValue>
                </xd:DigestAlgAndValue>
                <xd:CRLIdentifier>
                  <xd:Issuer>CN=CA RAIZ NACIONAL - COSTA RICA, C=CR, O=MICIT, OU=DCFD, SERIALNUMBER=CPJ-2-100-098311</xd:Issuer>
                  <xd:IssueTime>2014-11-03T16:26:47Z</xd:IssueTime>
                </xd:CRLIdentifier>
              </xd:CRLRef>
            </xd:CRLRefs>
          </xd:CompleteRevocationRefs>
          <xd:RevocationValues>
            <xd:OCSPValues>
              <xd:EncapsulatedOCSPValue>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</xd:EncapsulatedOCSPValue>
            </xd:OCSPValues>
            <xd:CRLValues>
              <xd:EncapsulatedCRLValue>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</xd:EncapsulatedCRLValue>
              <xd:EncapsulatedCRLValue>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</xd:EncapsulatedCRLValue>
            </xd:CRLValues>
          </xd:RevocationValues>
          <xd:SigAndRefsTimeStamp>
            <CanonicalizationMethod Algorithm="http://www.w3.org/TR/2001/REC-xml-c14n-20010315"/>
            <xd:EncapsulatedTimeStamp>MIIJlgYJKoZIhvcNAQcCoIIJhzCCCYMCAQMxCzAJBgUrDgMCGgUAMGIGCyqGSIb3DQEJEAEEoFMEUTBPAgEBBghggTwBAQEBBTAhMAkGBSsOAwIaBQAEFC+ANFy8w2JMEkEVYwMMgIixeeKxAgMzQUgYDzIwMTQxMjE4MTcyNTMzWjAEgAIB9AEB/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+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+qNsdxy8Pxs7+IpKalr7lv1XyfL2R5syoFRun3iPwUh9n0p8Hf95hCOvX2Q5oXmo8gFwFEeyJlBmdrfRJySXI3wVZtqVXzl1N8eoGu5ACUl5DzqR9D0qXa2ZQ3mC44WFRlsQeBksW6dYre63e6Q9GR5lUVEdKHcQ6iriOObcwugTRA6krGTS5vaojHef2sGW7tBgETU8dMKAyxLFsPUw6KoW4C2Oxirp6smr6qHilccZgZ8mkDCmqCIaWF1u8fDBMyjwZMkxkAC/jazI4Fjg1tFUDQwEzfN8VVCsq3eoJY+YkBsVLlOjEtpilAItHuluIEVM1IXI66/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jE4MTcyNTMzWjAjBgkqhkiG9w0BCQQxFgQUfDVTVwnHEuAxZup6Mf+T8svVpxswKwYLKoZIhvcNAQkQAgwxHDAaMBgwFgQUUpI2iOELIULzcMUtuK4/KyTk6kMwDQYJKoZIhvcNAQEBBQAEggEATZAWwfWduLrS83UgMV+ZgPD2g5XfANgfAw62MpnWFIhxfd5eWesDtt/bJhQMWcglJvliVWBuVAlbMQYQjbIfqUqtbdabSGiLDFR2niJo7atDS5nYrTXD3fkrnrVMJcAzdO+40wJVomy3Me1O7mYqBrnJE4+6THSWXrZkRgZo+Bb9Df9MMYKwAvMhI+zdy8qqQyAJ8uoer3jFr5fDU8uSmH95ib/agPDvcS4nOsLnKFdfEnPLLkH/IJSJ1k6pp4hIv7CtvF87DTOuO5yvOZbBnrm9ps+XnyjzGyFDXFUg/oOu0AesQPbbhKlZn2CsxMHLZ6O502118wuIpcqf+0nNTg==</xd:EncapsulatedTimeStamp>
          </xd:SigAndRefsTimeStamp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5259700016054FB9EF02CC18F40A60" ma:contentTypeVersion="6" ma:contentTypeDescription="Crear nuevo documento." ma:contentTypeScope="" ma:versionID="b9c0e0c741e91f52546f6fa1418e81a2">
  <xsd:schema xmlns:xsd="http://www.w3.org/2001/XMLSchema" xmlns:xs="http://www.w3.org/2001/XMLSchema" xmlns:p="http://schemas.microsoft.com/office/2006/metadata/properties" xmlns:ns2="b9fc4df0-8f56-46e7-b005-54afe0044df7" targetNamespace="http://schemas.microsoft.com/office/2006/metadata/properties" ma:root="true" ma:fieldsID="4e86dda2f0fdd5bfa93fc52ff69e4c55" ns2:_=""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" minOccurs="0"/>
                <xsd:element ref="ns2:ContenidoMultilineaHTML"/>
                <xsd:element ref="ns2:NormativaRelacionada" minOccurs="0"/>
                <xsd:element ref="ns2:FechaPublicacionDocumento" minOccurs="0"/>
                <xsd:element ref="ns2:SharedWithUsers" minOccurs="0"/>
                <xsd:element ref="ns2:TipoConteni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" ma:index="8" nillable="true" ma:displayName="Número Acuerdo" ma:description="" ma:internalName="NumeroAcuerdo">
      <xsd:simpleType>
        <xsd:restriction base="dms:Text"/>
      </xsd:simpleType>
    </xsd:element>
    <xsd:element name="ContenidoMultilineaHTML" ma:index="9" ma:displayName="ContenidoMultilineaHTML" ma:description="" ma:internalName="ContenidoMultilineaHTML">
      <xsd:simpleType>
        <xsd:restriction base="dms:Unknown"/>
      </xsd:simpleType>
    </xsd:element>
    <xsd:element name="NormativaRelacionada" ma:index="10" nillable="true" ma:displayName="Normativa Relacionada" ma:internalName="NormativaRelacionada">
      <xsd:simpleType>
        <xsd:restriction base="dms:Note">
          <xsd:maxLength value="255"/>
        </xsd:restriction>
      </xsd:simpleType>
    </xsd:element>
    <xsd:element name="FechaPublicacionDocumento" ma:index="11" nillable="true" ma:displayName="FechaPublicacionDocumento" ma:description="" ma:internalName="FechaPublicacionDocumento">
      <xsd:simpleType>
        <xsd:restriction base="dms:DateTime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PublicacionDocumento xmlns="b9fc4df0-8f56-46e7-b005-54afe0044df7">2014-12-18T06:00:00+00:00</FechaPublicacionDocumento>
    <NormativaRelacionada xmlns="b9fc4df0-8f56-46e7-b005-54afe0044df7">&lt;div class="ExternalClass9FECABC20EDA4225BC021AD8EB7F0448"&gt;Reglamento relativo a información financiera de entidades, grupos y conglomerados financieros (SUGEF 31-04)&amp;#160;&lt;/div&gt;</NormativaRelacionada>
    <ContenidoMultilineaHTML xmlns="b9fc4df0-8f56-46e7-b005-54afe0044df7">Modificación al Acuerdo SGS-DES-A-021-2013 por ajuste a modelos 1 y 2 del Estándar de Negocio Balance General y Estado de Resultados y otros cambios menores&amp;#160;</ContenidoMultilineaHTML>
    <NumeroAcuerdo xmlns="b9fc4df0-8f56-46e7-b005-54afe0044df7">SGS-DES-A-042-2014   </NumeroAcuerdo>
    <TipoContenido xmlns="b9fc4df0-8f56-46e7-b005-54afe0044df7">6</TipoContenido>
  </documentManagement>
</p:properties>
</file>

<file path=customXml/itemProps1.xml><?xml version="1.0" encoding="utf-8"?>
<ds:datastoreItem xmlns:ds="http://schemas.openxmlformats.org/officeDocument/2006/customXml" ds:itemID="{79E318C1-E393-4D49-9C8E-03DDBE91D12E}"/>
</file>

<file path=customXml/itemProps2.xml><?xml version="1.0" encoding="utf-8"?>
<ds:datastoreItem xmlns:ds="http://schemas.openxmlformats.org/officeDocument/2006/customXml" ds:itemID="{EF4E1602-95FC-428F-93B7-A25BBD57B9DE}"/>
</file>

<file path=customXml/itemProps3.xml><?xml version="1.0" encoding="utf-8"?>
<ds:datastoreItem xmlns:ds="http://schemas.openxmlformats.org/officeDocument/2006/customXml" ds:itemID="{1C780EBA-2FEE-485A-AC1E-E7A0BDAF3F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1566</Words>
  <Characters>8617</Characters>
  <Application>Microsoft Office Word</Application>
  <DocSecurity>4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Modificación SGS-DES-A-021-2013 ajustedes SSS Estados Financieros.</vt:lpstr>
    </vt:vector>
  </TitlesOfParts>
  <Company>Superintendencia General de Seguros</Company>
  <LinksUpToDate>false</LinksUpToDate>
  <CharactersWithSpaces>10163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SGS-A-0042-2014   </dc:title>
  <dc:creator>SABORIO ROJAS JUAN CARLOS</dc:creator>
  <cp:lastModifiedBy>SABORIO ROJAS JUAN CARLOS</cp:lastModifiedBy>
  <cp:revision>2</cp:revision>
  <dcterms:created xsi:type="dcterms:W3CDTF">2014-12-18T17:45:00Z</dcterms:created>
  <dcterms:modified xsi:type="dcterms:W3CDTF">2014-12-18T17:45:00Z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0x0101002C5259700016054FB9EF02CC18F40A60</vt:lpwstr>
  </property>
  <property fmtid="{D5CDD505-2E9C-101B-9397-08002B2CF9AE}" pid="3" name="WorkflowChangePath">
    <vt:lpwstr>1b451566-358f-489f-bd8d-d4c5978ece0d,13;0de3a363-599f-4bf8-bc5a-92ece09ed8be,3;</vt:lpwstr>
  </property>
  <property fmtid="{D5CDD505-2E9C-101B-9397-08002B2CF9AE}" pid="4" name="_MarkAsFinal">
    <vt:bool>true</vt:bool>
  </property>
</Properties>
</file>