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5AD015" w14:textId="77777777" w:rsidR="00C00485" w:rsidRDefault="00C00485">
      <w:bookmarkStart w:id="0" w:name="_GoBack"/>
      <w:bookmarkEnd w:id="0"/>
    </w:p>
    <w:p w14:paraId="3D5AD016" w14:textId="77777777" w:rsidR="0016515C" w:rsidRPr="00161651" w:rsidRDefault="0016515C" w:rsidP="0016515C">
      <w:pPr>
        <w:ind w:left="-567"/>
        <w:jc w:val="both"/>
        <w:rPr>
          <w:rFonts w:asciiTheme="majorHAnsi" w:hAnsiTheme="majorHAnsi"/>
          <w:i/>
          <w:color w:val="000000"/>
        </w:rPr>
      </w:pPr>
      <w:r w:rsidRPr="00161651">
        <w:rPr>
          <w:rFonts w:asciiTheme="majorHAnsi" w:hAnsiTheme="majorHAnsi"/>
          <w:i/>
          <w:color w:val="000000"/>
        </w:rPr>
        <w:t>Tomás Soley Pérez</w:t>
      </w:r>
    </w:p>
    <w:p w14:paraId="3D5AD017" w14:textId="77777777" w:rsidR="0016515C" w:rsidRDefault="0016515C" w:rsidP="0016515C">
      <w:pPr>
        <w:ind w:left="-567"/>
        <w:jc w:val="both"/>
        <w:rPr>
          <w:rFonts w:asciiTheme="majorHAnsi" w:hAnsiTheme="majorHAnsi"/>
          <w:i/>
          <w:color w:val="000000"/>
        </w:rPr>
      </w:pPr>
      <w:r w:rsidRPr="00161651">
        <w:rPr>
          <w:rFonts w:asciiTheme="majorHAnsi" w:hAnsiTheme="majorHAnsi"/>
          <w:i/>
          <w:color w:val="000000"/>
        </w:rPr>
        <w:t xml:space="preserve">Superintendente de Seguros </w:t>
      </w:r>
    </w:p>
    <w:p w14:paraId="3D5AD018" w14:textId="77777777" w:rsidR="006F4CAF" w:rsidRDefault="006F4CAF" w:rsidP="0016515C">
      <w:pPr>
        <w:ind w:left="-567"/>
        <w:jc w:val="both"/>
        <w:rPr>
          <w:rFonts w:asciiTheme="majorHAnsi" w:hAnsiTheme="majorHAnsi"/>
          <w:i/>
          <w:color w:val="000000"/>
        </w:rPr>
      </w:pPr>
    </w:p>
    <w:tbl>
      <w:tblPr>
        <w:tblW w:w="5209" w:type="pct"/>
        <w:jc w:val="center"/>
        <w:tblLayout w:type="fixed"/>
        <w:tblLook w:val="04A0" w:firstRow="1" w:lastRow="0" w:firstColumn="1" w:lastColumn="0" w:noHBand="0" w:noVBand="1"/>
      </w:tblPr>
      <w:tblGrid>
        <w:gridCol w:w="9432"/>
      </w:tblGrid>
      <w:tr w:rsidR="00043BD2" w:rsidRPr="00043BD2" w14:paraId="3D5AD01B" w14:textId="77777777" w:rsidTr="00F744D4">
        <w:trPr>
          <w:trHeight w:val="281"/>
          <w:jc w:val="center"/>
        </w:trPr>
        <w:tc>
          <w:tcPr>
            <w:tcW w:w="5000" w:type="pct"/>
          </w:tcPr>
          <w:p w14:paraId="3D5AD019" w14:textId="77777777" w:rsidR="00043BD2" w:rsidRPr="00043BD2" w:rsidRDefault="00043BD2" w:rsidP="00043BD2">
            <w:pPr>
              <w:jc w:val="center"/>
              <w:rPr>
                <w:rFonts w:asciiTheme="majorHAnsi" w:eastAsia="Calibri" w:hAnsiTheme="majorHAnsi"/>
                <w:b/>
                <w:sz w:val="32"/>
                <w:lang w:eastAsia="en-US"/>
              </w:rPr>
            </w:pPr>
            <w:r w:rsidRPr="00043BD2">
              <w:rPr>
                <w:rFonts w:asciiTheme="majorHAnsi" w:eastAsia="Calibri" w:hAnsiTheme="majorHAnsi"/>
                <w:b/>
                <w:sz w:val="32"/>
                <w:lang w:eastAsia="en-US"/>
              </w:rPr>
              <w:t>ACUERDO DE SUPERINTENDENTE</w:t>
            </w:r>
          </w:p>
          <w:p w14:paraId="3D5AD01A" w14:textId="77777777" w:rsidR="00043BD2" w:rsidRPr="00043BD2" w:rsidRDefault="00043BD2" w:rsidP="00A70606">
            <w:pPr>
              <w:widowControl w:val="0"/>
              <w:jc w:val="center"/>
              <w:rPr>
                <w:rFonts w:asciiTheme="majorHAnsi" w:hAnsiTheme="majorHAnsi"/>
                <w:b/>
              </w:rPr>
            </w:pPr>
            <w:r w:rsidRPr="00043BD2">
              <w:rPr>
                <w:rFonts w:asciiTheme="majorHAnsi" w:hAnsiTheme="majorHAnsi"/>
                <w:b/>
                <w:sz w:val="32"/>
              </w:rPr>
              <w:t>SGS-DES-A-</w:t>
            </w:r>
            <w:r w:rsidR="00A70606">
              <w:rPr>
                <w:rFonts w:asciiTheme="majorHAnsi" w:hAnsiTheme="majorHAnsi"/>
                <w:b/>
                <w:sz w:val="32"/>
              </w:rPr>
              <w:t>037</w:t>
            </w:r>
            <w:r w:rsidRPr="00043BD2">
              <w:rPr>
                <w:rFonts w:asciiTheme="majorHAnsi" w:hAnsiTheme="majorHAnsi"/>
                <w:b/>
                <w:sz w:val="32"/>
              </w:rPr>
              <w:t>-2014</w:t>
            </w:r>
          </w:p>
        </w:tc>
      </w:tr>
    </w:tbl>
    <w:p w14:paraId="3D5AD01C" w14:textId="77777777" w:rsidR="00043BD2" w:rsidRPr="00043BD2" w:rsidRDefault="00043BD2" w:rsidP="00043BD2">
      <w:pPr>
        <w:widowControl w:val="0"/>
        <w:jc w:val="center"/>
        <w:rPr>
          <w:rFonts w:asciiTheme="majorHAnsi" w:hAnsiTheme="majorHAnsi"/>
          <w:b/>
        </w:rPr>
      </w:pPr>
    </w:p>
    <w:p w14:paraId="3D5AD01D" w14:textId="77777777" w:rsidR="00043BD2" w:rsidRPr="00043BD2" w:rsidRDefault="00043BD2" w:rsidP="00043BD2">
      <w:pPr>
        <w:widowControl w:val="0"/>
        <w:jc w:val="center"/>
        <w:rPr>
          <w:rFonts w:asciiTheme="majorHAnsi" w:hAnsiTheme="majorHAnsi"/>
          <w:b/>
        </w:rPr>
      </w:pPr>
      <w:r w:rsidRPr="00043BD2">
        <w:rPr>
          <w:rFonts w:asciiTheme="majorHAnsi" w:hAnsiTheme="majorHAnsi"/>
          <w:b/>
        </w:rPr>
        <w:t xml:space="preserve">Modificación al acuerdo SGS-DES-A-021-2013 </w:t>
      </w:r>
      <w:r w:rsidRPr="00043BD2">
        <w:rPr>
          <w:rFonts w:asciiTheme="majorHAnsi" w:hAnsiTheme="majorHAnsi"/>
          <w:b/>
          <w:i/>
        </w:rPr>
        <w:t>“Disposiciones para la Remisión de la Información Contable y Estadística a la Superintendencia General de Seguros por parte de las Entidades Supervisadas”</w:t>
      </w:r>
      <w:r w:rsidRPr="00043BD2">
        <w:rPr>
          <w:rFonts w:asciiTheme="majorHAnsi" w:hAnsiTheme="majorHAnsi"/>
          <w:b/>
        </w:rPr>
        <w:t>, en lo referente a la información que deben enviar a la Superintendencia los intermediarios de seguros.</w:t>
      </w:r>
    </w:p>
    <w:p w14:paraId="3D5AD01E" w14:textId="77777777" w:rsidR="00043BD2" w:rsidRPr="00043BD2" w:rsidRDefault="00043BD2" w:rsidP="00043BD2">
      <w:pPr>
        <w:widowControl w:val="0"/>
        <w:jc w:val="both"/>
        <w:rPr>
          <w:rFonts w:asciiTheme="majorHAnsi" w:hAnsiTheme="majorHAnsi"/>
        </w:rPr>
      </w:pPr>
    </w:p>
    <w:p w14:paraId="3D5AD01F" w14:textId="77777777" w:rsidR="00043BD2" w:rsidRPr="00043BD2" w:rsidRDefault="00043BD2" w:rsidP="00043BD2">
      <w:pPr>
        <w:widowControl w:val="0"/>
        <w:jc w:val="both"/>
        <w:rPr>
          <w:rFonts w:asciiTheme="majorHAnsi" w:hAnsiTheme="majorHAnsi"/>
        </w:rPr>
      </w:pPr>
    </w:p>
    <w:p w14:paraId="3D5AD020" w14:textId="77777777" w:rsidR="00043BD2" w:rsidRPr="00043BD2" w:rsidRDefault="00043BD2" w:rsidP="00043BD2">
      <w:pPr>
        <w:widowControl w:val="0"/>
        <w:jc w:val="both"/>
        <w:rPr>
          <w:rFonts w:asciiTheme="majorHAnsi" w:hAnsiTheme="majorHAnsi"/>
        </w:rPr>
      </w:pPr>
      <w:r w:rsidRPr="00043BD2">
        <w:rPr>
          <w:rFonts w:asciiTheme="majorHAnsi" w:hAnsiTheme="majorHAnsi"/>
        </w:rPr>
        <w:t xml:space="preserve">El Superintendente General de Seguros, a las </w:t>
      </w:r>
      <w:r w:rsidR="00A70606">
        <w:rPr>
          <w:rFonts w:asciiTheme="majorHAnsi" w:hAnsiTheme="majorHAnsi"/>
        </w:rPr>
        <w:t>quince</w:t>
      </w:r>
      <w:r w:rsidRPr="00043BD2">
        <w:rPr>
          <w:rFonts w:asciiTheme="majorHAnsi" w:hAnsiTheme="majorHAnsi"/>
        </w:rPr>
        <w:t xml:space="preserve"> horas del </w:t>
      </w:r>
      <w:r w:rsidR="00A70606">
        <w:rPr>
          <w:rFonts w:asciiTheme="majorHAnsi" w:hAnsiTheme="majorHAnsi"/>
        </w:rPr>
        <w:t>veintiuno</w:t>
      </w:r>
      <w:r w:rsidRPr="00043BD2">
        <w:rPr>
          <w:rFonts w:asciiTheme="majorHAnsi" w:hAnsiTheme="majorHAnsi"/>
        </w:rPr>
        <w:t xml:space="preserve"> de </w:t>
      </w:r>
      <w:r w:rsidR="00A70606">
        <w:rPr>
          <w:rFonts w:asciiTheme="majorHAnsi" w:hAnsiTheme="majorHAnsi"/>
        </w:rPr>
        <w:t>julio de dos mil catorce,</w:t>
      </w:r>
    </w:p>
    <w:p w14:paraId="3D5AD021" w14:textId="77777777" w:rsidR="00043BD2" w:rsidRPr="00043BD2" w:rsidRDefault="00043BD2" w:rsidP="00043BD2">
      <w:pPr>
        <w:widowControl w:val="0"/>
        <w:jc w:val="both"/>
        <w:rPr>
          <w:rFonts w:asciiTheme="majorHAnsi" w:hAnsiTheme="majorHAnsi"/>
        </w:rPr>
      </w:pPr>
    </w:p>
    <w:p w14:paraId="3D5AD022" w14:textId="77777777" w:rsidR="00043BD2" w:rsidRPr="00043BD2" w:rsidRDefault="00043BD2" w:rsidP="00043BD2">
      <w:pPr>
        <w:widowControl w:val="0"/>
        <w:jc w:val="center"/>
        <w:rPr>
          <w:rFonts w:asciiTheme="majorHAnsi" w:hAnsiTheme="majorHAnsi"/>
          <w:b/>
        </w:rPr>
      </w:pPr>
      <w:r w:rsidRPr="00043BD2">
        <w:rPr>
          <w:rFonts w:asciiTheme="majorHAnsi" w:hAnsiTheme="majorHAnsi"/>
          <w:b/>
        </w:rPr>
        <w:t>CONSIDERANDO QUE:</w:t>
      </w:r>
    </w:p>
    <w:p w14:paraId="3D5AD023" w14:textId="77777777" w:rsidR="00043BD2" w:rsidRPr="00043BD2" w:rsidRDefault="00043BD2" w:rsidP="00043BD2">
      <w:pPr>
        <w:widowControl w:val="0"/>
        <w:jc w:val="both"/>
        <w:rPr>
          <w:rFonts w:asciiTheme="majorHAnsi" w:hAnsiTheme="majorHAnsi"/>
        </w:rPr>
      </w:pPr>
    </w:p>
    <w:p w14:paraId="3D5AD024" w14:textId="77777777" w:rsidR="00043BD2" w:rsidRPr="00043BD2" w:rsidRDefault="00043BD2" w:rsidP="00043BD2">
      <w:pPr>
        <w:widowControl w:val="0"/>
        <w:tabs>
          <w:tab w:val="left" w:pos="567"/>
        </w:tabs>
        <w:ind w:left="567" w:hanging="567"/>
        <w:jc w:val="both"/>
        <w:rPr>
          <w:rFonts w:asciiTheme="majorHAnsi" w:hAnsiTheme="majorHAnsi"/>
        </w:rPr>
      </w:pPr>
      <w:r w:rsidRPr="00043BD2">
        <w:rPr>
          <w:rFonts w:asciiTheme="majorHAnsi" w:hAnsiTheme="majorHAnsi"/>
        </w:rPr>
        <w:t>1.-</w:t>
      </w:r>
      <w:r w:rsidRPr="00043BD2">
        <w:rPr>
          <w:rFonts w:asciiTheme="majorHAnsi" w:hAnsiTheme="majorHAnsi"/>
        </w:rPr>
        <w:tab/>
        <w:t xml:space="preserve">La Superintendencia General de Seguros debe disponer de información, en los plazos, formatos y medios que le permita realizar una evaluación exhaustiva y rigurosa de cada uno de los participantes del mercado de seguros, con el fin de cumplir con el objetivo definido en el artículo 29, de la Ley Reguladora del Mercado de Seguros, Ley N° 8653, de </w:t>
      </w:r>
      <w:r w:rsidRPr="00043BD2">
        <w:rPr>
          <w:rFonts w:asciiTheme="majorHAnsi" w:hAnsiTheme="majorHAnsi"/>
          <w:i/>
        </w:rPr>
        <w:t>“velar por la estabilidad y el eficiente funcionamiento del mercado de seguros, así como entregar la más amplia información a los asegurados”</w:t>
      </w:r>
      <w:r w:rsidRPr="00043BD2">
        <w:rPr>
          <w:rFonts w:asciiTheme="majorHAnsi" w:hAnsiTheme="majorHAnsi"/>
        </w:rPr>
        <w:t>.</w:t>
      </w:r>
    </w:p>
    <w:p w14:paraId="3D5AD025" w14:textId="77777777" w:rsidR="00043BD2" w:rsidRPr="00043BD2" w:rsidRDefault="00043BD2" w:rsidP="00043BD2">
      <w:pPr>
        <w:widowControl w:val="0"/>
        <w:tabs>
          <w:tab w:val="left" w:pos="567"/>
        </w:tabs>
        <w:ind w:left="567" w:hanging="567"/>
        <w:jc w:val="both"/>
        <w:rPr>
          <w:rFonts w:asciiTheme="majorHAnsi" w:hAnsiTheme="majorHAnsi"/>
          <w:b/>
        </w:rPr>
      </w:pPr>
    </w:p>
    <w:p w14:paraId="3D5AD026" w14:textId="77777777" w:rsidR="00043BD2" w:rsidRPr="00043BD2" w:rsidRDefault="00043BD2" w:rsidP="00043BD2">
      <w:pPr>
        <w:widowControl w:val="0"/>
        <w:tabs>
          <w:tab w:val="left" w:pos="567"/>
        </w:tabs>
        <w:ind w:left="567" w:hanging="567"/>
        <w:jc w:val="both"/>
        <w:rPr>
          <w:rFonts w:asciiTheme="majorHAnsi" w:hAnsiTheme="majorHAnsi"/>
        </w:rPr>
      </w:pPr>
      <w:r w:rsidRPr="00043BD2">
        <w:rPr>
          <w:rFonts w:asciiTheme="majorHAnsi" w:hAnsiTheme="majorHAnsi"/>
        </w:rPr>
        <w:t xml:space="preserve">2.-  </w:t>
      </w:r>
      <w:r w:rsidRPr="00043BD2">
        <w:rPr>
          <w:rFonts w:asciiTheme="majorHAnsi" w:hAnsiTheme="majorHAnsi"/>
        </w:rPr>
        <w:tab/>
        <w:t xml:space="preserve">De conformidad con el artículo 26 g) de la Ley N° 8653, los intermediarios del mercado de seguros están obligados a proporcionar a la Superintendencia la información correcta y completa, dentro de los plazos y las formalidades requeridos. Además, el último párrafo del artículo mencionado, para todas las obligaciones  ahí dispuestas, faculta al Consejo Nacional de Supervisión y a la Superintendencia,  a emitir </w:t>
      </w:r>
      <w:r w:rsidRPr="00043BD2">
        <w:rPr>
          <w:rFonts w:asciiTheme="majorHAnsi" w:hAnsiTheme="majorHAnsi"/>
          <w:i/>
        </w:rPr>
        <w:t>“la normativa necesaria que determine el contenido de las obligaciones, la periodicidad, las condiciones, los formatos, los términos, la operatividad y en general, cualquier aspecto necesario para su efectivo cumplimiento, supervisión, verificación y sanción en caso de inobservancia”</w:t>
      </w:r>
      <w:r w:rsidRPr="00043BD2">
        <w:rPr>
          <w:rFonts w:asciiTheme="majorHAnsi" w:hAnsiTheme="majorHAnsi"/>
        </w:rPr>
        <w:t>.</w:t>
      </w:r>
    </w:p>
    <w:p w14:paraId="3D5AD027" w14:textId="77777777" w:rsidR="00043BD2" w:rsidRPr="00043BD2" w:rsidRDefault="00043BD2" w:rsidP="00043BD2">
      <w:pPr>
        <w:widowControl w:val="0"/>
        <w:tabs>
          <w:tab w:val="left" w:pos="567"/>
        </w:tabs>
        <w:ind w:left="567" w:hanging="567"/>
        <w:jc w:val="both"/>
        <w:rPr>
          <w:rFonts w:asciiTheme="majorHAnsi" w:hAnsiTheme="majorHAnsi"/>
          <w:b/>
        </w:rPr>
      </w:pPr>
    </w:p>
    <w:p w14:paraId="3D5AD028" w14:textId="77777777" w:rsidR="00043BD2" w:rsidRPr="00043BD2" w:rsidRDefault="00043BD2" w:rsidP="00043BD2">
      <w:pPr>
        <w:widowControl w:val="0"/>
        <w:tabs>
          <w:tab w:val="left" w:pos="567"/>
        </w:tabs>
        <w:ind w:left="567" w:hanging="567"/>
        <w:jc w:val="both"/>
        <w:rPr>
          <w:rFonts w:asciiTheme="majorHAnsi" w:hAnsiTheme="majorHAnsi"/>
        </w:rPr>
      </w:pPr>
      <w:r w:rsidRPr="00043BD2">
        <w:rPr>
          <w:rFonts w:asciiTheme="majorHAnsi" w:hAnsiTheme="majorHAnsi"/>
        </w:rPr>
        <w:t>3.-</w:t>
      </w:r>
      <w:r w:rsidRPr="00043BD2">
        <w:rPr>
          <w:rFonts w:asciiTheme="majorHAnsi" w:hAnsiTheme="majorHAnsi"/>
        </w:rPr>
        <w:tab/>
        <w:t xml:space="preserve">El artículo 12 del </w:t>
      </w:r>
      <w:r w:rsidRPr="00043BD2">
        <w:rPr>
          <w:rFonts w:asciiTheme="majorHAnsi" w:hAnsiTheme="majorHAnsi"/>
          <w:i/>
        </w:rPr>
        <w:t>Reglamento Relativo a la Información Financiera de Entidades, Grupos y Conglomerados Financieros</w:t>
      </w:r>
      <w:r w:rsidRPr="00043BD2">
        <w:rPr>
          <w:rFonts w:asciiTheme="majorHAnsi" w:hAnsiTheme="majorHAnsi"/>
        </w:rPr>
        <w:t>, establece la obligación por parte de las entidades supervisadas de presentar información contable a la Superintendencia General de Seguros.</w:t>
      </w:r>
    </w:p>
    <w:p w14:paraId="3D5AD029" w14:textId="77777777" w:rsidR="00043BD2" w:rsidRPr="00043BD2" w:rsidRDefault="00043BD2" w:rsidP="00043BD2">
      <w:pPr>
        <w:widowControl w:val="0"/>
        <w:tabs>
          <w:tab w:val="left" w:pos="567"/>
        </w:tabs>
        <w:ind w:left="567" w:hanging="567"/>
        <w:jc w:val="both"/>
        <w:rPr>
          <w:rFonts w:asciiTheme="majorHAnsi" w:hAnsiTheme="majorHAnsi"/>
          <w:b/>
        </w:rPr>
      </w:pPr>
    </w:p>
    <w:p w14:paraId="3D5AD02A" w14:textId="77777777" w:rsidR="00043BD2" w:rsidRPr="00043BD2" w:rsidRDefault="00043BD2" w:rsidP="00043BD2">
      <w:pPr>
        <w:widowControl w:val="0"/>
        <w:tabs>
          <w:tab w:val="left" w:pos="567"/>
        </w:tabs>
        <w:ind w:left="567" w:hanging="567"/>
        <w:jc w:val="both"/>
        <w:rPr>
          <w:rFonts w:asciiTheme="majorHAnsi" w:hAnsiTheme="majorHAnsi"/>
        </w:rPr>
      </w:pPr>
      <w:r w:rsidRPr="00043BD2">
        <w:rPr>
          <w:rFonts w:asciiTheme="majorHAnsi" w:hAnsiTheme="majorHAnsi"/>
        </w:rPr>
        <w:lastRenderedPageBreak/>
        <w:t>4.-</w:t>
      </w:r>
      <w:r w:rsidRPr="00043BD2">
        <w:rPr>
          <w:rFonts w:asciiTheme="majorHAnsi" w:hAnsiTheme="majorHAnsi"/>
        </w:rPr>
        <w:tab/>
        <w:t xml:space="preserve">Los Principios Básicos de Seguros, emitidos por la Asociación Internacional de Supervisores de Seguros (IAIS por sus siglas en ingles) en el 2011, establecen, como parte de las precondiciones establecidas  para un sistema de supervisión efectivo, entre otras, el contar  con </w:t>
      </w:r>
      <w:r w:rsidRPr="00043BD2">
        <w:rPr>
          <w:rFonts w:asciiTheme="majorHAnsi" w:hAnsiTheme="majorHAnsi"/>
          <w:i/>
        </w:rPr>
        <w:t>“…una infraestructura pública bien desarrollada…”</w:t>
      </w:r>
      <w:r w:rsidRPr="00043BD2">
        <w:rPr>
          <w:rFonts w:asciiTheme="majorHAnsi" w:hAnsiTheme="majorHAnsi"/>
        </w:rPr>
        <w:t xml:space="preserve">, que a su vez establezca </w:t>
      </w:r>
      <w:r w:rsidRPr="00043BD2">
        <w:rPr>
          <w:rFonts w:asciiTheme="majorHAnsi" w:hAnsiTheme="majorHAnsi"/>
          <w:i/>
        </w:rPr>
        <w:t>“…principios y normas contables generales bien definidos que cuenten con el respaldo de una amplia aceptación internacional…”</w:t>
      </w:r>
      <w:r w:rsidRPr="00043BD2">
        <w:rPr>
          <w:rFonts w:asciiTheme="majorHAnsi" w:hAnsiTheme="majorHAnsi"/>
        </w:rPr>
        <w:t xml:space="preserve">.  Adicionalmente el principio 23 de IAIS establece que </w:t>
      </w:r>
      <w:r w:rsidRPr="00043BD2">
        <w:rPr>
          <w:rFonts w:asciiTheme="majorHAnsi" w:hAnsiTheme="majorHAnsi"/>
          <w:i/>
        </w:rPr>
        <w:t>“La disciplina eficaz de mercado depende, en parte, de flujos de información adecuados entre los participantes, incentivos financieros apropiados para recompensar a las instituciones bien manejadas, y de arreglos que aseguren que los inversionistas no son ajenos a las consecuencias de sus decisiones. Entre los temas a ser abordados, está la existencia de marcos apropiados de gobierno corporativo, así como garantizar que los prestatarios brinden información exacta, significativa, transparente y oportuna a los inversionistas y acreedores”</w:t>
      </w:r>
      <w:r w:rsidRPr="00043BD2">
        <w:rPr>
          <w:rFonts w:asciiTheme="majorHAnsi" w:hAnsiTheme="majorHAnsi"/>
        </w:rPr>
        <w:t>,  lo que implica que el desarrollo y buen funcionamiento del mercado requiere de flujos de información adecuados de éste para todos  los participantes  del mercado y para el público en general.</w:t>
      </w:r>
    </w:p>
    <w:p w14:paraId="3D5AD02B" w14:textId="77777777" w:rsidR="00043BD2" w:rsidRPr="00043BD2" w:rsidRDefault="00043BD2" w:rsidP="00043BD2">
      <w:pPr>
        <w:widowControl w:val="0"/>
        <w:tabs>
          <w:tab w:val="left" w:pos="567"/>
        </w:tabs>
        <w:ind w:left="567" w:hanging="567"/>
        <w:jc w:val="both"/>
        <w:rPr>
          <w:rFonts w:asciiTheme="majorHAnsi" w:hAnsiTheme="majorHAnsi"/>
          <w:b/>
        </w:rPr>
      </w:pPr>
    </w:p>
    <w:p w14:paraId="3D5AD02C" w14:textId="77777777" w:rsidR="00043BD2" w:rsidRPr="00043BD2" w:rsidRDefault="00043BD2" w:rsidP="00043BD2">
      <w:pPr>
        <w:widowControl w:val="0"/>
        <w:tabs>
          <w:tab w:val="left" w:pos="567"/>
        </w:tabs>
        <w:ind w:left="567" w:hanging="567"/>
        <w:jc w:val="both"/>
        <w:rPr>
          <w:rFonts w:asciiTheme="majorHAnsi" w:hAnsiTheme="majorHAnsi"/>
        </w:rPr>
      </w:pPr>
      <w:r w:rsidRPr="00043BD2">
        <w:rPr>
          <w:rFonts w:asciiTheme="majorHAnsi" w:hAnsiTheme="majorHAnsi"/>
        </w:rPr>
        <w:t>5.-</w:t>
      </w:r>
      <w:r w:rsidRPr="00043BD2">
        <w:rPr>
          <w:rFonts w:asciiTheme="majorHAnsi" w:hAnsiTheme="majorHAnsi"/>
        </w:rPr>
        <w:tab/>
        <w:t>La remisión de información financiera de manera periódica constituye una herramienta fundamental para las labores de supervisión y control desarrolladas por la Superintendencia.  De acuerdo con el principio 9 de IAIS, relacionado con la Revisión del supervisor, para una supervisión efectiva, la entidad supervisora debe obtener la información necesaria para llevar a cabo sus labores de supervisar y analizar a las aseguradoras y evaluar el mercado de seguros.  Para cumplir con lo señalado, en ese mismo principio se indican como prácticas adecuadas las siguientes:  establecer requisitos para la presentación de información financiera y estadística, informes actuariales, informes de solvencia y otro tipo de información, en forma regular, sistemática e integral para la totalidad de las entidades participantes;  definir el alcance, contenido y frecuencia de los referidos informes e información; solicitar información adicional de manera más frecuente y detallada según ello sea oportuno y establecer procedimientos y pautas escritas para la realización de informes entregados al supervisor.</w:t>
      </w:r>
    </w:p>
    <w:p w14:paraId="3D5AD02D" w14:textId="77777777" w:rsidR="00043BD2" w:rsidRPr="00043BD2" w:rsidRDefault="00043BD2" w:rsidP="00043BD2">
      <w:pPr>
        <w:widowControl w:val="0"/>
        <w:tabs>
          <w:tab w:val="left" w:pos="567"/>
        </w:tabs>
        <w:ind w:left="567" w:hanging="567"/>
        <w:jc w:val="both"/>
        <w:rPr>
          <w:rFonts w:asciiTheme="majorHAnsi" w:hAnsiTheme="majorHAnsi"/>
          <w:b/>
        </w:rPr>
      </w:pPr>
    </w:p>
    <w:p w14:paraId="3D5AD02E" w14:textId="77777777" w:rsidR="00043BD2" w:rsidRPr="00043BD2" w:rsidRDefault="00043BD2" w:rsidP="00043BD2">
      <w:pPr>
        <w:widowControl w:val="0"/>
        <w:tabs>
          <w:tab w:val="left" w:pos="567"/>
        </w:tabs>
        <w:ind w:left="567" w:hanging="567"/>
        <w:jc w:val="both"/>
        <w:rPr>
          <w:rFonts w:asciiTheme="majorHAnsi" w:hAnsiTheme="majorHAnsi"/>
        </w:rPr>
      </w:pPr>
      <w:r w:rsidRPr="00043BD2">
        <w:rPr>
          <w:rFonts w:asciiTheme="majorHAnsi" w:hAnsiTheme="majorHAnsi"/>
        </w:rPr>
        <w:t>6.-</w:t>
      </w:r>
      <w:r w:rsidRPr="00043BD2">
        <w:rPr>
          <w:rFonts w:asciiTheme="majorHAnsi" w:hAnsiTheme="majorHAnsi"/>
        </w:rPr>
        <w:tab/>
        <w:t xml:space="preserve">De conformidad con el artículo 29 de la Ley N° 8653, la Superintendencia aplica la norma establecida en el artículo 180 de la Ley Reguladora del Mercado de Valores, Ley  N° 7732, la cual faculta a la utilización de medios electrónicos o magnéticos de transmisión y almacenamiento de datos, para solicitar información a las entidades supervisadas y para mantener sus archivos, actas y </w:t>
      </w:r>
      <w:r w:rsidRPr="00043BD2">
        <w:rPr>
          <w:rFonts w:asciiTheme="majorHAnsi" w:hAnsiTheme="majorHAnsi"/>
        </w:rPr>
        <w:lastRenderedPageBreak/>
        <w:t>demás documentos. Además indica que la información así mantenida tiene valor probatorio equivalente al de los documentos para todos los efectos legales.</w:t>
      </w:r>
    </w:p>
    <w:p w14:paraId="3D5AD02F" w14:textId="77777777" w:rsidR="00043BD2" w:rsidRPr="00043BD2" w:rsidRDefault="00043BD2" w:rsidP="00043BD2">
      <w:pPr>
        <w:widowControl w:val="0"/>
        <w:tabs>
          <w:tab w:val="left" w:pos="567"/>
        </w:tabs>
        <w:ind w:left="567" w:hanging="567"/>
        <w:jc w:val="both"/>
        <w:rPr>
          <w:rFonts w:asciiTheme="majorHAnsi" w:hAnsiTheme="majorHAnsi"/>
          <w:b/>
        </w:rPr>
      </w:pPr>
    </w:p>
    <w:p w14:paraId="3D5AD030" w14:textId="77777777" w:rsidR="00043BD2" w:rsidRPr="00043BD2" w:rsidRDefault="00043BD2" w:rsidP="00043BD2">
      <w:pPr>
        <w:widowControl w:val="0"/>
        <w:tabs>
          <w:tab w:val="left" w:pos="567"/>
        </w:tabs>
        <w:ind w:left="567" w:hanging="567"/>
        <w:jc w:val="both"/>
        <w:rPr>
          <w:rFonts w:asciiTheme="majorHAnsi" w:hAnsiTheme="majorHAnsi"/>
        </w:rPr>
      </w:pPr>
      <w:r w:rsidRPr="00043BD2">
        <w:rPr>
          <w:rFonts w:asciiTheme="majorHAnsi" w:hAnsiTheme="majorHAnsi"/>
        </w:rPr>
        <w:t>7.-</w:t>
      </w:r>
      <w:r w:rsidRPr="00043BD2">
        <w:rPr>
          <w:rFonts w:asciiTheme="majorHAnsi" w:hAnsiTheme="majorHAnsi"/>
        </w:rPr>
        <w:tab/>
        <w:t xml:space="preserve">A efecto de ordenar el envío de información por parte de las entidades supervisadas, la Superintendente General de Seguros  el 23 de mayo del 2013 emitió el Acuerdo SGS-DES-A-021-2013 denominado </w:t>
      </w:r>
      <w:r w:rsidRPr="00043BD2">
        <w:rPr>
          <w:rFonts w:asciiTheme="majorHAnsi" w:hAnsiTheme="majorHAnsi"/>
          <w:i/>
        </w:rPr>
        <w:t>Disposiciones para la Remisión de la Información Contable y Estadística a la Superintendencia General de Seguros por parte de las Entidades Supervisadas</w:t>
      </w:r>
      <w:r w:rsidRPr="00043BD2">
        <w:rPr>
          <w:rFonts w:asciiTheme="majorHAnsi" w:hAnsiTheme="majorHAnsi"/>
        </w:rPr>
        <w:t>, el cual se establece la periodicidad, el plazo y  el medio de envío de los diferentes reportes que le deben ser proporcionados a la Superintendencia, así como sus características, de conformidad con el último párrafo del artículo 26 de la Ley N° 8653.</w:t>
      </w:r>
    </w:p>
    <w:p w14:paraId="3D5AD031" w14:textId="77777777" w:rsidR="00043BD2" w:rsidRPr="00043BD2" w:rsidRDefault="00043BD2" w:rsidP="00043BD2">
      <w:pPr>
        <w:widowControl w:val="0"/>
        <w:tabs>
          <w:tab w:val="left" w:pos="567"/>
        </w:tabs>
        <w:ind w:left="567" w:hanging="567"/>
        <w:jc w:val="both"/>
        <w:rPr>
          <w:rFonts w:asciiTheme="majorHAnsi" w:hAnsiTheme="majorHAnsi"/>
          <w:b/>
        </w:rPr>
      </w:pPr>
    </w:p>
    <w:p w14:paraId="3D5AD032" w14:textId="77777777" w:rsidR="00043BD2" w:rsidRPr="00043BD2" w:rsidRDefault="00043BD2" w:rsidP="00043BD2">
      <w:pPr>
        <w:widowControl w:val="0"/>
        <w:tabs>
          <w:tab w:val="left" w:pos="567"/>
        </w:tabs>
        <w:ind w:left="567" w:hanging="567"/>
        <w:jc w:val="both"/>
        <w:rPr>
          <w:rFonts w:asciiTheme="majorHAnsi" w:hAnsiTheme="majorHAnsi"/>
        </w:rPr>
      </w:pPr>
      <w:r w:rsidRPr="00043BD2">
        <w:rPr>
          <w:rFonts w:asciiTheme="majorHAnsi" w:hAnsiTheme="majorHAnsi"/>
        </w:rPr>
        <w:t>8.-</w:t>
      </w:r>
      <w:r w:rsidRPr="00043BD2">
        <w:rPr>
          <w:rFonts w:asciiTheme="majorHAnsi" w:hAnsiTheme="majorHAnsi"/>
        </w:rPr>
        <w:tab/>
        <w:t>La Superintendencia General de Seguros (</w:t>
      </w:r>
      <w:proofErr w:type="spellStart"/>
      <w:r w:rsidRPr="00043BD2">
        <w:rPr>
          <w:rFonts w:asciiTheme="majorHAnsi" w:hAnsiTheme="majorHAnsi"/>
        </w:rPr>
        <w:t>Sugese</w:t>
      </w:r>
      <w:proofErr w:type="spellEnd"/>
      <w:r w:rsidRPr="00043BD2">
        <w:rPr>
          <w:rFonts w:asciiTheme="majorHAnsi" w:hAnsiTheme="majorHAnsi"/>
        </w:rPr>
        <w:t>) ha desarrollado una plataforma informática denominada Sistema de Supervisión de Seguros (SSS), que  permite la captura automatizada, el procesamiento, la generación de alertas reportes y estadísticas, relativos a la información financiero contable de las entidades supervisadas.</w:t>
      </w:r>
    </w:p>
    <w:p w14:paraId="3D5AD033" w14:textId="77777777" w:rsidR="00043BD2" w:rsidRPr="00043BD2" w:rsidRDefault="00043BD2" w:rsidP="00043BD2">
      <w:pPr>
        <w:widowControl w:val="0"/>
        <w:tabs>
          <w:tab w:val="left" w:pos="567"/>
        </w:tabs>
        <w:ind w:left="567" w:hanging="567"/>
        <w:jc w:val="both"/>
        <w:rPr>
          <w:rFonts w:asciiTheme="majorHAnsi" w:hAnsiTheme="majorHAnsi"/>
          <w:b/>
        </w:rPr>
      </w:pPr>
    </w:p>
    <w:p w14:paraId="3D5AD034" w14:textId="77777777" w:rsidR="00043BD2" w:rsidRPr="00043BD2" w:rsidRDefault="00043BD2" w:rsidP="00043BD2">
      <w:pPr>
        <w:widowControl w:val="0"/>
        <w:tabs>
          <w:tab w:val="left" w:pos="567"/>
        </w:tabs>
        <w:ind w:left="567" w:hanging="567"/>
        <w:jc w:val="both"/>
        <w:rPr>
          <w:rFonts w:asciiTheme="majorHAnsi" w:hAnsiTheme="majorHAnsi"/>
        </w:rPr>
      </w:pPr>
      <w:r w:rsidRPr="00043BD2">
        <w:rPr>
          <w:rFonts w:asciiTheme="majorHAnsi" w:hAnsiTheme="majorHAnsi"/>
        </w:rPr>
        <w:t>9.-</w:t>
      </w:r>
      <w:r w:rsidRPr="00043BD2">
        <w:rPr>
          <w:rFonts w:asciiTheme="majorHAnsi" w:hAnsiTheme="majorHAnsi"/>
        </w:rPr>
        <w:tab/>
        <w:t xml:space="preserve">El inciso 2) del artículo 361 de la Ley General de la Administración Pública establece que  </w:t>
      </w:r>
      <w:r w:rsidRPr="00043BD2">
        <w:rPr>
          <w:rFonts w:asciiTheme="majorHAnsi" w:hAnsiTheme="majorHAnsi"/>
          <w:i/>
        </w:rPr>
        <w:t>“Se concederá a las entidades representativas de intereses de carácter general o corporativo afectados por la disposición la oportunidad de exponer su parecer, dentro del plazo de diez días, salvo cuando se opongan a ello razones de interés público o de urgencia debidamente consignadas en el anteproyecto.”</w:t>
      </w:r>
    </w:p>
    <w:p w14:paraId="3D5AD035" w14:textId="77777777" w:rsidR="00043BD2" w:rsidRPr="00043BD2" w:rsidRDefault="00043BD2" w:rsidP="00043BD2">
      <w:pPr>
        <w:widowControl w:val="0"/>
        <w:tabs>
          <w:tab w:val="left" w:pos="567"/>
        </w:tabs>
        <w:ind w:left="567" w:hanging="567"/>
        <w:jc w:val="both"/>
        <w:rPr>
          <w:rFonts w:asciiTheme="majorHAnsi" w:hAnsiTheme="majorHAnsi"/>
          <w:b/>
        </w:rPr>
      </w:pPr>
    </w:p>
    <w:p w14:paraId="3D5AD036" w14:textId="77777777" w:rsidR="00043BD2" w:rsidRPr="00043BD2" w:rsidRDefault="00043BD2" w:rsidP="00043BD2">
      <w:pPr>
        <w:widowControl w:val="0"/>
        <w:tabs>
          <w:tab w:val="left" w:pos="567"/>
        </w:tabs>
        <w:ind w:left="567" w:hanging="567"/>
        <w:jc w:val="both"/>
        <w:rPr>
          <w:rFonts w:asciiTheme="majorHAnsi" w:hAnsiTheme="majorHAnsi"/>
          <w:color w:val="0000CC"/>
        </w:rPr>
      </w:pPr>
      <w:r w:rsidRPr="00043BD2">
        <w:rPr>
          <w:rFonts w:asciiTheme="majorHAnsi" w:hAnsiTheme="majorHAnsi"/>
        </w:rPr>
        <w:t xml:space="preserve">10.- </w:t>
      </w:r>
      <w:r w:rsidRPr="00043BD2">
        <w:rPr>
          <w:rFonts w:asciiTheme="majorHAnsi" w:hAnsiTheme="majorHAnsi"/>
        </w:rPr>
        <w:tab/>
        <w:t>Que mediante oficio SGS-DES-1029-2014, del 19 de junio de 2014 se remitió a consulta a los intermediarios de seguros, el proyecto de modificación del acuerdo SGS-DES-A-021-2013, en cumplimiento de lo establecido en el artículo 361 inciso 2 de la Ley General de Administración Pública y una vez recibidas las observaciones se procedió a analizarlas y variar el texto consultado cuando correspondía, por lo que lo procedente es emitir en forma definitiva la modificación del acuerdo mencionado.</w:t>
      </w:r>
    </w:p>
    <w:p w14:paraId="3D5AD037" w14:textId="77777777" w:rsidR="00043BD2" w:rsidRPr="00043BD2" w:rsidRDefault="00043BD2" w:rsidP="00043BD2">
      <w:pPr>
        <w:widowControl w:val="0"/>
        <w:jc w:val="center"/>
        <w:rPr>
          <w:rFonts w:asciiTheme="majorHAnsi" w:hAnsiTheme="majorHAnsi"/>
          <w:b/>
        </w:rPr>
      </w:pPr>
    </w:p>
    <w:p w14:paraId="3D5AD038" w14:textId="77777777" w:rsidR="00043BD2" w:rsidRPr="00043BD2" w:rsidRDefault="00043BD2" w:rsidP="00043BD2">
      <w:pPr>
        <w:widowControl w:val="0"/>
        <w:jc w:val="center"/>
        <w:rPr>
          <w:rFonts w:asciiTheme="majorHAnsi" w:hAnsiTheme="majorHAnsi"/>
          <w:b/>
        </w:rPr>
      </w:pPr>
    </w:p>
    <w:p w14:paraId="3D5AD039" w14:textId="77777777" w:rsidR="00043BD2" w:rsidRPr="00043BD2" w:rsidRDefault="00043BD2" w:rsidP="00043BD2">
      <w:pPr>
        <w:widowControl w:val="0"/>
        <w:jc w:val="center"/>
        <w:rPr>
          <w:rFonts w:asciiTheme="majorHAnsi" w:hAnsiTheme="majorHAnsi"/>
          <w:b/>
        </w:rPr>
      </w:pPr>
      <w:r w:rsidRPr="00043BD2">
        <w:rPr>
          <w:rFonts w:asciiTheme="majorHAnsi" w:hAnsiTheme="majorHAnsi"/>
          <w:b/>
        </w:rPr>
        <w:t>DISPONE:</w:t>
      </w:r>
    </w:p>
    <w:p w14:paraId="3D5AD03A" w14:textId="77777777" w:rsidR="00043BD2" w:rsidRPr="00043BD2" w:rsidRDefault="00043BD2" w:rsidP="00043BD2">
      <w:pPr>
        <w:widowControl w:val="0"/>
        <w:jc w:val="both"/>
        <w:rPr>
          <w:rFonts w:asciiTheme="majorHAnsi" w:hAnsiTheme="majorHAnsi"/>
          <w:bCs/>
          <w:lang w:val="es-ES_tradnl"/>
        </w:rPr>
      </w:pPr>
    </w:p>
    <w:p w14:paraId="3D5AD03B" w14:textId="77777777" w:rsidR="00043BD2" w:rsidRPr="00043BD2" w:rsidRDefault="00043BD2" w:rsidP="00043BD2">
      <w:pPr>
        <w:widowControl w:val="0"/>
        <w:jc w:val="both"/>
        <w:rPr>
          <w:rFonts w:asciiTheme="majorHAnsi" w:hAnsiTheme="majorHAnsi"/>
          <w:b/>
        </w:rPr>
      </w:pPr>
      <w:r w:rsidRPr="00043BD2">
        <w:rPr>
          <w:rFonts w:asciiTheme="majorHAnsi" w:hAnsiTheme="majorHAnsi"/>
          <w:b/>
          <w:bCs/>
          <w:lang w:val="es-ES_tradnl"/>
        </w:rPr>
        <w:t>Primero:</w:t>
      </w:r>
      <w:r w:rsidRPr="00043BD2">
        <w:rPr>
          <w:rFonts w:asciiTheme="majorHAnsi" w:hAnsiTheme="majorHAnsi"/>
          <w:bCs/>
          <w:lang w:val="es-ES_tradnl"/>
        </w:rPr>
        <w:t xml:space="preserve"> Modificar el artículo 3 del acuerdo SGS-DES-A-021-2013 denominado </w:t>
      </w:r>
      <w:r w:rsidRPr="00043BD2">
        <w:rPr>
          <w:rFonts w:asciiTheme="majorHAnsi" w:hAnsiTheme="majorHAnsi"/>
          <w:bCs/>
          <w:i/>
          <w:lang w:val="es-ES_tradnl"/>
        </w:rPr>
        <w:t>Disposiciones para la Remisión de la Información Contable y Estadística a la Superintendencia General de Seguros por parte de las Entidades Supervisadas</w:t>
      </w:r>
      <w:r w:rsidRPr="00043BD2">
        <w:rPr>
          <w:rFonts w:asciiTheme="majorHAnsi" w:hAnsiTheme="majorHAnsi"/>
          <w:bCs/>
          <w:lang w:val="es-ES_tradnl"/>
        </w:rPr>
        <w:t xml:space="preserve">, para que </w:t>
      </w:r>
      <w:r w:rsidRPr="00043BD2">
        <w:rPr>
          <w:rFonts w:asciiTheme="majorHAnsi" w:hAnsiTheme="majorHAnsi"/>
          <w:bCs/>
          <w:lang w:val="es-ES_tradnl"/>
        </w:rPr>
        <w:lastRenderedPageBreak/>
        <w:t>se lea de la siguiente manera:</w:t>
      </w:r>
    </w:p>
    <w:p w14:paraId="3D5AD03C" w14:textId="77777777" w:rsidR="00043BD2" w:rsidRPr="00043BD2" w:rsidRDefault="00043BD2" w:rsidP="00043BD2">
      <w:pPr>
        <w:widowControl w:val="0"/>
        <w:tabs>
          <w:tab w:val="left" w:pos="857"/>
          <w:tab w:val="left" w:pos="1168"/>
        </w:tabs>
        <w:jc w:val="both"/>
        <w:rPr>
          <w:rFonts w:asciiTheme="majorHAnsi" w:hAnsiTheme="majorHAnsi"/>
          <w:bCs/>
          <w:i/>
        </w:rPr>
      </w:pPr>
    </w:p>
    <w:p w14:paraId="3D5AD03D" w14:textId="77777777" w:rsidR="00043BD2" w:rsidRPr="00043BD2" w:rsidRDefault="00043BD2" w:rsidP="00043BD2">
      <w:pPr>
        <w:widowControl w:val="0"/>
        <w:tabs>
          <w:tab w:val="left" w:pos="857"/>
          <w:tab w:val="left" w:pos="1168"/>
        </w:tabs>
        <w:jc w:val="both"/>
        <w:rPr>
          <w:rFonts w:asciiTheme="majorHAnsi" w:hAnsiTheme="majorHAnsi"/>
          <w:b/>
          <w:i/>
        </w:rPr>
      </w:pPr>
      <w:r w:rsidRPr="00043BD2">
        <w:rPr>
          <w:rFonts w:asciiTheme="majorHAnsi" w:hAnsiTheme="majorHAnsi"/>
          <w:bCs/>
          <w:i/>
        </w:rPr>
        <w:t>“…Artículo 3. Información que deben enviar los Intermediarios de Seguros, Periodicidad, Plazo y Medio de Remisión</w:t>
      </w:r>
    </w:p>
    <w:p w14:paraId="3D5AD03E" w14:textId="77777777" w:rsidR="00043BD2" w:rsidRPr="00043BD2" w:rsidRDefault="00043BD2" w:rsidP="00043BD2">
      <w:pPr>
        <w:widowControl w:val="0"/>
        <w:tabs>
          <w:tab w:val="left" w:pos="857"/>
          <w:tab w:val="left" w:pos="1168"/>
        </w:tabs>
        <w:jc w:val="both"/>
        <w:rPr>
          <w:rFonts w:asciiTheme="majorHAnsi" w:hAnsiTheme="majorHAnsi"/>
          <w:bCs/>
          <w:i/>
        </w:rPr>
      </w:pPr>
    </w:p>
    <w:p w14:paraId="3D5AD03F" w14:textId="77777777" w:rsidR="00043BD2" w:rsidRPr="00043BD2" w:rsidRDefault="00043BD2" w:rsidP="00043BD2">
      <w:pPr>
        <w:widowControl w:val="0"/>
        <w:tabs>
          <w:tab w:val="left" w:pos="857"/>
          <w:tab w:val="left" w:pos="1168"/>
        </w:tabs>
        <w:jc w:val="both"/>
        <w:rPr>
          <w:rFonts w:asciiTheme="majorHAnsi" w:hAnsiTheme="majorHAnsi"/>
          <w:bCs/>
          <w:i/>
        </w:rPr>
      </w:pPr>
      <w:r w:rsidRPr="00043BD2">
        <w:rPr>
          <w:rFonts w:asciiTheme="majorHAnsi" w:hAnsiTheme="majorHAnsi"/>
          <w:bCs/>
          <w:i/>
        </w:rPr>
        <w:t>Los intermediarios de seguros (sociedades corredoras y sociedades agencia) deben remitir a la Superintendencia la siguiente información, en las condiciones que se indican a continuación:</w:t>
      </w:r>
    </w:p>
    <w:p w14:paraId="3D5AD040" w14:textId="77777777" w:rsidR="00043BD2" w:rsidRPr="00043BD2" w:rsidRDefault="00043BD2" w:rsidP="00043BD2">
      <w:pPr>
        <w:widowControl w:val="0"/>
        <w:tabs>
          <w:tab w:val="left" w:pos="857"/>
          <w:tab w:val="left" w:pos="1168"/>
        </w:tabs>
        <w:jc w:val="both"/>
        <w:rPr>
          <w:rFonts w:asciiTheme="majorHAnsi" w:hAnsiTheme="majorHAnsi"/>
          <w:b/>
          <w:i/>
        </w:rPr>
      </w:pPr>
    </w:p>
    <w:p w14:paraId="3D5AD041" w14:textId="77777777" w:rsidR="00043BD2" w:rsidRPr="00043BD2" w:rsidRDefault="00043BD2" w:rsidP="00043BD2">
      <w:pPr>
        <w:widowControl w:val="0"/>
        <w:tabs>
          <w:tab w:val="left" w:pos="857"/>
          <w:tab w:val="left" w:pos="1168"/>
        </w:tabs>
        <w:jc w:val="both"/>
        <w:rPr>
          <w:rFonts w:asciiTheme="majorHAnsi" w:hAnsiTheme="majorHAnsi"/>
          <w:b/>
          <w:i/>
        </w:rPr>
      </w:pPr>
    </w:p>
    <w:tbl>
      <w:tblPr>
        <w:tblW w:w="5209" w:type="pct"/>
        <w:jc w:val="center"/>
        <w:tblLayout w:type="fixed"/>
        <w:tblLook w:val="04A0" w:firstRow="1" w:lastRow="0" w:firstColumn="1" w:lastColumn="0" w:noHBand="0" w:noVBand="1"/>
      </w:tblPr>
      <w:tblGrid>
        <w:gridCol w:w="9432"/>
      </w:tblGrid>
      <w:tr w:rsidR="00043BD2" w:rsidRPr="00043BD2" w14:paraId="3D5AD050" w14:textId="77777777" w:rsidTr="00F744D4">
        <w:trPr>
          <w:trHeight w:val="146"/>
          <w:jc w:val="center"/>
        </w:trPr>
        <w:tc>
          <w:tcPr>
            <w:tcW w:w="5000" w:type="pct"/>
          </w:tcPr>
          <w:tbl>
            <w:tblPr>
              <w:tblW w:w="84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13"/>
              <w:gridCol w:w="2112"/>
              <w:gridCol w:w="2112"/>
              <w:gridCol w:w="2112"/>
            </w:tblGrid>
            <w:tr w:rsidR="00043BD2" w:rsidRPr="00043BD2" w14:paraId="3D5AD046" w14:textId="77777777" w:rsidTr="00F744D4">
              <w:trPr>
                <w:trHeight w:val="308"/>
                <w:tblHeader/>
                <w:jc w:val="center"/>
              </w:trPr>
              <w:tc>
                <w:tcPr>
                  <w:tcW w:w="1250" w:type="pct"/>
                  <w:shd w:val="clear" w:color="auto" w:fill="D9D9D9" w:themeFill="background1" w:themeFillShade="D9"/>
                  <w:vAlign w:val="center"/>
                </w:tcPr>
                <w:p w14:paraId="3D5AD042" w14:textId="77777777" w:rsidR="00043BD2" w:rsidRPr="00043BD2" w:rsidRDefault="00043BD2" w:rsidP="00043BD2">
                  <w:pPr>
                    <w:widowControl w:val="0"/>
                    <w:jc w:val="center"/>
                    <w:rPr>
                      <w:rFonts w:asciiTheme="majorHAnsi" w:hAnsiTheme="majorHAnsi"/>
                      <w:b/>
                      <w:i/>
                      <w:snapToGrid w:val="0"/>
                    </w:rPr>
                  </w:pPr>
                  <w:r w:rsidRPr="00043BD2">
                    <w:rPr>
                      <w:rFonts w:asciiTheme="majorHAnsi" w:hAnsiTheme="majorHAnsi"/>
                      <w:b/>
                      <w:i/>
                      <w:snapToGrid w:val="0"/>
                    </w:rPr>
                    <w:t>Información</w:t>
                  </w:r>
                </w:p>
              </w:tc>
              <w:tc>
                <w:tcPr>
                  <w:tcW w:w="1250" w:type="pct"/>
                  <w:shd w:val="clear" w:color="auto" w:fill="D9D9D9" w:themeFill="background1" w:themeFillShade="D9"/>
                  <w:vAlign w:val="center"/>
                </w:tcPr>
                <w:p w14:paraId="3D5AD043" w14:textId="77777777" w:rsidR="00043BD2" w:rsidRPr="00043BD2" w:rsidRDefault="00043BD2" w:rsidP="00043BD2">
                  <w:pPr>
                    <w:keepNext/>
                    <w:keepLines/>
                    <w:ind w:left="94"/>
                    <w:jc w:val="center"/>
                    <w:outlineLvl w:val="4"/>
                    <w:rPr>
                      <w:rFonts w:asciiTheme="majorHAnsi" w:eastAsiaTheme="majorEastAsia" w:hAnsiTheme="majorHAnsi" w:cstheme="majorBidi"/>
                      <w:lang w:eastAsia="en-US"/>
                    </w:rPr>
                  </w:pPr>
                  <w:r w:rsidRPr="00043BD2">
                    <w:rPr>
                      <w:rFonts w:asciiTheme="majorHAnsi" w:eastAsiaTheme="majorEastAsia" w:hAnsiTheme="majorHAnsi" w:cstheme="majorBidi"/>
                      <w:lang w:eastAsia="en-US"/>
                    </w:rPr>
                    <w:t>Periodicidad</w:t>
                  </w:r>
                </w:p>
              </w:tc>
              <w:tc>
                <w:tcPr>
                  <w:tcW w:w="1250" w:type="pct"/>
                  <w:shd w:val="clear" w:color="auto" w:fill="D9D9D9" w:themeFill="background1" w:themeFillShade="D9"/>
                  <w:vAlign w:val="center"/>
                </w:tcPr>
                <w:p w14:paraId="3D5AD044" w14:textId="77777777" w:rsidR="00043BD2" w:rsidRPr="00043BD2" w:rsidRDefault="00043BD2" w:rsidP="00043BD2">
                  <w:pPr>
                    <w:widowControl w:val="0"/>
                    <w:ind w:left="49"/>
                    <w:jc w:val="center"/>
                    <w:rPr>
                      <w:rFonts w:asciiTheme="majorHAnsi" w:hAnsiTheme="majorHAnsi"/>
                      <w:b/>
                      <w:i/>
                      <w:snapToGrid w:val="0"/>
                    </w:rPr>
                  </w:pPr>
                  <w:r w:rsidRPr="00043BD2">
                    <w:rPr>
                      <w:rFonts w:asciiTheme="majorHAnsi" w:hAnsiTheme="majorHAnsi"/>
                      <w:b/>
                      <w:i/>
                      <w:snapToGrid w:val="0"/>
                    </w:rPr>
                    <w:t>Plazo de entrega</w:t>
                  </w:r>
                </w:p>
              </w:tc>
              <w:tc>
                <w:tcPr>
                  <w:tcW w:w="1250" w:type="pct"/>
                  <w:shd w:val="clear" w:color="auto" w:fill="D9D9D9" w:themeFill="background1" w:themeFillShade="D9"/>
                  <w:vAlign w:val="center"/>
                </w:tcPr>
                <w:p w14:paraId="3D5AD045" w14:textId="77777777" w:rsidR="00043BD2" w:rsidRPr="00043BD2" w:rsidRDefault="00043BD2" w:rsidP="00043BD2">
                  <w:pPr>
                    <w:widowControl w:val="0"/>
                    <w:ind w:left="94"/>
                    <w:jc w:val="center"/>
                    <w:rPr>
                      <w:rFonts w:asciiTheme="majorHAnsi" w:hAnsiTheme="majorHAnsi"/>
                      <w:b/>
                      <w:i/>
                      <w:snapToGrid w:val="0"/>
                    </w:rPr>
                  </w:pPr>
                  <w:r w:rsidRPr="00043BD2">
                    <w:rPr>
                      <w:rFonts w:asciiTheme="majorHAnsi" w:hAnsiTheme="majorHAnsi"/>
                      <w:b/>
                      <w:i/>
                      <w:snapToGrid w:val="0"/>
                    </w:rPr>
                    <w:t>Medio</w:t>
                  </w:r>
                </w:p>
              </w:tc>
            </w:tr>
            <w:tr w:rsidR="00043BD2" w:rsidRPr="00043BD2" w14:paraId="3D5AD04D" w14:textId="77777777" w:rsidTr="00F744D4">
              <w:trPr>
                <w:trHeight w:val="58"/>
                <w:jc w:val="center"/>
              </w:trPr>
              <w:tc>
                <w:tcPr>
                  <w:tcW w:w="1250" w:type="pct"/>
                </w:tcPr>
                <w:p w14:paraId="3D5AD047" w14:textId="77777777" w:rsidR="00043BD2" w:rsidRPr="00043BD2" w:rsidRDefault="00043BD2" w:rsidP="00043BD2">
                  <w:pPr>
                    <w:widowControl w:val="0"/>
                    <w:jc w:val="both"/>
                    <w:rPr>
                      <w:rFonts w:asciiTheme="majorHAnsi" w:hAnsiTheme="majorHAnsi" w:cstheme="minorHAnsi"/>
                      <w:b/>
                      <w:bCs/>
                      <w:i/>
                    </w:rPr>
                  </w:pPr>
                  <w:r w:rsidRPr="00043BD2">
                    <w:rPr>
                      <w:rFonts w:asciiTheme="majorHAnsi" w:hAnsiTheme="majorHAnsi" w:cstheme="minorHAnsi"/>
                      <w:b/>
                      <w:bCs/>
                      <w:i/>
                    </w:rPr>
                    <w:t>Modelo 1:</w:t>
                  </w:r>
                  <w:r w:rsidRPr="00043BD2">
                    <w:rPr>
                      <w:rFonts w:asciiTheme="majorHAnsi" w:hAnsiTheme="majorHAnsi" w:cstheme="minorHAnsi"/>
                      <w:bCs/>
                      <w:i/>
                    </w:rPr>
                    <w:t xml:space="preserve"> </w:t>
                  </w:r>
                  <w:r w:rsidRPr="00043BD2">
                    <w:rPr>
                      <w:rFonts w:asciiTheme="majorHAnsi" w:hAnsiTheme="majorHAnsi" w:cstheme="minorHAnsi"/>
                      <w:b/>
                      <w:bCs/>
                      <w:i/>
                    </w:rPr>
                    <w:t>Datos Contables, Información Adicional y Garantía  Mínima de Funcionamiento</w:t>
                  </w:r>
                </w:p>
              </w:tc>
              <w:tc>
                <w:tcPr>
                  <w:tcW w:w="1250" w:type="pct"/>
                </w:tcPr>
                <w:p w14:paraId="3D5AD048" w14:textId="77777777" w:rsidR="00043BD2" w:rsidRPr="00043BD2" w:rsidRDefault="00043BD2" w:rsidP="00043BD2">
                  <w:pPr>
                    <w:widowControl w:val="0"/>
                    <w:ind w:left="94"/>
                    <w:jc w:val="both"/>
                    <w:rPr>
                      <w:rFonts w:asciiTheme="majorHAnsi" w:hAnsiTheme="majorHAnsi" w:cstheme="minorHAnsi"/>
                      <w:b/>
                      <w:i/>
                      <w:snapToGrid w:val="0"/>
                    </w:rPr>
                  </w:pPr>
                  <w:r w:rsidRPr="00043BD2">
                    <w:rPr>
                      <w:rFonts w:asciiTheme="majorHAnsi" w:hAnsiTheme="majorHAnsi" w:cstheme="minorHAnsi"/>
                      <w:i/>
                      <w:snapToGrid w:val="0"/>
                      <w:u w:val="single"/>
                    </w:rPr>
                    <w:t>Sociedades Agencia:</w:t>
                  </w:r>
                  <w:r w:rsidRPr="00043BD2">
                    <w:rPr>
                      <w:rFonts w:asciiTheme="majorHAnsi" w:hAnsiTheme="majorHAnsi" w:cstheme="minorHAnsi"/>
                      <w:i/>
                      <w:snapToGrid w:val="0"/>
                    </w:rPr>
                    <w:t xml:space="preserve"> </w:t>
                  </w:r>
                  <w:r w:rsidRPr="00043BD2">
                    <w:rPr>
                      <w:rFonts w:asciiTheme="majorHAnsi" w:hAnsiTheme="majorHAnsi" w:cstheme="minorHAnsi"/>
                      <w:b/>
                      <w:i/>
                      <w:snapToGrid w:val="0"/>
                    </w:rPr>
                    <w:t>Semestral</w:t>
                  </w:r>
                </w:p>
                <w:p w14:paraId="3D5AD049" w14:textId="77777777" w:rsidR="00043BD2" w:rsidRPr="00043BD2" w:rsidRDefault="00043BD2" w:rsidP="00043BD2">
                  <w:pPr>
                    <w:widowControl w:val="0"/>
                    <w:ind w:left="94"/>
                    <w:jc w:val="both"/>
                    <w:rPr>
                      <w:rFonts w:asciiTheme="majorHAnsi" w:hAnsiTheme="majorHAnsi" w:cstheme="minorHAnsi"/>
                      <w:i/>
                      <w:snapToGrid w:val="0"/>
                      <w:u w:val="single"/>
                    </w:rPr>
                  </w:pPr>
                </w:p>
                <w:p w14:paraId="3D5AD04A" w14:textId="77777777" w:rsidR="00043BD2" w:rsidRPr="00043BD2" w:rsidRDefault="00043BD2" w:rsidP="00043BD2">
                  <w:pPr>
                    <w:widowControl w:val="0"/>
                    <w:ind w:left="94"/>
                    <w:jc w:val="both"/>
                    <w:rPr>
                      <w:rFonts w:asciiTheme="majorHAnsi" w:hAnsiTheme="majorHAnsi" w:cstheme="minorHAnsi"/>
                      <w:i/>
                      <w:snapToGrid w:val="0"/>
                    </w:rPr>
                  </w:pPr>
                  <w:r w:rsidRPr="00043BD2">
                    <w:rPr>
                      <w:rFonts w:asciiTheme="majorHAnsi" w:hAnsiTheme="majorHAnsi" w:cstheme="minorHAnsi"/>
                      <w:i/>
                      <w:snapToGrid w:val="0"/>
                      <w:u w:val="single"/>
                    </w:rPr>
                    <w:t>Sociedades Corredoras y Sociedades Agencias pertenecientes a grupos o conglomerados financieros:</w:t>
                  </w:r>
                  <w:r w:rsidRPr="00043BD2">
                    <w:rPr>
                      <w:rFonts w:asciiTheme="majorHAnsi" w:hAnsiTheme="majorHAnsi" w:cstheme="minorHAnsi"/>
                      <w:i/>
                      <w:snapToGrid w:val="0"/>
                    </w:rPr>
                    <w:t xml:space="preserve"> </w:t>
                  </w:r>
                  <w:r w:rsidRPr="00043BD2">
                    <w:rPr>
                      <w:rFonts w:asciiTheme="majorHAnsi" w:hAnsiTheme="majorHAnsi" w:cstheme="minorHAnsi"/>
                      <w:b/>
                      <w:i/>
                      <w:snapToGrid w:val="0"/>
                    </w:rPr>
                    <w:t>Trimestral</w:t>
                  </w:r>
                </w:p>
              </w:tc>
              <w:tc>
                <w:tcPr>
                  <w:tcW w:w="1250" w:type="pct"/>
                </w:tcPr>
                <w:p w14:paraId="3D5AD04B" w14:textId="77777777" w:rsidR="00043BD2" w:rsidRPr="00043BD2" w:rsidRDefault="00043BD2" w:rsidP="00043BD2">
                  <w:pPr>
                    <w:widowControl w:val="0"/>
                    <w:ind w:left="49"/>
                    <w:jc w:val="both"/>
                    <w:rPr>
                      <w:rFonts w:asciiTheme="majorHAnsi" w:hAnsiTheme="majorHAnsi" w:cstheme="minorHAnsi"/>
                      <w:bCs/>
                      <w:i/>
                    </w:rPr>
                  </w:pPr>
                  <w:r w:rsidRPr="00043BD2">
                    <w:rPr>
                      <w:rFonts w:asciiTheme="majorHAnsi" w:hAnsiTheme="majorHAnsi"/>
                      <w:bCs/>
                      <w:i/>
                    </w:rPr>
                    <w:t>15 días hábiles después del cierre de los meses de marzo, junio, setiembre y diciembre según la periodicidad establecida para cada tipo de intermediario.</w:t>
                  </w:r>
                </w:p>
              </w:tc>
              <w:tc>
                <w:tcPr>
                  <w:tcW w:w="1250" w:type="pct"/>
                </w:tcPr>
                <w:p w14:paraId="3D5AD04C" w14:textId="77777777" w:rsidR="00043BD2" w:rsidRPr="00043BD2" w:rsidRDefault="00043BD2" w:rsidP="00043BD2">
                  <w:pPr>
                    <w:widowControl w:val="0"/>
                    <w:ind w:left="94"/>
                    <w:jc w:val="both"/>
                    <w:rPr>
                      <w:rFonts w:asciiTheme="majorHAnsi" w:hAnsiTheme="majorHAnsi" w:cstheme="minorHAnsi"/>
                      <w:i/>
                      <w:snapToGrid w:val="0"/>
                    </w:rPr>
                  </w:pPr>
                  <w:r w:rsidRPr="00043BD2">
                    <w:rPr>
                      <w:rFonts w:asciiTheme="majorHAnsi" w:hAnsiTheme="majorHAnsi"/>
                      <w:bCs/>
                      <w:i/>
                      <w:lang w:val="es-CR"/>
                    </w:rPr>
                    <w:t>Formularios web dispuestos en la plataforma “</w:t>
                  </w:r>
                  <w:proofErr w:type="spellStart"/>
                  <w:r w:rsidRPr="00043BD2">
                    <w:rPr>
                      <w:rFonts w:asciiTheme="majorHAnsi" w:hAnsiTheme="majorHAnsi"/>
                      <w:bCs/>
                      <w:i/>
                      <w:lang w:val="es-CR"/>
                    </w:rPr>
                    <w:t>Sugese</w:t>
                  </w:r>
                  <w:proofErr w:type="spellEnd"/>
                  <w:r w:rsidRPr="00043BD2">
                    <w:rPr>
                      <w:rFonts w:asciiTheme="majorHAnsi" w:hAnsiTheme="majorHAnsi"/>
                      <w:bCs/>
                      <w:i/>
                      <w:lang w:val="es-CR"/>
                    </w:rPr>
                    <w:t xml:space="preserve"> en línea”, disponible en  el sitio web de SUGESE. de conformidad con el </w:t>
                  </w:r>
                  <w:r w:rsidRPr="00043BD2">
                    <w:rPr>
                      <w:rFonts w:asciiTheme="majorHAnsi" w:hAnsiTheme="majorHAnsi"/>
                      <w:bCs/>
                      <w:i/>
                    </w:rPr>
                    <w:t xml:space="preserve">Estándar de Negocio para Intermediarios de Seguros, incluido en el </w:t>
                  </w:r>
                  <w:r w:rsidRPr="00043BD2">
                    <w:rPr>
                      <w:rFonts w:asciiTheme="majorHAnsi" w:hAnsiTheme="majorHAnsi"/>
                      <w:b/>
                      <w:bCs/>
                      <w:i/>
                    </w:rPr>
                    <w:t>Anexo 8</w:t>
                  </w:r>
                </w:p>
              </w:tc>
            </w:tr>
          </w:tbl>
          <w:p w14:paraId="3D5AD04E" w14:textId="77777777" w:rsidR="00043BD2" w:rsidRPr="00043BD2" w:rsidRDefault="00043BD2" w:rsidP="00043BD2">
            <w:pPr>
              <w:widowControl w:val="0"/>
              <w:tabs>
                <w:tab w:val="left" w:pos="857"/>
                <w:tab w:val="left" w:pos="1168"/>
              </w:tabs>
              <w:ind w:left="241"/>
              <w:jc w:val="both"/>
              <w:rPr>
                <w:rFonts w:asciiTheme="majorHAnsi" w:hAnsiTheme="majorHAnsi"/>
                <w:b/>
              </w:rPr>
            </w:pPr>
          </w:p>
          <w:p w14:paraId="3D5AD04F" w14:textId="77777777" w:rsidR="00043BD2" w:rsidRPr="00043BD2" w:rsidRDefault="00043BD2" w:rsidP="00043BD2">
            <w:pPr>
              <w:widowControl w:val="0"/>
              <w:tabs>
                <w:tab w:val="left" w:pos="857"/>
                <w:tab w:val="left" w:pos="1168"/>
              </w:tabs>
              <w:ind w:left="241"/>
              <w:jc w:val="both"/>
              <w:rPr>
                <w:rFonts w:asciiTheme="majorHAnsi" w:hAnsiTheme="majorHAnsi"/>
                <w:b/>
              </w:rPr>
            </w:pPr>
          </w:p>
        </w:tc>
      </w:tr>
    </w:tbl>
    <w:p w14:paraId="3D5AD051" w14:textId="77777777" w:rsidR="00043BD2" w:rsidRPr="00043BD2" w:rsidRDefault="00043BD2" w:rsidP="00043BD2">
      <w:pPr>
        <w:widowControl w:val="0"/>
        <w:tabs>
          <w:tab w:val="left" w:pos="857"/>
          <w:tab w:val="left" w:pos="1168"/>
        </w:tabs>
        <w:jc w:val="both"/>
        <w:rPr>
          <w:rFonts w:asciiTheme="majorHAnsi" w:hAnsiTheme="majorHAnsi"/>
          <w:bCs/>
          <w:i/>
        </w:rPr>
      </w:pPr>
      <w:r w:rsidRPr="00043BD2">
        <w:rPr>
          <w:rFonts w:asciiTheme="majorHAnsi" w:hAnsiTheme="majorHAnsi"/>
          <w:bCs/>
          <w:i/>
        </w:rPr>
        <w:t>La falta de presentación de esta documentación, la presentación fuera de plazo, la remisión incompleta, la presentación en formatos diferentes al establecido, la falta de veracidad de la misma o la formulación de estados que no reflejen la imagen fiel de la entidad al término del ejercicio de referencia, constituyen infracciones a la normativa vigente, y pueden  dar lugar a las correspondientes sanciones en los términos previstos en la Ley Reguladora del Mercado de Seguros…”</w:t>
      </w:r>
    </w:p>
    <w:p w14:paraId="3D5AD052" w14:textId="77777777" w:rsidR="00043BD2" w:rsidRPr="00043BD2" w:rsidRDefault="00043BD2" w:rsidP="00043BD2">
      <w:pPr>
        <w:widowControl w:val="0"/>
        <w:tabs>
          <w:tab w:val="left" w:pos="857"/>
          <w:tab w:val="left" w:pos="1168"/>
        </w:tabs>
        <w:jc w:val="both"/>
        <w:rPr>
          <w:rFonts w:asciiTheme="majorHAnsi" w:hAnsiTheme="majorHAnsi"/>
          <w:b/>
          <w:i/>
        </w:rPr>
      </w:pPr>
    </w:p>
    <w:p w14:paraId="3D5AD053" w14:textId="77777777" w:rsidR="00043BD2" w:rsidRPr="00043BD2" w:rsidRDefault="00043BD2" w:rsidP="00043BD2">
      <w:pPr>
        <w:widowControl w:val="0"/>
        <w:tabs>
          <w:tab w:val="left" w:pos="857"/>
          <w:tab w:val="left" w:pos="1168"/>
        </w:tabs>
        <w:jc w:val="both"/>
        <w:rPr>
          <w:rFonts w:asciiTheme="majorHAnsi" w:hAnsiTheme="majorHAnsi"/>
          <w:b/>
          <w:i/>
        </w:rPr>
      </w:pPr>
    </w:p>
    <w:p w14:paraId="3D5AD054" w14:textId="77777777" w:rsidR="00043BD2" w:rsidRPr="00043BD2" w:rsidRDefault="00043BD2" w:rsidP="00043BD2">
      <w:pPr>
        <w:widowControl w:val="0"/>
        <w:tabs>
          <w:tab w:val="left" w:pos="857"/>
          <w:tab w:val="left" w:pos="1168"/>
        </w:tabs>
        <w:jc w:val="both"/>
        <w:rPr>
          <w:rFonts w:asciiTheme="majorHAnsi" w:hAnsiTheme="majorHAnsi"/>
          <w:b/>
        </w:rPr>
      </w:pPr>
      <w:r w:rsidRPr="00043BD2">
        <w:rPr>
          <w:rFonts w:asciiTheme="majorHAnsi" w:hAnsiTheme="majorHAnsi"/>
          <w:b/>
        </w:rPr>
        <w:t>Segundo:</w:t>
      </w:r>
      <w:r w:rsidRPr="00043BD2">
        <w:rPr>
          <w:rFonts w:asciiTheme="majorHAnsi" w:hAnsiTheme="majorHAnsi"/>
        </w:rPr>
        <w:t xml:space="preserve"> Agregar al acuerdo SGS-DES-A-021-2013 denominado Disposiciones para la Remisión de la Información Contable y Estadística a la Superintendencia General de Seguros por parte de las Entidades Supervisadas, el Anexo 8 que se detalla a continuación:</w:t>
      </w:r>
    </w:p>
    <w:tbl>
      <w:tblPr>
        <w:tblW w:w="5209" w:type="pct"/>
        <w:jc w:val="center"/>
        <w:tblLayout w:type="fixed"/>
        <w:tblLook w:val="04A0" w:firstRow="1" w:lastRow="0" w:firstColumn="1" w:lastColumn="0" w:noHBand="0" w:noVBand="1"/>
      </w:tblPr>
      <w:tblGrid>
        <w:gridCol w:w="9432"/>
      </w:tblGrid>
      <w:tr w:rsidR="00043BD2" w:rsidRPr="00043BD2" w14:paraId="3D5AD058" w14:textId="77777777" w:rsidTr="00F744D4">
        <w:trPr>
          <w:trHeight w:val="146"/>
          <w:jc w:val="center"/>
        </w:trPr>
        <w:tc>
          <w:tcPr>
            <w:tcW w:w="5000" w:type="pct"/>
          </w:tcPr>
          <w:p w14:paraId="3D5AD055" w14:textId="77777777" w:rsidR="00043BD2" w:rsidRPr="00043BD2" w:rsidRDefault="00043BD2" w:rsidP="00043BD2">
            <w:pPr>
              <w:widowControl w:val="0"/>
              <w:tabs>
                <w:tab w:val="left" w:pos="857"/>
                <w:tab w:val="left" w:pos="1168"/>
              </w:tabs>
              <w:ind w:left="241"/>
              <w:jc w:val="center"/>
              <w:rPr>
                <w:rFonts w:asciiTheme="majorHAnsi" w:hAnsiTheme="majorHAnsi"/>
                <w:bCs/>
                <w:i/>
              </w:rPr>
            </w:pPr>
          </w:p>
          <w:p w14:paraId="3D5AD056" w14:textId="77777777" w:rsidR="00043BD2" w:rsidRPr="00043BD2" w:rsidRDefault="00043BD2" w:rsidP="00043BD2">
            <w:pPr>
              <w:widowControl w:val="0"/>
              <w:tabs>
                <w:tab w:val="left" w:pos="857"/>
                <w:tab w:val="left" w:pos="1168"/>
              </w:tabs>
              <w:ind w:left="241"/>
              <w:jc w:val="center"/>
              <w:rPr>
                <w:rFonts w:asciiTheme="majorHAnsi" w:hAnsiTheme="majorHAnsi"/>
                <w:b/>
                <w:bCs/>
                <w:i/>
              </w:rPr>
            </w:pPr>
            <w:r w:rsidRPr="00043BD2">
              <w:rPr>
                <w:rFonts w:asciiTheme="majorHAnsi" w:hAnsiTheme="majorHAnsi"/>
                <w:b/>
                <w:bCs/>
                <w:i/>
              </w:rPr>
              <w:t>ANEXO 8. Estándar de Negocio para Intermediarios de Seguros</w:t>
            </w:r>
          </w:p>
          <w:p w14:paraId="3D5AD057" w14:textId="77777777" w:rsidR="00043BD2" w:rsidRPr="00043BD2" w:rsidRDefault="00043BD2" w:rsidP="00043BD2">
            <w:pPr>
              <w:widowControl w:val="0"/>
              <w:tabs>
                <w:tab w:val="left" w:pos="857"/>
                <w:tab w:val="left" w:pos="1168"/>
              </w:tabs>
              <w:ind w:left="241"/>
              <w:jc w:val="center"/>
              <w:rPr>
                <w:rFonts w:asciiTheme="majorHAnsi" w:hAnsiTheme="majorHAnsi"/>
                <w:b/>
                <w:i/>
              </w:rPr>
            </w:pPr>
          </w:p>
        </w:tc>
      </w:tr>
      <w:bookmarkStart w:id="1" w:name="_MON_1467187913"/>
      <w:bookmarkEnd w:id="1"/>
      <w:tr w:rsidR="00043BD2" w:rsidRPr="00043BD2" w14:paraId="3D5AD05A" w14:textId="77777777" w:rsidTr="00F744D4">
        <w:trPr>
          <w:trHeight w:val="146"/>
          <w:jc w:val="center"/>
        </w:trPr>
        <w:tc>
          <w:tcPr>
            <w:tcW w:w="5000" w:type="pct"/>
          </w:tcPr>
          <w:p w14:paraId="3D5AD059" w14:textId="77777777" w:rsidR="00043BD2" w:rsidRPr="00043BD2" w:rsidRDefault="00043BD2" w:rsidP="00043BD2">
            <w:pPr>
              <w:widowControl w:val="0"/>
              <w:tabs>
                <w:tab w:val="left" w:pos="857"/>
                <w:tab w:val="left" w:pos="1168"/>
              </w:tabs>
              <w:ind w:left="241"/>
              <w:jc w:val="center"/>
              <w:rPr>
                <w:rFonts w:asciiTheme="majorHAnsi" w:hAnsiTheme="majorHAnsi"/>
                <w:b/>
                <w:i/>
              </w:rPr>
            </w:pPr>
            <w:r w:rsidRPr="00043BD2">
              <w:rPr>
                <w:rFonts w:asciiTheme="majorHAnsi" w:hAnsiTheme="majorHAnsi"/>
                <w:b/>
                <w:bCs/>
                <w:i/>
              </w:rPr>
              <w:object w:dxaOrig="2520" w:dyaOrig="1623" w14:anchorId="3D5AD0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35pt;height:80.85pt" o:ole="">
                  <v:imagedata r:id="rId10" o:title=""/>
                </v:shape>
                <o:OLEObject Type="Embed" ProgID="Word.Document.12" ShapeID="_x0000_i1025" DrawAspect="Icon" ObjectID="_1467464548" r:id="rId11">
                  <o:FieldCodes>\s</o:FieldCodes>
                </o:OLEObject>
              </w:object>
            </w:r>
          </w:p>
        </w:tc>
      </w:tr>
    </w:tbl>
    <w:p w14:paraId="3D5AD05B" w14:textId="77777777" w:rsidR="00043BD2" w:rsidRPr="00043BD2" w:rsidRDefault="00043BD2" w:rsidP="00043BD2">
      <w:pPr>
        <w:widowControl w:val="0"/>
        <w:tabs>
          <w:tab w:val="left" w:pos="857"/>
          <w:tab w:val="left" w:pos="1168"/>
        </w:tabs>
        <w:jc w:val="both"/>
        <w:rPr>
          <w:rFonts w:asciiTheme="majorHAnsi" w:hAnsiTheme="majorHAnsi"/>
          <w:bCs/>
          <w:lang w:val="es-ES_tradnl"/>
        </w:rPr>
      </w:pPr>
    </w:p>
    <w:p w14:paraId="3D5AD05C" w14:textId="77777777" w:rsidR="00043BD2" w:rsidRPr="00043BD2" w:rsidRDefault="00043BD2" w:rsidP="00043BD2">
      <w:pPr>
        <w:widowControl w:val="0"/>
        <w:tabs>
          <w:tab w:val="left" w:pos="857"/>
          <w:tab w:val="left" w:pos="1168"/>
        </w:tabs>
        <w:jc w:val="both"/>
        <w:rPr>
          <w:rFonts w:asciiTheme="majorHAnsi" w:hAnsiTheme="majorHAnsi"/>
          <w:bCs/>
          <w:lang w:val="es-ES_tradnl"/>
        </w:rPr>
      </w:pPr>
    </w:p>
    <w:p w14:paraId="3D5AD05D" w14:textId="77777777" w:rsidR="00043BD2" w:rsidRPr="00043BD2" w:rsidRDefault="00043BD2" w:rsidP="00043BD2">
      <w:pPr>
        <w:widowControl w:val="0"/>
        <w:tabs>
          <w:tab w:val="left" w:pos="857"/>
          <w:tab w:val="left" w:pos="1168"/>
        </w:tabs>
        <w:jc w:val="both"/>
        <w:rPr>
          <w:rFonts w:asciiTheme="majorHAnsi" w:hAnsiTheme="majorHAnsi"/>
          <w:bCs/>
          <w:lang w:val="es-ES_tradnl"/>
        </w:rPr>
      </w:pPr>
    </w:p>
    <w:p w14:paraId="3D5AD05E" w14:textId="77777777" w:rsidR="00043BD2" w:rsidRPr="00043BD2" w:rsidRDefault="00043BD2" w:rsidP="00043BD2">
      <w:pPr>
        <w:widowControl w:val="0"/>
        <w:tabs>
          <w:tab w:val="left" w:pos="857"/>
          <w:tab w:val="left" w:pos="1168"/>
        </w:tabs>
        <w:jc w:val="both"/>
        <w:rPr>
          <w:rFonts w:asciiTheme="majorHAnsi" w:hAnsiTheme="majorHAnsi"/>
          <w:bCs/>
          <w:lang w:val="es-ES_tradnl"/>
        </w:rPr>
      </w:pPr>
      <w:r w:rsidRPr="00043BD2">
        <w:rPr>
          <w:rFonts w:asciiTheme="majorHAnsi" w:hAnsiTheme="majorHAnsi"/>
          <w:b/>
          <w:bCs/>
          <w:lang w:val="es-ES_tradnl"/>
        </w:rPr>
        <w:t>Tercero:</w:t>
      </w:r>
      <w:r w:rsidRPr="00043BD2">
        <w:rPr>
          <w:rFonts w:asciiTheme="majorHAnsi" w:hAnsiTheme="majorHAnsi"/>
          <w:bCs/>
          <w:lang w:val="es-ES_tradnl"/>
        </w:rPr>
        <w:t xml:space="preserve"> Adicionar al acuerdo SGS-DES-A-021-2013 denominado </w:t>
      </w:r>
      <w:r w:rsidRPr="00043BD2">
        <w:rPr>
          <w:rFonts w:asciiTheme="majorHAnsi" w:hAnsiTheme="majorHAnsi"/>
          <w:bCs/>
          <w:i/>
          <w:lang w:val="es-ES_tradnl"/>
        </w:rPr>
        <w:t>Disposiciones para la Remisión de la Información Contable y Estadística a la Superintendencia General de Seguros por parte de las Entidades Supervisadas</w:t>
      </w:r>
      <w:r w:rsidRPr="00043BD2">
        <w:rPr>
          <w:rFonts w:asciiTheme="majorHAnsi" w:hAnsiTheme="majorHAnsi"/>
          <w:bCs/>
          <w:lang w:val="es-ES_tradnl"/>
        </w:rPr>
        <w:t>, el siguiente transitorio:</w:t>
      </w:r>
    </w:p>
    <w:p w14:paraId="3D5AD05F" w14:textId="77777777" w:rsidR="00043BD2" w:rsidRPr="00043BD2" w:rsidRDefault="00043BD2" w:rsidP="00043BD2">
      <w:pPr>
        <w:widowControl w:val="0"/>
        <w:tabs>
          <w:tab w:val="left" w:pos="857"/>
          <w:tab w:val="left" w:pos="1168"/>
        </w:tabs>
        <w:jc w:val="both"/>
        <w:rPr>
          <w:rFonts w:asciiTheme="majorHAnsi" w:hAnsiTheme="majorHAnsi"/>
          <w:b/>
        </w:rPr>
      </w:pPr>
    </w:p>
    <w:p w14:paraId="3D5AD060" w14:textId="77777777" w:rsidR="00043BD2" w:rsidRPr="00043BD2" w:rsidRDefault="00043BD2" w:rsidP="00043BD2">
      <w:pPr>
        <w:jc w:val="both"/>
        <w:rPr>
          <w:rFonts w:asciiTheme="majorHAnsi" w:hAnsiTheme="majorHAnsi"/>
          <w:bCs/>
          <w:i/>
        </w:rPr>
      </w:pPr>
      <w:r w:rsidRPr="00043BD2">
        <w:rPr>
          <w:rFonts w:asciiTheme="majorHAnsi" w:hAnsiTheme="majorHAnsi"/>
          <w:bCs/>
          <w:i/>
        </w:rPr>
        <w:t>“Transitorio III: Primera carga de información para intermediarios de seguros</w:t>
      </w:r>
    </w:p>
    <w:p w14:paraId="3D5AD061" w14:textId="77777777" w:rsidR="00043BD2" w:rsidRPr="00043BD2" w:rsidRDefault="00043BD2" w:rsidP="00043BD2">
      <w:pPr>
        <w:widowControl w:val="0"/>
        <w:tabs>
          <w:tab w:val="left" w:pos="857"/>
          <w:tab w:val="left" w:pos="1168"/>
        </w:tabs>
        <w:jc w:val="both"/>
        <w:rPr>
          <w:rFonts w:asciiTheme="majorHAnsi" w:hAnsiTheme="majorHAnsi"/>
          <w:bCs/>
          <w:i/>
        </w:rPr>
      </w:pPr>
    </w:p>
    <w:p w14:paraId="3D5AD062" w14:textId="77777777" w:rsidR="00043BD2" w:rsidRPr="00043BD2" w:rsidRDefault="00043BD2" w:rsidP="00043BD2">
      <w:pPr>
        <w:widowControl w:val="0"/>
        <w:tabs>
          <w:tab w:val="left" w:pos="857"/>
          <w:tab w:val="left" w:pos="1168"/>
        </w:tabs>
        <w:jc w:val="both"/>
        <w:rPr>
          <w:rFonts w:asciiTheme="majorHAnsi" w:hAnsiTheme="majorHAnsi"/>
          <w:b/>
        </w:rPr>
      </w:pPr>
      <w:r w:rsidRPr="00043BD2">
        <w:rPr>
          <w:rFonts w:asciiTheme="majorHAnsi" w:hAnsiTheme="majorHAnsi"/>
          <w:bCs/>
          <w:i/>
        </w:rPr>
        <w:t>Para efectos de carga inicial, los intermediarios de seguros deberán realizar una carga con la información planteada en el Modelo 1 definido en el artículo 3 de este acuerdo, con corte al primer semestre del año 2014, antes del 30 de setiembre de 2014.”</w:t>
      </w:r>
    </w:p>
    <w:p w14:paraId="3D5AD063" w14:textId="77777777" w:rsidR="00043BD2" w:rsidRPr="00043BD2" w:rsidRDefault="00043BD2" w:rsidP="00043BD2">
      <w:pPr>
        <w:widowControl w:val="0"/>
        <w:tabs>
          <w:tab w:val="left" w:pos="857"/>
          <w:tab w:val="left" w:pos="1168"/>
        </w:tabs>
        <w:jc w:val="both"/>
        <w:rPr>
          <w:rFonts w:asciiTheme="majorHAnsi" w:hAnsiTheme="majorHAnsi"/>
          <w:bCs/>
          <w:lang w:val="es-ES_tradnl"/>
        </w:rPr>
      </w:pPr>
    </w:p>
    <w:p w14:paraId="3D5AD064" w14:textId="77777777" w:rsidR="00043BD2" w:rsidRPr="00043BD2" w:rsidRDefault="00043BD2" w:rsidP="00043BD2">
      <w:pPr>
        <w:widowControl w:val="0"/>
        <w:tabs>
          <w:tab w:val="left" w:pos="857"/>
          <w:tab w:val="left" w:pos="1168"/>
        </w:tabs>
        <w:jc w:val="both"/>
        <w:rPr>
          <w:rFonts w:asciiTheme="majorHAnsi" w:hAnsiTheme="majorHAnsi"/>
          <w:bCs/>
          <w:lang w:val="es-ES_tradnl"/>
        </w:rPr>
      </w:pPr>
    </w:p>
    <w:p w14:paraId="3D5AD065" w14:textId="77777777" w:rsidR="00043BD2" w:rsidRPr="00043BD2" w:rsidRDefault="00043BD2" w:rsidP="00043BD2">
      <w:pPr>
        <w:widowControl w:val="0"/>
        <w:tabs>
          <w:tab w:val="left" w:pos="857"/>
          <w:tab w:val="left" w:pos="1168"/>
        </w:tabs>
        <w:jc w:val="both"/>
        <w:rPr>
          <w:rFonts w:asciiTheme="majorHAnsi" w:hAnsiTheme="majorHAnsi"/>
          <w:b/>
          <w:i/>
        </w:rPr>
      </w:pPr>
      <w:r w:rsidRPr="00043BD2">
        <w:rPr>
          <w:rFonts w:asciiTheme="majorHAnsi" w:hAnsiTheme="majorHAnsi"/>
          <w:b/>
          <w:bCs/>
          <w:lang w:val="es-ES_tradnl"/>
        </w:rPr>
        <w:t xml:space="preserve">Cuarto: </w:t>
      </w:r>
      <w:r w:rsidRPr="00043BD2">
        <w:rPr>
          <w:rFonts w:asciiTheme="majorHAnsi" w:hAnsiTheme="majorHAnsi"/>
          <w:bCs/>
          <w:lang w:val="es-ES_tradnl"/>
        </w:rPr>
        <w:t xml:space="preserve">Derogar la circular SGS-CE-007-2010, del 30 de noviembre de 2010, denominada </w:t>
      </w:r>
      <w:r w:rsidRPr="00043BD2">
        <w:rPr>
          <w:rFonts w:asciiTheme="majorHAnsi" w:hAnsiTheme="majorHAnsi"/>
          <w:bCs/>
          <w:i/>
          <w:lang w:val="es-ES_tradnl"/>
        </w:rPr>
        <w:t>Información Trimestral de las Sociedades Agencia de Seguros y Sociedades Corredoras de Seguros que pertenecen a Grupos Financieros.</w:t>
      </w:r>
    </w:p>
    <w:p w14:paraId="3D5AD066" w14:textId="77777777" w:rsidR="00043BD2" w:rsidRPr="00043BD2" w:rsidRDefault="00043BD2" w:rsidP="00043BD2">
      <w:pPr>
        <w:widowControl w:val="0"/>
        <w:tabs>
          <w:tab w:val="left" w:pos="857"/>
          <w:tab w:val="left" w:pos="1168"/>
        </w:tabs>
        <w:jc w:val="both"/>
        <w:rPr>
          <w:rFonts w:asciiTheme="majorHAnsi" w:hAnsiTheme="majorHAnsi"/>
          <w:bCs/>
        </w:rPr>
      </w:pPr>
    </w:p>
    <w:p w14:paraId="3D5AD067" w14:textId="77777777" w:rsidR="00043BD2" w:rsidRPr="00043BD2" w:rsidRDefault="00043BD2" w:rsidP="00043BD2">
      <w:pPr>
        <w:widowControl w:val="0"/>
        <w:tabs>
          <w:tab w:val="left" w:pos="857"/>
          <w:tab w:val="left" w:pos="1168"/>
        </w:tabs>
        <w:jc w:val="both"/>
        <w:rPr>
          <w:rFonts w:asciiTheme="majorHAnsi" w:hAnsiTheme="majorHAnsi"/>
          <w:bCs/>
        </w:rPr>
      </w:pPr>
    </w:p>
    <w:p w14:paraId="3D5AD068" w14:textId="77777777" w:rsidR="00043BD2" w:rsidRPr="00043BD2" w:rsidRDefault="00043BD2" w:rsidP="00043BD2">
      <w:pPr>
        <w:widowControl w:val="0"/>
        <w:tabs>
          <w:tab w:val="left" w:pos="857"/>
          <w:tab w:val="left" w:pos="1168"/>
        </w:tabs>
        <w:jc w:val="both"/>
        <w:rPr>
          <w:rFonts w:asciiTheme="majorHAnsi" w:hAnsiTheme="majorHAnsi"/>
          <w:b/>
        </w:rPr>
      </w:pPr>
      <w:r w:rsidRPr="00043BD2">
        <w:rPr>
          <w:rFonts w:asciiTheme="majorHAnsi" w:hAnsiTheme="majorHAnsi"/>
          <w:b/>
          <w:bCs/>
        </w:rPr>
        <w:t>Quinto:</w:t>
      </w:r>
      <w:r w:rsidRPr="00043BD2">
        <w:rPr>
          <w:rFonts w:asciiTheme="majorHAnsi" w:hAnsiTheme="majorHAnsi"/>
          <w:bCs/>
        </w:rPr>
        <w:t xml:space="preserve"> Actualizar la versión publicada del Acuerdo SGS-DES-A-021-2013, para incluir las modificaciones señaladas en este acuerdo</w:t>
      </w:r>
    </w:p>
    <w:p w14:paraId="3D5AD069" w14:textId="77777777" w:rsidR="00043BD2" w:rsidRPr="00043BD2" w:rsidRDefault="00043BD2" w:rsidP="00043BD2">
      <w:pPr>
        <w:widowControl w:val="0"/>
        <w:tabs>
          <w:tab w:val="left" w:pos="857"/>
          <w:tab w:val="left" w:pos="1168"/>
        </w:tabs>
        <w:jc w:val="both"/>
        <w:rPr>
          <w:rFonts w:asciiTheme="majorHAnsi" w:hAnsiTheme="majorHAnsi"/>
          <w:highlight w:val="yellow"/>
        </w:rPr>
      </w:pPr>
    </w:p>
    <w:p w14:paraId="3D5AD06A" w14:textId="77777777" w:rsidR="00043BD2" w:rsidRPr="00043BD2" w:rsidRDefault="00043BD2" w:rsidP="00043BD2">
      <w:pPr>
        <w:widowControl w:val="0"/>
        <w:tabs>
          <w:tab w:val="left" w:pos="857"/>
          <w:tab w:val="left" w:pos="1168"/>
        </w:tabs>
        <w:jc w:val="both"/>
        <w:rPr>
          <w:rFonts w:asciiTheme="majorHAnsi" w:hAnsiTheme="majorHAnsi"/>
          <w:b/>
        </w:rPr>
      </w:pPr>
      <w:r w:rsidRPr="00043BD2">
        <w:rPr>
          <w:rFonts w:asciiTheme="majorHAnsi" w:hAnsiTheme="majorHAnsi"/>
        </w:rPr>
        <w:t>Rige a partir del 1°de agosto de 2014.</w:t>
      </w:r>
    </w:p>
    <w:p w14:paraId="3D5AD06B" w14:textId="77777777" w:rsidR="00043BD2" w:rsidRPr="00043BD2" w:rsidRDefault="00043BD2" w:rsidP="00043BD2">
      <w:pPr>
        <w:jc w:val="both"/>
        <w:rPr>
          <w:rFonts w:asciiTheme="majorHAnsi" w:hAnsiTheme="majorHAnsi"/>
          <w:color w:val="000000"/>
          <w:sz w:val="22"/>
          <w:szCs w:val="22"/>
        </w:rPr>
      </w:pPr>
    </w:p>
    <w:p w14:paraId="3D5AD06C" w14:textId="77777777" w:rsidR="00043BD2" w:rsidRPr="00043BD2" w:rsidRDefault="00043BD2" w:rsidP="00043BD2">
      <w:pPr>
        <w:jc w:val="both"/>
        <w:rPr>
          <w:rFonts w:asciiTheme="majorHAnsi" w:hAnsiTheme="majorHAnsi"/>
          <w:color w:val="000000"/>
          <w:sz w:val="22"/>
          <w:szCs w:val="22"/>
        </w:rPr>
      </w:pPr>
    </w:p>
    <w:p w14:paraId="3D5AD06D" w14:textId="77777777" w:rsidR="00043BD2" w:rsidRPr="00043BD2" w:rsidRDefault="00043BD2" w:rsidP="00A70606">
      <w:pPr>
        <w:jc w:val="both"/>
        <w:rPr>
          <w:rFonts w:ascii="Cambria" w:hAnsi="Cambria"/>
          <w:sz w:val="22"/>
          <w:lang w:val="es-CR"/>
        </w:rPr>
      </w:pPr>
      <w:r w:rsidRPr="00043BD2">
        <w:rPr>
          <w:rFonts w:asciiTheme="majorHAnsi" w:hAnsiTheme="majorHAnsi"/>
          <w:color w:val="000000"/>
          <w:szCs w:val="22"/>
        </w:rPr>
        <w:t>Notifíquese</w:t>
      </w:r>
      <w:r w:rsidR="00A70606" w:rsidRPr="00A70606">
        <w:rPr>
          <w:rFonts w:asciiTheme="majorHAnsi" w:hAnsiTheme="majorHAnsi"/>
          <w:color w:val="000000"/>
          <w:szCs w:val="22"/>
        </w:rPr>
        <w:t>,</w:t>
      </w:r>
    </w:p>
    <w:p w14:paraId="3D5AD06E" w14:textId="77777777" w:rsidR="00043BD2" w:rsidRPr="00043BD2" w:rsidRDefault="00043BD2" w:rsidP="00043BD2">
      <w:pPr>
        <w:rPr>
          <w:rFonts w:ascii="Cambria" w:hAnsi="Cambria"/>
          <w:lang w:val="es-CR"/>
        </w:rPr>
      </w:pPr>
      <w:r w:rsidRPr="00043BD2">
        <w:rPr>
          <w:noProof/>
          <w:lang w:val="es-CR" w:eastAsia="es-CR"/>
        </w:rPr>
        <w:drawing>
          <wp:inline distT="0" distB="0" distL="0" distR="0" wp14:anchorId="3D5AD071" wp14:editId="3D5AD072">
            <wp:extent cx="2499360" cy="524291"/>
            <wp:effectExtent l="0" t="0" r="0" b="9525"/>
            <wp:docPr id="7" name="0 Imagen" descr="image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 Imagen" descr="image00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99360" cy="5242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3D5AD06F" w14:textId="77777777" w:rsidR="00043BD2" w:rsidRPr="00043BD2" w:rsidRDefault="00043BD2" w:rsidP="00043BD2">
      <w:pPr>
        <w:spacing w:after="200" w:line="276" w:lineRule="auto"/>
      </w:pPr>
    </w:p>
    <w:sectPr w:rsidR="00043BD2" w:rsidRPr="00043BD2" w:rsidSect="00A83BA5">
      <w:headerReference w:type="default" r:id="rId13"/>
      <w:footerReference w:type="default" r:id="rId14"/>
      <w:headerReference w:type="first" r:id="rId15"/>
      <w:footerReference w:type="first" r:id="rId16"/>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5AD075" w14:textId="77777777" w:rsidR="00F465B9" w:rsidRDefault="00F465B9" w:rsidP="005A1442">
      <w:r>
        <w:separator/>
      </w:r>
    </w:p>
  </w:endnote>
  <w:endnote w:type="continuationSeparator" w:id="0">
    <w:p w14:paraId="3D5AD076" w14:textId="77777777" w:rsidR="00F465B9" w:rsidRDefault="00F465B9" w:rsidP="005A1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5AD07C" w14:textId="77777777" w:rsidR="005A1442" w:rsidRDefault="005A1442" w:rsidP="005A1442">
    <w:pPr>
      <w:pStyle w:val="Piedepgina"/>
      <w:pBdr>
        <w:top w:val="single" w:sz="4" w:space="1" w:color="auto"/>
      </w:pBdr>
      <w:rPr>
        <w:sz w:val="16"/>
        <w:szCs w:val="16"/>
      </w:rPr>
    </w:pPr>
  </w:p>
  <w:p w14:paraId="3D5AD07D" w14:textId="77777777" w:rsidR="005A1442" w:rsidRDefault="005A1442" w:rsidP="005A1442">
    <w:pPr>
      <w:pStyle w:val="Piedepgina"/>
      <w:tabs>
        <w:tab w:val="clear" w:pos="8838"/>
      </w:tabs>
      <w:jc w:val="right"/>
      <w:rPr>
        <w:rFonts w:ascii="Baskerville Old Face" w:hAnsi="Baskerville Old Face"/>
        <w:sz w:val="18"/>
        <w:szCs w:val="18"/>
      </w:rPr>
    </w:pPr>
    <w:r w:rsidRPr="00121F8C">
      <w:rPr>
        <w:rFonts w:ascii="Baskerville Old Face" w:hAnsi="Baskerville Old Face"/>
        <w:sz w:val="18"/>
        <w:szCs w:val="18"/>
      </w:rPr>
      <w:t>Teléfonos: 2243-5108</w:t>
    </w:r>
    <w:r>
      <w:rPr>
        <w:rFonts w:ascii="Baskerville Old Face" w:hAnsi="Baskerville Old Face"/>
        <w:sz w:val="18"/>
        <w:szCs w:val="18"/>
      </w:rPr>
      <w:t xml:space="preserve">, </w:t>
    </w:r>
    <w:r w:rsidRPr="00121F8C">
      <w:rPr>
        <w:rFonts w:ascii="Baskerville Old Face" w:hAnsi="Baskerville Old Face"/>
        <w:sz w:val="18"/>
        <w:szCs w:val="18"/>
      </w:rPr>
      <w:t>2243-5103  •  Fax: 2243-5151</w:t>
    </w:r>
  </w:p>
  <w:p w14:paraId="3D5AD07E" w14:textId="77777777" w:rsidR="005A1442" w:rsidRDefault="005A1442" w:rsidP="005A1442">
    <w:pPr>
      <w:pStyle w:val="Piedepgina"/>
      <w:tabs>
        <w:tab w:val="clear" w:pos="8838"/>
      </w:tabs>
      <w:jc w:val="right"/>
      <w:rPr>
        <w:rFonts w:ascii="Baskerville Old Face" w:hAnsi="Baskerville Old Face"/>
        <w:sz w:val="18"/>
        <w:szCs w:val="18"/>
      </w:rPr>
    </w:pPr>
    <w:r w:rsidRPr="00121F8C">
      <w:rPr>
        <w:rFonts w:ascii="Baskerville Old Face" w:hAnsi="Baskerville Old Face"/>
        <w:sz w:val="18"/>
        <w:szCs w:val="18"/>
      </w:rPr>
      <w:t>Dirección: Edificio Torre del Este, Piso 8</w:t>
    </w:r>
  </w:p>
  <w:p w14:paraId="3D5AD07F" w14:textId="77777777" w:rsidR="005A1442" w:rsidRPr="005A1442" w:rsidRDefault="00D45549" w:rsidP="005A1442">
    <w:pPr>
      <w:pStyle w:val="Piedepgina"/>
      <w:tabs>
        <w:tab w:val="clear" w:pos="8838"/>
      </w:tabs>
      <w:jc w:val="right"/>
      <w:rPr>
        <w:rFonts w:ascii="Baskerville Old Face" w:hAnsi="Baskerville Old Face"/>
        <w:sz w:val="18"/>
        <w:szCs w:val="18"/>
      </w:rPr>
    </w:pPr>
    <w:hyperlink r:id="rId1" w:history="1">
      <w:r w:rsidR="005A1442" w:rsidRPr="00121F8C">
        <w:rPr>
          <w:rStyle w:val="Hipervnculo"/>
          <w:rFonts w:ascii="Baskerville Old Face" w:hAnsi="Baskerville Old Face"/>
          <w:sz w:val="18"/>
          <w:szCs w:val="18"/>
        </w:rPr>
        <w:t>sugese@sugese.fi.cr</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5AD082" w14:textId="77777777" w:rsidR="00A83BA5" w:rsidRDefault="00A83BA5" w:rsidP="00A83BA5">
    <w:pPr>
      <w:pStyle w:val="Piedepgina"/>
      <w:pBdr>
        <w:top w:val="single" w:sz="4" w:space="1" w:color="auto"/>
      </w:pBdr>
      <w:rPr>
        <w:sz w:val="16"/>
        <w:szCs w:val="16"/>
      </w:rPr>
    </w:pPr>
  </w:p>
  <w:p w14:paraId="3D5AD083" w14:textId="77777777" w:rsidR="00A83BA5" w:rsidRDefault="00A83BA5" w:rsidP="00A83BA5">
    <w:pPr>
      <w:pStyle w:val="Piedepgina"/>
      <w:tabs>
        <w:tab w:val="clear" w:pos="8838"/>
      </w:tabs>
      <w:jc w:val="right"/>
      <w:rPr>
        <w:rFonts w:ascii="Baskerville Old Face" w:hAnsi="Baskerville Old Face"/>
        <w:sz w:val="18"/>
        <w:szCs w:val="18"/>
      </w:rPr>
    </w:pPr>
    <w:r w:rsidRPr="00121F8C">
      <w:rPr>
        <w:rFonts w:ascii="Baskerville Old Face" w:hAnsi="Baskerville Old Face"/>
        <w:sz w:val="18"/>
        <w:szCs w:val="18"/>
      </w:rPr>
      <w:t>Teléfonos: 2243-5108</w:t>
    </w:r>
    <w:r>
      <w:rPr>
        <w:rFonts w:ascii="Baskerville Old Face" w:hAnsi="Baskerville Old Face"/>
        <w:sz w:val="18"/>
        <w:szCs w:val="18"/>
      </w:rPr>
      <w:t xml:space="preserve">, </w:t>
    </w:r>
    <w:r w:rsidRPr="00121F8C">
      <w:rPr>
        <w:rFonts w:ascii="Baskerville Old Face" w:hAnsi="Baskerville Old Face"/>
        <w:sz w:val="18"/>
        <w:szCs w:val="18"/>
      </w:rPr>
      <w:t>2243-5103  •  Fax: 2243-5151</w:t>
    </w:r>
  </w:p>
  <w:p w14:paraId="3D5AD084" w14:textId="77777777" w:rsidR="00A83BA5" w:rsidRDefault="00A83BA5" w:rsidP="00A83BA5">
    <w:pPr>
      <w:pStyle w:val="Piedepgina"/>
      <w:tabs>
        <w:tab w:val="clear" w:pos="8838"/>
      </w:tabs>
      <w:jc w:val="right"/>
      <w:rPr>
        <w:rFonts w:ascii="Baskerville Old Face" w:hAnsi="Baskerville Old Face"/>
        <w:sz w:val="18"/>
        <w:szCs w:val="18"/>
      </w:rPr>
    </w:pPr>
    <w:r w:rsidRPr="00121F8C">
      <w:rPr>
        <w:rFonts w:ascii="Baskerville Old Face" w:hAnsi="Baskerville Old Face"/>
        <w:sz w:val="18"/>
        <w:szCs w:val="18"/>
      </w:rPr>
      <w:t>Dirección: Edificio Torre del Este, Piso 8</w:t>
    </w:r>
  </w:p>
  <w:p w14:paraId="3D5AD085" w14:textId="77777777" w:rsidR="00A83BA5" w:rsidRPr="00A83BA5" w:rsidRDefault="00D45549" w:rsidP="00A83BA5">
    <w:pPr>
      <w:pStyle w:val="Piedepgina"/>
      <w:tabs>
        <w:tab w:val="clear" w:pos="8838"/>
      </w:tabs>
      <w:jc w:val="right"/>
      <w:rPr>
        <w:rFonts w:ascii="Baskerville Old Face" w:hAnsi="Baskerville Old Face"/>
        <w:sz w:val="18"/>
        <w:szCs w:val="18"/>
      </w:rPr>
    </w:pPr>
    <w:hyperlink r:id="rId1" w:history="1">
      <w:r w:rsidR="00A83BA5" w:rsidRPr="00121F8C">
        <w:rPr>
          <w:rStyle w:val="Hipervnculo"/>
          <w:rFonts w:ascii="Baskerville Old Face" w:hAnsi="Baskerville Old Face"/>
          <w:sz w:val="18"/>
          <w:szCs w:val="18"/>
        </w:rPr>
        <w:t>sugese@sugese.fi.cr</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5AD073" w14:textId="77777777" w:rsidR="00F465B9" w:rsidRDefault="00F465B9" w:rsidP="005A1442">
      <w:r>
        <w:separator/>
      </w:r>
    </w:p>
  </w:footnote>
  <w:footnote w:type="continuationSeparator" w:id="0">
    <w:p w14:paraId="3D5AD074" w14:textId="77777777" w:rsidR="00F465B9" w:rsidRDefault="00F465B9" w:rsidP="005A14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5AD077" w14:textId="77777777" w:rsidR="005A1442" w:rsidRDefault="00221996">
    <w:pPr>
      <w:pStyle w:val="Encabezado"/>
    </w:pPr>
    <w:r>
      <w:rPr>
        <w:noProof/>
        <w:lang w:eastAsia="es-CR"/>
      </w:rPr>
      <mc:AlternateContent>
        <mc:Choice Requires="wps">
          <w:drawing>
            <wp:anchor distT="0" distB="0" distL="114300" distR="114300" simplePos="0" relativeHeight="251659264" behindDoc="0" locked="0" layoutInCell="1" allowOverlap="1" wp14:anchorId="3D5AD086" wp14:editId="3D5AD087">
              <wp:simplePos x="0" y="0"/>
              <wp:positionH relativeFrom="column">
                <wp:posOffset>4530956</wp:posOffset>
              </wp:positionH>
              <wp:positionV relativeFrom="paragraph">
                <wp:posOffset>-283325</wp:posOffset>
              </wp:positionV>
              <wp:extent cx="1230341" cy="1303193"/>
              <wp:effectExtent l="0" t="0" r="8255"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0341" cy="1303193"/>
                      </a:xfrm>
                      <a:prstGeom prst="rect">
                        <a:avLst/>
                      </a:prstGeom>
                      <a:solidFill>
                        <a:srgbClr val="FFFFFF"/>
                      </a:solidFill>
                      <a:ln w="9525">
                        <a:noFill/>
                        <a:miter lim="800000"/>
                        <a:headEnd/>
                        <a:tailEnd/>
                      </a:ln>
                    </wps:spPr>
                    <wps:txbx>
                      <w:txbxContent>
                        <w:p w14:paraId="3D5AD08E" w14:textId="77777777" w:rsidR="00221996" w:rsidRDefault="00B25C9B" w:rsidP="00221996">
                          <w:pPr>
                            <w:pStyle w:val="Encabezado"/>
                            <w:jc w:val="center"/>
                            <w:rPr>
                              <w:rFonts w:ascii="Arial" w:hAnsi="Arial" w:cs="Arial"/>
                              <w:bCs/>
                              <w:i/>
                              <w:color w:val="808080" w:themeColor="background1" w:themeShade="80"/>
                              <w:sz w:val="16"/>
                              <w:szCs w:val="16"/>
                            </w:rPr>
                          </w:pPr>
                          <w:r>
                            <w:rPr>
                              <w:rFonts w:ascii="Arial" w:hAnsi="Arial" w:cs="Arial"/>
                              <w:bCs/>
                              <w:i/>
                              <w:noProof/>
                              <w:color w:val="808080" w:themeColor="background1" w:themeShade="80"/>
                              <w:sz w:val="16"/>
                              <w:szCs w:val="16"/>
                              <w:lang w:eastAsia="es-CR"/>
                            </w:rPr>
                            <w:drawing>
                              <wp:inline distT="0" distB="0" distL="0" distR="0" wp14:anchorId="3D5AD094" wp14:editId="3D5AD095">
                                <wp:extent cx="460020" cy="810491"/>
                                <wp:effectExtent l="0" t="0" r="0" b="889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1">
                                          <a:extLst>
                                            <a:ext uri="{28A0092B-C50C-407E-A947-70E740481C1C}">
                                              <a14:useLocalDpi xmlns:a14="http://schemas.microsoft.com/office/drawing/2010/main" val="0"/>
                                            </a:ext>
                                          </a:extLst>
                                        </a:blip>
                                        <a:stretch>
                                          <a:fillRect/>
                                        </a:stretch>
                                      </pic:blipFill>
                                      <pic:spPr>
                                        <a:xfrm>
                                          <a:off x="0" y="0"/>
                                          <a:ext cx="459006" cy="808705"/>
                                        </a:xfrm>
                                        <a:prstGeom prst="rect">
                                          <a:avLst/>
                                        </a:prstGeom>
                                      </pic:spPr>
                                    </pic:pic>
                                  </a:graphicData>
                                </a:graphic>
                              </wp:inline>
                            </w:drawing>
                          </w:r>
                        </w:p>
                        <w:p w14:paraId="3D5AD08F" w14:textId="77777777" w:rsidR="00221996" w:rsidRPr="00374377" w:rsidRDefault="00221996" w:rsidP="00221996">
                          <w:pPr>
                            <w:pStyle w:val="Encabezado"/>
                            <w:jc w:val="center"/>
                            <w:rPr>
                              <w:rFonts w:cstheme="minorHAnsi"/>
                              <w:bCs/>
                              <w:i/>
                              <w:color w:val="808080" w:themeColor="background1" w:themeShade="80"/>
                              <w:sz w:val="12"/>
                              <w:szCs w:val="12"/>
                            </w:rPr>
                          </w:pPr>
                          <w:r w:rsidRPr="00374377">
                            <w:rPr>
                              <w:rFonts w:cstheme="minorHAnsi"/>
                              <w:bCs/>
                              <w:i/>
                              <w:color w:val="808080" w:themeColor="background1" w:themeShade="80"/>
                              <w:sz w:val="12"/>
                              <w:szCs w:val="12"/>
                            </w:rPr>
                            <w:t xml:space="preserve">Sistema de Gestión de Calidad </w:t>
                          </w:r>
                        </w:p>
                        <w:p w14:paraId="3D5AD090" w14:textId="77777777" w:rsidR="00221996" w:rsidRPr="00374377" w:rsidRDefault="00221996" w:rsidP="00221996">
                          <w:pPr>
                            <w:pStyle w:val="Encabezado"/>
                            <w:jc w:val="center"/>
                            <w:rPr>
                              <w:rFonts w:cstheme="minorHAnsi"/>
                              <w:sz w:val="12"/>
                              <w:szCs w:val="12"/>
                            </w:rPr>
                          </w:pPr>
                          <w:r w:rsidRPr="00374377">
                            <w:rPr>
                              <w:rFonts w:cstheme="minorHAnsi"/>
                              <w:bCs/>
                              <w:i/>
                              <w:color w:val="808080" w:themeColor="background1" w:themeShade="80"/>
                              <w:sz w:val="12"/>
                              <w:szCs w:val="12"/>
                            </w:rPr>
                            <w:t>Certificado INTE-ISO 9001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356.75pt;margin-top:-22.3pt;width:96.9pt;height:10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" stroked="f">
              <v:textbox>
                <w:txbxContent>
                  <w:p w14:paraId="3D5AD08E" w14:textId="77777777" w:rsidR="00221996" w:rsidRDefault="00B25C9B" w:rsidP="00221996">
                    <w:pPr>
                      <w:pStyle w:val="Encabezado"/>
                      <w:jc w:val="center"/>
                      <w:rPr>
                        <w:rFonts w:ascii="Arial" w:hAnsi="Arial" w:cs="Arial"/>
                        <w:bCs/>
                        <w:i/>
                        <w:color w:val="808080" w:themeColor="background1" w:themeShade="80"/>
                        <w:sz w:val="16"/>
                        <w:szCs w:val="16"/>
                      </w:rPr>
                    </w:pPr>
                    <w:r>
                      <w:rPr>
                        <w:rFonts w:ascii="Arial" w:hAnsi="Arial" w:cs="Arial"/>
                        <w:bCs/>
                        <w:i/>
                        <w:noProof/>
                        <w:color w:val="808080" w:themeColor="background1" w:themeShade="80"/>
                        <w:sz w:val="16"/>
                        <w:szCs w:val="16"/>
                        <w:lang w:eastAsia="es-CR"/>
                      </w:rPr>
                      <w:drawing>
                        <wp:inline distT="0" distB="0" distL="0" distR="0" wp14:anchorId="3D5AD094" wp14:editId="3D5AD095">
                          <wp:extent cx="460020" cy="810491"/>
                          <wp:effectExtent l="0" t="0" r="0" b="889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1">
                                    <a:extLst>
                                      <a:ext uri="{28A0092B-C50C-407E-A947-70E740481C1C}">
                                        <a14:useLocalDpi xmlns:a14="http://schemas.microsoft.com/office/drawing/2010/main" val="0"/>
                                      </a:ext>
                                    </a:extLst>
                                  </a:blip>
                                  <a:stretch>
                                    <a:fillRect/>
                                  </a:stretch>
                                </pic:blipFill>
                                <pic:spPr>
                                  <a:xfrm>
                                    <a:off x="0" y="0"/>
                                    <a:ext cx="459006" cy="808705"/>
                                  </a:xfrm>
                                  <a:prstGeom prst="rect">
                                    <a:avLst/>
                                  </a:prstGeom>
                                </pic:spPr>
                              </pic:pic>
                            </a:graphicData>
                          </a:graphic>
                        </wp:inline>
                      </w:drawing>
                    </w:r>
                  </w:p>
                  <w:p w14:paraId="3D5AD08F" w14:textId="77777777" w:rsidR="00221996" w:rsidRPr="00374377" w:rsidRDefault="00221996" w:rsidP="00221996">
                    <w:pPr>
                      <w:pStyle w:val="Encabezado"/>
                      <w:jc w:val="center"/>
                      <w:rPr>
                        <w:rFonts w:cstheme="minorHAnsi"/>
                        <w:bCs/>
                        <w:i/>
                        <w:color w:val="808080" w:themeColor="background1" w:themeShade="80"/>
                        <w:sz w:val="12"/>
                        <w:szCs w:val="12"/>
                      </w:rPr>
                    </w:pPr>
                    <w:r w:rsidRPr="00374377">
                      <w:rPr>
                        <w:rFonts w:cstheme="minorHAnsi"/>
                        <w:bCs/>
                        <w:i/>
                        <w:color w:val="808080" w:themeColor="background1" w:themeShade="80"/>
                        <w:sz w:val="12"/>
                        <w:szCs w:val="12"/>
                      </w:rPr>
                      <w:t xml:space="preserve">Sistema de Gestión de Calidad </w:t>
                    </w:r>
                  </w:p>
                  <w:p w14:paraId="3D5AD090" w14:textId="77777777" w:rsidR="00221996" w:rsidRPr="00374377" w:rsidRDefault="00221996" w:rsidP="00221996">
                    <w:pPr>
                      <w:pStyle w:val="Encabezado"/>
                      <w:jc w:val="center"/>
                      <w:rPr>
                        <w:rFonts w:cstheme="minorHAnsi"/>
                        <w:sz w:val="12"/>
                        <w:szCs w:val="12"/>
                      </w:rPr>
                    </w:pPr>
                    <w:r w:rsidRPr="00374377">
                      <w:rPr>
                        <w:rFonts w:cstheme="minorHAnsi"/>
                        <w:bCs/>
                        <w:i/>
                        <w:color w:val="808080" w:themeColor="background1" w:themeShade="80"/>
                        <w:sz w:val="12"/>
                        <w:szCs w:val="12"/>
                      </w:rPr>
                      <w:t>Certificado INTE-ISO 9001</w:t>
                    </w:r>
                  </w:p>
                </w:txbxContent>
              </v:textbox>
            </v:shape>
          </w:pict>
        </mc:Fallback>
      </mc:AlternateContent>
    </w:r>
    <w:r w:rsidR="005A1442">
      <w:rPr>
        <w:noProof/>
        <w:lang w:eastAsia="es-CR"/>
      </w:rPr>
      <w:drawing>
        <wp:inline distT="0" distB="0" distL="0" distR="0" wp14:anchorId="3D5AD088" wp14:editId="3D5AD089">
          <wp:extent cx="1209580" cy="971550"/>
          <wp:effectExtent l="19050" t="0" r="0" b="0"/>
          <wp:docPr id="2" name="1 Imagen" descr="logo sugese reduci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ugese reducido.jpg"/>
                  <pic:cNvPicPr/>
                </pic:nvPicPr>
                <pic:blipFill>
                  <a:blip r:embed="rId2"/>
                  <a:stretch>
                    <a:fillRect/>
                  </a:stretch>
                </pic:blipFill>
                <pic:spPr>
                  <a:xfrm>
                    <a:off x="0" y="0"/>
                    <a:ext cx="1209580" cy="971550"/>
                  </a:xfrm>
                  <a:prstGeom prst="rect">
                    <a:avLst/>
                  </a:prstGeom>
                </pic:spPr>
              </pic:pic>
            </a:graphicData>
          </a:graphic>
        </wp:inline>
      </w:drawing>
    </w:r>
  </w:p>
  <w:p w14:paraId="3D5AD078" w14:textId="77777777" w:rsidR="005B70A7" w:rsidRDefault="005B70A7">
    <w:pPr>
      <w:pStyle w:val="Encabezado"/>
    </w:pPr>
  </w:p>
  <w:p w14:paraId="3D5AD079" w14:textId="77777777" w:rsidR="005B70A7" w:rsidRPr="00221460" w:rsidRDefault="00B73C42" w:rsidP="005B70A7">
    <w:pPr>
      <w:pStyle w:val="Encabezado"/>
      <w:rPr>
        <w:rFonts w:asciiTheme="majorHAnsi" w:hAnsiTheme="majorHAnsi"/>
        <w:b/>
        <w:i/>
        <w:lang w:val="es-MX"/>
      </w:rPr>
    </w:pPr>
    <w:r>
      <w:rPr>
        <w:rFonts w:asciiTheme="majorHAnsi" w:hAnsiTheme="majorHAnsi"/>
        <w:b/>
        <w:i/>
        <w:lang w:val="es-MX"/>
      </w:rPr>
      <w:t>SGS-DES-</w:t>
    </w:r>
    <w:r w:rsidR="00A70606">
      <w:rPr>
        <w:rFonts w:asciiTheme="majorHAnsi" w:hAnsiTheme="majorHAnsi"/>
        <w:b/>
        <w:i/>
        <w:lang w:val="es-MX"/>
      </w:rPr>
      <w:t>A</w:t>
    </w:r>
    <w:r>
      <w:rPr>
        <w:rFonts w:asciiTheme="majorHAnsi" w:hAnsiTheme="majorHAnsi"/>
        <w:b/>
        <w:i/>
        <w:lang w:val="es-MX"/>
      </w:rPr>
      <w:t>-</w:t>
    </w:r>
    <w:r w:rsidR="00A70606">
      <w:rPr>
        <w:rFonts w:asciiTheme="majorHAnsi" w:hAnsiTheme="majorHAnsi"/>
        <w:b/>
        <w:i/>
        <w:lang w:val="es-MX"/>
      </w:rPr>
      <w:t>037</w:t>
    </w:r>
    <w:r w:rsidR="005B70A7">
      <w:rPr>
        <w:rFonts w:asciiTheme="majorHAnsi" w:hAnsiTheme="majorHAnsi"/>
        <w:b/>
        <w:i/>
        <w:lang w:val="es-MX"/>
      </w:rPr>
      <w:t>-201</w:t>
    </w:r>
    <w:r>
      <w:rPr>
        <w:rFonts w:asciiTheme="majorHAnsi" w:hAnsiTheme="majorHAnsi"/>
        <w:b/>
        <w:i/>
        <w:lang w:val="es-MX"/>
      </w:rPr>
      <w:t>4</w:t>
    </w:r>
  </w:p>
  <w:p w14:paraId="3D5AD07A" w14:textId="77777777" w:rsidR="005B70A7" w:rsidRPr="00221460" w:rsidRDefault="005B70A7" w:rsidP="005B70A7">
    <w:pPr>
      <w:pStyle w:val="Encabezado"/>
      <w:rPr>
        <w:rFonts w:asciiTheme="majorHAnsi" w:hAnsiTheme="majorHAnsi"/>
        <w:i/>
        <w:lang w:val="es-MX"/>
      </w:rPr>
    </w:pPr>
    <w:r w:rsidRPr="00221460">
      <w:rPr>
        <w:rFonts w:asciiTheme="majorHAnsi" w:hAnsiTheme="majorHAnsi"/>
        <w:i/>
        <w:lang w:val="es-MX"/>
      </w:rPr>
      <w:t xml:space="preserve">Página | </w:t>
    </w:r>
    <w:r w:rsidRPr="00221460">
      <w:rPr>
        <w:rFonts w:asciiTheme="majorHAnsi" w:hAnsiTheme="majorHAnsi"/>
        <w:i/>
        <w:lang w:val="es-MX"/>
      </w:rPr>
      <w:fldChar w:fldCharType="begin"/>
    </w:r>
    <w:r w:rsidRPr="00221460">
      <w:rPr>
        <w:rFonts w:asciiTheme="majorHAnsi" w:hAnsiTheme="majorHAnsi"/>
        <w:i/>
        <w:lang w:val="es-MX"/>
      </w:rPr>
      <w:instrText xml:space="preserve"> PAGE   \* MERGEFORMAT </w:instrText>
    </w:r>
    <w:r w:rsidRPr="00221460">
      <w:rPr>
        <w:rFonts w:asciiTheme="majorHAnsi" w:hAnsiTheme="majorHAnsi"/>
        <w:i/>
        <w:lang w:val="es-MX"/>
      </w:rPr>
      <w:fldChar w:fldCharType="separate"/>
    </w:r>
    <w:r w:rsidR="00D45549">
      <w:rPr>
        <w:rFonts w:asciiTheme="majorHAnsi" w:hAnsiTheme="majorHAnsi"/>
        <w:i/>
        <w:noProof/>
        <w:lang w:val="es-MX"/>
      </w:rPr>
      <w:t>2</w:t>
    </w:r>
    <w:r w:rsidRPr="00221460">
      <w:rPr>
        <w:rFonts w:asciiTheme="majorHAnsi" w:hAnsiTheme="majorHAnsi"/>
        <w:i/>
        <w:lang w:val="es-MX"/>
      </w:rPr>
      <w:fldChar w:fldCharType="end"/>
    </w:r>
  </w:p>
  <w:p w14:paraId="3D5AD07B" w14:textId="77777777" w:rsidR="005B70A7" w:rsidRPr="005B70A7" w:rsidRDefault="005B70A7">
    <w:pPr>
      <w:pStyle w:val="Encabezado"/>
      <w:rPr>
        <w:lang w:val="es-MX"/>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5AD080" w14:textId="77777777" w:rsidR="00A83BA5" w:rsidRDefault="00A83BA5" w:rsidP="00A83BA5">
    <w:pPr>
      <w:pStyle w:val="Encabezado"/>
    </w:pPr>
    <w:r>
      <w:rPr>
        <w:noProof/>
        <w:lang w:eastAsia="es-CR"/>
      </w:rPr>
      <mc:AlternateContent>
        <mc:Choice Requires="wps">
          <w:drawing>
            <wp:anchor distT="0" distB="0" distL="114300" distR="114300" simplePos="0" relativeHeight="251661312" behindDoc="0" locked="0" layoutInCell="1" allowOverlap="1" wp14:anchorId="3D5AD08A" wp14:editId="3D5AD08B">
              <wp:simplePos x="0" y="0"/>
              <wp:positionH relativeFrom="column">
                <wp:posOffset>4530956</wp:posOffset>
              </wp:positionH>
              <wp:positionV relativeFrom="paragraph">
                <wp:posOffset>-283325</wp:posOffset>
              </wp:positionV>
              <wp:extent cx="1230341" cy="1303193"/>
              <wp:effectExtent l="0" t="0" r="8255" b="0"/>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0341" cy="1303193"/>
                      </a:xfrm>
                      <a:prstGeom prst="rect">
                        <a:avLst/>
                      </a:prstGeom>
                      <a:solidFill>
                        <a:srgbClr val="FFFFFF"/>
                      </a:solidFill>
                      <a:ln w="9525">
                        <a:noFill/>
                        <a:miter lim="800000"/>
                        <a:headEnd/>
                        <a:tailEnd/>
                      </a:ln>
                    </wps:spPr>
                    <wps:txbx>
                      <w:txbxContent>
                        <w:p w14:paraId="3D5AD091" w14:textId="77777777" w:rsidR="00A83BA5" w:rsidRDefault="00A83BA5" w:rsidP="00A83BA5">
                          <w:pPr>
                            <w:pStyle w:val="Encabezado"/>
                            <w:jc w:val="center"/>
                            <w:rPr>
                              <w:rFonts w:ascii="Arial" w:hAnsi="Arial" w:cs="Arial"/>
                              <w:bCs/>
                              <w:i/>
                              <w:color w:val="808080" w:themeColor="background1" w:themeShade="80"/>
                              <w:sz w:val="16"/>
                              <w:szCs w:val="16"/>
                            </w:rPr>
                          </w:pPr>
                          <w:r>
                            <w:rPr>
                              <w:rFonts w:ascii="Arial" w:hAnsi="Arial" w:cs="Arial"/>
                              <w:bCs/>
                              <w:i/>
                              <w:noProof/>
                              <w:color w:val="808080" w:themeColor="background1" w:themeShade="80"/>
                              <w:sz w:val="16"/>
                              <w:szCs w:val="16"/>
                              <w:lang w:eastAsia="es-CR"/>
                            </w:rPr>
                            <w:drawing>
                              <wp:inline distT="0" distB="0" distL="0" distR="0" wp14:anchorId="3D5AD096" wp14:editId="3D5AD097">
                                <wp:extent cx="460020" cy="810491"/>
                                <wp:effectExtent l="0" t="0" r="0" b="8890"/>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1">
                                          <a:extLst>
                                            <a:ext uri="{28A0092B-C50C-407E-A947-70E740481C1C}">
                                              <a14:useLocalDpi xmlns:a14="http://schemas.microsoft.com/office/drawing/2010/main" val="0"/>
                                            </a:ext>
                                          </a:extLst>
                                        </a:blip>
                                        <a:stretch>
                                          <a:fillRect/>
                                        </a:stretch>
                                      </pic:blipFill>
                                      <pic:spPr>
                                        <a:xfrm>
                                          <a:off x="0" y="0"/>
                                          <a:ext cx="459006" cy="808705"/>
                                        </a:xfrm>
                                        <a:prstGeom prst="rect">
                                          <a:avLst/>
                                        </a:prstGeom>
                                      </pic:spPr>
                                    </pic:pic>
                                  </a:graphicData>
                                </a:graphic>
                              </wp:inline>
                            </w:drawing>
                          </w:r>
                        </w:p>
                        <w:p w14:paraId="3D5AD092" w14:textId="77777777" w:rsidR="00A83BA5" w:rsidRPr="00374377" w:rsidRDefault="00A83BA5" w:rsidP="00A83BA5">
                          <w:pPr>
                            <w:pStyle w:val="Encabezado"/>
                            <w:jc w:val="center"/>
                            <w:rPr>
                              <w:rFonts w:cstheme="minorHAnsi"/>
                              <w:bCs/>
                              <w:i/>
                              <w:color w:val="808080" w:themeColor="background1" w:themeShade="80"/>
                              <w:sz w:val="12"/>
                              <w:szCs w:val="12"/>
                            </w:rPr>
                          </w:pPr>
                          <w:r w:rsidRPr="00374377">
                            <w:rPr>
                              <w:rFonts w:cstheme="minorHAnsi"/>
                              <w:bCs/>
                              <w:i/>
                              <w:color w:val="808080" w:themeColor="background1" w:themeShade="80"/>
                              <w:sz w:val="12"/>
                              <w:szCs w:val="12"/>
                            </w:rPr>
                            <w:t xml:space="preserve">Sistema de Gestión de Calidad </w:t>
                          </w:r>
                        </w:p>
                        <w:p w14:paraId="3D5AD093" w14:textId="77777777" w:rsidR="00A83BA5" w:rsidRPr="00374377" w:rsidRDefault="00A83BA5" w:rsidP="00A83BA5">
                          <w:pPr>
                            <w:pStyle w:val="Encabezado"/>
                            <w:jc w:val="center"/>
                            <w:rPr>
                              <w:rFonts w:cstheme="minorHAnsi"/>
                              <w:sz w:val="12"/>
                              <w:szCs w:val="12"/>
                            </w:rPr>
                          </w:pPr>
                          <w:r w:rsidRPr="00374377">
                            <w:rPr>
                              <w:rFonts w:cstheme="minorHAnsi"/>
                              <w:bCs/>
                              <w:i/>
                              <w:color w:val="808080" w:themeColor="background1" w:themeShade="80"/>
                              <w:sz w:val="12"/>
                              <w:szCs w:val="12"/>
                            </w:rPr>
                            <w:t>Certificado INTE-ISO 9001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56.75pt;margin-top:-22.3pt;width:96.9pt;height:10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" stroked="f">
              <v:textbox>
                <w:txbxContent>
                  <w:p w14:paraId="3D5AD091" w14:textId="77777777" w:rsidR="00A83BA5" w:rsidRDefault="00A83BA5" w:rsidP="00A83BA5">
                    <w:pPr>
                      <w:pStyle w:val="Encabezado"/>
                      <w:jc w:val="center"/>
                      <w:rPr>
                        <w:rFonts w:ascii="Arial" w:hAnsi="Arial" w:cs="Arial"/>
                        <w:bCs/>
                        <w:i/>
                        <w:color w:val="808080" w:themeColor="background1" w:themeShade="80"/>
                        <w:sz w:val="16"/>
                        <w:szCs w:val="16"/>
                      </w:rPr>
                    </w:pPr>
                    <w:r>
                      <w:rPr>
                        <w:rFonts w:ascii="Arial" w:hAnsi="Arial" w:cs="Arial"/>
                        <w:bCs/>
                        <w:i/>
                        <w:noProof/>
                        <w:color w:val="808080" w:themeColor="background1" w:themeShade="80"/>
                        <w:sz w:val="16"/>
                        <w:szCs w:val="16"/>
                        <w:lang w:eastAsia="es-CR"/>
                      </w:rPr>
                      <w:drawing>
                        <wp:inline distT="0" distB="0" distL="0" distR="0" wp14:anchorId="3D5AD096" wp14:editId="3D5AD097">
                          <wp:extent cx="460020" cy="810491"/>
                          <wp:effectExtent l="0" t="0" r="0" b="8890"/>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1">
                                    <a:extLst>
                                      <a:ext uri="{28A0092B-C50C-407E-A947-70E740481C1C}">
                                        <a14:useLocalDpi xmlns:a14="http://schemas.microsoft.com/office/drawing/2010/main" val="0"/>
                                      </a:ext>
                                    </a:extLst>
                                  </a:blip>
                                  <a:stretch>
                                    <a:fillRect/>
                                  </a:stretch>
                                </pic:blipFill>
                                <pic:spPr>
                                  <a:xfrm>
                                    <a:off x="0" y="0"/>
                                    <a:ext cx="459006" cy="808705"/>
                                  </a:xfrm>
                                  <a:prstGeom prst="rect">
                                    <a:avLst/>
                                  </a:prstGeom>
                                </pic:spPr>
                              </pic:pic>
                            </a:graphicData>
                          </a:graphic>
                        </wp:inline>
                      </w:drawing>
                    </w:r>
                  </w:p>
                  <w:p w14:paraId="3D5AD092" w14:textId="77777777" w:rsidR="00A83BA5" w:rsidRPr="00374377" w:rsidRDefault="00A83BA5" w:rsidP="00A83BA5">
                    <w:pPr>
                      <w:pStyle w:val="Encabezado"/>
                      <w:jc w:val="center"/>
                      <w:rPr>
                        <w:rFonts w:cstheme="minorHAnsi"/>
                        <w:bCs/>
                        <w:i/>
                        <w:color w:val="808080" w:themeColor="background1" w:themeShade="80"/>
                        <w:sz w:val="12"/>
                        <w:szCs w:val="12"/>
                      </w:rPr>
                    </w:pPr>
                    <w:r w:rsidRPr="00374377">
                      <w:rPr>
                        <w:rFonts w:cstheme="minorHAnsi"/>
                        <w:bCs/>
                        <w:i/>
                        <w:color w:val="808080" w:themeColor="background1" w:themeShade="80"/>
                        <w:sz w:val="12"/>
                        <w:szCs w:val="12"/>
                      </w:rPr>
                      <w:t xml:space="preserve">Sistema de Gestión de Calidad </w:t>
                    </w:r>
                  </w:p>
                  <w:p w14:paraId="3D5AD093" w14:textId="77777777" w:rsidR="00A83BA5" w:rsidRPr="00374377" w:rsidRDefault="00A83BA5" w:rsidP="00A83BA5">
                    <w:pPr>
                      <w:pStyle w:val="Encabezado"/>
                      <w:jc w:val="center"/>
                      <w:rPr>
                        <w:rFonts w:cstheme="minorHAnsi"/>
                        <w:sz w:val="12"/>
                        <w:szCs w:val="12"/>
                      </w:rPr>
                    </w:pPr>
                    <w:r w:rsidRPr="00374377">
                      <w:rPr>
                        <w:rFonts w:cstheme="minorHAnsi"/>
                        <w:bCs/>
                        <w:i/>
                        <w:color w:val="808080" w:themeColor="background1" w:themeShade="80"/>
                        <w:sz w:val="12"/>
                        <w:szCs w:val="12"/>
                      </w:rPr>
                      <w:t>Certificado INTE-ISO 9001</w:t>
                    </w:r>
                  </w:p>
                </w:txbxContent>
              </v:textbox>
            </v:shape>
          </w:pict>
        </mc:Fallback>
      </mc:AlternateContent>
    </w:r>
    <w:r>
      <w:rPr>
        <w:noProof/>
        <w:lang w:eastAsia="es-CR"/>
      </w:rPr>
      <w:drawing>
        <wp:inline distT="0" distB="0" distL="0" distR="0" wp14:anchorId="3D5AD08C" wp14:editId="3D5AD08D">
          <wp:extent cx="1209580" cy="971550"/>
          <wp:effectExtent l="19050" t="0" r="0" b="0"/>
          <wp:docPr id="5" name="1 Imagen" descr="logo sugese reduci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ugese reducido.jpg"/>
                  <pic:cNvPicPr/>
                </pic:nvPicPr>
                <pic:blipFill>
                  <a:blip r:embed="rId2"/>
                  <a:stretch>
                    <a:fillRect/>
                  </a:stretch>
                </pic:blipFill>
                <pic:spPr>
                  <a:xfrm>
                    <a:off x="0" y="0"/>
                    <a:ext cx="1209580" cy="971550"/>
                  </a:xfrm>
                  <a:prstGeom prst="rect">
                    <a:avLst/>
                  </a:prstGeom>
                </pic:spPr>
              </pic:pic>
            </a:graphicData>
          </a:graphic>
        </wp:inline>
      </w:drawing>
    </w:r>
  </w:p>
  <w:p w14:paraId="3D5AD081" w14:textId="77777777" w:rsidR="00A83BA5" w:rsidRDefault="00A83BA5">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442"/>
    <w:rsid w:val="00003EEF"/>
    <w:rsid w:val="000076D1"/>
    <w:rsid w:val="000105FD"/>
    <w:rsid w:val="00015CC4"/>
    <w:rsid w:val="000230EC"/>
    <w:rsid w:val="00037F14"/>
    <w:rsid w:val="00043989"/>
    <w:rsid w:val="00043BD2"/>
    <w:rsid w:val="000476C1"/>
    <w:rsid w:val="00055413"/>
    <w:rsid w:val="00067CF6"/>
    <w:rsid w:val="000752F9"/>
    <w:rsid w:val="000760ED"/>
    <w:rsid w:val="00083A78"/>
    <w:rsid w:val="0008604D"/>
    <w:rsid w:val="000A2288"/>
    <w:rsid w:val="000B2E1D"/>
    <w:rsid w:val="000C7644"/>
    <w:rsid w:val="000D4883"/>
    <w:rsid w:val="000E78B1"/>
    <w:rsid w:val="000F4177"/>
    <w:rsid w:val="00112325"/>
    <w:rsid w:val="00133DA2"/>
    <w:rsid w:val="00135FBF"/>
    <w:rsid w:val="00140B90"/>
    <w:rsid w:val="00146B1D"/>
    <w:rsid w:val="001551CB"/>
    <w:rsid w:val="0016515C"/>
    <w:rsid w:val="00167B6E"/>
    <w:rsid w:val="0017138C"/>
    <w:rsid w:val="00180BA2"/>
    <w:rsid w:val="0018143B"/>
    <w:rsid w:val="001A29D3"/>
    <w:rsid w:val="001A6FE9"/>
    <w:rsid w:val="001B3C85"/>
    <w:rsid w:val="001B6EE9"/>
    <w:rsid w:val="001C344D"/>
    <w:rsid w:val="001D2BCA"/>
    <w:rsid w:val="001F362F"/>
    <w:rsid w:val="002048C0"/>
    <w:rsid w:val="00221996"/>
    <w:rsid w:val="00222862"/>
    <w:rsid w:val="00234ECC"/>
    <w:rsid w:val="002440B8"/>
    <w:rsid w:val="00247E9E"/>
    <w:rsid w:val="00267429"/>
    <w:rsid w:val="0028286F"/>
    <w:rsid w:val="00286975"/>
    <w:rsid w:val="00291CE7"/>
    <w:rsid w:val="002A04A2"/>
    <w:rsid w:val="002C3B80"/>
    <w:rsid w:val="002C3DDE"/>
    <w:rsid w:val="002C572C"/>
    <w:rsid w:val="002C76DF"/>
    <w:rsid w:val="002D7832"/>
    <w:rsid w:val="002E02EC"/>
    <w:rsid w:val="002E6AFE"/>
    <w:rsid w:val="002F22F3"/>
    <w:rsid w:val="002F2345"/>
    <w:rsid w:val="002F51B5"/>
    <w:rsid w:val="00304DCB"/>
    <w:rsid w:val="0030537C"/>
    <w:rsid w:val="00305398"/>
    <w:rsid w:val="00333BA8"/>
    <w:rsid w:val="00336659"/>
    <w:rsid w:val="00343523"/>
    <w:rsid w:val="00343D0D"/>
    <w:rsid w:val="003623F7"/>
    <w:rsid w:val="0036475D"/>
    <w:rsid w:val="00366016"/>
    <w:rsid w:val="003758F1"/>
    <w:rsid w:val="00376DE7"/>
    <w:rsid w:val="00385D10"/>
    <w:rsid w:val="00391C88"/>
    <w:rsid w:val="003A39BC"/>
    <w:rsid w:val="003A53B0"/>
    <w:rsid w:val="003B043B"/>
    <w:rsid w:val="003B6304"/>
    <w:rsid w:val="003B721F"/>
    <w:rsid w:val="003B7CC2"/>
    <w:rsid w:val="003D3009"/>
    <w:rsid w:val="003E469F"/>
    <w:rsid w:val="003E62CB"/>
    <w:rsid w:val="003E721F"/>
    <w:rsid w:val="004263F9"/>
    <w:rsid w:val="004277B9"/>
    <w:rsid w:val="00432474"/>
    <w:rsid w:val="00450703"/>
    <w:rsid w:val="00454C55"/>
    <w:rsid w:val="0047219D"/>
    <w:rsid w:val="004948D8"/>
    <w:rsid w:val="00495470"/>
    <w:rsid w:val="00496C81"/>
    <w:rsid w:val="004A03B7"/>
    <w:rsid w:val="004A495A"/>
    <w:rsid w:val="004B767D"/>
    <w:rsid w:val="004C3B15"/>
    <w:rsid w:val="004C4D3C"/>
    <w:rsid w:val="004D2EB0"/>
    <w:rsid w:val="004D7196"/>
    <w:rsid w:val="004E7104"/>
    <w:rsid w:val="004F5023"/>
    <w:rsid w:val="004F6969"/>
    <w:rsid w:val="0050151B"/>
    <w:rsid w:val="0050185B"/>
    <w:rsid w:val="00501E0F"/>
    <w:rsid w:val="005078E4"/>
    <w:rsid w:val="00514940"/>
    <w:rsid w:val="005241EE"/>
    <w:rsid w:val="00524C83"/>
    <w:rsid w:val="0053290C"/>
    <w:rsid w:val="00533746"/>
    <w:rsid w:val="005442FF"/>
    <w:rsid w:val="00545CD6"/>
    <w:rsid w:val="00556620"/>
    <w:rsid w:val="00560026"/>
    <w:rsid w:val="0056158A"/>
    <w:rsid w:val="0056224B"/>
    <w:rsid w:val="0056751A"/>
    <w:rsid w:val="00576230"/>
    <w:rsid w:val="005A1442"/>
    <w:rsid w:val="005B70A7"/>
    <w:rsid w:val="005C5B11"/>
    <w:rsid w:val="005C69FA"/>
    <w:rsid w:val="005C7CD2"/>
    <w:rsid w:val="005D13DD"/>
    <w:rsid w:val="005E7FD4"/>
    <w:rsid w:val="005F395A"/>
    <w:rsid w:val="00602EC0"/>
    <w:rsid w:val="00604DED"/>
    <w:rsid w:val="00621BF4"/>
    <w:rsid w:val="00626ECF"/>
    <w:rsid w:val="00632C9E"/>
    <w:rsid w:val="006428F4"/>
    <w:rsid w:val="00646CD3"/>
    <w:rsid w:val="00650488"/>
    <w:rsid w:val="00650E64"/>
    <w:rsid w:val="00652E5B"/>
    <w:rsid w:val="00663DB8"/>
    <w:rsid w:val="0066556D"/>
    <w:rsid w:val="006655C3"/>
    <w:rsid w:val="006678C2"/>
    <w:rsid w:val="00671DEB"/>
    <w:rsid w:val="00672C4A"/>
    <w:rsid w:val="00673269"/>
    <w:rsid w:val="00674F4F"/>
    <w:rsid w:val="006772DD"/>
    <w:rsid w:val="006829C1"/>
    <w:rsid w:val="0068417D"/>
    <w:rsid w:val="006848D6"/>
    <w:rsid w:val="006943A2"/>
    <w:rsid w:val="006A1A25"/>
    <w:rsid w:val="006B4EA1"/>
    <w:rsid w:val="006C624C"/>
    <w:rsid w:val="006C76B1"/>
    <w:rsid w:val="006D0952"/>
    <w:rsid w:val="006E01DB"/>
    <w:rsid w:val="006E1EC2"/>
    <w:rsid w:val="006F4CAF"/>
    <w:rsid w:val="006F4D20"/>
    <w:rsid w:val="00706543"/>
    <w:rsid w:val="00712FFB"/>
    <w:rsid w:val="00715BD0"/>
    <w:rsid w:val="007170ED"/>
    <w:rsid w:val="00717F1A"/>
    <w:rsid w:val="00725048"/>
    <w:rsid w:val="00725493"/>
    <w:rsid w:val="00726CEB"/>
    <w:rsid w:val="007272CC"/>
    <w:rsid w:val="007324F8"/>
    <w:rsid w:val="007327C9"/>
    <w:rsid w:val="0074198B"/>
    <w:rsid w:val="007437E6"/>
    <w:rsid w:val="00746E52"/>
    <w:rsid w:val="007636BD"/>
    <w:rsid w:val="00771580"/>
    <w:rsid w:val="00792726"/>
    <w:rsid w:val="007A0A2A"/>
    <w:rsid w:val="007A1E7F"/>
    <w:rsid w:val="007A22EA"/>
    <w:rsid w:val="007A2A51"/>
    <w:rsid w:val="007B04A5"/>
    <w:rsid w:val="007C19A7"/>
    <w:rsid w:val="007D2DAF"/>
    <w:rsid w:val="007E41E5"/>
    <w:rsid w:val="007E46F1"/>
    <w:rsid w:val="007E66C6"/>
    <w:rsid w:val="008022A8"/>
    <w:rsid w:val="0080328F"/>
    <w:rsid w:val="00821436"/>
    <w:rsid w:val="008259A0"/>
    <w:rsid w:val="008370FF"/>
    <w:rsid w:val="0085586B"/>
    <w:rsid w:val="00857848"/>
    <w:rsid w:val="00857AD8"/>
    <w:rsid w:val="008605C0"/>
    <w:rsid w:val="00866B92"/>
    <w:rsid w:val="008704B7"/>
    <w:rsid w:val="008747C3"/>
    <w:rsid w:val="008778EF"/>
    <w:rsid w:val="00877EB5"/>
    <w:rsid w:val="00895D99"/>
    <w:rsid w:val="008962DC"/>
    <w:rsid w:val="00896B04"/>
    <w:rsid w:val="008974D8"/>
    <w:rsid w:val="008A3070"/>
    <w:rsid w:val="008A591C"/>
    <w:rsid w:val="008D17A9"/>
    <w:rsid w:val="008D2116"/>
    <w:rsid w:val="008D2BC8"/>
    <w:rsid w:val="008F727F"/>
    <w:rsid w:val="00915452"/>
    <w:rsid w:val="00922C3E"/>
    <w:rsid w:val="00947CCD"/>
    <w:rsid w:val="0095414B"/>
    <w:rsid w:val="009565BF"/>
    <w:rsid w:val="00964169"/>
    <w:rsid w:val="00975A49"/>
    <w:rsid w:val="00987B3B"/>
    <w:rsid w:val="009A2106"/>
    <w:rsid w:val="009A6A84"/>
    <w:rsid w:val="009B35A6"/>
    <w:rsid w:val="009D11AB"/>
    <w:rsid w:val="009D5FAF"/>
    <w:rsid w:val="009F37D9"/>
    <w:rsid w:val="00A07AB5"/>
    <w:rsid w:val="00A12AE9"/>
    <w:rsid w:val="00A16168"/>
    <w:rsid w:val="00A2009B"/>
    <w:rsid w:val="00A33527"/>
    <w:rsid w:val="00A46328"/>
    <w:rsid w:val="00A57156"/>
    <w:rsid w:val="00A66E6E"/>
    <w:rsid w:val="00A70606"/>
    <w:rsid w:val="00A83BA5"/>
    <w:rsid w:val="00A8710B"/>
    <w:rsid w:val="00AA35AB"/>
    <w:rsid w:val="00AB1CD0"/>
    <w:rsid w:val="00AB33C3"/>
    <w:rsid w:val="00AC0D3F"/>
    <w:rsid w:val="00AD00BB"/>
    <w:rsid w:val="00AE0313"/>
    <w:rsid w:val="00B04011"/>
    <w:rsid w:val="00B12501"/>
    <w:rsid w:val="00B21C1A"/>
    <w:rsid w:val="00B2475F"/>
    <w:rsid w:val="00B25C9B"/>
    <w:rsid w:val="00B300E9"/>
    <w:rsid w:val="00B32651"/>
    <w:rsid w:val="00B32EEB"/>
    <w:rsid w:val="00B40526"/>
    <w:rsid w:val="00B45FD8"/>
    <w:rsid w:val="00B50514"/>
    <w:rsid w:val="00B70578"/>
    <w:rsid w:val="00B73C42"/>
    <w:rsid w:val="00B826E2"/>
    <w:rsid w:val="00B910A3"/>
    <w:rsid w:val="00B95233"/>
    <w:rsid w:val="00B96A9E"/>
    <w:rsid w:val="00BA2A3A"/>
    <w:rsid w:val="00BA4095"/>
    <w:rsid w:val="00BA4EB8"/>
    <w:rsid w:val="00BB64F2"/>
    <w:rsid w:val="00BC2F23"/>
    <w:rsid w:val="00BC5BBE"/>
    <w:rsid w:val="00BD18FF"/>
    <w:rsid w:val="00BE08B6"/>
    <w:rsid w:val="00BE61CE"/>
    <w:rsid w:val="00BF28E2"/>
    <w:rsid w:val="00BF5BF7"/>
    <w:rsid w:val="00BF67A7"/>
    <w:rsid w:val="00C00485"/>
    <w:rsid w:val="00C05704"/>
    <w:rsid w:val="00C240F2"/>
    <w:rsid w:val="00C276E6"/>
    <w:rsid w:val="00C52BC9"/>
    <w:rsid w:val="00C64061"/>
    <w:rsid w:val="00C73E1C"/>
    <w:rsid w:val="00C82150"/>
    <w:rsid w:val="00C846AA"/>
    <w:rsid w:val="00C85E4F"/>
    <w:rsid w:val="00CA7870"/>
    <w:rsid w:val="00CA7AE4"/>
    <w:rsid w:val="00CB0CC5"/>
    <w:rsid w:val="00CC4427"/>
    <w:rsid w:val="00CC5D7F"/>
    <w:rsid w:val="00CE3032"/>
    <w:rsid w:val="00CF181A"/>
    <w:rsid w:val="00CF516F"/>
    <w:rsid w:val="00D06152"/>
    <w:rsid w:val="00D13047"/>
    <w:rsid w:val="00D15050"/>
    <w:rsid w:val="00D15CCE"/>
    <w:rsid w:val="00D20E5C"/>
    <w:rsid w:val="00D27227"/>
    <w:rsid w:val="00D332E9"/>
    <w:rsid w:val="00D36B9F"/>
    <w:rsid w:val="00D45549"/>
    <w:rsid w:val="00D6484A"/>
    <w:rsid w:val="00D70C14"/>
    <w:rsid w:val="00D74E1D"/>
    <w:rsid w:val="00D84595"/>
    <w:rsid w:val="00D92485"/>
    <w:rsid w:val="00D92CD1"/>
    <w:rsid w:val="00DA2D4F"/>
    <w:rsid w:val="00DA5032"/>
    <w:rsid w:val="00DB041E"/>
    <w:rsid w:val="00DB1CE2"/>
    <w:rsid w:val="00DB4D57"/>
    <w:rsid w:val="00DB63A8"/>
    <w:rsid w:val="00DC1346"/>
    <w:rsid w:val="00DC26B0"/>
    <w:rsid w:val="00DC2FD3"/>
    <w:rsid w:val="00DD035E"/>
    <w:rsid w:val="00DD1A0E"/>
    <w:rsid w:val="00DD480F"/>
    <w:rsid w:val="00DD4EE4"/>
    <w:rsid w:val="00DF1CE6"/>
    <w:rsid w:val="00DF2BE9"/>
    <w:rsid w:val="00DF3ABA"/>
    <w:rsid w:val="00E04EAD"/>
    <w:rsid w:val="00E06E7D"/>
    <w:rsid w:val="00E06F9A"/>
    <w:rsid w:val="00E157FF"/>
    <w:rsid w:val="00E20D65"/>
    <w:rsid w:val="00E25B90"/>
    <w:rsid w:val="00E2643F"/>
    <w:rsid w:val="00E320DA"/>
    <w:rsid w:val="00E37A14"/>
    <w:rsid w:val="00E40FF3"/>
    <w:rsid w:val="00E42E5A"/>
    <w:rsid w:val="00E43276"/>
    <w:rsid w:val="00E51B7E"/>
    <w:rsid w:val="00E645D5"/>
    <w:rsid w:val="00E67EDC"/>
    <w:rsid w:val="00E75421"/>
    <w:rsid w:val="00E8166D"/>
    <w:rsid w:val="00E86F7B"/>
    <w:rsid w:val="00E913C9"/>
    <w:rsid w:val="00E93FB0"/>
    <w:rsid w:val="00EA03A0"/>
    <w:rsid w:val="00EA0A06"/>
    <w:rsid w:val="00EA1A46"/>
    <w:rsid w:val="00EB1C88"/>
    <w:rsid w:val="00EB5517"/>
    <w:rsid w:val="00EC0737"/>
    <w:rsid w:val="00EC1421"/>
    <w:rsid w:val="00EE6EF6"/>
    <w:rsid w:val="00EF0B3D"/>
    <w:rsid w:val="00EF5858"/>
    <w:rsid w:val="00F046DF"/>
    <w:rsid w:val="00F0751F"/>
    <w:rsid w:val="00F14C3C"/>
    <w:rsid w:val="00F17004"/>
    <w:rsid w:val="00F1744F"/>
    <w:rsid w:val="00F178E2"/>
    <w:rsid w:val="00F17E74"/>
    <w:rsid w:val="00F30C6B"/>
    <w:rsid w:val="00F33704"/>
    <w:rsid w:val="00F34196"/>
    <w:rsid w:val="00F36332"/>
    <w:rsid w:val="00F41D5A"/>
    <w:rsid w:val="00F43651"/>
    <w:rsid w:val="00F465B9"/>
    <w:rsid w:val="00F46E76"/>
    <w:rsid w:val="00F47064"/>
    <w:rsid w:val="00F5139D"/>
    <w:rsid w:val="00F5386D"/>
    <w:rsid w:val="00F611D6"/>
    <w:rsid w:val="00F615EE"/>
    <w:rsid w:val="00F6508B"/>
    <w:rsid w:val="00F84235"/>
    <w:rsid w:val="00F87AC4"/>
    <w:rsid w:val="00F952FA"/>
    <w:rsid w:val="00FA56C0"/>
    <w:rsid w:val="00FB6C78"/>
    <w:rsid w:val="00FC2DDB"/>
    <w:rsid w:val="00FC5636"/>
    <w:rsid w:val="00FC7C8A"/>
    <w:rsid w:val="00FD0685"/>
    <w:rsid w:val="00FE165F"/>
    <w:rsid w:val="00FE1C22"/>
    <w:rsid w:val="00FE3A47"/>
    <w:rsid w:val="00FF04DB"/>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D5AD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442"/>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A1442"/>
    <w:pPr>
      <w:tabs>
        <w:tab w:val="center" w:pos="4419"/>
        <w:tab w:val="right" w:pos="8838"/>
      </w:tabs>
    </w:pPr>
    <w:rPr>
      <w:rFonts w:asciiTheme="minorHAnsi" w:eastAsiaTheme="minorHAnsi" w:hAnsiTheme="minorHAnsi" w:cstheme="minorBidi"/>
      <w:sz w:val="22"/>
      <w:szCs w:val="22"/>
      <w:lang w:val="es-CR" w:eastAsia="en-US"/>
    </w:rPr>
  </w:style>
  <w:style w:type="character" w:customStyle="1" w:styleId="EncabezadoCar">
    <w:name w:val="Encabezado Car"/>
    <w:basedOn w:val="Fuentedeprrafopredeter"/>
    <w:link w:val="Encabezado"/>
    <w:uiPriority w:val="99"/>
    <w:rsid w:val="005A1442"/>
  </w:style>
  <w:style w:type="paragraph" w:styleId="Piedepgina">
    <w:name w:val="footer"/>
    <w:basedOn w:val="Normal"/>
    <w:link w:val="PiedepginaCar"/>
    <w:unhideWhenUsed/>
    <w:rsid w:val="005A1442"/>
    <w:pPr>
      <w:tabs>
        <w:tab w:val="center" w:pos="4419"/>
        <w:tab w:val="right" w:pos="8838"/>
      </w:tabs>
    </w:pPr>
    <w:rPr>
      <w:rFonts w:asciiTheme="minorHAnsi" w:eastAsiaTheme="minorHAnsi" w:hAnsiTheme="minorHAnsi" w:cstheme="minorBidi"/>
      <w:sz w:val="22"/>
      <w:szCs w:val="22"/>
      <w:lang w:val="es-CR" w:eastAsia="en-US"/>
    </w:rPr>
  </w:style>
  <w:style w:type="character" w:customStyle="1" w:styleId="PiedepginaCar">
    <w:name w:val="Pie de página Car"/>
    <w:basedOn w:val="Fuentedeprrafopredeter"/>
    <w:link w:val="Piedepgina"/>
    <w:rsid w:val="005A1442"/>
  </w:style>
  <w:style w:type="paragraph" w:styleId="Textodeglobo">
    <w:name w:val="Balloon Text"/>
    <w:basedOn w:val="Normal"/>
    <w:link w:val="TextodegloboCar"/>
    <w:uiPriority w:val="99"/>
    <w:semiHidden/>
    <w:unhideWhenUsed/>
    <w:rsid w:val="005A1442"/>
    <w:rPr>
      <w:rFonts w:ascii="Tahoma" w:eastAsiaTheme="minorHAnsi" w:hAnsi="Tahoma" w:cs="Tahoma"/>
      <w:sz w:val="16"/>
      <w:szCs w:val="16"/>
      <w:lang w:val="es-CR" w:eastAsia="en-US"/>
    </w:rPr>
  </w:style>
  <w:style w:type="character" w:customStyle="1" w:styleId="TextodegloboCar">
    <w:name w:val="Texto de globo Car"/>
    <w:basedOn w:val="Fuentedeprrafopredeter"/>
    <w:link w:val="Textodeglobo"/>
    <w:uiPriority w:val="99"/>
    <w:semiHidden/>
    <w:rsid w:val="005A1442"/>
    <w:rPr>
      <w:rFonts w:ascii="Tahoma" w:hAnsi="Tahoma" w:cs="Tahoma"/>
      <w:sz w:val="16"/>
      <w:szCs w:val="16"/>
    </w:rPr>
  </w:style>
  <w:style w:type="character" w:styleId="Hipervnculo">
    <w:name w:val="Hyperlink"/>
    <w:basedOn w:val="Fuentedeprrafopredeter"/>
    <w:uiPriority w:val="99"/>
    <w:rsid w:val="005A1442"/>
    <w:rPr>
      <w:color w:val="0000FF"/>
      <w:u w:val="single"/>
    </w:rPr>
  </w:style>
  <w:style w:type="paragraph" w:styleId="Textonotapie">
    <w:name w:val="footnote text"/>
    <w:basedOn w:val="Normal"/>
    <w:link w:val="TextonotapieCar"/>
    <w:rsid w:val="004C3B15"/>
    <w:rPr>
      <w:sz w:val="20"/>
    </w:rPr>
  </w:style>
  <w:style w:type="character" w:customStyle="1" w:styleId="TextonotapieCar">
    <w:name w:val="Texto nota pie Car"/>
    <w:basedOn w:val="Fuentedeprrafopredeter"/>
    <w:link w:val="Textonotapie"/>
    <w:rsid w:val="004C3B15"/>
    <w:rPr>
      <w:rFonts w:ascii="Times New Roman" w:eastAsia="Times New Roman" w:hAnsi="Times New Roman" w:cs="Times New Roman"/>
      <w:sz w:val="20"/>
      <w:szCs w:val="24"/>
      <w:lang w:val="es-ES" w:eastAsia="es-ES"/>
    </w:rPr>
  </w:style>
  <w:style w:type="character" w:styleId="Refdenotaalpie">
    <w:name w:val="footnote reference"/>
    <w:basedOn w:val="Fuentedeprrafopredeter"/>
    <w:rsid w:val="004C3B15"/>
    <w:rPr>
      <w:vertAlign w:val="superscript"/>
    </w:rPr>
  </w:style>
  <w:style w:type="table" w:styleId="Tablaconcuadrcula">
    <w:name w:val="Table Grid"/>
    <w:basedOn w:val="Tablanormal"/>
    <w:uiPriority w:val="59"/>
    <w:rsid w:val="004C3B15"/>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442"/>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A1442"/>
    <w:pPr>
      <w:tabs>
        <w:tab w:val="center" w:pos="4419"/>
        <w:tab w:val="right" w:pos="8838"/>
      </w:tabs>
    </w:pPr>
    <w:rPr>
      <w:rFonts w:asciiTheme="minorHAnsi" w:eastAsiaTheme="minorHAnsi" w:hAnsiTheme="minorHAnsi" w:cstheme="minorBidi"/>
      <w:sz w:val="22"/>
      <w:szCs w:val="22"/>
      <w:lang w:val="es-CR" w:eastAsia="en-US"/>
    </w:rPr>
  </w:style>
  <w:style w:type="character" w:customStyle="1" w:styleId="EncabezadoCar">
    <w:name w:val="Encabezado Car"/>
    <w:basedOn w:val="Fuentedeprrafopredeter"/>
    <w:link w:val="Encabezado"/>
    <w:uiPriority w:val="99"/>
    <w:rsid w:val="005A1442"/>
  </w:style>
  <w:style w:type="paragraph" w:styleId="Piedepgina">
    <w:name w:val="footer"/>
    <w:basedOn w:val="Normal"/>
    <w:link w:val="PiedepginaCar"/>
    <w:unhideWhenUsed/>
    <w:rsid w:val="005A1442"/>
    <w:pPr>
      <w:tabs>
        <w:tab w:val="center" w:pos="4419"/>
        <w:tab w:val="right" w:pos="8838"/>
      </w:tabs>
    </w:pPr>
    <w:rPr>
      <w:rFonts w:asciiTheme="minorHAnsi" w:eastAsiaTheme="minorHAnsi" w:hAnsiTheme="minorHAnsi" w:cstheme="minorBidi"/>
      <w:sz w:val="22"/>
      <w:szCs w:val="22"/>
      <w:lang w:val="es-CR" w:eastAsia="en-US"/>
    </w:rPr>
  </w:style>
  <w:style w:type="character" w:customStyle="1" w:styleId="PiedepginaCar">
    <w:name w:val="Pie de página Car"/>
    <w:basedOn w:val="Fuentedeprrafopredeter"/>
    <w:link w:val="Piedepgina"/>
    <w:rsid w:val="005A1442"/>
  </w:style>
  <w:style w:type="paragraph" w:styleId="Textodeglobo">
    <w:name w:val="Balloon Text"/>
    <w:basedOn w:val="Normal"/>
    <w:link w:val="TextodegloboCar"/>
    <w:uiPriority w:val="99"/>
    <w:semiHidden/>
    <w:unhideWhenUsed/>
    <w:rsid w:val="005A1442"/>
    <w:rPr>
      <w:rFonts w:ascii="Tahoma" w:eastAsiaTheme="minorHAnsi" w:hAnsi="Tahoma" w:cs="Tahoma"/>
      <w:sz w:val="16"/>
      <w:szCs w:val="16"/>
      <w:lang w:val="es-CR" w:eastAsia="en-US"/>
    </w:rPr>
  </w:style>
  <w:style w:type="character" w:customStyle="1" w:styleId="TextodegloboCar">
    <w:name w:val="Texto de globo Car"/>
    <w:basedOn w:val="Fuentedeprrafopredeter"/>
    <w:link w:val="Textodeglobo"/>
    <w:uiPriority w:val="99"/>
    <w:semiHidden/>
    <w:rsid w:val="005A1442"/>
    <w:rPr>
      <w:rFonts w:ascii="Tahoma" w:hAnsi="Tahoma" w:cs="Tahoma"/>
      <w:sz w:val="16"/>
      <w:szCs w:val="16"/>
    </w:rPr>
  </w:style>
  <w:style w:type="character" w:styleId="Hipervnculo">
    <w:name w:val="Hyperlink"/>
    <w:basedOn w:val="Fuentedeprrafopredeter"/>
    <w:uiPriority w:val="99"/>
    <w:rsid w:val="005A1442"/>
    <w:rPr>
      <w:color w:val="0000FF"/>
      <w:u w:val="single"/>
    </w:rPr>
  </w:style>
  <w:style w:type="paragraph" w:styleId="Textonotapie">
    <w:name w:val="footnote text"/>
    <w:basedOn w:val="Normal"/>
    <w:link w:val="TextonotapieCar"/>
    <w:rsid w:val="004C3B15"/>
    <w:rPr>
      <w:sz w:val="20"/>
    </w:rPr>
  </w:style>
  <w:style w:type="character" w:customStyle="1" w:styleId="TextonotapieCar">
    <w:name w:val="Texto nota pie Car"/>
    <w:basedOn w:val="Fuentedeprrafopredeter"/>
    <w:link w:val="Textonotapie"/>
    <w:rsid w:val="004C3B15"/>
    <w:rPr>
      <w:rFonts w:ascii="Times New Roman" w:eastAsia="Times New Roman" w:hAnsi="Times New Roman" w:cs="Times New Roman"/>
      <w:sz w:val="20"/>
      <w:szCs w:val="24"/>
      <w:lang w:val="es-ES" w:eastAsia="es-ES"/>
    </w:rPr>
  </w:style>
  <w:style w:type="character" w:styleId="Refdenotaalpie">
    <w:name w:val="footnote reference"/>
    <w:basedOn w:val="Fuentedeprrafopredeter"/>
    <w:rsid w:val="004C3B15"/>
    <w:rPr>
      <w:vertAlign w:val="superscript"/>
    </w:rPr>
  </w:style>
  <w:style w:type="table" w:styleId="Tablaconcuadrcula">
    <w:name w:val="Table Grid"/>
    <w:basedOn w:val="Tablanormal"/>
    <w:uiPriority w:val="59"/>
    <w:rsid w:val="004C3B15"/>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package" Target="embeddings/Microsoft_Word_Document1.docx"/><Relationship Id="rId5" Type="http://schemas.microsoft.com/office/2007/relationships/stylesWithEffects" Target="stylesWithEffects.xml"/><Relationship Id="rId15" Type="http://schemas.openxmlformats.org/officeDocument/2006/relationships/header" Target="header2.xml"/><Relationship Id="rId10" Type="http://schemas.openxmlformats.org/officeDocument/2006/relationships/image" Target="media/image1.e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ugese@sugese.fi.cr"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sugese@sugese.fi.c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2C5259700016054FB9EF02CC18F40A60" ma:contentTypeVersion="6" ma:contentTypeDescription="Crear nuevo documento." ma:contentTypeScope="" ma:versionID="b9c0e0c741e91f52546f6fa1418e81a2">
  <xsd:schema xmlns:xsd="http://www.w3.org/2001/XMLSchema" xmlns:xs="http://www.w3.org/2001/XMLSchema" xmlns:p="http://schemas.microsoft.com/office/2006/metadata/properties" xmlns:ns2="b9fc4df0-8f56-46e7-b005-54afe0044df7" targetNamespace="http://schemas.microsoft.com/office/2006/metadata/properties" ma:root="true" ma:fieldsID="4e86dda2f0fdd5bfa93fc52ff69e4c55" ns2:_="">
    <xsd:import namespace="b9fc4df0-8f56-46e7-b005-54afe0044df7"/>
    <xsd:element name="properties">
      <xsd:complexType>
        <xsd:sequence>
          <xsd:element name="documentManagement">
            <xsd:complexType>
              <xsd:all>
                <xsd:element ref="ns2:NumeroAcuerdo" minOccurs="0"/>
                <xsd:element ref="ns2:ContenidoMultilineaHTML"/>
                <xsd:element ref="ns2:NormativaRelacionada" minOccurs="0"/>
                <xsd:element ref="ns2:FechaPublicacionDocumento" minOccurs="0"/>
                <xsd:element ref="ns2:SharedWithUsers" minOccurs="0"/>
                <xsd:element ref="ns2:TipoContenid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fc4df0-8f56-46e7-b005-54afe0044df7" elementFormDefault="qualified">
    <xsd:import namespace="http://schemas.microsoft.com/office/2006/documentManagement/types"/>
    <xsd:import namespace="http://schemas.microsoft.com/office/infopath/2007/PartnerControls"/>
    <xsd:element name="NumeroAcuerdo" ma:index="8" nillable="true" ma:displayName="Número Acuerdo" ma:description="" ma:internalName="NumeroAcuerdo">
      <xsd:simpleType>
        <xsd:restriction base="dms:Text"/>
      </xsd:simpleType>
    </xsd:element>
    <xsd:element name="ContenidoMultilineaHTML" ma:index="9" ma:displayName="ContenidoMultilineaHTML" ma:description="" ma:internalName="ContenidoMultilineaHTML">
      <xsd:simpleType>
        <xsd:restriction base="dms:Unknown"/>
      </xsd:simpleType>
    </xsd:element>
    <xsd:element name="NormativaRelacionada" ma:index="10" nillable="true" ma:displayName="Normativa Relacionada" ma:internalName="NormativaRelacionada">
      <xsd:simpleType>
        <xsd:restriction base="dms:Note">
          <xsd:maxLength value="255"/>
        </xsd:restriction>
      </xsd:simpleType>
    </xsd:element>
    <xsd:element name="FechaPublicacionDocumento" ma:index="11" nillable="true" ma:displayName="FechaPublicacionDocumento" ma:description="" ma:internalName="FechaPublicacionDocumento">
      <xsd:simpleType>
        <xsd:restriction base="dms:DateTime"/>
      </xsd:simpleType>
    </xsd:element>
    <xsd:element name="SharedWithUsers" ma:index="12"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ipoContenido" ma:index="13" nillable="true" ma:displayName="TipoContenido" ma:list="{ec55f565-d8ce-4d28-9f5f-877c6e6feccc}" ma:internalName="TipoContenido" ma:showField="Title" ma:web="b9fc4df0-8f56-46e7-b005-54afe0044df7">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echaPublicacionDocumento xmlns="b9fc4df0-8f56-46e7-b005-54afe0044df7">2014-07-21T06:00:00+00:00</FechaPublicacionDocumento>
    <NormativaRelacionada xmlns="b9fc4df0-8f56-46e7-b005-54afe0044df7">&lt;div class="ExternalClass1163B15CF6124B2D81FC4FD791A981C6"&gt;Reglamento relativo a información financiera de entidades, grupos y conglomerados financieros (SUGEF 31-04)&amp;#160;&amp;#160;&lt;/div&gt;</NormativaRelacionada>
    <ContenidoMultilineaHTML xmlns="b9fc4df0-8f56-46e7-b005-54afe0044df7">Presenta el Acuerdo SGS-DES-A-037-2014 Modificación Acuerdo 021-2013 Modelo Información Intermediarios de Seguros&amp;#160;</ContenidoMultilineaHTML>
    <NumeroAcuerdo xmlns="b9fc4df0-8f56-46e7-b005-54afe0044df7">SGS-DES-A-037-2014   </NumeroAcuerdo>
    <TipoContenido xmlns="b9fc4df0-8f56-46e7-b005-54afe0044df7">6</TipoContenid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CE1246-B744-4AD9-9DE6-08668A0211D3}"/>
</file>

<file path=customXml/itemProps2.xml><?xml version="1.0" encoding="utf-8"?>
<ds:datastoreItem xmlns:ds="http://schemas.openxmlformats.org/officeDocument/2006/customXml" ds:itemID="{DC8EB7D9-4C76-4958-A1F1-7AE3216E888A}"/>
</file>

<file path=customXml/itemProps3.xml><?xml version="1.0" encoding="utf-8"?>
<ds:datastoreItem xmlns:ds="http://schemas.openxmlformats.org/officeDocument/2006/customXml" ds:itemID="{F7836636-D20C-4700-AA8D-FAA261FECCE6}"/>
</file>

<file path=docProps/app.xml><?xml version="1.0" encoding="utf-8"?>
<Properties xmlns="http://schemas.openxmlformats.org/officeDocument/2006/extended-properties" xmlns:vt="http://schemas.openxmlformats.org/officeDocument/2006/docPropsVTypes">
  <Template>Normal</Template>
  <TotalTime>0</TotalTime>
  <Pages>5</Pages>
  <Words>1504</Words>
  <Characters>8274</Characters>
  <Application>Microsoft Office Word</Application>
  <DocSecurity>4</DocSecurity>
  <Lines>68</Lines>
  <Paragraphs>19</Paragraphs>
  <ScaleCrop>false</ScaleCrop>
  <HeadingPairs>
    <vt:vector size="2" baseType="variant">
      <vt:variant>
        <vt:lpstr>Título</vt:lpstr>
      </vt:variant>
      <vt:variant>
        <vt:i4>1</vt:i4>
      </vt:variant>
    </vt:vector>
  </HeadingPairs>
  <TitlesOfParts>
    <vt:vector size="1" baseType="lpstr">
      <vt:lpstr>Modifición acuerdo 21.</vt:lpstr>
    </vt:vector>
  </TitlesOfParts>
  <Company>Superintendencia General de Seguros</Company>
  <LinksUpToDate>false</LinksUpToDate>
  <CharactersWithSpaces>9759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SGS-A-0037-2014   </dc:title>
  <dc:creator>VARGAS GARRO TATIANA</dc:creator>
  <cp:lastModifiedBy>SABORIO ROJAS JUAN CARLOS</cp:lastModifiedBy>
  <cp:revision>2</cp:revision>
  <dcterms:created xsi:type="dcterms:W3CDTF">2014-07-21T22:15:00Z</dcterms:created>
  <dcterms:modified xsi:type="dcterms:W3CDTF">2014-07-21T22:15:00Z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0x0101002C5259700016054FB9EF02CC18F40A60</vt:lpwstr>
  </property>
  <property fmtid="{D5CDD505-2E9C-101B-9397-08002B2CF9AE}" pid="3" name="WorkflowChangePath">
    <vt:lpwstr>0de3a363-599f-4bf8-bc5a-92ece09ed8be,3;</vt:lpwstr>
  </property>
</Properties>
</file>