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6C2D8" w14:textId="77777777" w:rsidR="00C00485" w:rsidRDefault="00C00485"/>
    <w:p w14:paraId="7616C2D9" w14:textId="77777777" w:rsidR="0016515C" w:rsidRPr="00161651" w:rsidRDefault="0016515C" w:rsidP="0016515C">
      <w:pPr>
        <w:ind w:left="-567"/>
        <w:jc w:val="both"/>
        <w:rPr>
          <w:rFonts w:asciiTheme="majorHAnsi" w:hAnsiTheme="majorHAnsi"/>
          <w:i/>
          <w:color w:val="000000"/>
        </w:rPr>
      </w:pPr>
      <w:r w:rsidRPr="00161651">
        <w:rPr>
          <w:rFonts w:asciiTheme="majorHAnsi" w:hAnsiTheme="majorHAnsi"/>
          <w:i/>
          <w:color w:val="000000"/>
        </w:rPr>
        <w:t>Tomás Soley Pérez</w:t>
      </w:r>
    </w:p>
    <w:p w14:paraId="7616C2DA" w14:textId="77777777" w:rsidR="0016515C" w:rsidRPr="00161651" w:rsidRDefault="0016515C" w:rsidP="0016515C">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14:paraId="7616C2DB" w14:textId="77777777" w:rsidR="005A1442" w:rsidRDefault="005A1442" w:rsidP="005A1442">
      <w:pPr>
        <w:ind w:hanging="567"/>
        <w:jc w:val="both"/>
        <w:rPr>
          <w:rFonts w:asciiTheme="majorHAnsi" w:hAnsiTheme="majorHAnsi"/>
          <w:b/>
          <w:i/>
          <w:color w:val="000000"/>
        </w:rPr>
      </w:pPr>
    </w:p>
    <w:p w14:paraId="7616C2DC" w14:textId="77777777" w:rsidR="005A1442" w:rsidRDefault="005A1442" w:rsidP="005A1442">
      <w:pPr>
        <w:jc w:val="both"/>
        <w:rPr>
          <w:rFonts w:asciiTheme="majorHAnsi" w:hAnsiTheme="majorHAnsi"/>
          <w:b/>
          <w:i/>
          <w:color w:val="000000"/>
        </w:rPr>
      </w:pPr>
    </w:p>
    <w:tbl>
      <w:tblPr>
        <w:tblW w:w="5000" w:type="pct"/>
        <w:jc w:val="center"/>
        <w:tblLook w:val="04A0" w:firstRow="1" w:lastRow="0" w:firstColumn="1" w:lastColumn="0" w:noHBand="0" w:noVBand="1"/>
      </w:tblPr>
      <w:tblGrid>
        <w:gridCol w:w="9054"/>
      </w:tblGrid>
      <w:tr w:rsidR="00C129D8" w:rsidRPr="00EA718A" w14:paraId="7616C2E3" w14:textId="77777777" w:rsidTr="00831965">
        <w:trPr>
          <w:trHeight w:val="278"/>
          <w:jc w:val="center"/>
        </w:trPr>
        <w:tc>
          <w:tcPr>
            <w:tcW w:w="5000" w:type="pct"/>
          </w:tcPr>
          <w:p w14:paraId="7616C2DD" w14:textId="77777777" w:rsidR="00C129D8" w:rsidRPr="003F48B0" w:rsidRDefault="00C129D8" w:rsidP="00831965">
            <w:pPr>
              <w:jc w:val="center"/>
              <w:rPr>
                <w:rFonts w:asciiTheme="majorHAnsi" w:hAnsiTheme="majorHAnsi"/>
                <w:b/>
                <w:sz w:val="32"/>
                <w:lang w:val="es-ES_tradnl"/>
              </w:rPr>
            </w:pPr>
            <w:r w:rsidRPr="003F48B0">
              <w:rPr>
                <w:rFonts w:asciiTheme="majorHAnsi" w:hAnsiTheme="majorHAnsi"/>
                <w:b/>
                <w:sz w:val="32"/>
                <w:lang w:val="es-ES_tradnl"/>
              </w:rPr>
              <w:t>ACUERDO DE SUPERINTENDENTE</w:t>
            </w:r>
          </w:p>
          <w:p w14:paraId="7616C2DE" w14:textId="77777777" w:rsidR="00C129D8" w:rsidRDefault="00C129D8" w:rsidP="00831965">
            <w:pPr>
              <w:jc w:val="center"/>
              <w:rPr>
                <w:rFonts w:asciiTheme="majorHAnsi" w:hAnsiTheme="majorHAnsi"/>
                <w:b/>
                <w:sz w:val="32"/>
                <w:lang w:val="es-ES_tradnl"/>
              </w:rPr>
            </w:pPr>
          </w:p>
          <w:p w14:paraId="7616C2DF" w14:textId="77777777" w:rsidR="00C129D8" w:rsidRPr="003F48B0" w:rsidRDefault="00C129D8" w:rsidP="00831965">
            <w:pPr>
              <w:jc w:val="center"/>
              <w:rPr>
                <w:rFonts w:asciiTheme="majorHAnsi" w:hAnsiTheme="majorHAnsi"/>
                <w:b/>
                <w:sz w:val="32"/>
                <w:lang w:val="es-ES_tradnl"/>
              </w:rPr>
            </w:pPr>
            <w:r w:rsidRPr="003F48B0">
              <w:rPr>
                <w:rFonts w:asciiTheme="majorHAnsi" w:hAnsiTheme="majorHAnsi"/>
                <w:b/>
                <w:sz w:val="32"/>
                <w:lang w:val="es-ES_tradnl"/>
              </w:rPr>
              <w:t>SGS-DES-A-</w:t>
            </w:r>
            <w:r w:rsidR="00E6795F">
              <w:rPr>
                <w:rFonts w:asciiTheme="majorHAnsi" w:hAnsiTheme="majorHAnsi"/>
                <w:b/>
                <w:sz w:val="32"/>
                <w:lang w:val="es-ES_tradnl"/>
              </w:rPr>
              <w:t>036</w:t>
            </w:r>
            <w:r w:rsidRPr="003F48B0">
              <w:rPr>
                <w:rFonts w:asciiTheme="majorHAnsi" w:hAnsiTheme="majorHAnsi"/>
                <w:b/>
                <w:sz w:val="32"/>
                <w:lang w:val="es-ES_tradnl"/>
              </w:rPr>
              <w:t>-2014</w:t>
            </w:r>
          </w:p>
          <w:p w14:paraId="7616C2E0" w14:textId="77777777" w:rsidR="00C129D8" w:rsidRDefault="00C129D8" w:rsidP="00831965">
            <w:pPr>
              <w:pStyle w:val="Textoindependiente3"/>
              <w:jc w:val="center"/>
              <w:rPr>
                <w:rFonts w:asciiTheme="majorHAnsi" w:hAnsiTheme="majorHAnsi"/>
                <w:b/>
                <w:lang w:val="es-ES_tradnl"/>
              </w:rPr>
            </w:pPr>
          </w:p>
          <w:p w14:paraId="7616C2E1" w14:textId="77777777" w:rsidR="00C129D8" w:rsidRPr="003F48B0" w:rsidRDefault="00C129D8" w:rsidP="00831965">
            <w:pPr>
              <w:pStyle w:val="Textoindependiente3"/>
              <w:jc w:val="center"/>
              <w:rPr>
                <w:rFonts w:asciiTheme="majorHAnsi" w:hAnsiTheme="majorHAnsi"/>
                <w:b/>
                <w:sz w:val="28"/>
                <w:lang w:val="es-ES_tradnl"/>
              </w:rPr>
            </w:pPr>
            <w:r w:rsidRPr="003F48B0">
              <w:rPr>
                <w:rFonts w:asciiTheme="majorHAnsi" w:hAnsiTheme="majorHAnsi"/>
                <w:b/>
                <w:sz w:val="28"/>
                <w:lang w:val="es-ES_tradnl"/>
              </w:rPr>
              <w:t xml:space="preserve">Modificación al acuerdo SGS-DES-A-021-2013 </w:t>
            </w:r>
            <w:r w:rsidRPr="003F48B0">
              <w:rPr>
                <w:rFonts w:asciiTheme="majorHAnsi" w:hAnsiTheme="majorHAnsi"/>
                <w:b/>
                <w:i/>
                <w:sz w:val="28"/>
                <w:lang w:val="es-ES_tradnl"/>
              </w:rPr>
              <w:t>“Disposiciones para la Remisión de la Información Contable y Estadística a la Superintendencia General de Seguros por parte de las Entidades Supervisadas”</w:t>
            </w:r>
            <w:r w:rsidRPr="003F48B0">
              <w:rPr>
                <w:rFonts w:asciiTheme="majorHAnsi" w:hAnsiTheme="majorHAnsi"/>
                <w:b/>
                <w:sz w:val="28"/>
                <w:lang w:val="es-ES_tradnl"/>
              </w:rPr>
              <w:t>.</w:t>
            </w:r>
          </w:p>
          <w:p w14:paraId="7616C2E2" w14:textId="77777777" w:rsidR="00C129D8" w:rsidRPr="009C0F04" w:rsidRDefault="00C129D8" w:rsidP="00831965">
            <w:pPr>
              <w:pStyle w:val="Textoindependiente3"/>
              <w:jc w:val="center"/>
              <w:rPr>
                <w:rFonts w:asciiTheme="majorHAnsi" w:hAnsiTheme="majorHAnsi"/>
                <w:b/>
                <w:lang w:val="es-ES_tradnl" w:eastAsia="en-US"/>
              </w:rPr>
            </w:pPr>
          </w:p>
        </w:tc>
      </w:tr>
      <w:tr w:rsidR="00C129D8" w:rsidRPr="00EA718A" w14:paraId="7616C2E5" w14:textId="77777777" w:rsidTr="00831965">
        <w:trPr>
          <w:jc w:val="center"/>
        </w:trPr>
        <w:tc>
          <w:tcPr>
            <w:tcW w:w="5000" w:type="pct"/>
          </w:tcPr>
          <w:p w14:paraId="7616C2E4" w14:textId="77777777" w:rsidR="00C129D8" w:rsidRPr="009C0F04" w:rsidRDefault="00C129D8" w:rsidP="00831965">
            <w:pPr>
              <w:widowControl w:val="0"/>
              <w:jc w:val="both"/>
              <w:rPr>
                <w:rFonts w:asciiTheme="majorHAnsi" w:hAnsiTheme="majorHAnsi"/>
                <w:b/>
                <w:i/>
              </w:rPr>
            </w:pPr>
            <w:r w:rsidRPr="009C0F04">
              <w:rPr>
                <w:rFonts w:asciiTheme="majorHAnsi" w:hAnsiTheme="majorHAnsi"/>
                <w:b/>
                <w:lang w:val="es-ES_tradnl"/>
              </w:rPr>
              <w:t>Inclusión de Modelo de Cuenta Técnica en el Sistema de Supervisión de Seguros y Modelo de Saldos Contables  y otras reformas</w:t>
            </w:r>
          </w:p>
        </w:tc>
      </w:tr>
      <w:tr w:rsidR="00C129D8" w:rsidRPr="00EA718A" w14:paraId="7616C2E9" w14:textId="77777777" w:rsidTr="00831965">
        <w:trPr>
          <w:jc w:val="center"/>
        </w:trPr>
        <w:tc>
          <w:tcPr>
            <w:tcW w:w="5000" w:type="pct"/>
          </w:tcPr>
          <w:p w14:paraId="7616C2E6" w14:textId="77777777" w:rsidR="00C129D8" w:rsidRDefault="00C129D8" w:rsidP="00831965">
            <w:pPr>
              <w:widowControl w:val="0"/>
              <w:jc w:val="both"/>
              <w:rPr>
                <w:rFonts w:asciiTheme="majorHAnsi" w:hAnsiTheme="majorHAnsi"/>
                <w:lang w:val="es-ES_tradnl"/>
              </w:rPr>
            </w:pPr>
          </w:p>
          <w:p w14:paraId="7616C2E7" w14:textId="77777777" w:rsidR="00C129D8" w:rsidRDefault="00C129D8" w:rsidP="00831965">
            <w:pPr>
              <w:widowControl w:val="0"/>
              <w:jc w:val="both"/>
              <w:rPr>
                <w:rFonts w:asciiTheme="majorHAnsi" w:hAnsiTheme="majorHAnsi"/>
                <w:lang w:val="es-ES_tradnl"/>
              </w:rPr>
            </w:pPr>
            <w:r w:rsidRPr="009C0F04">
              <w:rPr>
                <w:rFonts w:asciiTheme="majorHAnsi" w:hAnsiTheme="majorHAnsi"/>
                <w:lang w:val="es-ES_tradnl"/>
              </w:rPr>
              <w:t xml:space="preserve">El Superintendente General de Seguros, a las </w:t>
            </w:r>
            <w:r w:rsidR="00E6795F">
              <w:rPr>
                <w:rFonts w:asciiTheme="majorHAnsi" w:hAnsiTheme="majorHAnsi"/>
                <w:lang w:val="es-ES_tradnl"/>
              </w:rPr>
              <w:t xml:space="preserve">diez </w:t>
            </w:r>
            <w:r w:rsidRPr="009C0F04">
              <w:rPr>
                <w:rFonts w:asciiTheme="majorHAnsi" w:hAnsiTheme="majorHAnsi"/>
                <w:lang w:val="es-ES_tradnl"/>
              </w:rPr>
              <w:t xml:space="preserve">horas del </w:t>
            </w:r>
            <w:r w:rsidR="00E6795F">
              <w:rPr>
                <w:rFonts w:asciiTheme="majorHAnsi" w:hAnsiTheme="majorHAnsi"/>
                <w:lang w:val="es-ES_tradnl"/>
              </w:rPr>
              <w:t>ocho</w:t>
            </w:r>
            <w:r w:rsidRPr="009C0F04">
              <w:rPr>
                <w:rFonts w:asciiTheme="majorHAnsi" w:hAnsiTheme="majorHAnsi"/>
                <w:lang w:val="es-ES_tradnl"/>
              </w:rPr>
              <w:t xml:space="preserve"> de </w:t>
            </w:r>
            <w:r w:rsidR="00E6795F">
              <w:rPr>
                <w:rFonts w:asciiTheme="majorHAnsi" w:hAnsiTheme="majorHAnsi"/>
                <w:lang w:val="es-ES_tradnl"/>
              </w:rPr>
              <w:t>julio</w:t>
            </w:r>
            <w:r w:rsidRPr="009C0F04">
              <w:rPr>
                <w:rFonts w:asciiTheme="majorHAnsi" w:hAnsiTheme="majorHAnsi"/>
                <w:lang w:val="es-ES_tradnl"/>
              </w:rPr>
              <w:t xml:space="preserve"> de dos mil catorce, considerando que: </w:t>
            </w:r>
          </w:p>
          <w:p w14:paraId="7616C2E8" w14:textId="77777777" w:rsidR="00C129D8" w:rsidRPr="009C0F04" w:rsidRDefault="00C129D8" w:rsidP="00831965">
            <w:pPr>
              <w:widowControl w:val="0"/>
              <w:jc w:val="both"/>
              <w:rPr>
                <w:rFonts w:asciiTheme="majorHAnsi" w:hAnsiTheme="majorHAnsi"/>
                <w:b/>
                <w:i/>
              </w:rPr>
            </w:pPr>
          </w:p>
        </w:tc>
      </w:tr>
      <w:tr w:rsidR="00C129D8" w:rsidRPr="00EA718A" w14:paraId="7616C2EC" w14:textId="77777777" w:rsidTr="00831965">
        <w:trPr>
          <w:jc w:val="center"/>
        </w:trPr>
        <w:tc>
          <w:tcPr>
            <w:tcW w:w="5000" w:type="pct"/>
          </w:tcPr>
          <w:p w14:paraId="7616C2EA" w14:textId="77777777" w:rsidR="00C129D8" w:rsidRDefault="00C129D8" w:rsidP="00831965">
            <w:pPr>
              <w:ind w:left="284" w:hanging="284"/>
              <w:jc w:val="both"/>
              <w:rPr>
                <w:rFonts w:asciiTheme="majorHAnsi" w:hAnsiTheme="majorHAnsi"/>
              </w:rPr>
            </w:pPr>
            <w:r w:rsidRPr="009C0F04">
              <w:rPr>
                <w:rFonts w:asciiTheme="majorHAnsi" w:hAnsiTheme="majorHAnsi"/>
              </w:rPr>
              <w:t xml:space="preserve">a.- </w:t>
            </w:r>
            <w:r w:rsidRPr="009C0F04">
              <w:rPr>
                <w:rFonts w:asciiTheme="majorHAnsi" w:hAnsiTheme="majorHAnsi"/>
                <w:lang w:val="es-ES_tradnl"/>
              </w:rPr>
              <w:t>La</w:t>
            </w:r>
            <w:r w:rsidRPr="009C0F04">
              <w:rPr>
                <w:rFonts w:asciiTheme="majorHAnsi" w:hAnsiTheme="majorHAnsi"/>
              </w:rPr>
              <w:t xml:space="preserve"> Superintendencia General de Seguros  (SUGESE) debe disponer de información, en los plazos, formatos y medios que le permita realizar una evaluación exhaustiva y rigurosa de cada uno de los participantes del mercado de seguros, con el fin de cumplir con el objetivo definido en </w:t>
            </w:r>
            <w:r w:rsidRPr="009C0F04">
              <w:rPr>
                <w:rFonts w:asciiTheme="majorHAnsi" w:hAnsiTheme="majorHAnsi"/>
                <w:lang w:val="es-ES_tradnl"/>
              </w:rPr>
              <w:t>el</w:t>
            </w:r>
            <w:r w:rsidRPr="009C0F04">
              <w:rPr>
                <w:rFonts w:asciiTheme="majorHAnsi" w:hAnsiTheme="majorHAnsi"/>
              </w:rPr>
              <w:t xml:space="preserve"> artículo 29, de la Ley Reguladora del Mercado de Seguros, Ley N° 8653, de </w:t>
            </w:r>
            <w:r w:rsidRPr="009C0F04">
              <w:rPr>
                <w:rFonts w:asciiTheme="majorHAnsi" w:hAnsiTheme="majorHAnsi"/>
                <w:i/>
              </w:rPr>
              <w:t>“velar por la estabilidad y el eficiente funcionamiento del mercado de seguros, así como entregar la más amplia información a los asegurados”</w:t>
            </w:r>
            <w:r w:rsidRPr="009C0F04">
              <w:rPr>
                <w:rFonts w:asciiTheme="majorHAnsi" w:hAnsiTheme="majorHAnsi"/>
              </w:rPr>
              <w:t>.</w:t>
            </w:r>
          </w:p>
          <w:p w14:paraId="7616C2EB" w14:textId="77777777" w:rsidR="00C129D8" w:rsidRPr="009C0F04" w:rsidRDefault="00C129D8" w:rsidP="00831965">
            <w:pPr>
              <w:ind w:left="284" w:hanging="284"/>
              <w:jc w:val="both"/>
              <w:rPr>
                <w:rFonts w:asciiTheme="majorHAnsi" w:hAnsiTheme="majorHAnsi"/>
              </w:rPr>
            </w:pPr>
          </w:p>
        </w:tc>
      </w:tr>
      <w:tr w:rsidR="00C129D8" w:rsidRPr="00EA718A" w14:paraId="7616C2EF" w14:textId="77777777" w:rsidTr="00831965">
        <w:trPr>
          <w:jc w:val="center"/>
        </w:trPr>
        <w:tc>
          <w:tcPr>
            <w:tcW w:w="5000" w:type="pct"/>
          </w:tcPr>
          <w:p w14:paraId="7616C2ED" w14:textId="77777777" w:rsidR="00C129D8" w:rsidRDefault="00C129D8" w:rsidP="00831965">
            <w:pPr>
              <w:ind w:left="284" w:hanging="284"/>
              <w:jc w:val="both"/>
              <w:rPr>
                <w:rFonts w:asciiTheme="majorHAnsi" w:hAnsiTheme="majorHAnsi"/>
              </w:rPr>
            </w:pPr>
            <w:r w:rsidRPr="009C0F04">
              <w:rPr>
                <w:rFonts w:asciiTheme="majorHAnsi" w:hAnsiTheme="majorHAnsi"/>
              </w:rPr>
              <w:t>b.-De conformidad con el artículo 25 c) de la Ley N° 8653, las entidades aseguradoras y reaseguradoras están obligados a proporcionar a la Superintendencia la información correcta y completa, en los plazos y formalidades requeridos. Además, para el cumplimiento, supervisión y verificación de las obligaciones de las entidades supervisadas, señaladas en el artículo citado, la Superintendencia puede definir los contenidos, plazos, periodicidades y las formalidades requeridas, según lo faculta el último párrafo de dicho articulado.</w:t>
            </w:r>
          </w:p>
          <w:p w14:paraId="7616C2EE" w14:textId="77777777" w:rsidR="00C129D8" w:rsidRPr="009C0F04" w:rsidRDefault="00C129D8" w:rsidP="00831965">
            <w:pPr>
              <w:ind w:left="284" w:hanging="284"/>
              <w:jc w:val="both"/>
              <w:rPr>
                <w:rFonts w:asciiTheme="majorHAnsi" w:hAnsiTheme="majorHAnsi"/>
              </w:rPr>
            </w:pPr>
          </w:p>
        </w:tc>
      </w:tr>
      <w:tr w:rsidR="00C129D8" w:rsidRPr="00EA718A" w14:paraId="7616C2F2" w14:textId="77777777" w:rsidTr="00831965">
        <w:trPr>
          <w:trHeight w:val="1048"/>
          <w:jc w:val="center"/>
        </w:trPr>
        <w:tc>
          <w:tcPr>
            <w:tcW w:w="5000" w:type="pct"/>
          </w:tcPr>
          <w:p w14:paraId="7616C2F0" w14:textId="6162EE54" w:rsidR="00C129D8" w:rsidRDefault="00C129D8" w:rsidP="00831965">
            <w:pPr>
              <w:ind w:left="284" w:hanging="284"/>
              <w:jc w:val="both"/>
              <w:rPr>
                <w:rFonts w:asciiTheme="majorHAnsi" w:hAnsiTheme="majorHAnsi"/>
              </w:rPr>
            </w:pPr>
            <w:r w:rsidRPr="009C0F04">
              <w:rPr>
                <w:rFonts w:asciiTheme="majorHAnsi" w:hAnsiTheme="majorHAnsi"/>
              </w:rPr>
              <w:t xml:space="preserve">c.- La remisión de información financiera de manera periódica constituye una herramienta fundamental para las labores de supervisión y control desarrolladas por la Superintendencia.  De acuerdo con el principio 9 de IAIS, relacionado con la Revisión del supervisor, para una supervisión efectiva, la entidad supervisora debe obtener la información necesaria para llevar a cabo sus labores de supervisar y </w:t>
            </w:r>
            <w:r w:rsidRPr="009C0F04">
              <w:rPr>
                <w:rFonts w:asciiTheme="majorHAnsi" w:hAnsiTheme="majorHAnsi"/>
              </w:rPr>
              <w:lastRenderedPageBreak/>
              <w:t>analizar a las aseguradoras y evaluar el mercado de seguros. Para cumplir con lo señalado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7616C2F1" w14:textId="77777777" w:rsidR="00C129D8" w:rsidRPr="009C0F04" w:rsidRDefault="00C129D8" w:rsidP="00831965">
            <w:pPr>
              <w:ind w:left="284" w:hanging="284"/>
              <w:jc w:val="both"/>
              <w:rPr>
                <w:rFonts w:asciiTheme="majorHAnsi" w:hAnsiTheme="majorHAnsi"/>
              </w:rPr>
            </w:pPr>
          </w:p>
        </w:tc>
      </w:tr>
      <w:tr w:rsidR="00C129D8" w:rsidRPr="00EA718A" w14:paraId="7616C2F5" w14:textId="77777777" w:rsidTr="00831965">
        <w:trPr>
          <w:jc w:val="center"/>
        </w:trPr>
        <w:tc>
          <w:tcPr>
            <w:tcW w:w="5000" w:type="pct"/>
          </w:tcPr>
          <w:p w14:paraId="7616C2F3" w14:textId="77777777" w:rsidR="00C129D8" w:rsidRDefault="00C129D8" w:rsidP="00831965">
            <w:pPr>
              <w:ind w:left="284" w:hanging="284"/>
              <w:jc w:val="both"/>
              <w:rPr>
                <w:rFonts w:asciiTheme="majorHAnsi" w:hAnsiTheme="majorHAnsi"/>
              </w:rPr>
            </w:pPr>
            <w:r w:rsidRPr="009C0F04">
              <w:rPr>
                <w:rFonts w:asciiTheme="majorHAnsi" w:hAnsiTheme="majorHAnsi"/>
              </w:rPr>
              <w:lastRenderedPageBreak/>
              <w:t>d.- La SUGESE basa su accionar en un enfoque de supervisión basado en riesgos, definiendo en primera instancia un modelo de evaluación de áreas de riesgo y control del régimen de solvencia, el cual es aplicable a las entidades aseguradoras y reaseguradoras, así como parámetros de alerta temprana e intervención por parte de esta Superintendencia, para lo cual es fundamental contar con información confiable y oportuna por parte de las entidades supervisadas.</w:t>
            </w:r>
          </w:p>
          <w:p w14:paraId="7616C2F4" w14:textId="77777777" w:rsidR="00C129D8" w:rsidRPr="009C0F04" w:rsidRDefault="00C129D8" w:rsidP="00831965">
            <w:pPr>
              <w:ind w:left="284" w:hanging="284"/>
              <w:jc w:val="both"/>
              <w:rPr>
                <w:rFonts w:asciiTheme="majorHAnsi" w:hAnsiTheme="majorHAnsi"/>
              </w:rPr>
            </w:pPr>
          </w:p>
        </w:tc>
      </w:tr>
      <w:tr w:rsidR="00C129D8" w:rsidRPr="00EA718A" w14:paraId="7616C2F8" w14:textId="77777777" w:rsidTr="00831965">
        <w:trPr>
          <w:trHeight w:val="715"/>
          <w:jc w:val="center"/>
        </w:trPr>
        <w:tc>
          <w:tcPr>
            <w:tcW w:w="5000" w:type="pct"/>
          </w:tcPr>
          <w:p w14:paraId="7616C2F6" w14:textId="77777777" w:rsidR="00C129D8" w:rsidRDefault="00C129D8" w:rsidP="00831965">
            <w:pPr>
              <w:ind w:left="284" w:hanging="284"/>
              <w:jc w:val="both"/>
              <w:rPr>
                <w:rFonts w:asciiTheme="majorHAnsi" w:hAnsiTheme="majorHAnsi"/>
              </w:rPr>
            </w:pPr>
            <w:r w:rsidRPr="009C0F04">
              <w:rPr>
                <w:rFonts w:asciiTheme="majorHAnsi" w:hAnsiTheme="majorHAnsi"/>
              </w:rPr>
              <w:t>e.- A efecto de ordenar el envío de información por parte de las entidades supervisadas, la SUGESE, el 23 de mayo de 2013 emitió el Acuerdo SGS-DES-A-021-2013 denominado Disposiciones para la Remisión de la Información Contable y Estadística a la Superintendencia General de Seguros por parte de las Entidades Supervisadas, el cual se establece el contenido, la periodicidad, el plazo y  el medio de envío de los diferentes informes que le deben ser proporcionados a la Superintendencia por parte de las entidades de seguros.</w:t>
            </w:r>
          </w:p>
          <w:p w14:paraId="7616C2F7" w14:textId="77777777" w:rsidR="00C129D8" w:rsidRPr="009C0F04" w:rsidRDefault="00C129D8" w:rsidP="00831965">
            <w:pPr>
              <w:ind w:left="284" w:hanging="284"/>
              <w:jc w:val="both"/>
              <w:rPr>
                <w:rFonts w:asciiTheme="majorHAnsi" w:hAnsiTheme="majorHAnsi"/>
              </w:rPr>
            </w:pPr>
          </w:p>
        </w:tc>
      </w:tr>
      <w:tr w:rsidR="00C129D8" w:rsidRPr="00EA718A" w14:paraId="7616C2FB" w14:textId="77777777" w:rsidTr="00831965">
        <w:trPr>
          <w:jc w:val="center"/>
        </w:trPr>
        <w:tc>
          <w:tcPr>
            <w:tcW w:w="5000" w:type="pct"/>
          </w:tcPr>
          <w:p w14:paraId="7616C2F9" w14:textId="77777777" w:rsidR="00C129D8" w:rsidRDefault="00C129D8" w:rsidP="00831965">
            <w:pPr>
              <w:ind w:left="284" w:hanging="284"/>
              <w:jc w:val="both"/>
              <w:rPr>
                <w:rFonts w:asciiTheme="majorHAnsi" w:hAnsiTheme="majorHAnsi"/>
              </w:rPr>
            </w:pPr>
            <w:r w:rsidRPr="009C0F04">
              <w:rPr>
                <w:rFonts w:asciiTheme="majorHAnsi" w:hAnsiTheme="majorHAnsi"/>
              </w:rPr>
              <w:t>f.- De conformidad con el artículo 29 de la Ley N° 8653, la Superintendencia aplica la norma establecida en el artículo 180 de la Ley Reguladora del Mercado de Valores, Ley  N° 7732, la cual faculta a la utilización de medios electrónicos o magnéticos de transmisión y almacenamiento de datos, para solicitar información a las entidades supervisadas y para mantener sus archivos, actas y demás documentos. Además indica que la información así mantenida tiene valor probatorio equivalente al de los documentos para todos los efectos legales.</w:t>
            </w:r>
          </w:p>
          <w:p w14:paraId="7616C2FA" w14:textId="77777777" w:rsidR="00C129D8" w:rsidRPr="009C0F04" w:rsidRDefault="00C129D8" w:rsidP="00831965">
            <w:pPr>
              <w:ind w:left="284" w:hanging="284"/>
              <w:jc w:val="both"/>
              <w:rPr>
                <w:rFonts w:asciiTheme="majorHAnsi" w:hAnsiTheme="majorHAnsi"/>
              </w:rPr>
            </w:pPr>
          </w:p>
        </w:tc>
      </w:tr>
      <w:tr w:rsidR="00C129D8" w:rsidRPr="00EA718A" w14:paraId="7616C2FE" w14:textId="77777777" w:rsidTr="00831965">
        <w:trPr>
          <w:jc w:val="center"/>
        </w:trPr>
        <w:tc>
          <w:tcPr>
            <w:tcW w:w="5000" w:type="pct"/>
          </w:tcPr>
          <w:p w14:paraId="7616C2FC" w14:textId="67587706" w:rsidR="00C129D8" w:rsidRDefault="00C129D8" w:rsidP="00831965">
            <w:pPr>
              <w:ind w:left="284" w:hanging="284"/>
              <w:jc w:val="both"/>
              <w:rPr>
                <w:rFonts w:asciiTheme="majorHAnsi" w:hAnsiTheme="majorHAnsi"/>
              </w:rPr>
            </w:pPr>
            <w:r w:rsidRPr="009C0F04">
              <w:rPr>
                <w:rFonts w:asciiTheme="majorHAnsi" w:hAnsiTheme="majorHAnsi"/>
              </w:rPr>
              <w:t>g.- Mediante artículo 10, del acta de la sesión 1053-2013, celebrada el 23 de julio del 2013, el Consejo Nacional de Supervisión del Sistema Financiero(CONASSIF), aprobó una modificación al Plan de Cuentas para las Entidades de Seguros la cual entra en vigencia a partir del 1° de enero del 2015, de conformidad con lo  acordado por el CONASSIF mediante inciso 3 del artículo 8, del acta de la sesión 1080-2013,</w:t>
            </w:r>
            <w:r w:rsidR="000B6068">
              <w:rPr>
                <w:rFonts w:asciiTheme="majorHAnsi" w:hAnsiTheme="majorHAnsi"/>
              </w:rPr>
              <w:t xml:space="preserve"> del 17 de diciembre de 2013.  </w:t>
            </w:r>
            <w:r w:rsidRPr="009C0F04">
              <w:rPr>
                <w:rFonts w:asciiTheme="majorHAnsi" w:hAnsiTheme="majorHAnsi"/>
              </w:rPr>
              <w:t xml:space="preserve">Por lo tanto, se requiere ajustar el </w:t>
            </w:r>
            <w:r w:rsidRPr="009C0F04">
              <w:rPr>
                <w:rFonts w:asciiTheme="majorHAnsi" w:hAnsiTheme="majorHAnsi"/>
              </w:rPr>
              <w:lastRenderedPageBreak/>
              <w:t>acuerdo de Superintendente SGS-DES-A-021-2013, de tal forma que a partir del 1° de enero de 2015 la información de saldos contables se revele mediante un modelo del Sistema de Supervisión de Seguros (SSS).</w:t>
            </w:r>
          </w:p>
          <w:p w14:paraId="7616C2FD" w14:textId="77777777" w:rsidR="00C129D8" w:rsidRPr="009C0F04" w:rsidRDefault="00C129D8" w:rsidP="00831965">
            <w:pPr>
              <w:ind w:left="284" w:hanging="284"/>
              <w:jc w:val="both"/>
              <w:rPr>
                <w:rFonts w:asciiTheme="majorHAnsi" w:hAnsiTheme="majorHAnsi"/>
              </w:rPr>
            </w:pPr>
          </w:p>
        </w:tc>
      </w:tr>
      <w:tr w:rsidR="00C129D8" w:rsidRPr="00EA718A" w14:paraId="7616C301" w14:textId="77777777" w:rsidTr="00831965">
        <w:trPr>
          <w:jc w:val="center"/>
        </w:trPr>
        <w:tc>
          <w:tcPr>
            <w:tcW w:w="5000" w:type="pct"/>
          </w:tcPr>
          <w:p w14:paraId="7616C2FF" w14:textId="77777777" w:rsidR="00C129D8" w:rsidRDefault="00C129D8" w:rsidP="00831965">
            <w:pPr>
              <w:ind w:left="284" w:hanging="284"/>
              <w:jc w:val="both"/>
              <w:rPr>
                <w:rFonts w:asciiTheme="majorHAnsi" w:hAnsiTheme="majorHAnsi"/>
              </w:rPr>
            </w:pPr>
            <w:r w:rsidRPr="009C0F04">
              <w:rPr>
                <w:rFonts w:asciiTheme="majorHAnsi" w:hAnsiTheme="majorHAnsi"/>
              </w:rPr>
              <w:lastRenderedPageBreak/>
              <w:t>h.- En línea con lo apuntado de previo, la SUGESE ha desarrollado la plataforma informática denominada Sistema de Supervisión de Seguros (SSS), la cual permite la captura automatizada, el procesamiento, la generación de alertas reportes y estadísticas, relativos a la información financiero contable de las entidades supervisadas, con lo cual permite contar con la información necesaria para los fines de supervisión y seguimiento del mercado por parte de la Superintendencia. Para el buen funcionamiento del SSS es necesario un constante mantenimiento y actualización, en respuesta a las necesidades de la Superintendencia y de las entidades supervisadas; además, su diseño modular permite incorporar nuevos instrumentos de supervisión.  Así, en esta oportunidad se quiere, por un lado incorporar la cuenta técnica financiera de las aseguradoras como una nueva herramienta para la supervisión del desempeño de las supervisadas y en particular para el seguimiento de las provisiones técnicas; y por otro lado ejecutar mejoras detectadas en varios modelos del SSS, a partir de observaciones recibidas de las entidades como parte de la implementación y uso del SSS.</w:t>
            </w:r>
          </w:p>
          <w:p w14:paraId="7616C300" w14:textId="77777777" w:rsidR="00C129D8" w:rsidRPr="009C0F04" w:rsidRDefault="00C129D8" w:rsidP="00831965">
            <w:pPr>
              <w:ind w:left="284" w:hanging="284"/>
              <w:jc w:val="both"/>
              <w:rPr>
                <w:rFonts w:asciiTheme="majorHAnsi" w:hAnsiTheme="majorHAnsi"/>
              </w:rPr>
            </w:pPr>
          </w:p>
        </w:tc>
      </w:tr>
      <w:tr w:rsidR="00C129D8" w:rsidRPr="00EA718A" w14:paraId="7616C304" w14:textId="77777777" w:rsidTr="00831965">
        <w:trPr>
          <w:jc w:val="center"/>
        </w:trPr>
        <w:tc>
          <w:tcPr>
            <w:tcW w:w="5000" w:type="pct"/>
          </w:tcPr>
          <w:p w14:paraId="7616C302" w14:textId="77777777" w:rsidR="00C129D8" w:rsidRDefault="00C129D8" w:rsidP="00831965">
            <w:pPr>
              <w:ind w:left="284" w:hanging="284"/>
              <w:jc w:val="both"/>
              <w:rPr>
                <w:rFonts w:asciiTheme="majorHAnsi" w:hAnsiTheme="majorHAnsi"/>
              </w:rPr>
            </w:pPr>
            <w:r w:rsidRPr="009C0F04">
              <w:rPr>
                <w:rFonts w:asciiTheme="majorHAnsi" w:hAnsiTheme="majorHAnsi"/>
              </w:rPr>
              <w:t xml:space="preserve">i.- El inciso 2) del artículo 361 de la Ley General de la Administración Pública establece que  </w:t>
            </w:r>
            <w:r w:rsidRPr="00E52354">
              <w:rPr>
                <w:rFonts w:asciiTheme="majorHAnsi" w:hAnsiTheme="majorHAnsi"/>
                <w:i/>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p w14:paraId="7616C303" w14:textId="77777777" w:rsidR="00C129D8" w:rsidRPr="009C0F04" w:rsidRDefault="00C129D8" w:rsidP="00831965">
            <w:pPr>
              <w:ind w:left="284" w:hanging="284"/>
              <w:jc w:val="both"/>
              <w:rPr>
                <w:rFonts w:asciiTheme="majorHAnsi" w:hAnsiTheme="majorHAnsi"/>
              </w:rPr>
            </w:pPr>
          </w:p>
        </w:tc>
      </w:tr>
      <w:tr w:rsidR="00C129D8" w:rsidRPr="00114B9B" w14:paraId="7616C306" w14:textId="77777777" w:rsidTr="00831965">
        <w:trPr>
          <w:trHeight w:val="200"/>
          <w:jc w:val="center"/>
        </w:trPr>
        <w:tc>
          <w:tcPr>
            <w:tcW w:w="5000" w:type="pct"/>
          </w:tcPr>
          <w:p w14:paraId="7616C305" w14:textId="77777777" w:rsidR="00C129D8" w:rsidRPr="003A6B09" w:rsidRDefault="00C129D8" w:rsidP="00831965">
            <w:pPr>
              <w:ind w:left="284" w:hanging="284"/>
              <w:jc w:val="both"/>
              <w:rPr>
                <w:rFonts w:asciiTheme="majorHAnsi" w:hAnsiTheme="majorHAnsi"/>
              </w:rPr>
            </w:pPr>
            <w:r w:rsidRPr="003A6B09">
              <w:rPr>
                <w:rFonts w:asciiTheme="majorHAnsi" w:hAnsiTheme="majorHAnsi"/>
              </w:rPr>
              <w:t>j.- Que mediante SGS-DES-O-0529-2014 del 25 de marzo de 2014, se envió a consulta de las entidades supervisadas por SUGESE la propuesta de modificación  de los acuerdos de Superintendente SGS-DES-A-021-2013, en cumplimiento de lo establecido en el artículo 361 inciso 2 de la Ley General de Administración Pública y una vez recibidas las observaciones se procedió a analizarlas y variar el texto consultado cuando correspondía, por lo que lo procedente es emitir en forma definitiva la modificación del acuerdo mencionado.</w:t>
            </w:r>
          </w:p>
        </w:tc>
      </w:tr>
      <w:tr w:rsidR="00C129D8" w:rsidRPr="00EA718A" w14:paraId="7616C30E" w14:textId="77777777" w:rsidTr="00831965">
        <w:trPr>
          <w:trHeight w:val="200"/>
          <w:jc w:val="center"/>
        </w:trPr>
        <w:tc>
          <w:tcPr>
            <w:tcW w:w="5000" w:type="pct"/>
          </w:tcPr>
          <w:p w14:paraId="7616C307" w14:textId="77777777" w:rsidR="00C129D8" w:rsidRDefault="00C129D8" w:rsidP="00E6795F">
            <w:pPr>
              <w:jc w:val="center"/>
              <w:rPr>
                <w:rFonts w:asciiTheme="majorHAnsi" w:hAnsiTheme="majorHAnsi"/>
                <w:b/>
              </w:rPr>
            </w:pPr>
          </w:p>
          <w:p w14:paraId="7616C308" w14:textId="77777777" w:rsidR="00E6795F" w:rsidRDefault="00E6795F" w:rsidP="00E6795F">
            <w:pPr>
              <w:jc w:val="center"/>
              <w:rPr>
                <w:rFonts w:asciiTheme="majorHAnsi" w:hAnsiTheme="majorHAnsi"/>
                <w:b/>
              </w:rPr>
            </w:pPr>
          </w:p>
          <w:p w14:paraId="7616C309" w14:textId="77777777" w:rsidR="00E6795F" w:rsidRDefault="00E6795F" w:rsidP="00E6795F">
            <w:pPr>
              <w:jc w:val="center"/>
              <w:rPr>
                <w:rFonts w:asciiTheme="majorHAnsi" w:hAnsiTheme="majorHAnsi"/>
                <w:b/>
              </w:rPr>
            </w:pPr>
          </w:p>
          <w:p w14:paraId="7616C30A" w14:textId="77777777" w:rsidR="00E6795F" w:rsidRDefault="00E6795F" w:rsidP="00E6795F">
            <w:pPr>
              <w:jc w:val="center"/>
              <w:rPr>
                <w:rFonts w:asciiTheme="majorHAnsi" w:hAnsiTheme="majorHAnsi"/>
                <w:b/>
              </w:rPr>
            </w:pPr>
          </w:p>
          <w:p w14:paraId="7616C30B" w14:textId="77777777" w:rsidR="00E6795F" w:rsidRDefault="00E6795F" w:rsidP="00E6795F">
            <w:pPr>
              <w:jc w:val="center"/>
              <w:rPr>
                <w:rFonts w:asciiTheme="majorHAnsi" w:hAnsiTheme="majorHAnsi"/>
                <w:b/>
              </w:rPr>
            </w:pPr>
          </w:p>
          <w:p w14:paraId="7616C30C" w14:textId="77777777" w:rsidR="00E6795F" w:rsidRDefault="00E6795F" w:rsidP="00E6795F">
            <w:pPr>
              <w:jc w:val="center"/>
              <w:rPr>
                <w:rFonts w:asciiTheme="majorHAnsi" w:hAnsiTheme="majorHAnsi"/>
                <w:b/>
              </w:rPr>
            </w:pPr>
          </w:p>
          <w:p w14:paraId="7616C30D" w14:textId="77777777" w:rsidR="00C129D8" w:rsidRPr="009C0F04" w:rsidRDefault="00C129D8" w:rsidP="00E6795F">
            <w:pPr>
              <w:jc w:val="center"/>
              <w:rPr>
                <w:rFonts w:asciiTheme="majorHAnsi" w:hAnsiTheme="majorHAnsi"/>
              </w:rPr>
            </w:pPr>
            <w:r w:rsidRPr="009C0F04">
              <w:rPr>
                <w:rFonts w:asciiTheme="majorHAnsi" w:hAnsiTheme="majorHAnsi"/>
                <w:b/>
              </w:rPr>
              <w:lastRenderedPageBreak/>
              <w:t>DISPONE:</w:t>
            </w:r>
          </w:p>
        </w:tc>
      </w:tr>
    </w:tbl>
    <w:p w14:paraId="7616C30F" w14:textId="77777777" w:rsidR="00C129D8" w:rsidRDefault="00C129D8" w:rsidP="00C129D8"/>
    <w:tbl>
      <w:tblPr>
        <w:tblW w:w="5000" w:type="pct"/>
        <w:jc w:val="center"/>
        <w:tblLook w:val="04A0" w:firstRow="1" w:lastRow="0" w:firstColumn="1" w:lastColumn="0" w:noHBand="0" w:noVBand="1"/>
      </w:tblPr>
      <w:tblGrid>
        <w:gridCol w:w="9054"/>
      </w:tblGrid>
      <w:tr w:rsidR="00C129D8" w:rsidRPr="00EA718A" w14:paraId="7616C381" w14:textId="77777777" w:rsidTr="00831965">
        <w:trPr>
          <w:jc w:val="center"/>
        </w:trPr>
        <w:tc>
          <w:tcPr>
            <w:tcW w:w="5000" w:type="pct"/>
          </w:tcPr>
          <w:p w14:paraId="7616C310" w14:textId="77777777" w:rsidR="00C129D8" w:rsidRDefault="00C129D8" w:rsidP="00831965">
            <w:pPr>
              <w:widowControl w:val="0"/>
              <w:jc w:val="both"/>
              <w:rPr>
                <w:rFonts w:asciiTheme="majorHAnsi" w:hAnsiTheme="majorHAnsi"/>
              </w:rPr>
            </w:pPr>
            <w:r>
              <w:br w:type="page"/>
            </w:r>
            <w:r w:rsidRPr="009C0F04">
              <w:rPr>
                <w:rFonts w:asciiTheme="majorHAnsi" w:hAnsiTheme="majorHAnsi"/>
                <w:b/>
              </w:rPr>
              <w:t xml:space="preserve">PRIMERO: </w:t>
            </w:r>
            <w:r>
              <w:rPr>
                <w:rFonts w:asciiTheme="majorHAnsi" w:hAnsiTheme="majorHAnsi"/>
                <w:b/>
              </w:rPr>
              <w:t xml:space="preserve">  </w:t>
            </w:r>
            <w:r w:rsidRPr="009C0F04">
              <w:rPr>
                <w:rFonts w:asciiTheme="majorHAnsi" w:hAnsiTheme="majorHAnsi"/>
              </w:rPr>
              <w:t xml:space="preserve">Modificar el artículo 2 del acuerdo SGS-DES-A-021-2013 denominado </w:t>
            </w:r>
            <w:r w:rsidRPr="003015E1">
              <w:rPr>
                <w:rFonts w:asciiTheme="majorHAnsi" w:hAnsiTheme="majorHAnsi"/>
                <w:i/>
              </w:rPr>
              <w:t>Disposiciones para la Remisión de la Información Contable y Estadística a la Superintendencia General de Seguros por parte de las Entidades Supervisadas</w:t>
            </w:r>
            <w:r w:rsidRPr="009C0F04">
              <w:rPr>
                <w:rFonts w:asciiTheme="majorHAnsi" w:hAnsiTheme="majorHAnsi"/>
              </w:rPr>
              <w:t>, para que se lea de la siguiente manera:</w:t>
            </w:r>
          </w:p>
          <w:p w14:paraId="7616C311" w14:textId="77777777" w:rsidR="00C129D8" w:rsidRDefault="00C129D8" w:rsidP="00831965">
            <w:pPr>
              <w:pStyle w:val="Sangra2detindependiente"/>
              <w:ind w:left="0"/>
              <w:rPr>
                <w:rFonts w:asciiTheme="majorHAnsi" w:hAnsiTheme="majorHAnsi"/>
                <w:b/>
                <w:i/>
              </w:rPr>
            </w:pPr>
          </w:p>
          <w:p w14:paraId="7616C312" w14:textId="77777777" w:rsidR="00C129D8" w:rsidRPr="00E52354" w:rsidRDefault="00C129D8" w:rsidP="00831965">
            <w:pPr>
              <w:pStyle w:val="Sangra2detindependiente"/>
              <w:ind w:left="0"/>
              <w:rPr>
                <w:rFonts w:asciiTheme="majorHAnsi" w:hAnsiTheme="majorHAnsi"/>
                <w:b/>
                <w:i/>
              </w:rPr>
            </w:pPr>
            <w:r w:rsidRPr="00E52354">
              <w:rPr>
                <w:rFonts w:asciiTheme="majorHAnsi" w:hAnsiTheme="majorHAnsi"/>
                <w:b/>
                <w:i/>
              </w:rPr>
              <w:t>“Artículo 2. Información que deben enviar las Entidades de Seguros, Periodicidad, Plazo Medio de Remisión</w:t>
            </w:r>
          </w:p>
          <w:p w14:paraId="7616C313" w14:textId="77777777" w:rsidR="00C129D8" w:rsidRDefault="00C129D8" w:rsidP="00831965">
            <w:pPr>
              <w:jc w:val="both"/>
              <w:rPr>
                <w:rFonts w:asciiTheme="majorHAnsi" w:hAnsiTheme="majorHAnsi"/>
                <w:i/>
              </w:rPr>
            </w:pPr>
            <w:r w:rsidRPr="00E52354">
              <w:rPr>
                <w:rFonts w:asciiTheme="majorHAnsi" w:hAnsiTheme="majorHAnsi"/>
                <w:i/>
              </w:rPr>
              <w:t>Las entidades de seguros supervisadas deben remitir a la Superintendencia la siguiente información, en las condiciones que se indican a continuación:</w:t>
            </w:r>
          </w:p>
          <w:p w14:paraId="7616C314" w14:textId="77777777" w:rsidR="00C129D8" w:rsidRDefault="00C129D8" w:rsidP="00831965">
            <w:pPr>
              <w:pStyle w:val="Sangra2detindependiente"/>
              <w:ind w:left="0"/>
              <w:rPr>
                <w:rFonts w:asciiTheme="majorHAnsi" w:hAnsiTheme="majorHAnsi"/>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5"/>
              <w:gridCol w:w="1702"/>
              <w:gridCol w:w="2267"/>
              <w:gridCol w:w="2835"/>
            </w:tblGrid>
            <w:tr w:rsidR="00C129D8" w:rsidRPr="003015E1" w14:paraId="7616C319" w14:textId="77777777" w:rsidTr="00831965">
              <w:trPr>
                <w:tblHeader/>
                <w:jc w:val="center"/>
              </w:trPr>
              <w:tc>
                <w:tcPr>
                  <w:tcW w:w="1306" w:type="pct"/>
                  <w:shd w:val="clear" w:color="auto" w:fill="D9D9D9" w:themeFill="background1" w:themeFillShade="D9"/>
                </w:tcPr>
                <w:p w14:paraId="7616C315"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Información</w:t>
                  </w:r>
                </w:p>
              </w:tc>
              <w:tc>
                <w:tcPr>
                  <w:tcW w:w="924" w:type="pct"/>
                  <w:shd w:val="clear" w:color="auto" w:fill="D9D9D9" w:themeFill="background1" w:themeFillShade="D9"/>
                </w:tcPr>
                <w:p w14:paraId="7616C316" w14:textId="77777777" w:rsidR="00C129D8" w:rsidRPr="003015E1" w:rsidRDefault="00C129D8" w:rsidP="00831965">
                  <w:pPr>
                    <w:pStyle w:val="Ttulo5"/>
                    <w:rPr>
                      <w:rFonts w:asciiTheme="majorHAnsi" w:eastAsia="Calibri" w:hAnsiTheme="majorHAnsi"/>
                      <w:b w:val="0"/>
                      <w:bCs/>
                      <w:iCs/>
                    </w:rPr>
                  </w:pPr>
                  <w:r w:rsidRPr="003015E1">
                    <w:rPr>
                      <w:rFonts w:asciiTheme="majorHAnsi" w:eastAsia="Calibri" w:hAnsiTheme="majorHAnsi"/>
                      <w:b w:val="0"/>
                      <w:bCs/>
                      <w:iCs/>
                    </w:rPr>
                    <w:t>Periodicidad</w:t>
                  </w:r>
                </w:p>
              </w:tc>
              <w:tc>
                <w:tcPr>
                  <w:tcW w:w="1231" w:type="pct"/>
                  <w:shd w:val="clear" w:color="auto" w:fill="D9D9D9" w:themeFill="background1" w:themeFillShade="D9"/>
                </w:tcPr>
                <w:p w14:paraId="7616C317"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Plazo de entrega</w:t>
                  </w:r>
                </w:p>
              </w:tc>
              <w:tc>
                <w:tcPr>
                  <w:tcW w:w="1539" w:type="pct"/>
                  <w:shd w:val="clear" w:color="auto" w:fill="D9D9D9" w:themeFill="background1" w:themeFillShade="D9"/>
                </w:tcPr>
                <w:p w14:paraId="7616C318"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Medio</w:t>
                  </w:r>
                </w:p>
              </w:tc>
            </w:tr>
            <w:tr w:rsidR="00C129D8" w:rsidRPr="003015E1" w14:paraId="7616C31E" w14:textId="77777777" w:rsidTr="00831965">
              <w:trPr>
                <w:trHeight w:val="859"/>
                <w:jc w:val="center"/>
              </w:trPr>
              <w:tc>
                <w:tcPr>
                  <w:tcW w:w="1306" w:type="pct"/>
                </w:tcPr>
                <w:p w14:paraId="7616C31A"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Registro Único de Personas  Beneficiarias</w:t>
                  </w:r>
                  <w:r w:rsidRPr="003015E1">
                    <w:rPr>
                      <w:rFonts w:asciiTheme="majorHAnsi" w:hAnsiTheme="majorHAnsi"/>
                      <w:i/>
                      <w:vertAlign w:val="superscript"/>
                    </w:rPr>
                    <w:footnoteReference w:id="1"/>
                  </w:r>
                </w:p>
              </w:tc>
              <w:tc>
                <w:tcPr>
                  <w:tcW w:w="924" w:type="pct"/>
                </w:tcPr>
                <w:p w14:paraId="7616C31B" w14:textId="77777777" w:rsidR="00C129D8" w:rsidRPr="003015E1" w:rsidRDefault="00C129D8" w:rsidP="00831965">
                  <w:pPr>
                    <w:widowControl w:val="0"/>
                    <w:ind w:left="94"/>
                    <w:jc w:val="center"/>
                    <w:rPr>
                      <w:rFonts w:asciiTheme="majorHAnsi" w:hAnsiTheme="majorHAnsi"/>
                      <w:i/>
                    </w:rPr>
                  </w:pPr>
                  <w:r w:rsidRPr="003015E1">
                    <w:rPr>
                      <w:rFonts w:asciiTheme="majorHAnsi" w:hAnsiTheme="majorHAnsi"/>
                      <w:i/>
                    </w:rPr>
                    <w:t>Diaria</w:t>
                  </w:r>
                </w:p>
              </w:tc>
              <w:tc>
                <w:tcPr>
                  <w:tcW w:w="1231" w:type="pct"/>
                </w:tcPr>
                <w:p w14:paraId="7616C31C"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En línea o al día hábil siguiente con corte de movimientos a las 5:00 p.m. del día hábil anterior.</w:t>
                  </w:r>
                </w:p>
              </w:tc>
              <w:tc>
                <w:tcPr>
                  <w:tcW w:w="1539" w:type="pct"/>
                </w:tcPr>
                <w:p w14:paraId="7616C31D"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Registro de Único de Personas Beneficiarias, incluido en el Anexo 7</w:t>
                  </w:r>
                </w:p>
              </w:tc>
            </w:tr>
            <w:tr w:rsidR="00C129D8" w:rsidRPr="003015E1" w14:paraId="7616C324" w14:textId="77777777" w:rsidTr="00831965">
              <w:trPr>
                <w:trHeight w:val="859"/>
                <w:jc w:val="center"/>
              </w:trPr>
              <w:tc>
                <w:tcPr>
                  <w:tcW w:w="1306" w:type="pct"/>
                </w:tcPr>
                <w:p w14:paraId="7616C31F"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 xml:space="preserve">Saldos Contables (según lo establecido en el Plan de Cuentas) y datos contables adicionales </w:t>
                  </w:r>
                </w:p>
              </w:tc>
              <w:tc>
                <w:tcPr>
                  <w:tcW w:w="924" w:type="pct"/>
                </w:tcPr>
                <w:p w14:paraId="7616C320" w14:textId="77777777" w:rsidR="00C129D8" w:rsidRPr="003015E1" w:rsidRDefault="00C129D8" w:rsidP="00831965">
                  <w:pPr>
                    <w:widowControl w:val="0"/>
                    <w:ind w:left="94"/>
                    <w:jc w:val="center"/>
                    <w:rPr>
                      <w:rFonts w:asciiTheme="majorHAnsi" w:hAnsiTheme="majorHAnsi"/>
                      <w:i/>
                    </w:rPr>
                  </w:pPr>
                  <w:r w:rsidRPr="003015E1">
                    <w:rPr>
                      <w:rFonts w:asciiTheme="majorHAnsi" w:hAnsiTheme="majorHAnsi"/>
                      <w:i/>
                    </w:rPr>
                    <w:t>Mensual.</w:t>
                  </w:r>
                </w:p>
                <w:p w14:paraId="7616C321" w14:textId="77777777" w:rsidR="00C129D8" w:rsidRPr="003015E1" w:rsidRDefault="00C129D8" w:rsidP="00831965">
                  <w:pPr>
                    <w:widowControl w:val="0"/>
                    <w:jc w:val="center"/>
                    <w:rPr>
                      <w:rFonts w:asciiTheme="majorHAnsi" w:hAnsiTheme="majorHAnsi"/>
                      <w:i/>
                    </w:rPr>
                  </w:pPr>
                </w:p>
              </w:tc>
              <w:tc>
                <w:tcPr>
                  <w:tcW w:w="1231" w:type="pct"/>
                </w:tcPr>
                <w:p w14:paraId="7616C322"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mensual,   según corresponda.</w:t>
                  </w:r>
                </w:p>
              </w:tc>
              <w:tc>
                <w:tcPr>
                  <w:tcW w:w="1539" w:type="pct"/>
                </w:tcPr>
                <w:p w14:paraId="7616C323"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En hoja electrónica, por correo electrónico, según formato establecido en el  Anexo 1.</w:t>
                  </w:r>
                </w:p>
              </w:tc>
            </w:tr>
            <w:tr w:rsidR="00C129D8" w:rsidRPr="003015E1" w14:paraId="7616C32A" w14:textId="77777777" w:rsidTr="00831965">
              <w:trPr>
                <w:jc w:val="center"/>
              </w:trPr>
              <w:tc>
                <w:tcPr>
                  <w:tcW w:w="1306" w:type="pct"/>
                </w:tcPr>
                <w:p w14:paraId="7616C325"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Reporte de primas y siniestros</w:t>
                  </w:r>
                </w:p>
                <w:p w14:paraId="7616C326" w14:textId="77777777" w:rsidR="00C129D8" w:rsidRPr="003015E1" w:rsidRDefault="00C129D8" w:rsidP="00831965">
                  <w:pPr>
                    <w:pStyle w:val="Textoindependiente"/>
                    <w:rPr>
                      <w:rFonts w:asciiTheme="majorHAnsi" w:hAnsiTheme="majorHAnsi"/>
                      <w:i/>
                    </w:rPr>
                  </w:pPr>
                </w:p>
              </w:tc>
              <w:tc>
                <w:tcPr>
                  <w:tcW w:w="924" w:type="pct"/>
                </w:tcPr>
                <w:p w14:paraId="7616C327"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28"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mensual</w:t>
                  </w:r>
                </w:p>
              </w:tc>
              <w:tc>
                <w:tcPr>
                  <w:tcW w:w="1539" w:type="pct"/>
                </w:tcPr>
                <w:p w14:paraId="7616C329"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En hoja electrónica, por correo electrónico, según formato establecido en el  Anexo 2.</w:t>
                  </w:r>
                </w:p>
              </w:tc>
            </w:tr>
            <w:tr w:rsidR="00C129D8" w:rsidRPr="003015E1" w14:paraId="7616C330" w14:textId="77777777" w:rsidTr="00831965">
              <w:trPr>
                <w:jc w:val="center"/>
              </w:trPr>
              <w:tc>
                <w:tcPr>
                  <w:tcW w:w="1306" w:type="pct"/>
                </w:tcPr>
                <w:p w14:paraId="7616C32B"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Registro auxiliar de reaseguro cedido y retrocedido</w:t>
                  </w:r>
                </w:p>
                <w:p w14:paraId="7616C32C" w14:textId="77777777" w:rsidR="00C129D8" w:rsidRPr="003015E1" w:rsidRDefault="00C129D8" w:rsidP="00831965">
                  <w:pPr>
                    <w:pStyle w:val="Textoindependiente"/>
                    <w:rPr>
                      <w:rFonts w:asciiTheme="majorHAnsi" w:hAnsiTheme="majorHAnsi"/>
                      <w:i/>
                    </w:rPr>
                  </w:pPr>
                </w:p>
              </w:tc>
              <w:tc>
                <w:tcPr>
                  <w:tcW w:w="924" w:type="pct"/>
                </w:tcPr>
                <w:p w14:paraId="7616C32D"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2E"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mensual</w:t>
                  </w:r>
                </w:p>
              </w:tc>
              <w:tc>
                <w:tcPr>
                  <w:tcW w:w="1539" w:type="pct"/>
                </w:tcPr>
                <w:p w14:paraId="7616C32F"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En hoja electrónica, por correo electrónico, según formato establecido en el  Anexo 3.</w:t>
                  </w:r>
                </w:p>
              </w:tc>
            </w:tr>
            <w:tr w:rsidR="00C129D8" w:rsidRPr="003015E1" w14:paraId="7616C337" w14:textId="77777777" w:rsidTr="00831965">
              <w:trPr>
                <w:jc w:val="center"/>
              </w:trPr>
              <w:tc>
                <w:tcPr>
                  <w:tcW w:w="1306" w:type="pct"/>
                </w:tcPr>
                <w:p w14:paraId="7616C331"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lastRenderedPageBreak/>
                    <w:t>Régimen de suficiencia de capital y solvencia</w:t>
                  </w:r>
                </w:p>
                <w:p w14:paraId="7616C332" w14:textId="77777777" w:rsidR="00C129D8" w:rsidRPr="003015E1" w:rsidRDefault="00C129D8" w:rsidP="00831965">
                  <w:pPr>
                    <w:pStyle w:val="Textoindependiente"/>
                    <w:rPr>
                      <w:rFonts w:asciiTheme="majorHAnsi" w:hAnsiTheme="majorHAnsi"/>
                      <w:i/>
                    </w:rPr>
                  </w:pPr>
                </w:p>
                <w:p w14:paraId="7616C333" w14:textId="77777777" w:rsidR="00C129D8" w:rsidRPr="003015E1" w:rsidRDefault="00C129D8" w:rsidP="00831965">
                  <w:pPr>
                    <w:pStyle w:val="Textoindependiente"/>
                    <w:rPr>
                      <w:rFonts w:asciiTheme="majorHAnsi" w:hAnsiTheme="majorHAnsi"/>
                      <w:i/>
                    </w:rPr>
                  </w:pPr>
                </w:p>
              </w:tc>
              <w:tc>
                <w:tcPr>
                  <w:tcW w:w="924" w:type="pct"/>
                </w:tcPr>
                <w:p w14:paraId="7616C334"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35" w14:textId="112C4AB0" w:rsidR="00C129D8" w:rsidRPr="003015E1" w:rsidRDefault="00C129D8" w:rsidP="007F7047">
                  <w:pPr>
                    <w:widowControl w:val="0"/>
                    <w:jc w:val="both"/>
                    <w:rPr>
                      <w:rFonts w:asciiTheme="majorHAnsi" w:hAnsiTheme="majorHAnsi"/>
                      <w:i/>
                    </w:rPr>
                  </w:pPr>
                  <w:r w:rsidRPr="003015E1">
                    <w:rPr>
                      <w:rFonts w:asciiTheme="majorHAnsi" w:hAnsiTheme="majorHAnsi"/>
                      <w:i/>
                    </w:rPr>
                    <w:t>1</w:t>
                  </w:r>
                  <w:r w:rsidR="007F7047">
                    <w:rPr>
                      <w:rFonts w:asciiTheme="majorHAnsi" w:hAnsiTheme="majorHAnsi"/>
                      <w:i/>
                    </w:rPr>
                    <w:t>5</w:t>
                  </w:r>
                  <w:r w:rsidRPr="003015E1">
                    <w:rPr>
                      <w:rFonts w:asciiTheme="majorHAnsi" w:hAnsiTheme="majorHAnsi"/>
                      <w:i/>
                    </w:rPr>
                    <w:t xml:space="preserve"> días hábiles después del cierre mensual</w:t>
                  </w:r>
                </w:p>
              </w:tc>
              <w:tc>
                <w:tcPr>
                  <w:tcW w:w="1539" w:type="pct"/>
                </w:tcPr>
                <w:p w14:paraId="7616C336"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En hoja electrónica, por correo electrónico, según formato establecido en el  Anexo 4.</w:t>
                  </w:r>
                </w:p>
              </w:tc>
            </w:tr>
            <w:tr w:rsidR="00C129D8" w:rsidRPr="003015E1" w14:paraId="7616C33C" w14:textId="77777777" w:rsidTr="00831965">
              <w:trPr>
                <w:tblHeader/>
                <w:jc w:val="center"/>
              </w:trPr>
              <w:tc>
                <w:tcPr>
                  <w:tcW w:w="1306" w:type="pct"/>
                  <w:shd w:val="clear" w:color="auto" w:fill="D9D9D9" w:themeFill="background1" w:themeFillShade="D9"/>
                </w:tcPr>
                <w:p w14:paraId="7616C338"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Información</w:t>
                  </w:r>
                </w:p>
              </w:tc>
              <w:tc>
                <w:tcPr>
                  <w:tcW w:w="924" w:type="pct"/>
                  <w:shd w:val="clear" w:color="auto" w:fill="D9D9D9" w:themeFill="background1" w:themeFillShade="D9"/>
                </w:tcPr>
                <w:p w14:paraId="7616C339" w14:textId="77777777" w:rsidR="00C129D8" w:rsidRPr="003015E1" w:rsidRDefault="00C129D8" w:rsidP="00831965">
                  <w:pPr>
                    <w:pStyle w:val="Ttulo5"/>
                    <w:rPr>
                      <w:rFonts w:asciiTheme="majorHAnsi" w:eastAsia="Calibri" w:hAnsiTheme="majorHAnsi"/>
                      <w:b w:val="0"/>
                      <w:bCs/>
                      <w:iCs/>
                    </w:rPr>
                  </w:pPr>
                  <w:r w:rsidRPr="003015E1">
                    <w:rPr>
                      <w:rFonts w:asciiTheme="majorHAnsi" w:eastAsia="Calibri" w:hAnsiTheme="majorHAnsi"/>
                      <w:b w:val="0"/>
                      <w:bCs/>
                      <w:iCs/>
                    </w:rPr>
                    <w:t>Periodicidad</w:t>
                  </w:r>
                </w:p>
              </w:tc>
              <w:tc>
                <w:tcPr>
                  <w:tcW w:w="1231" w:type="pct"/>
                  <w:shd w:val="clear" w:color="auto" w:fill="D9D9D9" w:themeFill="background1" w:themeFillShade="D9"/>
                </w:tcPr>
                <w:p w14:paraId="7616C33A"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Plazo de entrega</w:t>
                  </w:r>
                </w:p>
              </w:tc>
              <w:tc>
                <w:tcPr>
                  <w:tcW w:w="1539" w:type="pct"/>
                  <w:shd w:val="clear" w:color="auto" w:fill="D9D9D9" w:themeFill="background1" w:themeFillShade="D9"/>
                </w:tcPr>
                <w:p w14:paraId="7616C33B"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Medio</w:t>
                  </w:r>
                </w:p>
              </w:tc>
            </w:tr>
            <w:tr w:rsidR="00C129D8" w:rsidRPr="003015E1" w14:paraId="7616C343" w14:textId="77777777" w:rsidTr="00831965">
              <w:trPr>
                <w:trHeight w:val="1846"/>
                <w:jc w:val="center"/>
              </w:trPr>
              <w:tc>
                <w:tcPr>
                  <w:tcW w:w="1306" w:type="pct"/>
                </w:tcPr>
                <w:p w14:paraId="7616C33D"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1 SSS</w:t>
                  </w:r>
                  <w:r w:rsidRPr="003015E1">
                    <w:rPr>
                      <w:rFonts w:asciiTheme="majorHAnsi" w:hAnsiTheme="majorHAnsi"/>
                      <w:i/>
                      <w:vertAlign w:val="superscript"/>
                    </w:rPr>
                    <w:footnoteReference w:id="2"/>
                  </w:r>
                  <w:r w:rsidRPr="003015E1">
                    <w:rPr>
                      <w:rFonts w:asciiTheme="majorHAnsi" w:hAnsiTheme="majorHAnsi"/>
                      <w:i/>
                    </w:rPr>
                    <w:t>: Balance General (Activo, Pasivo y Patrimonio)</w:t>
                  </w:r>
                </w:p>
                <w:p w14:paraId="7616C33E" w14:textId="77777777" w:rsidR="00C129D8" w:rsidRPr="003015E1" w:rsidRDefault="00C129D8" w:rsidP="00831965">
                  <w:pPr>
                    <w:pStyle w:val="Textoindependiente"/>
                    <w:rPr>
                      <w:rFonts w:asciiTheme="majorHAnsi" w:hAnsiTheme="majorHAnsi"/>
                      <w:i/>
                    </w:rPr>
                  </w:pPr>
                </w:p>
                <w:p w14:paraId="7616C33F" w14:textId="77777777" w:rsidR="00C129D8" w:rsidRPr="003015E1" w:rsidRDefault="00C129D8" w:rsidP="00831965">
                  <w:pPr>
                    <w:pStyle w:val="Textoindependiente"/>
                    <w:rPr>
                      <w:rFonts w:asciiTheme="majorHAnsi" w:hAnsiTheme="majorHAnsi"/>
                      <w:i/>
                    </w:rPr>
                  </w:pPr>
                </w:p>
              </w:tc>
              <w:tc>
                <w:tcPr>
                  <w:tcW w:w="924" w:type="pct"/>
                </w:tcPr>
                <w:p w14:paraId="7616C340"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41" w14:textId="77777777" w:rsidR="00C129D8" w:rsidRPr="003015E1" w:rsidRDefault="00C129D8" w:rsidP="00831965">
                  <w:pPr>
                    <w:widowControl w:val="0"/>
                    <w:jc w:val="both"/>
                    <w:rPr>
                      <w:rFonts w:asciiTheme="majorHAnsi" w:hAnsiTheme="majorHAnsi"/>
                      <w:i/>
                    </w:rPr>
                  </w:pPr>
                  <w:r w:rsidRPr="003015E1">
                    <w:rPr>
                      <w:rFonts w:asciiTheme="majorHAnsi" w:hAnsiTheme="majorHAnsi"/>
                      <w:b/>
                      <w:i/>
                    </w:rPr>
                    <w:t>1</w:t>
                  </w:r>
                  <w:r w:rsidRPr="003015E1">
                    <w:rPr>
                      <w:rFonts w:asciiTheme="majorHAnsi" w:hAnsiTheme="majorHAnsi"/>
                      <w:i/>
                    </w:rPr>
                    <w:t>5 días hábiles después del cierre de los meses de marzo, junio, setiembre y diciembre</w:t>
                  </w:r>
                </w:p>
              </w:tc>
              <w:tc>
                <w:tcPr>
                  <w:tcW w:w="1539" w:type="pct"/>
                </w:tcPr>
                <w:p w14:paraId="7616C342"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48" w14:textId="77777777" w:rsidTr="00831965">
              <w:trPr>
                <w:jc w:val="center"/>
              </w:trPr>
              <w:tc>
                <w:tcPr>
                  <w:tcW w:w="1306" w:type="pct"/>
                </w:tcPr>
                <w:p w14:paraId="7616C344"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2 SSS: Estado de Resultados y Cuenta de Resultados Técnico Financiera</w:t>
                  </w:r>
                </w:p>
              </w:tc>
              <w:tc>
                <w:tcPr>
                  <w:tcW w:w="924" w:type="pct"/>
                </w:tcPr>
                <w:p w14:paraId="7616C345"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46"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15 días hábiles después del cierre de los meses de marzo, junio, setiembre y diciembre</w:t>
                  </w:r>
                </w:p>
              </w:tc>
              <w:tc>
                <w:tcPr>
                  <w:tcW w:w="1539" w:type="pct"/>
                </w:tcPr>
                <w:p w14:paraId="7616C347"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4D" w14:textId="77777777" w:rsidTr="00831965">
              <w:trPr>
                <w:jc w:val="center"/>
              </w:trPr>
              <w:tc>
                <w:tcPr>
                  <w:tcW w:w="1306" w:type="pct"/>
                </w:tcPr>
                <w:p w14:paraId="7616C349"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3 SSS: Inversiones Financieras</w:t>
                  </w:r>
                </w:p>
              </w:tc>
              <w:tc>
                <w:tcPr>
                  <w:tcW w:w="924" w:type="pct"/>
                </w:tcPr>
                <w:p w14:paraId="7616C34A"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4B"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de cada mes.</w:t>
                  </w:r>
                </w:p>
              </w:tc>
              <w:tc>
                <w:tcPr>
                  <w:tcW w:w="1539" w:type="pct"/>
                </w:tcPr>
                <w:p w14:paraId="7616C34C"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55" w14:textId="77777777" w:rsidTr="00831965">
              <w:trPr>
                <w:jc w:val="center"/>
              </w:trPr>
              <w:tc>
                <w:tcPr>
                  <w:tcW w:w="1306" w:type="pct"/>
                </w:tcPr>
                <w:p w14:paraId="7616C34E"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 xml:space="preserve">Modelo 4 SSS: Estado de Cambios en el Patrimonio </w:t>
                  </w:r>
                </w:p>
                <w:p w14:paraId="7616C34F" w14:textId="77777777" w:rsidR="00C129D8" w:rsidRPr="003015E1" w:rsidRDefault="00C129D8" w:rsidP="00831965">
                  <w:pPr>
                    <w:pStyle w:val="Textoindependiente"/>
                    <w:rPr>
                      <w:rFonts w:asciiTheme="majorHAnsi" w:hAnsiTheme="majorHAnsi"/>
                      <w:i/>
                    </w:rPr>
                  </w:pPr>
                </w:p>
                <w:p w14:paraId="7616C350" w14:textId="77777777" w:rsidR="00C129D8" w:rsidRPr="003015E1" w:rsidRDefault="00C129D8" w:rsidP="00831965">
                  <w:pPr>
                    <w:pStyle w:val="Textoindependiente"/>
                    <w:rPr>
                      <w:rFonts w:asciiTheme="majorHAnsi" w:hAnsiTheme="majorHAnsi"/>
                      <w:i/>
                    </w:rPr>
                  </w:pPr>
                </w:p>
                <w:p w14:paraId="7616C351" w14:textId="77777777" w:rsidR="00C129D8" w:rsidRPr="003015E1" w:rsidRDefault="00C129D8" w:rsidP="00831965">
                  <w:pPr>
                    <w:pStyle w:val="Textoindependiente"/>
                    <w:rPr>
                      <w:rFonts w:asciiTheme="majorHAnsi" w:hAnsiTheme="majorHAnsi"/>
                      <w:i/>
                    </w:rPr>
                  </w:pPr>
                </w:p>
              </w:tc>
              <w:tc>
                <w:tcPr>
                  <w:tcW w:w="924" w:type="pct"/>
                </w:tcPr>
                <w:p w14:paraId="7616C352"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53" w14:textId="77777777" w:rsidR="00C129D8" w:rsidRPr="003015E1" w:rsidRDefault="00C129D8" w:rsidP="00831965">
                  <w:pPr>
                    <w:widowControl w:val="0"/>
                    <w:jc w:val="both"/>
                    <w:rPr>
                      <w:rFonts w:asciiTheme="majorHAnsi" w:hAnsiTheme="majorHAnsi"/>
                      <w:i/>
                    </w:rPr>
                  </w:pPr>
                  <w:r w:rsidRPr="003015E1">
                    <w:rPr>
                      <w:rFonts w:asciiTheme="majorHAnsi" w:hAnsiTheme="majorHAnsi"/>
                      <w:b/>
                      <w:i/>
                    </w:rPr>
                    <w:t>15</w:t>
                  </w:r>
                  <w:r w:rsidRPr="003015E1">
                    <w:rPr>
                      <w:rFonts w:asciiTheme="majorHAnsi" w:hAnsiTheme="majorHAnsi"/>
                      <w:i/>
                    </w:rPr>
                    <w:t xml:space="preserve"> días hábiles después del cierre de los meses de marzo, junio, setiembre y diciembre</w:t>
                  </w:r>
                </w:p>
              </w:tc>
              <w:tc>
                <w:tcPr>
                  <w:tcW w:w="1539" w:type="pct"/>
                </w:tcPr>
                <w:p w14:paraId="7616C354"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5E" w14:textId="77777777" w:rsidTr="00831965">
              <w:trPr>
                <w:jc w:val="center"/>
              </w:trPr>
              <w:tc>
                <w:tcPr>
                  <w:tcW w:w="1306" w:type="pct"/>
                </w:tcPr>
                <w:p w14:paraId="7616C356"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5 SSS: Saldos Contables</w:t>
                  </w:r>
                </w:p>
              </w:tc>
              <w:tc>
                <w:tcPr>
                  <w:tcW w:w="924" w:type="pct"/>
                </w:tcPr>
                <w:p w14:paraId="7616C357"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58"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de cada mes.</w:t>
                  </w:r>
                </w:p>
              </w:tc>
              <w:tc>
                <w:tcPr>
                  <w:tcW w:w="1539" w:type="pct"/>
                </w:tcPr>
                <w:p w14:paraId="7616C359" w14:textId="77777777" w:rsidR="00C129D8"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p w14:paraId="7616C35A" w14:textId="77777777" w:rsidR="00C129D8" w:rsidRDefault="00C129D8" w:rsidP="00831965">
                  <w:pPr>
                    <w:widowControl w:val="0"/>
                    <w:jc w:val="both"/>
                    <w:rPr>
                      <w:rFonts w:asciiTheme="majorHAnsi" w:hAnsiTheme="majorHAnsi"/>
                      <w:i/>
                    </w:rPr>
                  </w:pPr>
                </w:p>
                <w:p w14:paraId="7616C35B" w14:textId="77777777" w:rsidR="00C129D8" w:rsidRDefault="00C129D8" w:rsidP="00831965">
                  <w:pPr>
                    <w:widowControl w:val="0"/>
                    <w:jc w:val="both"/>
                    <w:rPr>
                      <w:rFonts w:asciiTheme="majorHAnsi" w:hAnsiTheme="majorHAnsi"/>
                      <w:i/>
                    </w:rPr>
                  </w:pPr>
                </w:p>
                <w:p w14:paraId="7616C35C" w14:textId="77777777" w:rsidR="00C129D8" w:rsidRDefault="00C129D8" w:rsidP="00831965">
                  <w:pPr>
                    <w:widowControl w:val="0"/>
                    <w:jc w:val="both"/>
                    <w:rPr>
                      <w:rFonts w:asciiTheme="majorHAnsi" w:hAnsiTheme="majorHAnsi"/>
                      <w:i/>
                    </w:rPr>
                  </w:pPr>
                </w:p>
                <w:p w14:paraId="7616C35D" w14:textId="77777777" w:rsidR="00C129D8" w:rsidRPr="003015E1" w:rsidRDefault="00C129D8" w:rsidP="00831965">
                  <w:pPr>
                    <w:widowControl w:val="0"/>
                    <w:jc w:val="both"/>
                    <w:rPr>
                      <w:rFonts w:asciiTheme="majorHAnsi" w:hAnsiTheme="majorHAnsi"/>
                      <w:i/>
                    </w:rPr>
                  </w:pPr>
                </w:p>
              </w:tc>
            </w:tr>
            <w:tr w:rsidR="00C129D8" w:rsidRPr="003015E1" w14:paraId="7616C363" w14:textId="77777777" w:rsidTr="00831965">
              <w:trPr>
                <w:tblHeader/>
                <w:jc w:val="center"/>
              </w:trPr>
              <w:tc>
                <w:tcPr>
                  <w:tcW w:w="1306" w:type="pct"/>
                  <w:shd w:val="clear" w:color="auto" w:fill="D9D9D9" w:themeFill="background1" w:themeFillShade="D9"/>
                </w:tcPr>
                <w:p w14:paraId="7616C35F"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lastRenderedPageBreak/>
                    <w:t>Información</w:t>
                  </w:r>
                </w:p>
              </w:tc>
              <w:tc>
                <w:tcPr>
                  <w:tcW w:w="924" w:type="pct"/>
                  <w:shd w:val="clear" w:color="auto" w:fill="D9D9D9" w:themeFill="background1" w:themeFillShade="D9"/>
                </w:tcPr>
                <w:p w14:paraId="7616C360" w14:textId="77777777" w:rsidR="00C129D8" w:rsidRPr="003015E1" w:rsidRDefault="00C129D8" w:rsidP="00831965">
                  <w:pPr>
                    <w:pStyle w:val="Ttulo5"/>
                    <w:rPr>
                      <w:rFonts w:asciiTheme="majorHAnsi" w:eastAsia="Calibri" w:hAnsiTheme="majorHAnsi"/>
                      <w:b w:val="0"/>
                      <w:bCs/>
                      <w:iCs/>
                    </w:rPr>
                  </w:pPr>
                  <w:r w:rsidRPr="003015E1">
                    <w:rPr>
                      <w:rFonts w:asciiTheme="majorHAnsi" w:eastAsia="Calibri" w:hAnsiTheme="majorHAnsi"/>
                      <w:b w:val="0"/>
                      <w:bCs/>
                      <w:iCs/>
                    </w:rPr>
                    <w:t>Periodicidad</w:t>
                  </w:r>
                </w:p>
              </w:tc>
              <w:tc>
                <w:tcPr>
                  <w:tcW w:w="1231" w:type="pct"/>
                  <w:shd w:val="clear" w:color="auto" w:fill="D9D9D9" w:themeFill="background1" w:themeFillShade="D9"/>
                </w:tcPr>
                <w:p w14:paraId="7616C361"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Plazo de entrega</w:t>
                  </w:r>
                </w:p>
              </w:tc>
              <w:tc>
                <w:tcPr>
                  <w:tcW w:w="1539" w:type="pct"/>
                  <w:shd w:val="clear" w:color="auto" w:fill="D9D9D9" w:themeFill="background1" w:themeFillShade="D9"/>
                </w:tcPr>
                <w:p w14:paraId="7616C362"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Medio</w:t>
                  </w:r>
                </w:p>
              </w:tc>
            </w:tr>
            <w:tr w:rsidR="00C129D8" w:rsidRPr="003015E1" w14:paraId="7616C368" w14:textId="77777777" w:rsidTr="00831965">
              <w:trPr>
                <w:jc w:val="center"/>
              </w:trPr>
              <w:tc>
                <w:tcPr>
                  <w:tcW w:w="1306" w:type="pct"/>
                </w:tcPr>
                <w:p w14:paraId="7616C364"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 xml:space="preserve">Modelo 6 SSS: Aporte a Bomberos </w:t>
                  </w:r>
                </w:p>
              </w:tc>
              <w:tc>
                <w:tcPr>
                  <w:tcW w:w="924" w:type="pct"/>
                </w:tcPr>
                <w:p w14:paraId="7616C365"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Mensual</w:t>
                  </w:r>
                </w:p>
              </w:tc>
              <w:tc>
                <w:tcPr>
                  <w:tcW w:w="1231" w:type="pct"/>
                </w:tcPr>
                <w:p w14:paraId="7616C366"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5 días hábiles después del cierre de cada mes.</w:t>
                  </w:r>
                </w:p>
              </w:tc>
              <w:tc>
                <w:tcPr>
                  <w:tcW w:w="1539" w:type="pct"/>
                </w:tcPr>
                <w:p w14:paraId="7616C367"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6D" w14:textId="77777777" w:rsidTr="00831965">
              <w:trPr>
                <w:jc w:val="center"/>
              </w:trPr>
              <w:tc>
                <w:tcPr>
                  <w:tcW w:w="1306" w:type="pct"/>
                </w:tcPr>
                <w:p w14:paraId="7616C369"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 xml:space="preserve">Modelo 7 SSS: Canales de Comercialización </w:t>
                  </w:r>
                </w:p>
              </w:tc>
              <w:tc>
                <w:tcPr>
                  <w:tcW w:w="924" w:type="pct"/>
                </w:tcPr>
                <w:p w14:paraId="7616C36A"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6B"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15 días hábiles después del cierre de los meses de marzo, junio, setiembre y diciembre</w:t>
                  </w:r>
                </w:p>
              </w:tc>
              <w:tc>
                <w:tcPr>
                  <w:tcW w:w="1539" w:type="pct"/>
                </w:tcPr>
                <w:p w14:paraId="7616C36C"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72" w14:textId="77777777" w:rsidTr="00831965">
              <w:trPr>
                <w:jc w:val="center"/>
              </w:trPr>
              <w:tc>
                <w:tcPr>
                  <w:tcW w:w="1306" w:type="pct"/>
                </w:tcPr>
                <w:p w14:paraId="7616C36E"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8 SSS: Producción y Población Asegurada</w:t>
                  </w:r>
                </w:p>
              </w:tc>
              <w:tc>
                <w:tcPr>
                  <w:tcW w:w="924" w:type="pct"/>
                </w:tcPr>
                <w:p w14:paraId="7616C36F"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70"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15 días hábiles después del cierre de los meses de marzo, junio, setiembre y diciembre</w:t>
                  </w:r>
                </w:p>
              </w:tc>
              <w:tc>
                <w:tcPr>
                  <w:tcW w:w="1539" w:type="pct"/>
                </w:tcPr>
                <w:p w14:paraId="7616C371"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77" w14:textId="77777777" w:rsidTr="00831965">
              <w:trPr>
                <w:jc w:val="center"/>
              </w:trPr>
              <w:tc>
                <w:tcPr>
                  <w:tcW w:w="1306" w:type="pct"/>
                </w:tcPr>
                <w:p w14:paraId="7616C373"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9: Run Off</w:t>
                  </w:r>
                </w:p>
              </w:tc>
              <w:tc>
                <w:tcPr>
                  <w:tcW w:w="924" w:type="pct"/>
                </w:tcPr>
                <w:p w14:paraId="7616C374"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75"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15 días hábiles después del cierre de los meses de marzo, junio, setiembre y diciembre</w:t>
                  </w:r>
                </w:p>
              </w:tc>
              <w:tc>
                <w:tcPr>
                  <w:tcW w:w="1539" w:type="pct"/>
                </w:tcPr>
                <w:p w14:paraId="7616C376"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r w:rsidR="00C129D8" w:rsidRPr="003015E1" w14:paraId="7616C37C" w14:textId="77777777" w:rsidTr="00831965">
              <w:trPr>
                <w:jc w:val="center"/>
              </w:trPr>
              <w:tc>
                <w:tcPr>
                  <w:tcW w:w="1306" w:type="pct"/>
                </w:tcPr>
                <w:p w14:paraId="7616C378" w14:textId="77777777" w:rsidR="00C129D8" w:rsidRPr="003015E1" w:rsidRDefault="00C129D8" w:rsidP="00831965">
                  <w:pPr>
                    <w:pStyle w:val="Textoindependiente"/>
                    <w:rPr>
                      <w:rFonts w:asciiTheme="majorHAnsi" w:hAnsiTheme="majorHAnsi"/>
                      <w:i/>
                    </w:rPr>
                  </w:pPr>
                  <w:r w:rsidRPr="003015E1">
                    <w:rPr>
                      <w:rFonts w:asciiTheme="majorHAnsi" w:hAnsiTheme="majorHAnsi"/>
                      <w:i/>
                    </w:rPr>
                    <w:t>Modelo 10 SSS: Seguros paritarios</w:t>
                  </w:r>
                </w:p>
              </w:tc>
              <w:tc>
                <w:tcPr>
                  <w:tcW w:w="924" w:type="pct"/>
                </w:tcPr>
                <w:p w14:paraId="7616C379" w14:textId="77777777" w:rsidR="00C129D8" w:rsidRPr="003015E1" w:rsidRDefault="00C129D8" w:rsidP="00831965">
                  <w:pPr>
                    <w:widowControl w:val="0"/>
                    <w:jc w:val="center"/>
                    <w:rPr>
                      <w:rFonts w:asciiTheme="majorHAnsi" w:hAnsiTheme="majorHAnsi"/>
                      <w:i/>
                    </w:rPr>
                  </w:pPr>
                  <w:r w:rsidRPr="003015E1">
                    <w:rPr>
                      <w:rFonts w:asciiTheme="majorHAnsi" w:hAnsiTheme="majorHAnsi"/>
                      <w:i/>
                    </w:rPr>
                    <w:t>Trimestral</w:t>
                  </w:r>
                </w:p>
              </w:tc>
              <w:tc>
                <w:tcPr>
                  <w:tcW w:w="1231" w:type="pct"/>
                </w:tcPr>
                <w:p w14:paraId="7616C37A"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15 días hábiles después del cierre de los meses de marzo, junio, setiembre y diciembre</w:t>
                  </w:r>
                </w:p>
              </w:tc>
              <w:tc>
                <w:tcPr>
                  <w:tcW w:w="1539" w:type="pct"/>
                </w:tcPr>
                <w:p w14:paraId="7616C37B" w14:textId="77777777" w:rsidR="00C129D8" w:rsidRPr="003015E1" w:rsidRDefault="00C129D8" w:rsidP="00831965">
                  <w:pPr>
                    <w:widowControl w:val="0"/>
                    <w:jc w:val="both"/>
                    <w:rPr>
                      <w:rFonts w:asciiTheme="majorHAnsi" w:hAnsiTheme="majorHAnsi"/>
                      <w:i/>
                    </w:rPr>
                  </w:pPr>
                  <w:r w:rsidRPr="003015E1">
                    <w:rPr>
                      <w:rFonts w:asciiTheme="majorHAnsi" w:hAnsiTheme="majorHAnsi"/>
                      <w:i/>
                    </w:rPr>
                    <w:t>Web Service, a través de archivos *.xml, de conformidad con Estándar de Negocio para Entidades de Seguros, incluido en el Anexo 5</w:t>
                  </w:r>
                </w:p>
              </w:tc>
            </w:tr>
          </w:tbl>
          <w:p w14:paraId="7616C37D" w14:textId="77777777" w:rsidR="00C129D8" w:rsidRDefault="00C129D8" w:rsidP="00831965">
            <w:pPr>
              <w:jc w:val="both"/>
              <w:rPr>
                <w:rFonts w:asciiTheme="majorHAnsi" w:hAnsiTheme="majorHAnsi"/>
                <w:i/>
              </w:rPr>
            </w:pPr>
          </w:p>
          <w:p w14:paraId="7616C37E" w14:textId="77777777" w:rsidR="00E6795F" w:rsidRDefault="00E6795F" w:rsidP="00831965">
            <w:pPr>
              <w:jc w:val="both"/>
              <w:rPr>
                <w:rFonts w:asciiTheme="majorHAnsi" w:hAnsiTheme="majorHAnsi"/>
                <w:i/>
              </w:rPr>
            </w:pPr>
          </w:p>
          <w:p w14:paraId="7616C37F" w14:textId="77777777" w:rsidR="00E6795F" w:rsidRDefault="00E6795F" w:rsidP="00831965">
            <w:pPr>
              <w:jc w:val="both"/>
              <w:rPr>
                <w:rFonts w:asciiTheme="majorHAnsi" w:hAnsiTheme="majorHAnsi"/>
                <w:i/>
              </w:rPr>
            </w:pPr>
          </w:p>
          <w:p w14:paraId="7616C380" w14:textId="77777777" w:rsidR="00C129D8" w:rsidRPr="009C0F04" w:rsidRDefault="00C129D8" w:rsidP="00831965">
            <w:pPr>
              <w:jc w:val="both"/>
              <w:rPr>
                <w:rFonts w:asciiTheme="majorHAnsi" w:hAnsiTheme="majorHAnsi"/>
              </w:rPr>
            </w:pPr>
            <w:r w:rsidRPr="00E52354">
              <w:rPr>
                <w:rFonts w:asciiTheme="majorHAnsi" w:hAnsiTheme="majorHAnsi"/>
                <w:i/>
              </w:rPr>
              <w:lastRenderedPageBreak/>
              <w:t>La falta de presentación de esta documentación, la presentación fuera de plazo, la remisión incompleta, la falta de veracidad de la misma o la formulación de estados que no reflejen la imagen fiel de la entidad al término del ejercicio de referencia, constituyen infracciones a la normativa vigente, y pueden  dar lugar a las correspondientes sanciones en los términos previstos en la Ley Reguladora del Mercado de Seguros.</w:t>
            </w:r>
          </w:p>
        </w:tc>
      </w:tr>
      <w:tr w:rsidR="00C129D8" w:rsidRPr="00EA718A" w14:paraId="7616C384" w14:textId="77777777" w:rsidTr="00831965">
        <w:trPr>
          <w:jc w:val="center"/>
        </w:trPr>
        <w:tc>
          <w:tcPr>
            <w:tcW w:w="5000" w:type="pct"/>
          </w:tcPr>
          <w:p w14:paraId="7616C382" w14:textId="77777777" w:rsidR="00C129D8" w:rsidRDefault="00C129D8" w:rsidP="00831965">
            <w:pPr>
              <w:jc w:val="both"/>
              <w:rPr>
                <w:rFonts w:asciiTheme="majorHAnsi" w:hAnsiTheme="majorHAnsi"/>
                <w:b/>
              </w:rPr>
            </w:pPr>
          </w:p>
          <w:p w14:paraId="7616C383" w14:textId="77777777" w:rsidR="00C129D8" w:rsidRPr="009C0F04" w:rsidRDefault="00C129D8" w:rsidP="00831965">
            <w:pPr>
              <w:jc w:val="both"/>
              <w:rPr>
                <w:rFonts w:asciiTheme="majorHAnsi" w:hAnsiTheme="majorHAnsi"/>
              </w:rPr>
            </w:pPr>
            <w:r w:rsidRPr="009C0F04">
              <w:rPr>
                <w:rFonts w:asciiTheme="majorHAnsi" w:hAnsiTheme="majorHAnsi"/>
                <w:b/>
              </w:rPr>
              <w:t xml:space="preserve">SEGUNDO: </w:t>
            </w:r>
            <w:r>
              <w:rPr>
                <w:rFonts w:asciiTheme="majorHAnsi" w:hAnsiTheme="majorHAnsi"/>
                <w:b/>
              </w:rPr>
              <w:t xml:space="preserve"> </w:t>
            </w:r>
            <w:r w:rsidRPr="009C0F04">
              <w:rPr>
                <w:rFonts w:asciiTheme="majorHAnsi" w:hAnsiTheme="majorHAnsi"/>
              </w:rPr>
              <w:t>Modificar la numeración de los artículos 8 y 9, de tal forma que se denominen 9 y 10 e incluir un nuevo artículo según el texto incluido de seguido, de manera que en adelante se sean de la siguiente forma:</w:t>
            </w:r>
          </w:p>
        </w:tc>
      </w:tr>
      <w:tr w:rsidR="00C129D8" w:rsidRPr="00EA718A" w14:paraId="7616C398" w14:textId="77777777" w:rsidTr="00831965">
        <w:trPr>
          <w:jc w:val="center"/>
        </w:trPr>
        <w:tc>
          <w:tcPr>
            <w:tcW w:w="5000" w:type="pct"/>
          </w:tcPr>
          <w:p w14:paraId="7616C385" w14:textId="77777777" w:rsidR="00C129D8" w:rsidRDefault="00C129D8" w:rsidP="00831965">
            <w:pPr>
              <w:jc w:val="both"/>
              <w:rPr>
                <w:rFonts w:asciiTheme="majorHAnsi" w:hAnsiTheme="majorHAnsi"/>
                <w:b/>
              </w:rPr>
            </w:pPr>
          </w:p>
          <w:p w14:paraId="7616C386" w14:textId="77777777" w:rsidR="00C129D8" w:rsidRPr="003015E1" w:rsidRDefault="00C129D8" w:rsidP="00831965">
            <w:pPr>
              <w:jc w:val="both"/>
              <w:rPr>
                <w:rFonts w:asciiTheme="majorHAnsi" w:hAnsiTheme="majorHAnsi"/>
                <w:b/>
                <w:i/>
              </w:rPr>
            </w:pPr>
            <w:r w:rsidRPr="003015E1">
              <w:rPr>
                <w:rFonts w:asciiTheme="majorHAnsi" w:hAnsiTheme="majorHAnsi"/>
                <w:b/>
                <w:i/>
              </w:rPr>
              <w:t>“Artículo 8. Características, disponibilidad y procedimiento de la actualización, del estándar electrónico</w:t>
            </w:r>
          </w:p>
          <w:p w14:paraId="7616C387" w14:textId="77777777" w:rsidR="00C129D8" w:rsidRPr="00E52354" w:rsidRDefault="00C129D8" w:rsidP="00831965">
            <w:pPr>
              <w:jc w:val="both"/>
              <w:rPr>
                <w:rFonts w:asciiTheme="majorHAnsi" w:hAnsiTheme="majorHAnsi"/>
                <w:b/>
                <w:i/>
              </w:rPr>
            </w:pPr>
          </w:p>
          <w:p w14:paraId="7616C388" w14:textId="77777777" w:rsidR="00C129D8" w:rsidRPr="00E52354" w:rsidRDefault="00C129D8" w:rsidP="00831965">
            <w:pPr>
              <w:jc w:val="both"/>
              <w:rPr>
                <w:rFonts w:asciiTheme="majorHAnsi" w:hAnsiTheme="majorHAnsi"/>
                <w:i/>
              </w:rPr>
            </w:pPr>
            <w:r w:rsidRPr="00E52354">
              <w:rPr>
                <w:rFonts w:asciiTheme="majorHAnsi" w:hAnsiTheme="majorHAnsi"/>
                <w:i/>
              </w:rPr>
              <w:t>El estándar electrónico es el documento donde se disponen los requerimientos necesarios para la generación de los archivos XML y XSD,  dicho documento es parte integral de este acuerdo y estará disponible  en el sitio web de la Superintendencia (</w:t>
            </w:r>
            <w:hyperlink r:id="rId11" w:history="1">
              <w:r w:rsidRPr="00E52354">
                <w:rPr>
                  <w:rFonts w:asciiTheme="majorHAnsi" w:hAnsiTheme="majorHAnsi"/>
                  <w:i/>
                </w:rPr>
                <w:t>www.sugese.fi.cr</w:t>
              </w:r>
            </w:hyperlink>
            <w:r w:rsidRPr="00E52354">
              <w:rPr>
                <w:rFonts w:asciiTheme="majorHAnsi" w:hAnsiTheme="majorHAnsi"/>
                <w:i/>
              </w:rPr>
              <w:t xml:space="preserve"> ), en la Sección de Marco Legal como parte de los acuerdos del Superintendente.</w:t>
            </w:r>
          </w:p>
          <w:p w14:paraId="7616C389" w14:textId="77777777" w:rsidR="00C129D8" w:rsidRPr="00E52354" w:rsidRDefault="00C129D8" w:rsidP="00831965">
            <w:pPr>
              <w:jc w:val="both"/>
              <w:rPr>
                <w:rFonts w:asciiTheme="majorHAnsi" w:hAnsiTheme="majorHAnsi"/>
                <w:i/>
                <w:color w:val="0070C0"/>
              </w:rPr>
            </w:pPr>
          </w:p>
          <w:p w14:paraId="7616C38A" w14:textId="77777777" w:rsidR="00C129D8" w:rsidRPr="003015E1" w:rsidRDefault="00C129D8" w:rsidP="00831965">
            <w:pPr>
              <w:jc w:val="both"/>
              <w:rPr>
                <w:rFonts w:asciiTheme="majorHAnsi" w:hAnsiTheme="majorHAnsi"/>
                <w:i/>
              </w:rPr>
            </w:pPr>
            <w:r w:rsidRPr="003015E1">
              <w:rPr>
                <w:rFonts w:asciiTheme="majorHAnsi" w:hAnsiTheme="majorHAnsi"/>
                <w:i/>
              </w:rPr>
              <w:t>Las modificaciones que se efectúen al Estándar Electrónico se referirán únicamente a aspectos menores como los siguientes:</w:t>
            </w:r>
          </w:p>
          <w:p w14:paraId="7616C38B" w14:textId="77777777" w:rsidR="00C129D8" w:rsidRPr="003015E1" w:rsidRDefault="00C129D8" w:rsidP="00831965">
            <w:pPr>
              <w:jc w:val="both"/>
              <w:rPr>
                <w:rFonts w:asciiTheme="majorHAnsi" w:hAnsiTheme="majorHAnsi"/>
                <w:i/>
              </w:rPr>
            </w:pPr>
          </w:p>
          <w:p w14:paraId="7616C38C" w14:textId="77777777" w:rsidR="00C129D8" w:rsidRPr="003015E1" w:rsidRDefault="00C129D8" w:rsidP="00C129D8">
            <w:pPr>
              <w:pStyle w:val="Prrafodelista"/>
              <w:numPr>
                <w:ilvl w:val="0"/>
                <w:numId w:val="1"/>
              </w:numPr>
              <w:jc w:val="both"/>
              <w:rPr>
                <w:rFonts w:asciiTheme="majorHAnsi" w:hAnsiTheme="majorHAnsi"/>
                <w:i/>
              </w:rPr>
            </w:pPr>
            <w:r w:rsidRPr="003015E1">
              <w:rPr>
                <w:rFonts w:asciiTheme="majorHAnsi" w:hAnsiTheme="majorHAnsi"/>
                <w:i/>
              </w:rPr>
              <w:t>Cambios en las validaciones.</w:t>
            </w:r>
          </w:p>
          <w:p w14:paraId="7616C38D" w14:textId="77777777" w:rsidR="00C129D8" w:rsidRPr="003015E1" w:rsidRDefault="00C129D8" w:rsidP="00C129D8">
            <w:pPr>
              <w:pStyle w:val="Prrafodelista"/>
              <w:numPr>
                <w:ilvl w:val="0"/>
                <w:numId w:val="1"/>
              </w:numPr>
              <w:jc w:val="both"/>
              <w:rPr>
                <w:rFonts w:asciiTheme="majorHAnsi" w:hAnsiTheme="majorHAnsi"/>
                <w:i/>
              </w:rPr>
            </w:pPr>
            <w:r w:rsidRPr="003015E1">
              <w:rPr>
                <w:rFonts w:asciiTheme="majorHAnsi" w:hAnsiTheme="majorHAnsi"/>
                <w:i/>
              </w:rPr>
              <w:t xml:space="preserve">Cambios en las descripciones de los atributos o elementos.  </w:t>
            </w:r>
          </w:p>
          <w:p w14:paraId="7616C38E" w14:textId="77777777" w:rsidR="00C129D8" w:rsidRPr="003015E1" w:rsidRDefault="00C129D8" w:rsidP="00C129D8">
            <w:pPr>
              <w:pStyle w:val="Prrafodelista"/>
              <w:numPr>
                <w:ilvl w:val="0"/>
                <w:numId w:val="1"/>
              </w:numPr>
              <w:jc w:val="both"/>
              <w:rPr>
                <w:rFonts w:asciiTheme="majorHAnsi" w:hAnsiTheme="majorHAnsi"/>
                <w:i/>
              </w:rPr>
            </w:pPr>
            <w:r w:rsidRPr="003015E1">
              <w:rPr>
                <w:rFonts w:asciiTheme="majorHAnsi" w:hAnsiTheme="majorHAnsi"/>
                <w:i/>
              </w:rPr>
              <w:t>Modificaciones de cambios de las tablas o los catálogos.</w:t>
            </w:r>
          </w:p>
          <w:p w14:paraId="7616C38F" w14:textId="77777777" w:rsidR="00C129D8" w:rsidRPr="00E52354" w:rsidRDefault="00C129D8" w:rsidP="00831965">
            <w:pPr>
              <w:ind w:left="360"/>
              <w:jc w:val="both"/>
              <w:rPr>
                <w:rFonts w:asciiTheme="majorHAnsi" w:hAnsiTheme="majorHAnsi"/>
                <w:i/>
              </w:rPr>
            </w:pPr>
          </w:p>
          <w:p w14:paraId="7616C390" w14:textId="77777777" w:rsidR="00C129D8" w:rsidRPr="00E52354" w:rsidRDefault="00C129D8" w:rsidP="00831965">
            <w:pPr>
              <w:jc w:val="both"/>
              <w:rPr>
                <w:rFonts w:asciiTheme="majorHAnsi" w:hAnsiTheme="majorHAnsi"/>
                <w:i/>
              </w:rPr>
            </w:pPr>
            <w:r w:rsidRPr="00E52354">
              <w:rPr>
                <w:rFonts w:asciiTheme="majorHAnsi" w:hAnsiTheme="majorHAnsi"/>
                <w:i/>
              </w:rPr>
              <w:t>La  actualización del Estándar Electrónico estará a cargo de la Dirección de la División de Supervisión de la Sugese, quien comunicará la modificación a las entidades supervisadas cuando sea requerido.</w:t>
            </w:r>
          </w:p>
          <w:p w14:paraId="7616C391" w14:textId="77777777" w:rsidR="00C129D8" w:rsidRPr="003015E1" w:rsidRDefault="00C129D8" w:rsidP="00831965">
            <w:pPr>
              <w:jc w:val="both"/>
              <w:rPr>
                <w:rFonts w:asciiTheme="majorHAnsi" w:hAnsiTheme="majorHAnsi"/>
                <w:i/>
              </w:rPr>
            </w:pPr>
          </w:p>
          <w:p w14:paraId="7616C392" w14:textId="77777777" w:rsidR="00C129D8" w:rsidRPr="003015E1" w:rsidRDefault="00C129D8" w:rsidP="00831965">
            <w:pPr>
              <w:jc w:val="both"/>
              <w:rPr>
                <w:rFonts w:asciiTheme="majorHAnsi" w:hAnsiTheme="majorHAnsi"/>
                <w:i/>
              </w:rPr>
            </w:pPr>
            <w:r w:rsidRPr="003015E1">
              <w:rPr>
                <w:rFonts w:asciiTheme="majorHAnsi" w:hAnsiTheme="majorHAnsi"/>
                <w:i/>
              </w:rPr>
              <w:t xml:space="preserve">Dentro del plazo de diez días hábiles posteriores a dicha comunicación las entidades podrán remitir sus objeciones debidamente justificadas a las modificaciones propuestas, en caso de requerirlo, transcurrido este plazo se tomarán como aceptadas las modificaciones. </w:t>
            </w:r>
          </w:p>
          <w:p w14:paraId="7616C393" w14:textId="77777777" w:rsidR="00C129D8" w:rsidRPr="003015E1" w:rsidRDefault="00C129D8" w:rsidP="00831965">
            <w:pPr>
              <w:jc w:val="both"/>
              <w:rPr>
                <w:rFonts w:asciiTheme="majorHAnsi" w:hAnsiTheme="majorHAnsi"/>
                <w:i/>
              </w:rPr>
            </w:pPr>
          </w:p>
          <w:p w14:paraId="7616C394" w14:textId="77777777" w:rsidR="00C129D8" w:rsidRPr="003015E1" w:rsidRDefault="00C129D8" w:rsidP="00831965">
            <w:pPr>
              <w:jc w:val="both"/>
              <w:rPr>
                <w:rFonts w:asciiTheme="majorHAnsi" w:hAnsiTheme="majorHAnsi"/>
                <w:i/>
              </w:rPr>
            </w:pPr>
            <w:r w:rsidRPr="003015E1">
              <w:rPr>
                <w:rFonts w:asciiTheme="majorHAnsi" w:hAnsiTheme="majorHAnsi"/>
                <w:i/>
              </w:rPr>
              <w:t>Cualquier cambio en el Estándar Electrónico entrará en vigencia un mes después de  informado al medio por parte de la Dirección de la División de Supervisión de la Superintendencia por los medios de comunicación dispuestos para ello o bien cuando se acepte alguna observación en el plazo que esta considere.</w:t>
            </w:r>
          </w:p>
          <w:p w14:paraId="7616C395" w14:textId="77777777" w:rsidR="00C129D8" w:rsidRPr="003015E1" w:rsidRDefault="00C129D8" w:rsidP="00831965">
            <w:pPr>
              <w:jc w:val="both"/>
              <w:rPr>
                <w:rFonts w:asciiTheme="majorHAnsi" w:hAnsiTheme="majorHAnsi"/>
                <w:i/>
              </w:rPr>
            </w:pPr>
          </w:p>
          <w:p w14:paraId="7616C396" w14:textId="77777777" w:rsidR="00C129D8" w:rsidRPr="003015E1" w:rsidRDefault="00C129D8" w:rsidP="00831965">
            <w:pPr>
              <w:jc w:val="both"/>
              <w:rPr>
                <w:rFonts w:asciiTheme="majorHAnsi" w:hAnsiTheme="majorHAnsi"/>
                <w:i/>
              </w:rPr>
            </w:pPr>
            <w:r w:rsidRPr="003015E1">
              <w:rPr>
                <w:rFonts w:asciiTheme="majorHAnsi" w:hAnsiTheme="majorHAnsi"/>
                <w:i/>
              </w:rPr>
              <w:t>Este procedimiento no aplica para modificaciones del estándar de negocio o la introducción de nuevos modelos en éste, ni cambios que afecten la información histórica ya remitida.</w:t>
            </w:r>
          </w:p>
          <w:p w14:paraId="7616C397" w14:textId="77777777" w:rsidR="00C129D8" w:rsidRPr="009C0F04" w:rsidRDefault="00C129D8" w:rsidP="00831965">
            <w:pPr>
              <w:jc w:val="both"/>
              <w:rPr>
                <w:rFonts w:asciiTheme="majorHAnsi" w:hAnsiTheme="majorHAnsi"/>
                <w:color w:val="0070C0"/>
              </w:rPr>
            </w:pPr>
          </w:p>
        </w:tc>
      </w:tr>
      <w:tr w:rsidR="00C129D8" w:rsidRPr="00EA718A" w14:paraId="7616C39A" w14:textId="77777777" w:rsidTr="00831965">
        <w:trPr>
          <w:jc w:val="center"/>
        </w:trPr>
        <w:tc>
          <w:tcPr>
            <w:tcW w:w="5000" w:type="pct"/>
          </w:tcPr>
          <w:p w14:paraId="7616C399" w14:textId="77777777" w:rsidR="00C129D8" w:rsidRPr="00E52354" w:rsidRDefault="00C129D8" w:rsidP="00831965">
            <w:pPr>
              <w:jc w:val="both"/>
              <w:rPr>
                <w:rFonts w:asciiTheme="majorHAnsi" w:hAnsiTheme="majorHAnsi"/>
                <w:i/>
              </w:rPr>
            </w:pPr>
            <w:r w:rsidRPr="00E52354">
              <w:rPr>
                <w:rFonts w:asciiTheme="majorHAnsi" w:hAnsiTheme="majorHAnsi"/>
                <w:b/>
                <w:i/>
              </w:rPr>
              <w:lastRenderedPageBreak/>
              <w:t xml:space="preserve">Artículo 9. Vigencia </w:t>
            </w:r>
          </w:p>
        </w:tc>
      </w:tr>
      <w:tr w:rsidR="00C129D8" w:rsidRPr="00EA718A" w14:paraId="7616C39C" w14:textId="77777777" w:rsidTr="00831965">
        <w:trPr>
          <w:jc w:val="center"/>
        </w:trPr>
        <w:tc>
          <w:tcPr>
            <w:tcW w:w="5000" w:type="pct"/>
          </w:tcPr>
          <w:p w14:paraId="7616C39B" w14:textId="77777777" w:rsidR="00C129D8" w:rsidRPr="00E52354" w:rsidRDefault="00C129D8" w:rsidP="00831965">
            <w:pPr>
              <w:jc w:val="both"/>
              <w:rPr>
                <w:rFonts w:asciiTheme="majorHAnsi" w:hAnsiTheme="majorHAnsi"/>
                <w:i/>
              </w:rPr>
            </w:pPr>
            <w:r w:rsidRPr="00E52354">
              <w:rPr>
                <w:rFonts w:asciiTheme="majorHAnsi" w:hAnsiTheme="majorHAnsi"/>
                <w:i/>
              </w:rPr>
              <w:t>Estas disposiciones rigen a partir de su notificación.</w:t>
            </w:r>
          </w:p>
        </w:tc>
      </w:tr>
      <w:tr w:rsidR="00C129D8" w:rsidRPr="00EA718A" w14:paraId="7616C39F" w14:textId="77777777" w:rsidTr="00831965">
        <w:trPr>
          <w:jc w:val="center"/>
        </w:trPr>
        <w:tc>
          <w:tcPr>
            <w:tcW w:w="5000" w:type="pct"/>
          </w:tcPr>
          <w:p w14:paraId="7616C39D" w14:textId="77777777" w:rsidR="00C129D8" w:rsidRPr="00E52354" w:rsidRDefault="00C129D8" w:rsidP="00831965">
            <w:pPr>
              <w:jc w:val="both"/>
              <w:rPr>
                <w:rFonts w:asciiTheme="majorHAnsi" w:hAnsiTheme="majorHAnsi"/>
                <w:b/>
                <w:i/>
              </w:rPr>
            </w:pPr>
          </w:p>
          <w:p w14:paraId="7616C39E" w14:textId="77777777" w:rsidR="00C129D8" w:rsidRPr="00E52354" w:rsidRDefault="00C129D8" w:rsidP="00831965">
            <w:pPr>
              <w:jc w:val="both"/>
              <w:rPr>
                <w:rFonts w:asciiTheme="majorHAnsi" w:hAnsiTheme="majorHAnsi"/>
                <w:b/>
                <w:i/>
                <w:lang w:val="es-ES_tradnl"/>
              </w:rPr>
            </w:pPr>
            <w:r w:rsidRPr="00E52354">
              <w:rPr>
                <w:rFonts w:asciiTheme="majorHAnsi" w:hAnsiTheme="majorHAnsi"/>
                <w:b/>
                <w:i/>
              </w:rPr>
              <w:t>Artículo 10. Derogatoria</w:t>
            </w:r>
          </w:p>
        </w:tc>
      </w:tr>
      <w:tr w:rsidR="00C129D8" w:rsidRPr="00EA718A" w14:paraId="7616C3A1" w14:textId="77777777" w:rsidTr="00831965">
        <w:trPr>
          <w:jc w:val="center"/>
        </w:trPr>
        <w:tc>
          <w:tcPr>
            <w:tcW w:w="5000" w:type="pct"/>
          </w:tcPr>
          <w:p w14:paraId="7616C3A0" w14:textId="77777777" w:rsidR="00C129D8" w:rsidRPr="00E52354" w:rsidRDefault="00C129D8" w:rsidP="00831965">
            <w:pPr>
              <w:jc w:val="both"/>
              <w:rPr>
                <w:rFonts w:asciiTheme="majorHAnsi" w:hAnsiTheme="majorHAnsi"/>
                <w:b/>
                <w:i/>
                <w:lang w:val="es-ES_tradnl"/>
              </w:rPr>
            </w:pPr>
            <w:r w:rsidRPr="00E52354">
              <w:rPr>
                <w:rFonts w:asciiTheme="majorHAnsi" w:hAnsiTheme="majorHAnsi"/>
                <w:i/>
              </w:rPr>
              <w:t>El presente acuerdo deroga los acuerdos SGS-A-003-2010 de fecha 11 de marzo de 2010, SGS-A-016-2012 de fecha 11 de octubre de 2012, y el segundo apartado de la parte dispositiva del acuerdo SGS-A-009-2010, relacionada con la información adicional a saldos contables.”</w:t>
            </w:r>
          </w:p>
        </w:tc>
      </w:tr>
      <w:tr w:rsidR="00C129D8" w:rsidRPr="00EA718A" w14:paraId="7616C3A6" w14:textId="77777777" w:rsidTr="00831965">
        <w:trPr>
          <w:jc w:val="center"/>
        </w:trPr>
        <w:tc>
          <w:tcPr>
            <w:tcW w:w="5000" w:type="pct"/>
          </w:tcPr>
          <w:p w14:paraId="7616C3A2" w14:textId="77777777" w:rsidR="00C129D8" w:rsidRDefault="00C129D8" w:rsidP="00831965">
            <w:pPr>
              <w:jc w:val="both"/>
              <w:rPr>
                <w:rFonts w:asciiTheme="majorHAnsi" w:hAnsiTheme="majorHAnsi"/>
                <w:b/>
              </w:rPr>
            </w:pPr>
          </w:p>
          <w:p w14:paraId="7616C3A3" w14:textId="77777777" w:rsidR="00C129D8" w:rsidRDefault="00C129D8" w:rsidP="00831965">
            <w:pPr>
              <w:jc w:val="both"/>
              <w:rPr>
                <w:rFonts w:asciiTheme="majorHAnsi" w:hAnsiTheme="majorHAnsi"/>
                <w:b/>
              </w:rPr>
            </w:pPr>
          </w:p>
          <w:p w14:paraId="7616C3A4" w14:textId="77777777" w:rsidR="00C129D8" w:rsidRDefault="00C129D8" w:rsidP="00831965">
            <w:pPr>
              <w:jc w:val="both"/>
              <w:rPr>
                <w:rFonts w:asciiTheme="majorHAnsi" w:hAnsiTheme="majorHAnsi"/>
              </w:rPr>
            </w:pPr>
            <w:r w:rsidRPr="009C0F04">
              <w:rPr>
                <w:rFonts w:asciiTheme="majorHAnsi" w:hAnsiTheme="majorHAnsi"/>
                <w:b/>
              </w:rPr>
              <w:t xml:space="preserve">TERCERO: </w:t>
            </w:r>
            <w:r w:rsidRPr="009C0F04">
              <w:rPr>
                <w:rFonts w:asciiTheme="majorHAnsi" w:hAnsiTheme="majorHAnsi"/>
              </w:rPr>
              <w:t>Modificar el Anexo 5, del acuerdo SGS-DES-A-021-2013 denominado Disposiciones para la Remisión de la Información Contable y Estadística a la Superintendencia General de Seguros por parte de las Entidades Supervisadas, de la siguiente forma:</w:t>
            </w:r>
            <w:bookmarkStart w:id="0" w:name="_GoBack"/>
            <w:bookmarkEnd w:id="0"/>
          </w:p>
          <w:p w14:paraId="7616C3A5" w14:textId="77777777" w:rsidR="00C129D8" w:rsidRPr="009C0F04" w:rsidRDefault="00C129D8" w:rsidP="00831965">
            <w:pPr>
              <w:jc w:val="both"/>
              <w:rPr>
                <w:rFonts w:asciiTheme="majorHAnsi" w:hAnsiTheme="majorHAnsi"/>
                <w:b/>
                <w:i/>
                <w:lang w:val="es-ES_tradnl"/>
              </w:rPr>
            </w:pPr>
          </w:p>
        </w:tc>
      </w:tr>
      <w:tr w:rsidR="00C129D8" w:rsidRPr="00EA718A" w14:paraId="7616C3AD" w14:textId="77777777" w:rsidTr="00831965">
        <w:trPr>
          <w:jc w:val="center"/>
        </w:trPr>
        <w:tc>
          <w:tcPr>
            <w:tcW w:w="5000" w:type="pct"/>
          </w:tcPr>
          <w:p w14:paraId="7616C3A7" w14:textId="77777777" w:rsidR="00C129D8" w:rsidRPr="00E52354" w:rsidRDefault="00C129D8" w:rsidP="00831965">
            <w:pPr>
              <w:widowControl w:val="0"/>
              <w:jc w:val="center"/>
              <w:rPr>
                <w:rFonts w:asciiTheme="majorHAnsi" w:hAnsiTheme="majorHAnsi"/>
                <w:b/>
                <w:i/>
              </w:rPr>
            </w:pPr>
            <w:r w:rsidRPr="00E52354">
              <w:rPr>
                <w:rFonts w:asciiTheme="majorHAnsi" w:hAnsiTheme="majorHAnsi"/>
                <w:b/>
                <w:i/>
              </w:rPr>
              <w:t>ANEXO 5. Estándar de Negocio para Entidades de Seguros</w:t>
            </w:r>
          </w:p>
          <w:p w14:paraId="7616C3A8" w14:textId="77777777" w:rsidR="00C129D8" w:rsidRPr="00E52354" w:rsidRDefault="00C129D8" w:rsidP="00831965">
            <w:pPr>
              <w:widowControl w:val="0"/>
              <w:jc w:val="center"/>
              <w:rPr>
                <w:rFonts w:asciiTheme="majorHAnsi" w:hAnsiTheme="majorHAnsi"/>
                <w:i/>
              </w:rPr>
            </w:pPr>
          </w:p>
          <w:bookmarkStart w:id="1" w:name="_MON_1462110228"/>
          <w:bookmarkEnd w:id="1"/>
          <w:p w14:paraId="7616C3A9" w14:textId="77777777" w:rsidR="00C129D8" w:rsidRDefault="006A66F1" w:rsidP="00831965">
            <w:pPr>
              <w:widowControl w:val="0"/>
              <w:jc w:val="center"/>
              <w:rPr>
                <w:rFonts w:asciiTheme="majorHAnsi" w:hAnsiTheme="majorHAnsi"/>
                <w:i/>
                <w:lang w:val="es-CR"/>
              </w:rPr>
            </w:pPr>
            <w:r w:rsidRPr="00E52354">
              <w:rPr>
                <w:rFonts w:asciiTheme="majorHAnsi" w:hAnsiTheme="majorHAnsi"/>
                <w:i/>
                <w:lang w:val="es-CR"/>
              </w:rPr>
              <w:object w:dxaOrig="2700" w:dyaOrig="1724" w14:anchorId="7616C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5pt;height:86.25pt" o:ole="">
                  <v:imagedata r:id="rId12" o:title=""/>
                </v:shape>
                <o:OLEObject Type="Embed" ProgID="Word.Document.12" ShapeID="_x0000_i1025" DrawAspect="Icon" ObjectID="_1466837134" r:id="rId13">
                  <o:FieldCodes>\s</o:FieldCodes>
                </o:OLEObject>
              </w:object>
            </w:r>
          </w:p>
          <w:p w14:paraId="7616C3AA" w14:textId="77777777" w:rsidR="00C129D8" w:rsidRPr="00E52354" w:rsidRDefault="00C129D8" w:rsidP="00831965">
            <w:pPr>
              <w:widowControl w:val="0"/>
              <w:jc w:val="center"/>
              <w:rPr>
                <w:rFonts w:asciiTheme="majorHAnsi" w:hAnsiTheme="majorHAnsi"/>
                <w:i/>
                <w:lang w:val="es-CR"/>
              </w:rPr>
            </w:pPr>
          </w:p>
          <w:p w14:paraId="7616C3AB" w14:textId="77777777" w:rsidR="00C129D8" w:rsidRDefault="00C129D8" w:rsidP="00831965">
            <w:pPr>
              <w:widowControl w:val="0"/>
              <w:rPr>
                <w:rFonts w:asciiTheme="majorHAnsi" w:hAnsiTheme="majorHAnsi"/>
                <w:b/>
                <w:i/>
                <w:lang w:val="es-ES_tradnl"/>
              </w:rPr>
            </w:pPr>
          </w:p>
          <w:p w14:paraId="7616C3AC" w14:textId="77777777" w:rsidR="00C129D8" w:rsidRPr="00E52354" w:rsidRDefault="00C129D8" w:rsidP="00831965">
            <w:pPr>
              <w:widowControl w:val="0"/>
              <w:rPr>
                <w:rFonts w:asciiTheme="majorHAnsi" w:hAnsiTheme="majorHAnsi"/>
                <w:b/>
                <w:i/>
                <w:lang w:val="es-ES_tradnl"/>
              </w:rPr>
            </w:pPr>
          </w:p>
        </w:tc>
      </w:tr>
      <w:tr w:rsidR="00C129D8" w:rsidRPr="00EA718A" w14:paraId="7616C3AF" w14:textId="77777777" w:rsidTr="00831965">
        <w:trPr>
          <w:trHeight w:val="95"/>
          <w:jc w:val="center"/>
        </w:trPr>
        <w:tc>
          <w:tcPr>
            <w:tcW w:w="5000" w:type="pct"/>
          </w:tcPr>
          <w:p w14:paraId="7616C3AE" w14:textId="77777777" w:rsidR="00C129D8" w:rsidRPr="003015E1" w:rsidRDefault="00C129D8" w:rsidP="00831965">
            <w:pPr>
              <w:jc w:val="both"/>
              <w:rPr>
                <w:rFonts w:asciiTheme="majorHAnsi" w:hAnsiTheme="majorHAnsi"/>
              </w:rPr>
            </w:pPr>
            <w:r w:rsidRPr="009C0F04">
              <w:rPr>
                <w:rFonts w:asciiTheme="majorHAnsi" w:hAnsiTheme="majorHAnsi"/>
                <w:b/>
              </w:rPr>
              <w:t xml:space="preserve">CUARTO: </w:t>
            </w:r>
            <w:r w:rsidRPr="009C0F04">
              <w:rPr>
                <w:rFonts w:asciiTheme="majorHAnsi" w:hAnsiTheme="majorHAnsi"/>
              </w:rPr>
              <w:t>Modificar el Transitorio I del acuerdo SGS-DES-A-021-2013 denominado Disposiciones para la Remisión de la Información Contable y Estadística a la Superintendencia General de Seguros por parte de las Entidades Supervisadas, para que se lea de la siguiente forma:</w:t>
            </w:r>
          </w:p>
        </w:tc>
      </w:tr>
    </w:tbl>
    <w:p w14:paraId="6A54507C" w14:textId="77777777" w:rsidR="000B6068" w:rsidRDefault="000B6068">
      <w:r>
        <w:br w:type="page"/>
      </w:r>
    </w:p>
    <w:tbl>
      <w:tblPr>
        <w:tblW w:w="5000" w:type="pct"/>
        <w:jc w:val="center"/>
        <w:tblLook w:val="04A0" w:firstRow="1" w:lastRow="0" w:firstColumn="1" w:lastColumn="0" w:noHBand="0" w:noVBand="1"/>
      </w:tblPr>
      <w:tblGrid>
        <w:gridCol w:w="9054"/>
      </w:tblGrid>
      <w:tr w:rsidR="00C129D8" w:rsidRPr="00EA718A" w14:paraId="7616C3B3" w14:textId="77777777" w:rsidTr="00831965">
        <w:trPr>
          <w:jc w:val="center"/>
        </w:trPr>
        <w:tc>
          <w:tcPr>
            <w:tcW w:w="5000" w:type="pct"/>
          </w:tcPr>
          <w:p w14:paraId="7616C3B2" w14:textId="1982BBBD" w:rsidR="00C129D8" w:rsidRPr="00E52354" w:rsidRDefault="000B6068" w:rsidP="00831965">
            <w:pPr>
              <w:jc w:val="both"/>
              <w:rPr>
                <w:rFonts w:asciiTheme="majorHAnsi" w:hAnsiTheme="majorHAnsi"/>
                <w:b/>
                <w:i/>
              </w:rPr>
            </w:pPr>
            <w:r>
              <w:rPr>
                <w:rFonts w:asciiTheme="majorHAnsi" w:hAnsiTheme="majorHAnsi"/>
                <w:b/>
                <w:i/>
              </w:rPr>
              <w:lastRenderedPageBreak/>
              <w:t xml:space="preserve">“Transitorio I: </w:t>
            </w:r>
            <w:r w:rsidR="00C129D8" w:rsidRPr="00E52354">
              <w:rPr>
                <w:rFonts w:asciiTheme="majorHAnsi" w:hAnsiTheme="majorHAnsi"/>
                <w:b/>
                <w:i/>
              </w:rPr>
              <w:t xml:space="preserve">Disposiciones particulares sobre los primeros envíos de información </w:t>
            </w:r>
          </w:p>
        </w:tc>
      </w:tr>
      <w:tr w:rsidR="00C129D8" w:rsidRPr="00EA718A" w14:paraId="7616C3B6" w14:textId="77777777" w:rsidTr="00831965">
        <w:trPr>
          <w:jc w:val="center"/>
        </w:trPr>
        <w:tc>
          <w:tcPr>
            <w:tcW w:w="5000" w:type="pct"/>
          </w:tcPr>
          <w:p w14:paraId="7616C3B4" w14:textId="77777777" w:rsidR="00C129D8" w:rsidRDefault="00C129D8" w:rsidP="00831965">
            <w:pPr>
              <w:jc w:val="both"/>
              <w:rPr>
                <w:rFonts w:asciiTheme="majorHAnsi" w:hAnsiTheme="majorHAnsi"/>
                <w:i/>
              </w:rPr>
            </w:pPr>
          </w:p>
          <w:p w14:paraId="7616C3B5" w14:textId="77777777" w:rsidR="00C129D8" w:rsidRPr="00E52354" w:rsidRDefault="00C129D8" w:rsidP="00831965">
            <w:pPr>
              <w:jc w:val="both"/>
              <w:rPr>
                <w:rFonts w:asciiTheme="majorHAnsi" w:hAnsiTheme="majorHAnsi"/>
                <w:b/>
                <w:i/>
                <w:lang w:val="es-ES_tradnl"/>
              </w:rPr>
            </w:pPr>
            <w:r w:rsidRPr="00E52354">
              <w:rPr>
                <w:rFonts w:asciiTheme="majorHAnsi" w:hAnsiTheme="majorHAnsi"/>
                <w:i/>
              </w:rPr>
              <w:t>Para los primeros envíos de la información de los modelos, dispuesta en el artículo 2  de este acuerdo, por parte de las aseguradoras,  rige lo siguiente:</w:t>
            </w:r>
          </w:p>
        </w:tc>
      </w:tr>
      <w:tr w:rsidR="00C129D8" w:rsidRPr="00EA718A" w14:paraId="7616C3B9" w14:textId="77777777" w:rsidTr="00831965">
        <w:trPr>
          <w:jc w:val="center"/>
        </w:trPr>
        <w:tc>
          <w:tcPr>
            <w:tcW w:w="5000" w:type="pct"/>
          </w:tcPr>
          <w:p w14:paraId="7616C3B7" w14:textId="77777777" w:rsidR="00C129D8" w:rsidRDefault="00C129D8" w:rsidP="00831965">
            <w:pPr>
              <w:ind w:left="284" w:hanging="284"/>
              <w:jc w:val="both"/>
              <w:rPr>
                <w:rFonts w:asciiTheme="majorHAnsi" w:hAnsiTheme="majorHAnsi"/>
                <w:i/>
              </w:rPr>
            </w:pPr>
          </w:p>
          <w:p w14:paraId="7616C3B8" w14:textId="77777777" w:rsidR="00C129D8" w:rsidRPr="00E52354" w:rsidRDefault="00C129D8" w:rsidP="00831965">
            <w:pPr>
              <w:ind w:left="284" w:hanging="284"/>
              <w:jc w:val="both"/>
              <w:rPr>
                <w:rFonts w:asciiTheme="majorHAnsi" w:hAnsiTheme="majorHAnsi"/>
                <w:b/>
                <w:i/>
                <w:lang w:val="es-ES_tradnl"/>
              </w:rPr>
            </w:pPr>
            <w:r w:rsidRPr="00E52354">
              <w:rPr>
                <w:rFonts w:asciiTheme="majorHAnsi" w:hAnsiTheme="majorHAnsi"/>
                <w:i/>
              </w:rPr>
              <w:t xml:space="preserve">a.- La información trimestral, correspondiente al cierre de marzo y junio de 2014 del modelo 2, </w:t>
            </w:r>
            <w:r w:rsidRPr="003015E1">
              <w:rPr>
                <w:rFonts w:asciiTheme="majorHAnsi" w:hAnsiTheme="majorHAnsi"/>
                <w:i/>
              </w:rPr>
              <w:t>específicamente lo relacionado con la cuenta técnica financiera, deberá remitirse a la Superintendencia a través del Sistema de Supervisión de Seguros a más tardar el 12 de setiembre de 2014.</w:t>
            </w:r>
          </w:p>
        </w:tc>
      </w:tr>
      <w:tr w:rsidR="00C129D8" w:rsidRPr="00EA718A" w14:paraId="7616C3BB" w14:textId="77777777" w:rsidTr="00831965">
        <w:trPr>
          <w:jc w:val="center"/>
        </w:trPr>
        <w:tc>
          <w:tcPr>
            <w:tcW w:w="5000" w:type="pct"/>
          </w:tcPr>
          <w:p w14:paraId="7616C3BA" w14:textId="77777777" w:rsidR="00C129D8" w:rsidRPr="00E52354" w:rsidRDefault="00C129D8" w:rsidP="00831965">
            <w:pPr>
              <w:ind w:left="284" w:hanging="284"/>
              <w:jc w:val="both"/>
              <w:rPr>
                <w:rFonts w:asciiTheme="majorHAnsi" w:hAnsiTheme="majorHAnsi"/>
                <w:b/>
                <w:i/>
                <w:lang w:val="es-ES_tradnl"/>
              </w:rPr>
            </w:pPr>
            <w:r w:rsidRPr="00E52354">
              <w:rPr>
                <w:rFonts w:asciiTheme="majorHAnsi" w:hAnsiTheme="majorHAnsi"/>
                <w:i/>
              </w:rPr>
              <w:t>b.- La información mensual definida en el modelo 5 del SSS, debe remitirse a partir del corte mensual correspondiente a enero del 2015, de conformidad con el Plan de Cuentas para las Entidades de Seguros vigente para esa fecha.</w:t>
            </w:r>
          </w:p>
        </w:tc>
      </w:tr>
      <w:tr w:rsidR="00C129D8" w:rsidRPr="00EA718A" w14:paraId="7616C3BE" w14:textId="77777777" w:rsidTr="00831965">
        <w:trPr>
          <w:jc w:val="center"/>
        </w:trPr>
        <w:tc>
          <w:tcPr>
            <w:tcW w:w="5000" w:type="pct"/>
          </w:tcPr>
          <w:p w14:paraId="7616C3BC" w14:textId="77777777" w:rsidR="00C129D8" w:rsidRPr="003015E1" w:rsidRDefault="00C129D8" w:rsidP="00831965">
            <w:pPr>
              <w:ind w:left="284" w:hanging="284"/>
              <w:jc w:val="both"/>
              <w:rPr>
                <w:rFonts w:asciiTheme="majorHAnsi" w:hAnsiTheme="majorHAnsi"/>
                <w:i/>
              </w:rPr>
            </w:pPr>
            <w:r w:rsidRPr="003015E1">
              <w:rPr>
                <w:rFonts w:asciiTheme="majorHAnsi" w:hAnsiTheme="majorHAnsi"/>
                <w:i/>
              </w:rPr>
              <w:t>c.- La información de saldos contables de conformidad con el Anexo 1, debe entregarse para todos los meses del 2014, utilizando para ello el Plan de Cuentas para las Entidades de Seguros vigente durante el 2014, es decir, el último reporte de saldos contables con ese  formato será el correspondiente a  diciembre de 2014.</w:t>
            </w:r>
          </w:p>
          <w:p w14:paraId="7616C3BD" w14:textId="77777777" w:rsidR="00C129D8" w:rsidRPr="003015E1" w:rsidRDefault="00C129D8" w:rsidP="00831965">
            <w:pPr>
              <w:ind w:left="284" w:hanging="284"/>
              <w:jc w:val="both"/>
              <w:rPr>
                <w:rFonts w:asciiTheme="majorHAnsi" w:hAnsiTheme="majorHAnsi"/>
                <w:i/>
                <w:lang w:val="es-ES_tradnl"/>
              </w:rPr>
            </w:pPr>
            <w:r w:rsidRPr="003015E1">
              <w:rPr>
                <w:rFonts w:asciiTheme="majorHAnsi" w:hAnsiTheme="majorHAnsi"/>
                <w:i/>
              </w:rPr>
              <w:t>d.-La aplicación de la versión del Estándar de Negocio incluida en este acuerdo para los modelos con periodicidad de envío mensual rige para  la revelación de la información correspondiente al cierre de agosto de 2014.”</w:t>
            </w:r>
          </w:p>
        </w:tc>
      </w:tr>
      <w:tr w:rsidR="00C129D8" w:rsidRPr="00EA718A" w14:paraId="7616C3C6" w14:textId="77777777" w:rsidTr="00831965">
        <w:trPr>
          <w:trHeight w:val="95"/>
          <w:jc w:val="center"/>
        </w:trPr>
        <w:tc>
          <w:tcPr>
            <w:tcW w:w="5000" w:type="pct"/>
          </w:tcPr>
          <w:p w14:paraId="7616C3BF" w14:textId="77777777" w:rsidR="00C129D8" w:rsidRDefault="00C129D8" w:rsidP="00831965">
            <w:pPr>
              <w:jc w:val="both"/>
              <w:rPr>
                <w:rFonts w:asciiTheme="majorHAnsi" w:hAnsiTheme="majorHAnsi"/>
                <w:b/>
              </w:rPr>
            </w:pPr>
          </w:p>
          <w:p w14:paraId="7616C3C0" w14:textId="77777777" w:rsidR="00C129D8" w:rsidRDefault="00C129D8" w:rsidP="00831965">
            <w:pPr>
              <w:jc w:val="both"/>
              <w:rPr>
                <w:rFonts w:asciiTheme="majorHAnsi" w:hAnsiTheme="majorHAnsi"/>
              </w:rPr>
            </w:pPr>
            <w:r>
              <w:rPr>
                <w:rFonts w:asciiTheme="majorHAnsi" w:hAnsiTheme="majorHAnsi"/>
                <w:b/>
              </w:rPr>
              <w:t xml:space="preserve">QUINTO: </w:t>
            </w:r>
            <w:r>
              <w:rPr>
                <w:rFonts w:asciiTheme="majorHAnsi" w:hAnsiTheme="majorHAnsi"/>
              </w:rPr>
              <w:t>Publicar la versión al 07 de julio de 2014 del Estándar Electrónico del Sistema de Supervisión de Seguros, mediante documento adjunto, el cual estará disponible en la Sección Marco Legal en el sitio en intranet de la Sugese.</w:t>
            </w:r>
          </w:p>
          <w:p w14:paraId="7616C3C1" w14:textId="77777777" w:rsidR="00C129D8" w:rsidRDefault="00C129D8" w:rsidP="00831965">
            <w:pPr>
              <w:jc w:val="both"/>
              <w:rPr>
                <w:rFonts w:asciiTheme="majorHAnsi" w:hAnsiTheme="majorHAnsi"/>
                <w:b/>
              </w:rPr>
            </w:pPr>
          </w:p>
          <w:bookmarkStart w:id="2" w:name="_MON_1465995392"/>
          <w:bookmarkEnd w:id="2"/>
          <w:p w14:paraId="7616C3C2" w14:textId="77777777" w:rsidR="00C129D8" w:rsidRDefault="00C129D8" w:rsidP="00831965">
            <w:pPr>
              <w:jc w:val="center"/>
              <w:rPr>
                <w:rFonts w:asciiTheme="majorHAnsi" w:hAnsiTheme="majorHAnsi"/>
                <w:color w:val="000000"/>
                <w:sz w:val="22"/>
                <w:szCs w:val="22"/>
              </w:rPr>
            </w:pPr>
            <w:r>
              <w:rPr>
                <w:rFonts w:asciiTheme="majorHAnsi" w:hAnsiTheme="majorHAnsi"/>
                <w:color w:val="000000"/>
                <w:sz w:val="22"/>
                <w:szCs w:val="22"/>
              </w:rPr>
              <w:object w:dxaOrig="1240" w:dyaOrig="792" w14:anchorId="7616C3D2">
                <v:shape id="_x0000_i1026" type="#_x0000_t75" style="width:62.5pt;height:40.1pt" o:ole="">
                  <v:imagedata r:id="rId14" o:title=""/>
                </v:shape>
                <o:OLEObject Type="Embed" ProgID="Word.Document.12" ShapeID="_x0000_i1026" DrawAspect="Icon" ObjectID="_1466837135" r:id="rId15">
                  <o:FieldCodes>\s</o:FieldCodes>
                </o:OLEObject>
              </w:object>
            </w:r>
          </w:p>
          <w:p w14:paraId="7616C3C3" w14:textId="77777777" w:rsidR="00C129D8" w:rsidRDefault="00C129D8" w:rsidP="00831965">
            <w:pPr>
              <w:jc w:val="center"/>
              <w:rPr>
                <w:rFonts w:asciiTheme="majorHAnsi" w:hAnsiTheme="majorHAnsi"/>
                <w:color w:val="000000"/>
                <w:sz w:val="22"/>
                <w:szCs w:val="22"/>
              </w:rPr>
            </w:pPr>
          </w:p>
          <w:p w14:paraId="7616C3C5" w14:textId="25AEFD21" w:rsidR="00C129D8" w:rsidRPr="009C0F04" w:rsidRDefault="00C129D8" w:rsidP="00831965">
            <w:pPr>
              <w:jc w:val="both"/>
              <w:rPr>
                <w:rFonts w:asciiTheme="majorHAnsi" w:hAnsiTheme="majorHAnsi"/>
                <w:b/>
                <w:i/>
                <w:lang w:val="es-ES_tradnl"/>
              </w:rPr>
            </w:pPr>
            <w:r>
              <w:rPr>
                <w:rFonts w:asciiTheme="majorHAnsi" w:hAnsiTheme="majorHAnsi"/>
                <w:b/>
              </w:rPr>
              <w:t>SEXTO</w:t>
            </w:r>
            <w:r w:rsidRPr="009C0F04">
              <w:rPr>
                <w:rFonts w:asciiTheme="majorHAnsi" w:hAnsiTheme="majorHAnsi"/>
                <w:b/>
              </w:rPr>
              <w:t xml:space="preserve">: </w:t>
            </w:r>
            <w:r>
              <w:rPr>
                <w:rFonts w:asciiTheme="majorHAnsi" w:hAnsiTheme="majorHAnsi"/>
                <w:b/>
              </w:rPr>
              <w:t xml:space="preserve">  </w:t>
            </w:r>
            <w:r w:rsidRPr="009C0F04">
              <w:rPr>
                <w:rFonts w:asciiTheme="majorHAnsi" w:hAnsiTheme="majorHAnsi"/>
              </w:rPr>
              <w:t>Actualizar la versión publicada del Acuerdo SGS-A-021-2013, para incluir las modificaciones señaladas en este acuerdo</w:t>
            </w:r>
            <w:r w:rsidR="000B6068">
              <w:rPr>
                <w:rFonts w:asciiTheme="majorHAnsi" w:hAnsiTheme="majorHAnsi"/>
              </w:rPr>
              <w:t>.</w:t>
            </w:r>
          </w:p>
        </w:tc>
      </w:tr>
      <w:tr w:rsidR="00C129D8" w:rsidRPr="00EA718A" w14:paraId="7616C3C8" w14:textId="77777777" w:rsidTr="00831965">
        <w:trPr>
          <w:trHeight w:val="95"/>
          <w:jc w:val="center"/>
        </w:trPr>
        <w:tc>
          <w:tcPr>
            <w:tcW w:w="5000" w:type="pct"/>
          </w:tcPr>
          <w:p w14:paraId="7616C3C7" w14:textId="399714A8" w:rsidR="00C129D8" w:rsidRPr="009C0F04" w:rsidRDefault="00C129D8" w:rsidP="00831965">
            <w:pPr>
              <w:jc w:val="both"/>
              <w:rPr>
                <w:rFonts w:asciiTheme="majorHAnsi" w:hAnsiTheme="majorHAnsi"/>
                <w:b/>
                <w:i/>
                <w:lang w:val="es-ES_tradnl"/>
              </w:rPr>
            </w:pPr>
          </w:p>
        </w:tc>
      </w:tr>
      <w:tr w:rsidR="00C129D8" w:rsidRPr="003015E1" w14:paraId="7616C3CA" w14:textId="77777777" w:rsidTr="00831965">
        <w:trPr>
          <w:jc w:val="center"/>
        </w:trPr>
        <w:tc>
          <w:tcPr>
            <w:tcW w:w="5000" w:type="pct"/>
          </w:tcPr>
          <w:p w14:paraId="7616C3C9" w14:textId="77777777" w:rsidR="00C129D8" w:rsidRPr="003015E1" w:rsidRDefault="00C129D8" w:rsidP="00831965">
            <w:pPr>
              <w:jc w:val="both"/>
              <w:rPr>
                <w:rFonts w:asciiTheme="majorHAnsi" w:hAnsiTheme="majorHAnsi"/>
              </w:rPr>
            </w:pPr>
            <w:r w:rsidRPr="003015E1">
              <w:rPr>
                <w:rFonts w:asciiTheme="majorHAnsi" w:hAnsiTheme="majorHAnsi"/>
              </w:rPr>
              <w:t>Rige a partir del 1° de agosto de 2014.</w:t>
            </w:r>
          </w:p>
        </w:tc>
      </w:tr>
      <w:tr w:rsidR="00C129D8" w:rsidRPr="00EA718A" w14:paraId="7616C3CE" w14:textId="77777777" w:rsidTr="00831965">
        <w:trPr>
          <w:jc w:val="center"/>
        </w:trPr>
        <w:tc>
          <w:tcPr>
            <w:tcW w:w="5000" w:type="pct"/>
          </w:tcPr>
          <w:p w14:paraId="7616C3CB" w14:textId="77777777" w:rsidR="00C129D8" w:rsidRDefault="00C129D8" w:rsidP="00831965">
            <w:pPr>
              <w:jc w:val="both"/>
              <w:rPr>
                <w:rFonts w:asciiTheme="majorHAnsi" w:hAnsiTheme="majorHAnsi"/>
              </w:rPr>
            </w:pPr>
          </w:p>
          <w:p w14:paraId="7616C3CD" w14:textId="77777777" w:rsidR="00C129D8" w:rsidRPr="009C0F04" w:rsidRDefault="00C129D8" w:rsidP="00831965">
            <w:pPr>
              <w:jc w:val="both"/>
              <w:rPr>
                <w:rFonts w:asciiTheme="majorHAnsi" w:hAnsiTheme="majorHAnsi"/>
                <w:b/>
                <w:i/>
              </w:rPr>
            </w:pPr>
            <w:r w:rsidRPr="009C0F04">
              <w:rPr>
                <w:rFonts w:asciiTheme="majorHAnsi" w:hAnsiTheme="majorHAnsi"/>
              </w:rPr>
              <w:t>Notifíquese.</w:t>
            </w:r>
          </w:p>
        </w:tc>
      </w:tr>
    </w:tbl>
    <w:p w14:paraId="7616C3CF" w14:textId="77777777" w:rsidR="00683707" w:rsidRPr="00E6795F" w:rsidRDefault="00683707" w:rsidP="005A1442">
      <w:pPr>
        <w:jc w:val="both"/>
        <w:rPr>
          <w:rFonts w:asciiTheme="majorHAnsi" w:hAnsiTheme="majorHAnsi"/>
          <w:b/>
          <w:i/>
          <w:color w:val="000000"/>
          <w:sz w:val="16"/>
          <w:szCs w:val="16"/>
        </w:rPr>
      </w:pPr>
    </w:p>
    <w:p w14:paraId="7616C3D0" w14:textId="77777777" w:rsidR="00B70578" w:rsidRPr="00B70578" w:rsidRDefault="005A1442" w:rsidP="00B70578">
      <w:pPr>
        <w:rPr>
          <w:rFonts w:ascii="Cambria" w:hAnsi="Cambria"/>
          <w:lang w:val="es-CR"/>
        </w:rPr>
      </w:pPr>
      <w:r>
        <w:rPr>
          <w:noProof/>
          <w:lang w:val="es-CR" w:eastAsia="es-CR"/>
        </w:rPr>
        <w:drawing>
          <wp:inline distT="0" distB="0" distL="0" distR="0" wp14:anchorId="7616C3D3" wp14:editId="7616C3D4">
            <wp:extent cx="2499360" cy="524291"/>
            <wp:effectExtent l="0" t="0" r="0" b="9525"/>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B70578" w:rsidRPr="00B70578" w:rsidSect="00A83BA5">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6C3D7" w14:textId="77777777" w:rsidR="00F43651" w:rsidRDefault="00F43651" w:rsidP="005A1442">
      <w:r>
        <w:separator/>
      </w:r>
    </w:p>
  </w:endnote>
  <w:endnote w:type="continuationSeparator" w:id="0">
    <w:p w14:paraId="7616C3D8" w14:textId="77777777" w:rsidR="00F43651" w:rsidRDefault="00F43651"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calaLF-Regular">
    <w:altName w:val="Cambria Math"/>
    <w:charset w:val="00"/>
    <w:family w:val="auto"/>
    <w:pitch w:val="variable"/>
    <w:sig w:usb0="00000003" w:usb1="0000004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C3DE" w14:textId="77777777" w:rsidR="005A1442" w:rsidRDefault="005A1442" w:rsidP="005A1442">
    <w:pPr>
      <w:pStyle w:val="Piedepgina"/>
      <w:pBdr>
        <w:top w:val="single" w:sz="4" w:space="1" w:color="auto"/>
      </w:pBdr>
      <w:rPr>
        <w:sz w:val="16"/>
        <w:szCs w:val="16"/>
      </w:rPr>
    </w:pPr>
  </w:p>
  <w:p w14:paraId="7616C3DF"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7616C3E0"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7616C3E1" w14:textId="77777777" w:rsidR="005A1442" w:rsidRPr="005A1442" w:rsidRDefault="00094869" w:rsidP="005A1442">
    <w:pPr>
      <w:pStyle w:val="Piedepgina"/>
      <w:tabs>
        <w:tab w:val="clear" w:pos="8838"/>
      </w:tabs>
      <w:jc w:val="right"/>
      <w:rPr>
        <w:rFonts w:ascii="Baskerville Old Face" w:hAnsi="Baskerville Old Face"/>
        <w:sz w:val="18"/>
        <w:szCs w:val="18"/>
      </w:rPr>
    </w:pPr>
    <w:hyperlink r:id="rId1" w:history="1">
      <w:r w:rsidR="005A144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C3E4" w14:textId="77777777" w:rsidR="00A83BA5" w:rsidRDefault="00A83BA5" w:rsidP="00A83BA5">
    <w:pPr>
      <w:pStyle w:val="Piedepgina"/>
      <w:pBdr>
        <w:top w:val="single" w:sz="4" w:space="1" w:color="auto"/>
      </w:pBdr>
      <w:rPr>
        <w:sz w:val="16"/>
        <w:szCs w:val="16"/>
      </w:rPr>
    </w:pPr>
  </w:p>
  <w:p w14:paraId="7616C3E5"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7616C3E6"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7616C3E7" w14:textId="77777777" w:rsidR="00A83BA5" w:rsidRPr="00A83BA5" w:rsidRDefault="00094869" w:rsidP="00A83BA5">
    <w:pPr>
      <w:pStyle w:val="Piedepgina"/>
      <w:tabs>
        <w:tab w:val="clear" w:pos="8838"/>
      </w:tabs>
      <w:jc w:val="right"/>
      <w:rPr>
        <w:rFonts w:ascii="Baskerville Old Face" w:hAnsi="Baskerville Old Face"/>
        <w:sz w:val="18"/>
        <w:szCs w:val="18"/>
      </w:rPr>
    </w:pPr>
    <w:hyperlink r:id="rId1" w:history="1">
      <w:r w:rsidR="00A83BA5"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6C3D5" w14:textId="77777777" w:rsidR="00F43651" w:rsidRDefault="00F43651" w:rsidP="005A1442">
      <w:r>
        <w:separator/>
      </w:r>
    </w:p>
  </w:footnote>
  <w:footnote w:type="continuationSeparator" w:id="0">
    <w:p w14:paraId="7616C3D6" w14:textId="77777777" w:rsidR="00F43651" w:rsidRDefault="00F43651" w:rsidP="005A1442">
      <w:r>
        <w:continuationSeparator/>
      </w:r>
    </w:p>
  </w:footnote>
  <w:footnote w:id="1">
    <w:p w14:paraId="7616C3F0" w14:textId="77777777" w:rsidR="00C129D8" w:rsidRPr="0012465E" w:rsidRDefault="00C129D8" w:rsidP="00C129D8">
      <w:pPr>
        <w:jc w:val="both"/>
        <w:rPr>
          <w:rFonts w:asciiTheme="majorHAnsi" w:hAnsiTheme="majorHAnsi"/>
          <w:lang w:val="es-CR"/>
        </w:rPr>
      </w:pPr>
      <w:r w:rsidRPr="0012465E">
        <w:rPr>
          <w:rFonts w:asciiTheme="majorHAnsi" w:hAnsiTheme="majorHAnsi"/>
          <w:vertAlign w:val="superscript"/>
        </w:rPr>
        <w:footnoteRef/>
      </w:r>
      <w:r w:rsidRPr="0012465E">
        <w:rPr>
          <w:rFonts w:asciiTheme="majorHAnsi" w:hAnsiTheme="majorHAnsi"/>
        </w:rPr>
        <w:t xml:space="preserve"> Adicionado mediante acuerdo SGS-DES-A-032-2014 del 28 de marzo de 2014, el cual rige cuatro meses después de la publicación en el diario oficial La Gaceta del Reglamento sobre el Registro Único de Personas Beneficiarias, el cual fue publicado en la Gaceta 40 del pasado 26 de febrero de 2014.</w:t>
      </w:r>
    </w:p>
  </w:footnote>
  <w:footnote w:id="2">
    <w:p w14:paraId="7616C3F1" w14:textId="77777777" w:rsidR="00C129D8" w:rsidRPr="00724ACF" w:rsidRDefault="00C129D8" w:rsidP="00C129D8">
      <w:pPr>
        <w:pStyle w:val="Textonotapie"/>
        <w:rPr>
          <w:lang w:val="es-CR"/>
        </w:rPr>
      </w:pPr>
      <w:r>
        <w:rPr>
          <w:rStyle w:val="Refdenotaalpie"/>
          <w:rFonts w:eastAsia="ScalaLF-Regular"/>
        </w:rPr>
        <w:footnoteRef/>
      </w:r>
      <w:r>
        <w:t xml:space="preserve"> SSS: </w:t>
      </w:r>
      <w:r>
        <w:rPr>
          <w:lang w:val="es-CR"/>
        </w:rPr>
        <w:t>Sistema de Supervisión de Seguros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C3D9" w14:textId="77777777" w:rsidR="005A1442" w:rsidRDefault="00221996">
    <w:pPr>
      <w:pStyle w:val="Encabezado"/>
    </w:pPr>
    <w:r>
      <w:rPr>
        <w:noProof/>
        <w:lang w:eastAsia="es-CR"/>
      </w:rPr>
      <mc:AlternateContent>
        <mc:Choice Requires="wps">
          <w:drawing>
            <wp:anchor distT="0" distB="0" distL="114300" distR="114300" simplePos="0" relativeHeight="251659264" behindDoc="0" locked="0" layoutInCell="1" allowOverlap="1" wp14:anchorId="7616C3E8" wp14:editId="7616C3E9">
              <wp:simplePos x="0" y="0"/>
              <wp:positionH relativeFrom="column">
                <wp:posOffset>4530956</wp:posOffset>
              </wp:positionH>
              <wp:positionV relativeFrom="paragraph">
                <wp:posOffset>-283325</wp:posOffset>
              </wp:positionV>
              <wp:extent cx="1230341" cy="130319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7616C3F2" w14:textId="77777777"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616C3F8" wp14:editId="7616C3F9">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7616C3F3" w14:textId="77777777"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7616C3F4" w14:textId="77777777"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56.75pt;margin-top:-22.3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" stroked="f">
              <v:textbox>
                <w:txbxContent>
                  <w:p w14:paraId="7616C3F2" w14:textId="77777777"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616C3F8" wp14:editId="7616C3F9">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7616C3F3" w14:textId="77777777"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7616C3F4" w14:textId="77777777"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005A1442">
      <w:rPr>
        <w:noProof/>
        <w:lang w:eastAsia="es-CR"/>
      </w:rPr>
      <w:drawing>
        <wp:inline distT="0" distB="0" distL="0" distR="0" wp14:anchorId="7616C3EA" wp14:editId="7616C3EB">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14:paraId="7616C3DA" w14:textId="77777777" w:rsidR="005B70A7" w:rsidRDefault="005B70A7">
    <w:pPr>
      <w:pStyle w:val="Encabezado"/>
    </w:pPr>
  </w:p>
  <w:p w14:paraId="7616C3DB" w14:textId="77777777" w:rsidR="005B70A7" w:rsidRPr="00221460" w:rsidRDefault="005B70A7" w:rsidP="005B70A7">
    <w:pPr>
      <w:pStyle w:val="Encabezado"/>
      <w:rPr>
        <w:rFonts w:asciiTheme="majorHAnsi" w:hAnsiTheme="majorHAnsi"/>
        <w:b/>
        <w:i/>
        <w:lang w:val="es-MX"/>
      </w:rPr>
    </w:pPr>
    <w:r>
      <w:rPr>
        <w:rFonts w:asciiTheme="majorHAnsi" w:hAnsiTheme="majorHAnsi"/>
        <w:b/>
        <w:i/>
        <w:lang w:val="es-MX"/>
      </w:rPr>
      <w:t>SGS-DES-</w:t>
    </w:r>
    <w:r w:rsidR="00E6795F">
      <w:rPr>
        <w:rFonts w:asciiTheme="majorHAnsi" w:hAnsiTheme="majorHAnsi"/>
        <w:b/>
        <w:i/>
        <w:lang w:val="es-MX"/>
      </w:rPr>
      <w:t>A</w:t>
    </w:r>
    <w:r>
      <w:rPr>
        <w:rFonts w:asciiTheme="majorHAnsi" w:hAnsiTheme="majorHAnsi"/>
        <w:b/>
        <w:i/>
        <w:lang w:val="es-MX"/>
      </w:rPr>
      <w:t>-</w:t>
    </w:r>
    <w:r w:rsidR="00E6795F">
      <w:rPr>
        <w:rFonts w:asciiTheme="majorHAnsi" w:hAnsiTheme="majorHAnsi"/>
        <w:b/>
        <w:i/>
        <w:lang w:val="es-MX"/>
      </w:rPr>
      <w:t>036</w:t>
    </w:r>
    <w:r>
      <w:rPr>
        <w:rFonts w:asciiTheme="majorHAnsi" w:hAnsiTheme="majorHAnsi"/>
        <w:b/>
        <w:i/>
        <w:lang w:val="es-MX"/>
      </w:rPr>
      <w:t>-201</w:t>
    </w:r>
    <w:r w:rsidR="00173350">
      <w:rPr>
        <w:rFonts w:asciiTheme="majorHAnsi" w:hAnsiTheme="majorHAnsi"/>
        <w:b/>
        <w:i/>
        <w:lang w:val="es-MX"/>
      </w:rPr>
      <w:t>4</w:t>
    </w:r>
  </w:p>
  <w:p w14:paraId="7616C3DC" w14:textId="77777777" w:rsidR="005B70A7" w:rsidRPr="00221460" w:rsidRDefault="005B70A7" w:rsidP="005B70A7">
    <w:pPr>
      <w:pStyle w:val="Encabezado"/>
      <w:rPr>
        <w:rFonts w:asciiTheme="majorHAnsi" w:hAnsiTheme="majorHAnsi"/>
        <w:i/>
        <w:lang w:val="es-MX"/>
      </w:rPr>
    </w:pPr>
    <w:r w:rsidRPr="00221460">
      <w:rPr>
        <w:rFonts w:asciiTheme="majorHAnsi" w:hAnsiTheme="majorHAnsi"/>
        <w:i/>
        <w:lang w:val="es-MX"/>
      </w:rPr>
      <w:t xml:space="preserve">Página | </w:t>
    </w:r>
    <w:r w:rsidRPr="00221460">
      <w:rPr>
        <w:rFonts w:asciiTheme="majorHAnsi" w:hAnsiTheme="majorHAnsi"/>
        <w:i/>
        <w:lang w:val="es-MX"/>
      </w:rPr>
      <w:fldChar w:fldCharType="begin"/>
    </w:r>
    <w:r w:rsidRPr="00221460">
      <w:rPr>
        <w:rFonts w:asciiTheme="majorHAnsi" w:hAnsiTheme="majorHAnsi"/>
        <w:i/>
        <w:lang w:val="es-MX"/>
      </w:rPr>
      <w:instrText xml:space="preserve"> PAGE   \* MERGEFORMAT </w:instrText>
    </w:r>
    <w:r w:rsidRPr="00221460">
      <w:rPr>
        <w:rFonts w:asciiTheme="majorHAnsi" w:hAnsiTheme="majorHAnsi"/>
        <w:i/>
        <w:lang w:val="es-MX"/>
      </w:rPr>
      <w:fldChar w:fldCharType="separate"/>
    </w:r>
    <w:r w:rsidR="00094869">
      <w:rPr>
        <w:rFonts w:asciiTheme="majorHAnsi" w:hAnsiTheme="majorHAnsi"/>
        <w:i/>
        <w:noProof/>
        <w:lang w:val="es-MX"/>
      </w:rPr>
      <w:t>9</w:t>
    </w:r>
    <w:r w:rsidRPr="00221460">
      <w:rPr>
        <w:rFonts w:asciiTheme="majorHAnsi" w:hAnsiTheme="majorHAnsi"/>
        <w:i/>
        <w:lang w:val="es-MX"/>
      </w:rPr>
      <w:fldChar w:fldCharType="end"/>
    </w:r>
  </w:p>
  <w:p w14:paraId="7616C3DD" w14:textId="77777777" w:rsidR="005B70A7" w:rsidRPr="005B70A7" w:rsidRDefault="005B70A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C3E2" w14:textId="77777777" w:rsidR="00A83BA5" w:rsidRDefault="00A83BA5" w:rsidP="00A83BA5">
    <w:pPr>
      <w:pStyle w:val="Encabezado"/>
    </w:pPr>
    <w:r>
      <w:rPr>
        <w:noProof/>
        <w:lang w:eastAsia="es-CR"/>
      </w:rPr>
      <mc:AlternateContent>
        <mc:Choice Requires="wps">
          <w:drawing>
            <wp:anchor distT="0" distB="0" distL="114300" distR="114300" simplePos="0" relativeHeight="251661312" behindDoc="0" locked="0" layoutInCell="1" allowOverlap="1" wp14:anchorId="7616C3EC" wp14:editId="7616C3ED">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7616C3F5" w14:textId="77777777"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616C3FA" wp14:editId="7616C3FB">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7616C3F6" w14:textId="77777777"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7616C3F7" w14:textId="77777777"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56.75pt;margin-top:-22.3pt;width:96.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stroked="f">
              <v:textbox>
                <w:txbxContent>
                  <w:p w14:paraId="7616C3F5" w14:textId="77777777"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7616C3FA" wp14:editId="7616C3FB">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7616C3F6" w14:textId="77777777"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7616C3F7" w14:textId="77777777"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7616C3EE" wp14:editId="7616C3EF">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2"/>
                  <a:stretch>
                    <a:fillRect/>
                  </a:stretch>
                </pic:blipFill>
                <pic:spPr>
                  <a:xfrm>
                    <a:off x="0" y="0"/>
                    <a:ext cx="1209580" cy="971550"/>
                  </a:xfrm>
                  <a:prstGeom prst="rect">
                    <a:avLst/>
                  </a:prstGeom>
                </pic:spPr>
              </pic:pic>
            </a:graphicData>
          </a:graphic>
        </wp:inline>
      </w:drawing>
    </w:r>
  </w:p>
  <w:p w14:paraId="7616C3E3" w14:textId="77777777" w:rsidR="00A83BA5" w:rsidRDefault="00A83B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77A48"/>
    <w:multiLevelType w:val="hybridMultilevel"/>
    <w:tmpl w:val="EAAC8DD2"/>
    <w:lvl w:ilvl="0" w:tplc="88603FB2">
      <w:start w:val="7"/>
      <w:numFmt w:val="bullet"/>
      <w:lvlText w:val=""/>
      <w:lvlJc w:val="left"/>
      <w:pPr>
        <w:ind w:left="720" w:hanging="360"/>
      </w:pPr>
      <w:rPr>
        <w:rFonts w:ascii="Symbol" w:eastAsia="Calibr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442"/>
    <w:rsid w:val="00003EEF"/>
    <w:rsid w:val="000076D1"/>
    <w:rsid w:val="000105FD"/>
    <w:rsid w:val="00015CC4"/>
    <w:rsid w:val="000230EC"/>
    <w:rsid w:val="00037F14"/>
    <w:rsid w:val="00040021"/>
    <w:rsid w:val="00043989"/>
    <w:rsid w:val="000476C1"/>
    <w:rsid w:val="00055413"/>
    <w:rsid w:val="00067CF6"/>
    <w:rsid w:val="000752F9"/>
    <w:rsid w:val="000760ED"/>
    <w:rsid w:val="00083A78"/>
    <w:rsid w:val="0008604D"/>
    <w:rsid w:val="00094869"/>
    <w:rsid w:val="000A2288"/>
    <w:rsid w:val="000B2E1D"/>
    <w:rsid w:val="000B6068"/>
    <w:rsid w:val="000C7644"/>
    <w:rsid w:val="000D4883"/>
    <w:rsid w:val="000D4E5B"/>
    <w:rsid w:val="000E4AA6"/>
    <w:rsid w:val="000E78B1"/>
    <w:rsid w:val="000F4177"/>
    <w:rsid w:val="00112325"/>
    <w:rsid w:val="00133018"/>
    <w:rsid w:val="00133DA2"/>
    <w:rsid w:val="00135FBF"/>
    <w:rsid w:val="00140B90"/>
    <w:rsid w:val="00146B1D"/>
    <w:rsid w:val="001551CB"/>
    <w:rsid w:val="0016515C"/>
    <w:rsid w:val="00167B6E"/>
    <w:rsid w:val="0017138C"/>
    <w:rsid w:val="00173350"/>
    <w:rsid w:val="0018143B"/>
    <w:rsid w:val="001A29D3"/>
    <w:rsid w:val="001A6FE9"/>
    <w:rsid w:val="001B3C85"/>
    <w:rsid w:val="001B6EE9"/>
    <w:rsid w:val="001C344D"/>
    <w:rsid w:val="001D2BCA"/>
    <w:rsid w:val="001F362F"/>
    <w:rsid w:val="002048C0"/>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33BA8"/>
    <w:rsid w:val="00336659"/>
    <w:rsid w:val="00343523"/>
    <w:rsid w:val="00343D0D"/>
    <w:rsid w:val="003623F7"/>
    <w:rsid w:val="0036475D"/>
    <w:rsid w:val="00366016"/>
    <w:rsid w:val="003758F1"/>
    <w:rsid w:val="00376DE7"/>
    <w:rsid w:val="00391C88"/>
    <w:rsid w:val="003A39BC"/>
    <w:rsid w:val="003A53B0"/>
    <w:rsid w:val="003B043B"/>
    <w:rsid w:val="003B6304"/>
    <w:rsid w:val="003B721F"/>
    <w:rsid w:val="003B7CC2"/>
    <w:rsid w:val="003E469F"/>
    <w:rsid w:val="003E62CB"/>
    <w:rsid w:val="003E721F"/>
    <w:rsid w:val="003E793E"/>
    <w:rsid w:val="004263F9"/>
    <w:rsid w:val="004277B9"/>
    <w:rsid w:val="00432474"/>
    <w:rsid w:val="00454C55"/>
    <w:rsid w:val="0047219D"/>
    <w:rsid w:val="004948D8"/>
    <w:rsid w:val="00495470"/>
    <w:rsid w:val="00496C81"/>
    <w:rsid w:val="004A03B7"/>
    <w:rsid w:val="004A495A"/>
    <w:rsid w:val="004B767D"/>
    <w:rsid w:val="004C4D3C"/>
    <w:rsid w:val="004D2EB0"/>
    <w:rsid w:val="004D7196"/>
    <w:rsid w:val="004E7104"/>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6158A"/>
    <w:rsid w:val="0056224B"/>
    <w:rsid w:val="00576230"/>
    <w:rsid w:val="005A1442"/>
    <w:rsid w:val="005B70A7"/>
    <w:rsid w:val="005C5B11"/>
    <w:rsid w:val="005C69FA"/>
    <w:rsid w:val="005C7CD2"/>
    <w:rsid w:val="005D13DD"/>
    <w:rsid w:val="005E7FD4"/>
    <w:rsid w:val="005F395A"/>
    <w:rsid w:val="00602EC0"/>
    <w:rsid w:val="00604DED"/>
    <w:rsid w:val="00621BF4"/>
    <w:rsid w:val="00626ECF"/>
    <w:rsid w:val="00632C9E"/>
    <w:rsid w:val="00633B65"/>
    <w:rsid w:val="006428F4"/>
    <w:rsid w:val="00646CD3"/>
    <w:rsid w:val="00650488"/>
    <w:rsid w:val="00650E64"/>
    <w:rsid w:val="00652E5B"/>
    <w:rsid w:val="00663DB8"/>
    <w:rsid w:val="0066556D"/>
    <w:rsid w:val="006655C3"/>
    <w:rsid w:val="006678C2"/>
    <w:rsid w:val="00671DEB"/>
    <w:rsid w:val="00672C4A"/>
    <w:rsid w:val="00673269"/>
    <w:rsid w:val="00674F4F"/>
    <w:rsid w:val="006772DD"/>
    <w:rsid w:val="006829C1"/>
    <w:rsid w:val="00683707"/>
    <w:rsid w:val="0068417D"/>
    <w:rsid w:val="006848D6"/>
    <w:rsid w:val="006943A2"/>
    <w:rsid w:val="006A1A25"/>
    <w:rsid w:val="006A66F1"/>
    <w:rsid w:val="006B4EA1"/>
    <w:rsid w:val="006C624C"/>
    <w:rsid w:val="006C76B1"/>
    <w:rsid w:val="006D0952"/>
    <w:rsid w:val="006E01DB"/>
    <w:rsid w:val="006E1EC2"/>
    <w:rsid w:val="006F4D20"/>
    <w:rsid w:val="00706543"/>
    <w:rsid w:val="00712FFB"/>
    <w:rsid w:val="00715BD0"/>
    <w:rsid w:val="007170ED"/>
    <w:rsid w:val="00717F1A"/>
    <w:rsid w:val="00725048"/>
    <w:rsid w:val="00725493"/>
    <w:rsid w:val="00726CEB"/>
    <w:rsid w:val="007272CC"/>
    <w:rsid w:val="007324F8"/>
    <w:rsid w:val="007327C9"/>
    <w:rsid w:val="0074198B"/>
    <w:rsid w:val="007437E6"/>
    <w:rsid w:val="00746E52"/>
    <w:rsid w:val="007636BD"/>
    <w:rsid w:val="00771580"/>
    <w:rsid w:val="00792726"/>
    <w:rsid w:val="007A0A2A"/>
    <w:rsid w:val="007A1E7F"/>
    <w:rsid w:val="007A22EA"/>
    <w:rsid w:val="007A2A51"/>
    <w:rsid w:val="007B04A5"/>
    <w:rsid w:val="007C19A7"/>
    <w:rsid w:val="007D2DAF"/>
    <w:rsid w:val="007E41E5"/>
    <w:rsid w:val="007E46F1"/>
    <w:rsid w:val="007E66C6"/>
    <w:rsid w:val="007F7047"/>
    <w:rsid w:val="008022A8"/>
    <w:rsid w:val="0080328F"/>
    <w:rsid w:val="00821436"/>
    <w:rsid w:val="008259A0"/>
    <w:rsid w:val="008370FF"/>
    <w:rsid w:val="0085586B"/>
    <w:rsid w:val="00857848"/>
    <w:rsid w:val="00857AD8"/>
    <w:rsid w:val="008605C0"/>
    <w:rsid w:val="00866B92"/>
    <w:rsid w:val="008704B7"/>
    <w:rsid w:val="008747C3"/>
    <w:rsid w:val="008778EF"/>
    <w:rsid w:val="00895D99"/>
    <w:rsid w:val="008962DC"/>
    <w:rsid w:val="00896B04"/>
    <w:rsid w:val="008974D8"/>
    <w:rsid w:val="008A3070"/>
    <w:rsid w:val="008A591C"/>
    <w:rsid w:val="008D17A9"/>
    <w:rsid w:val="008D2116"/>
    <w:rsid w:val="008D2BC8"/>
    <w:rsid w:val="008F727F"/>
    <w:rsid w:val="00915452"/>
    <w:rsid w:val="00922C3E"/>
    <w:rsid w:val="00947CCD"/>
    <w:rsid w:val="0095414B"/>
    <w:rsid w:val="009565BF"/>
    <w:rsid w:val="00964169"/>
    <w:rsid w:val="00975A49"/>
    <w:rsid w:val="00987B3B"/>
    <w:rsid w:val="009A2106"/>
    <w:rsid w:val="009A6A84"/>
    <w:rsid w:val="009B35A6"/>
    <w:rsid w:val="009D11AB"/>
    <w:rsid w:val="009D5FAF"/>
    <w:rsid w:val="009F37D9"/>
    <w:rsid w:val="00A07AB5"/>
    <w:rsid w:val="00A12AE9"/>
    <w:rsid w:val="00A16168"/>
    <w:rsid w:val="00A2009B"/>
    <w:rsid w:val="00A33527"/>
    <w:rsid w:val="00A46328"/>
    <w:rsid w:val="00A57156"/>
    <w:rsid w:val="00A66E6E"/>
    <w:rsid w:val="00A83BA5"/>
    <w:rsid w:val="00A8710B"/>
    <w:rsid w:val="00AA35AB"/>
    <w:rsid w:val="00AB1CD0"/>
    <w:rsid w:val="00AB33C3"/>
    <w:rsid w:val="00AC0D3F"/>
    <w:rsid w:val="00AD00BB"/>
    <w:rsid w:val="00AE0313"/>
    <w:rsid w:val="00B04011"/>
    <w:rsid w:val="00B12501"/>
    <w:rsid w:val="00B21C1A"/>
    <w:rsid w:val="00B2475F"/>
    <w:rsid w:val="00B25C9B"/>
    <w:rsid w:val="00B300E9"/>
    <w:rsid w:val="00B32651"/>
    <w:rsid w:val="00B32EEB"/>
    <w:rsid w:val="00B40526"/>
    <w:rsid w:val="00B45DFF"/>
    <w:rsid w:val="00B45FD8"/>
    <w:rsid w:val="00B50514"/>
    <w:rsid w:val="00B70578"/>
    <w:rsid w:val="00B826E2"/>
    <w:rsid w:val="00B910A3"/>
    <w:rsid w:val="00B95233"/>
    <w:rsid w:val="00B96A9E"/>
    <w:rsid w:val="00BA2A3A"/>
    <w:rsid w:val="00BA4095"/>
    <w:rsid w:val="00BA4EB8"/>
    <w:rsid w:val="00BB64F2"/>
    <w:rsid w:val="00BC2F23"/>
    <w:rsid w:val="00BD18FF"/>
    <w:rsid w:val="00BE08B6"/>
    <w:rsid w:val="00BE61CE"/>
    <w:rsid w:val="00BF28E2"/>
    <w:rsid w:val="00BF5BF7"/>
    <w:rsid w:val="00BF67A7"/>
    <w:rsid w:val="00C00485"/>
    <w:rsid w:val="00C05704"/>
    <w:rsid w:val="00C129D8"/>
    <w:rsid w:val="00C240F2"/>
    <w:rsid w:val="00C276E6"/>
    <w:rsid w:val="00C52BC9"/>
    <w:rsid w:val="00C64061"/>
    <w:rsid w:val="00C73E1C"/>
    <w:rsid w:val="00C82150"/>
    <w:rsid w:val="00C846AA"/>
    <w:rsid w:val="00C85E4F"/>
    <w:rsid w:val="00CA7870"/>
    <w:rsid w:val="00CA7AE4"/>
    <w:rsid w:val="00CB0CC5"/>
    <w:rsid w:val="00CC4427"/>
    <w:rsid w:val="00CC5D7F"/>
    <w:rsid w:val="00CE3032"/>
    <w:rsid w:val="00CF181A"/>
    <w:rsid w:val="00D06152"/>
    <w:rsid w:val="00D13047"/>
    <w:rsid w:val="00D15050"/>
    <w:rsid w:val="00D15CCE"/>
    <w:rsid w:val="00D20E5C"/>
    <w:rsid w:val="00D27227"/>
    <w:rsid w:val="00D332E9"/>
    <w:rsid w:val="00D36B9F"/>
    <w:rsid w:val="00D61C5D"/>
    <w:rsid w:val="00D6484A"/>
    <w:rsid w:val="00D70C14"/>
    <w:rsid w:val="00D74E1D"/>
    <w:rsid w:val="00D84595"/>
    <w:rsid w:val="00D92485"/>
    <w:rsid w:val="00D92CD1"/>
    <w:rsid w:val="00DA2D4F"/>
    <w:rsid w:val="00DA5032"/>
    <w:rsid w:val="00DB041E"/>
    <w:rsid w:val="00DB1CE2"/>
    <w:rsid w:val="00DB4D57"/>
    <w:rsid w:val="00DB63A8"/>
    <w:rsid w:val="00DC1346"/>
    <w:rsid w:val="00DC26B0"/>
    <w:rsid w:val="00DC2FD3"/>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95F"/>
    <w:rsid w:val="00E67EDC"/>
    <w:rsid w:val="00E75421"/>
    <w:rsid w:val="00E8166D"/>
    <w:rsid w:val="00E86F7B"/>
    <w:rsid w:val="00E913C9"/>
    <w:rsid w:val="00E93FB0"/>
    <w:rsid w:val="00EA03A0"/>
    <w:rsid w:val="00EA0A06"/>
    <w:rsid w:val="00EA1A46"/>
    <w:rsid w:val="00EB1C88"/>
    <w:rsid w:val="00EB5517"/>
    <w:rsid w:val="00EC0737"/>
    <w:rsid w:val="00EC1421"/>
    <w:rsid w:val="00EE6EF6"/>
    <w:rsid w:val="00EF0B3D"/>
    <w:rsid w:val="00EF5858"/>
    <w:rsid w:val="00F046DF"/>
    <w:rsid w:val="00F0751F"/>
    <w:rsid w:val="00F14C3C"/>
    <w:rsid w:val="00F17004"/>
    <w:rsid w:val="00F1744F"/>
    <w:rsid w:val="00F178E2"/>
    <w:rsid w:val="00F17E74"/>
    <w:rsid w:val="00F30C6B"/>
    <w:rsid w:val="00F33704"/>
    <w:rsid w:val="00F34196"/>
    <w:rsid w:val="00F36332"/>
    <w:rsid w:val="00F41D5A"/>
    <w:rsid w:val="00F43651"/>
    <w:rsid w:val="00F46E76"/>
    <w:rsid w:val="00F47064"/>
    <w:rsid w:val="00F5139D"/>
    <w:rsid w:val="00F611D6"/>
    <w:rsid w:val="00F615EE"/>
    <w:rsid w:val="00F6508B"/>
    <w:rsid w:val="00F84235"/>
    <w:rsid w:val="00F87AC4"/>
    <w:rsid w:val="00F952FA"/>
    <w:rsid w:val="00FA56C0"/>
    <w:rsid w:val="00FB6C78"/>
    <w:rsid w:val="00FC2DDB"/>
    <w:rsid w:val="00FC5636"/>
    <w:rsid w:val="00FC7C8A"/>
    <w:rsid w:val="00FD0685"/>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616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C129D8"/>
    <w:pPr>
      <w:keepNext/>
      <w:jc w:val="center"/>
      <w:outlineLvl w:val="4"/>
    </w:pPr>
    <w:rPr>
      <w:b/>
      <w: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Sinespaciado">
    <w:name w:val="No Spacing"/>
    <w:uiPriority w:val="1"/>
    <w:qFormat/>
    <w:rsid w:val="00173350"/>
    <w:pPr>
      <w:spacing w:after="0" w:line="240" w:lineRule="auto"/>
    </w:pPr>
  </w:style>
  <w:style w:type="table" w:styleId="Cuadrculaclara-nfasis1">
    <w:name w:val="Light Grid Accent 1"/>
    <w:basedOn w:val="Tablanormal"/>
    <w:uiPriority w:val="62"/>
    <w:rsid w:val="001733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basedOn w:val="Normal"/>
    <w:link w:val="TextonotapieCar"/>
    <w:uiPriority w:val="99"/>
    <w:rsid w:val="000D4E5B"/>
    <w:rPr>
      <w:sz w:val="20"/>
    </w:rPr>
  </w:style>
  <w:style w:type="character" w:customStyle="1" w:styleId="TextonotapieCar">
    <w:name w:val="Texto nota pie Car"/>
    <w:basedOn w:val="Fuentedeprrafopredeter"/>
    <w:link w:val="Textonotapie"/>
    <w:uiPriority w:val="99"/>
    <w:rsid w:val="000D4E5B"/>
    <w:rPr>
      <w:rFonts w:ascii="Times New Roman" w:eastAsia="Times New Roman" w:hAnsi="Times New Roman" w:cs="Times New Roman"/>
      <w:sz w:val="20"/>
      <w:szCs w:val="24"/>
      <w:lang w:val="es-ES" w:eastAsia="es-ES"/>
    </w:rPr>
  </w:style>
  <w:style w:type="paragraph" w:customStyle="1" w:styleId="Default">
    <w:name w:val="Default"/>
    <w:rsid w:val="000D4E5B"/>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tulo5Car">
    <w:name w:val="Título 5 Car"/>
    <w:basedOn w:val="Fuentedeprrafopredeter"/>
    <w:link w:val="Ttulo5"/>
    <w:rsid w:val="00C129D8"/>
    <w:rPr>
      <w:rFonts w:ascii="Times New Roman" w:eastAsia="Times New Roman" w:hAnsi="Times New Roman" w:cs="Times New Roman"/>
      <w:b/>
      <w:i/>
      <w:sz w:val="24"/>
      <w:szCs w:val="24"/>
      <w:lang w:val="es-MX" w:eastAsia="es-ES"/>
    </w:rPr>
  </w:style>
  <w:style w:type="character" w:styleId="Refdenotaalpie">
    <w:name w:val="footnote reference"/>
    <w:basedOn w:val="Fuentedeprrafopredeter"/>
    <w:uiPriority w:val="99"/>
    <w:rsid w:val="00C129D8"/>
    <w:rPr>
      <w:vertAlign w:val="superscript"/>
    </w:rPr>
  </w:style>
  <w:style w:type="paragraph" w:styleId="Textoindependiente">
    <w:name w:val="Body Text"/>
    <w:basedOn w:val="Normal"/>
    <w:link w:val="TextoindependienteCar"/>
    <w:rsid w:val="00C129D8"/>
    <w:pPr>
      <w:jc w:val="both"/>
    </w:pPr>
    <w:rPr>
      <w:rFonts w:ascii="Arial" w:hAnsi="Arial"/>
      <w:lang w:val="es-CR"/>
    </w:rPr>
  </w:style>
  <w:style w:type="character" w:customStyle="1" w:styleId="TextoindependienteCar">
    <w:name w:val="Texto independiente Car"/>
    <w:basedOn w:val="Fuentedeprrafopredeter"/>
    <w:link w:val="Textoindependiente"/>
    <w:rsid w:val="00C129D8"/>
    <w:rPr>
      <w:rFonts w:ascii="Arial" w:eastAsia="Times New Roman" w:hAnsi="Arial" w:cs="Times New Roman"/>
      <w:sz w:val="24"/>
      <w:szCs w:val="24"/>
      <w:lang w:eastAsia="es-ES"/>
    </w:rPr>
  </w:style>
  <w:style w:type="paragraph" w:styleId="Sangra2detindependiente">
    <w:name w:val="Body Text Indent 2"/>
    <w:basedOn w:val="Normal"/>
    <w:link w:val="Sangra2detindependienteCar"/>
    <w:rsid w:val="00C129D8"/>
    <w:pPr>
      <w:ind w:left="360"/>
      <w:jc w:val="both"/>
    </w:pPr>
    <w:rPr>
      <w:rFonts w:ascii="Arial" w:hAnsi="Arial"/>
      <w:lang w:val="es-CR"/>
    </w:rPr>
  </w:style>
  <w:style w:type="character" w:customStyle="1" w:styleId="Sangra2detindependienteCar">
    <w:name w:val="Sangría 2 de t. independiente Car"/>
    <w:basedOn w:val="Fuentedeprrafopredeter"/>
    <w:link w:val="Sangra2detindependiente"/>
    <w:rsid w:val="00C129D8"/>
    <w:rPr>
      <w:rFonts w:ascii="Arial" w:eastAsia="Times New Roman" w:hAnsi="Arial" w:cs="Times New Roman"/>
      <w:sz w:val="24"/>
      <w:szCs w:val="24"/>
      <w:lang w:eastAsia="es-ES"/>
    </w:rPr>
  </w:style>
  <w:style w:type="paragraph" w:styleId="Textoindependiente3">
    <w:name w:val="Body Text 3"/>
    <w:basedOn w:val="Normal"/>
    <w:link w:val="Textoindependiente3Car"/>
    <w:rsid w:val="00C129D8"/>
    <w:pPr>
      <w:jc w:val="both"/>
    </w:pPr>
    <w:rPr>
      <w:lang w:val="es-MX"/>
    </w:rPr>
  </w:style>
  <w:style w:type="character" w:customStyle="1" w:styleId="Textoindependiente3Car">
    <w:name w:val="Texto independiente 3 Car"/>
    <w:basedOn w:val="Fuentedeprrafopredeter"/>
    <w:link w:val="Textoindependiente3"/>
    <w:rsid w:val="00C129D8"/>
    <w:rPr>
      <w:rFonts w:ascii="Times New Roman" w:eastAsia="Times New Roman" w:hAnsi="Times New Roman" w:cs="Times New Roman"/>
      <w:sz w:val="24"/>
      <w:szCs w:val="24"/>
      <w:lang w:val="es-MX" w:eastAsia="es-ES"/>
    </w:rPr>
  </w:style>
  <w:style w:type="paragraph" w:styleId="Prrafodelista">
    <w:name w:val="List Paragraph"/>
    <w:basedOn w:val="Normal"/>
    <w:link w:val="PrrafodelistaCar"/>
    <w:uiPriority w:val="99"/>
    <w:qFormat/>
    <w:rsid w:val="00C129D8"/>
    <w:pPr>
      <w:ind w:left="720"/>
      <w:contextualSpacing/>
    </w:pPr>
  </w:style>
  <w:style w:type="character" w:customStyle="1" w:styleId="PrrafodelistaCar">
    <w:name w:val="Párrafo de lista Car"/>
    <w:basedOn w:val="Fuentedeprrafopredeter"/>
    <w:link w:val="Prrafodelista"/>
    <w:uiPriority w:val="99"/>
    <w:locked/>
    <w:rsid w:val="00C129D8"/>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C129D8"/>
    <w:pPr>
      <w:keepNext/>
      <w:jc w:val="center"/>
      <w:outlineLvl w:val="4"/>
    </w:pPr>
    <w:rPr>
      <w:b/>
      <w: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Sinespaciado">
    <w:name w:val="No Spacing"/>
    <w:uiPriority w:val="1"/>
    <w:qFormat/>
    <w:rsid w:val="00173350"/>
    <w:pPr>
      <w:spacing w:after="0" w:line="240" w:lineRule="auto"/>
    </w:pPr>
  </w:style>
  <w:style w:type="table" w:styleId="Cuadrculaclara-nfasis1">
    <w:name w:val="Light Grid Accent 1"/>
    <w:basedOn w:val="Tablanormal"/>
    <w:uiPriority w:val="62"/>
    <w:rsid w:val="0017335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basedOn w:val="Normal"/>
    <w:link w:val="TextonotapieCar"/>
    <w:uiPriority w:val="99"/>
    <w:rsid w:val="000D4E5B"/>
    <w:rPr>
      <w:sz w:val="20"/>
    </w:rPr>
  </w:style>
  <w:style w:type="character" w:customStyle="1" w:styleId="TextonotapieCar">
    <w:name w:val="Texto nota pie Car"/>
    <w:basedOn w:val="Fuentedeprrafopredeter"/>
    <w:link w:val="Textonotapie"/>
    <w:uiPriority w:val="99"/>
    <w:rsid w:val="000D4E5B"/>
    <w:rPr>
      <w:rFonts w:ascii="Times New Roman" w:eastAsia="Times New Roman" w:hAnsi="Times New Roman" w:cs="Times New Roman"/>
      <w:sz w:val="20"/>
      <w:szCs w:val="24"/>
      <w:lang w:val="es-ES" w:eastAsia="es-ES"/>
    </w:rPr>
  </w:style>
  <w:style w:type="paragraph" w:customStyle="1" w:styleId="Default">
    <w:name w:val="Default"/>
    <w:rsid w:val="000D4E5B"/>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tulo5Car">
    <w:name w:val="Título 5 Car"/>
    <w:basedOn w:val="Fuentedeprrafopredeter"/>
    <w:link w:val="Ttulo5"/>
    <w:rsid w:val="00C129D8"/>
    <w:rPr>
      <w:rFonts w:ascii="Times New Roman" w:eastAsia="Times New Roman" w:hAnsi="Times New Roman" w:cs="Times New Roman"/>
      <w:b/>
      <w:i/>
      <w:sz w:val="24"/>
      <w:szCs w:val="24"/>
      <w:lang w:val="es-MX" w:eastAsia="es-ES"/>
    </w:rPr>
  </w:style>
  <w:style w:type="character" w:styleId="Refdenotaalpie">
    <w:name w:val="footnote reference"/>
    <w:basedOn w:val="Fuentedeprrafopredeter"/>
    <w:uiPriority w:val="99"/>
    <w:rsid w:val="00C129D8"/>
    <w:rPr>
      <w:vertAlign w:val="superscript"/>
    </w:rPr>
  </w:style>
  <w:style w:type="paragraph" w:styleId="Textoindependiente">
    <w:name w:val="Body Text"/>
    <w:basedOn w:val="Normal"/>
    <w:link w:val="TextoindependienteCar"/>
    <w:rsid w:val="00C129D8"/>
    <w:pPr>
      <w:jc w:val="both"/>
    </w:pPr>
    <w:rPr>
      <w:rFonts w:ascii="Arial" w:hAnsi="Arial"/>
      <w:lang w:val="es-CR"/>
    </w:rPr>
  </w:style>
  <w:style w:type="character" w:customStyle="1" w:styleId="TextoindependienteCar">
    <w:name w:val="Texto independiente Car"/>
    <w:basedOn w:val="Fuentedeprrafopredeter"/>
    <w:link w:val="Textoindependiente"/>
    <w:rsid w:val="00C129D8"/>
    <w:rPr>
      <w:rFonts w:ascii="Arial" w:eastAsia="Times New Roman" w:hAnsi="Arial" w:cs="Times New Roman"/>
      <w:sz w:val="24"/>
      <w:szCs w:val="24"/>
      <w:lang w:eastAsia="es-ES"/>
    </w:rPr>
  </w:style>
  <w:style w:type="paragraph" w:styleId="Sangra2detindependiente">
    <w:name w:val="Body Text Indent 2"/>
    <w:basedOn w:val="Normal"/>
    <w:link w:val="Sangra2detindependienteCar"/>
    <w:rsid w:val="00C129D8"/>
    <w:pPr>
      <w:ind w:left="360"/>
      <w:jc w:val="both"/>
    </w:pPr>
    <w:rPr>
      <w:rFonts w:ascii="Arial" w:hAnsi="Arial"/>
      <w:lang w:val="es-CR"/>
    </w:rPr>
  </w:style>
  <w:style w:type="character" w:customStyle="1" w:styleId="Sangra2detindependienteCar">
    <w:name w:val="Sangría 2 de t. independiente Car"/>
    <w:basedOn w:val="Fuentedeprrafopredeter"/>
    <w:link w:val="Sangra2detindependiente"/>
    <w:rsid w:val="00C129D8"/>
    <w:rPr>
      <w:rFonts w:ascii="Arial" w:eastAsia="Times New Roman" w:hAnsi="Arial" w:cs="Times New Roman"/>
      <w:sz w:val="24"/>
      <w:szCs w:val="24"/>
      <w:lang w:eastAsia="es-ES"/>
    </w:rPr>
  </w:style>
  <w:style w:type="paragraph" w:styleId="Textoindependiente3">
    <w:name w:val="Body Text 3"/>
    <w:basedOn w:val="Normal"/>
    <w:link w:val="Textoindependiente3Car"/>
    <w:rsid w:val="00C129D8"/>
    <w:pPr>
      <w:jc w:val="both"/>
    </w:pPr>
    <w:rPr>
      <w:lang w:val="es-MX"/>
    </w:rPr>
  </w:style>
  <w:style w:type="character" w:customStyle="1" w:styleId="Textoindependiente3Car">
    <w:name w:val="Texto independiente 3 Car"/>
    <w:basedOn w:val="Fuentedeprrafopredeter"/>
    <w:link w:val="Textoindependiente3"/>
    <w:rsid w:val="00C129D8"/>
    <w:rPr>
      <w:rFonts w:ascii="Times New Roman" w:eastAsia="Times New Roman" w:hAnsi="Times New Roman" w:cs="Times New Roman"/>
      <w:sz w:val="24"/>
      <w:szCs w:val="24"/>
      <w:lang w:val="es-MX" w:eastAsia="es-ES"/>
    </w:rPr>
  </w:style>
  <w:style w:type="paragraph" w:styleId="Prrafodelista">
    <w:name w:val="List Paragraph"/>
    <w:basedOn w:val="Normal"/>
    <w:link w:val="PrrafodelistaCar"/>
    <w:uiPriority w:val="99"/>
    <w:qFormat/>
    <w:rsid w:val="00C129D8"/>
    <w:pPr>
      <w:ind w:left="720"/>
      <w:contextualSpacing/>
    </w:pPr>
  </w:style>
  <w:style w:type="character" w:customStyle="1" w:styleId="PrrafodelistaCar">
    <w:name w:val="Párrafo de lista Car"/>
    <w:basedOn w:val="Fuentedeprrafopredeter"/>
    <w:link w:val="Prrafodelista"/>
    <w:uiPriority w:val="99"/>
    <w:locked/>
    <w:rsid w:val="00C129D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ugese.fi.cr" TargetMode="External"/><Relationship Id="rId5" Type="http://schemas.openxmlformats.org/officeDocument/2006/relationships/styles" Target="styles.xml"/><Relationship Id="rId15"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2014-07-14T06:00:00+00:00</FechaPublicacionDocumento>
    <NormativaRelacionada xmlns="b9fc4df0-8f56-46e7-b005-54afe0044df7">&lt;div class="ExternalClass9775F542BDE8442C98BB7D3E6CF7985D"&gt;Reglamento relativo a información financiera de entidades, grupos y conglomerados financieros (SUGEF 31-04)&amp;#160;&amp;#160;&lt;/div&gt;</NormativaRelacionada>
    <ContenidoMultilineaHTML xmlns="b9fc4df0-8f56-46e7-b005-54afe0044df7">Presenta el acuerdo SGS-DES-A-036-2014 el cual modifica el acuerdo 021, respecto al envío de modelos de información por medio del sistema de supervisión de seguros&amp;#160;</ContenidoMultilineaHTML>
    <NumeroAcuerdo xmlns="b9fc4df0-8f56-46e7-b005-54afe0044df7">SGS-DES-A-036-2014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1B6A0-6FA5-40AD-B857-A7BCA4CC9863}"/>
</file>

<file path=customXml/itemProps2.xml><?xml version="1.0" encoding="utf-8"?>
<ds:datastoreItem xmlns:ds="http://schemas.openxmlformats.org/officeDocument/2006/customXml" ds:itemID="{5BE6E1AC-BA9C-4D51-9059-4902F82C8EC7}"/>
</file>

<file path=customXml/itemProps3.xml><?xml version="1.0" encoding="utf-8"?>
<ds:datastoreItem xmlns:ds="http://schemas.openxmlformats.org/officeDocument/2006/customXml" ds:itemID="{6C21741D-0BD4-4706-9A8B-5E10533E6B62}"/>
</file>

<file path=docProps/app.xml><?xml version="1.0" encoding="utf-8"?>
<Properties xmlns="http://schemas.openxmlformats.org/officeDocument/2006/extended-properties" xmlns:vt="http://schemas.openxmlformats.org/officeDocument/2006/docPropsVTypes">
  <Template>Normal</Template>
  <TotalTime>1</TotalTime>
  <Pages>9</Pages>
  <Words>2540</Words>
  <Characters>13972</Characters>
  <Application>Microsoft Office Word</Application>
  <DocSecurity>4</DocSecurity>
  <Lines>116</Lines>
  <Paragraphs>32</Paragraphs>
  <ScaleCrop>false</ScaleCrop>
  <HeadingPairs>
    <vt:vector size="2" baseType="variant">
      <vt:variant>
        <vt:lpstr>Título</vt:lpstr>
      </vt:variant>
      <vt:variant>
        <vt:i4>1</vt:i4>
      </vt:variant>
    </vt:vector>
  </HeadingPairs>
  <TitlesOfParts>
    <vt:vector size="1" baseType="lpstr">
      <vt:lpstr>Modificación de acuerdo</vt:lpstr>
    </vt:vector>
  </TitlesOfParts>
  <Company>Superintendencia General de Seguros</Company>
  <LinksUpToDate>false</LinksUpToDate>
  <CharactersWithSpaces>16480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SGS-A-0036-2014   </dc:title>
  <dc:creator>castillosl</dc:creator>
  <cp:lastModifiedBy>SABORIO ROJAS JUAN CARLOS</cp:lastModifiedBy>
  <cp:revision>2</cp:revision>
  <dcterms:created xsi:type="dcterms:W3CDTF">2014-07-14T15:59:00Z</dcterms:created>
  <dcterms:modified xsi:type="dcterms:W3CDTF">2014-07-14T15:59:00Z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0de3a363-599f-4bf8-bc5a-92ece09ed8be,3;</vt:lpwstr>
  </property>
</Properties>
</file>