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46065" w14:textId="77777777" w:rsidR="00D20E55" w:rsidRPr="00D20E55" w:rsidRDefault="00D20E55" w:rsidP="00D20E55">
      <w:pPr>
        <w:spacing w:after="0" w:line="240" w:lineRule="auto"/>
        <w:ind w:left="-562"/>
        <w:jc w:val="both"/>
        <w:rPr>
          <w:rFonts w:asciiTheme="majorHAnsi" w:hAnsiTheme="majorHAnsi"/>
          <w:i/>
        </w:rPr>
      </w:pPr>
      <w:r w:rsidRPr="00D20E55">
        <w:rPr>
          <w:rFonts w:asciiTheme="majorHAnsi" w:hAnsiTheme="majorHAnsi"/>
          <w:i/>
        </w:rPr>
        <w:t xml:space="preserve">Tomás </w:t>
      </w:r>
      <w:proofErr w:type="spellStart"/>
      <w:r w:rsidRPr="00D20E55">
        <w:rPr>
          <w:rFonts w:asciiTheme="majorHAnsi" w:hAnsiTheme="majorHAnsi"/>
          <w:i/>
        </w:rPr>
        <w:t>Soley</w:t>
      </w:r>
      <w:proofErr w:type="spellEnd"/>
      <w:r w:rsidRPr="00D20E55">
        <w:rPr>
          <w:rFonts w:asciiTheme="majorHAnsi" w:hAnsiTheme="majorHAnsi"/>
          <w:i/>
        </w:rPr>
        <w:t xml:space="preserve"> Pérez</w:t>
      </w:r>
    </w:p>
    <w:p w14:paraId="7C52E3F2" w14:textId="6BF007E4" w:rsidR="00D20E55" w:rsidRPr="00D20E55" w:rsidRDefault="00D20E55" w:rsidP="00D20E55">
      <w:pPr>
        <w:spacing w:after="0" w:line="240" w:lineRule="auto"/>
        <w:ind w:left="-562"/>
        <w:jc w:val="both"/>
        <w:rPr>
          <w:rFonts w:asciiTheme="majorHAnsi" w:hAnsiTheme="majorHAnsi"/>
          <w:i/>
        </w:rPr>
      </w:pPr>
      <w:r w:rsidRPr="00D20E55">
        <w:rPr>
          <w:rFonts w:asciiTheme="majorHAnsi" w:hAnsiTheme="majorHAnsi"/>
          <w:i/>
        </w:rPr>
        <w:t>Superintendente de Seguros</w:t>
      </w:r>
    </w:p>
    <w:p w14:paraId="666C8325" w14:textId="77777777" w:rsidR="00D20E55" w:rsidRPr="00D20E55" w:rsidRDefault="00D20E55" w:rsidP="00D20E55">
      <w:pPr>
        <w:spacing w:after="0" w:line="240" w:lineRule="auto"/>
        <w:jc w:val="both"/>
        <w:rPr>
          <w:rFonts w:asciiTheme="majorHAnsi" w:hAnsiTheme="majorHAnsi"/>
        </w:rPr>
      </w:pPr>
    </w:p>
    <w:p w14:paraId="2F375876" w14:textId="05115EEF" w:rsidR="009613A7" w:rsidRPr="00D20E55" w:rsidRDefault="009613A7" w:rsidP="00BC5D79">
      <w:pPr>
        <w:pStyle w:val="Textoindependiente"/>
        <w:spacing w:after="0"/>
        <w:jc w:val="center"/>
        <w:rPr>
          <w:rFonts w:asciiTheme="majorHAnsi" w:hAnsiTheme="majorHAnsi"/>
          <w:b/>
          <w:sz w:val="28"/>
          <w:szCs w:val="28"/>
        </w:rPr>
      </w:pPr>
      <w:r w:rsidRPr="00D20E55">
        <w:rPr>
          <w:rFonts w:asciiTheme="majorHAnsi" w:hAnsiTheme="majorHAnsi"/>
          <w:b/>
          <w:sz w:val="28"/>
          <w:szCs w:val="28"/>
        </w:rPr>
        <w:t>ACUERDO DE SUPERINTENDENTE</w:t>
      </w:r>
    </w:p>
    <w:p w14:paraId="2A494443" w14:textId="47B1E55D" w:rsidR="009613A7" w:rsidRPr="00D20E55" w:rsidRDefault="009613A7" w:rsidP="00BC5D79">
      <w:pPr>
        <w:spacing w:after="0"/>
        <w:jc w:val="center"/>
        <w:rPr>
          <w:rFonts w:asciiTheme="majorHAnsi" w:hAnsiTheme="majorHAnsi"/>
          <w:b/>
          <w:sz w:val="28"/>
          <w:szCs w:val="28"/>
        </w:rPr>
      </w:pPr>
      <w:r w:rsidRPr="00D20E55">
        <w:rPr>
          <w:rFonts w:asciiTheme="majorHAnsi" w:hAnsiTheme="majorHAnsi"/>
          <w:b/>
          <w:sz w:val="28"/>
          <w:szCs w:val="28"/>
        </w:rPr>
        <w:t>SGS-DES-A-</w:t>
      </w:r>
      <w:r w:rsidR="006C3167">
        <w:rPr>
          <w:rFonts w:asciiTheme="majorHAnsi" w:hAnsiTheme="majorHAnsi"/>
          <w:b/>
          <w:sz w:val="28"/>
          <w:szCs w:val="28"/>
        </w:rPr>
        <w:t>028</w:t>
      </w:r>
      <w:r w:rsidRPr="00D20E55">
        <w:rPr>
          <w:rFonts w:asciiTheme="majorHAnsi" w:hAnsiTheme="majorHAnsi"/>
          <w:b/>
          <w:sz w:val="28"/>
          <w:szCs w:val="28"/>
        </w:rPr>
        <w:t>-2013</w:t>
      </w:r>
      <w:r w:rsidR="00354CE9">
        <w:rPr>
          <w:rStyle w:val="Refdenotaalpie"/>
          <w:rFonts w:asciiTheme="majorHAnsi" w:hAnsiTheme="majorHAnsi"/>
          <w:b/>
          <w:sz w:val="28"/>
          <w:szCs w:val="28"/>
        </w:rPr>
        <w:footnoteReference w:id="1"/>
      </w:r>
    </w:p>
    <w:p w14:paraId="7B92DD5E" w14:textId="01878AB0" w:rsidR="00A046F3" w:rsidRPr="00D20E55" w:rsidRDefault="00A046F3" w:rsidP="00BC5D79">
      <w:pPr>
        <w:spacing w:after="0"/>
        <w:jc w:val="center"/>
        <w:rPr>
          <w:rFonts w:asciiTheme="majorHAnsi" w:hAnsiTheme="majorHAnsi"/>
          <w:b/>
          <w:sz w:val="24"/>
          <w:szCs w:val="24"/>
        </w:rPr>
      </w:pPr>
    </w:p>
    <w:tbl>
      <w:tblPr>
        <w:tblW w:w="5000" w:type="pct"/>
        <w:jc w:val="center"/>
        <w:tblLayout w:type="fixed"/>
        <w:tblLook w:val="04A0" w:firstRow="1" w:lastRow="0" w:firstColumn="1" w:lastColumn="0" w:noHBand="0" w:noVBand="1"/>
      </w:tblPr>
      <w:tblGrid>
        <w:gridCol w:w="9360"/>
      </w:tblGrid>
      <w:tr w:rsidR="00D20E55" w:rsidRPr="00D20E55" w14:paraId="20D7AEA0" w14:textId="77777777" w:rsidTr="00D20E55">
        <w:trPr>
          <w:trHeight w:val="278"/>
          <w:jc w:val="center"/>
        </w:trPr>
        <w:tc>
          <w:tcPr>
            <w:tcW w:w="5000" w:type="pct"/>
          </w:tcPr>
          <w:p w14:paraId="40E64CC4" w14:textId="77777777" w:rsidR="004A1351" w:rsidRPr="00D20E55" w:rsidRDefault="0077491F" w:rsidP="007D5BB7">
            <w:pPr>
              <w:pStyle w:val="Textoindependiente3"/>
              <w:jc w:val="center"/>
              <w:rPr>
                <w:rFonts w:asciiTheme="majorHAnsi" w:hAnsiTheme="majorHAnsi"/>
                <w:b/>
                <w:bCs/>
                <w:szCs w:val="28"/>
                <w:lang w:val="es-ES_tradnl"/>
              </w:rPr>
            </w:pPr>
            <w:r w:rsidRPr="00D20E55">
              <w:rPr>
                <w:rFonts w:asciiTheme="majorHAnsi" w:hAnsiTheme="majorHAnsi"/>
                <w:b/>
                <w:bCs/>
                <w:szCs w:val="28"/>
                <w:lang w:val="es-ES_tradnl"/>
              </w:rPr>
              <w:t>GUÍAS DE APLICACIÓN CONTABLE PARA LA ACTIVIDAD</w:t>
            </w:r>
          </w:p>
          <w:p w14:paraId="6CB5A69A" w14:textId="5E1BD018" w:rsidR="0077491F" w:rsidRPr="00D20E55" w:rsidRDefault="0077491F" w:rsidP="007D5BB7">
            <w:pPr>
              <w:pStyle w:val="Textoindependiente3"/>
              <w:jc w:val="center"/>
              <w:rPr>
                <w:rFonts w:asciiTheme="majorHAnsi" w:hAnsiTheme="majorHAnsi"/>
                <w:b/>
                <w:bCs/>
                <w:sz w:val="24"/>
                <w:szCs w:val="24"/>
                <w:lang w:val="es-ES_tradnl"/>
              </w:rPr>
            </w:pPr>
            <w:r w:rsidRPr="00D20E55">
              <w:rPr>
                <w:rFonts w:asciiTheme="majorHAnsi" w:hAnsiTheme="majorHAnsi"/>
                <w:b/>
                <w:bCs/>
                <w:szCs w:val="28"/>
                <w:lang w:val="es-ES_tradnl"/>
              </w:rPr>
              <w:t>ASEGURADORA Y REASEGURADORA</w:t>
            </w:r>
          </w:p>
          <w:p w14:paraId="60B140B6" w14:textId="77777777" w:rsidR="00A046F3" w:rsidRPr="00D20E55" w:rsidRDefault="00A046F3" w:rsidP="007D5BB7">
            <w:pPr>
              <w:pStyle w:val="Textoindependiente3"/>
              <w:jc w:val="center"/>
              <w:rPr>
                <w:rFonts w:asciiTheme="majorHAnsi" w:hAnsiTheme="majorHAnsi"/>
                <w:b/>
                <w:bCs/>
                <w:sz w:val="24"/>
                <w:szCs w:val="24"/>
                <w:lang w:val="es-ES_tradnl"/>
              </w:rPr>
            </w:pPr>
          </w:p>
          <w:p w14:paraId="14B373CE" w14:textId="77777777" w:rsidR="00A046F3" w:rsidRPr="00D20E55" w:rsidRDefault="00A046F3" w:rsidP="007D5BB7">
            <w:pPr>
              <w:pStyle w:val="Textoindependiente3"/>
              <w:jc w:val="center"/>
              <w:rPr>
                <w:rFonts w:asciiTheme="majorHAnsi" w:hAnsiTheme="majorHAnsi"/>
                <w:b/>
                <w:bCs/>
                <w:sz w:val="24"/>
                <w:szCs w:val="24"/>
                <w:lang w:val="es-ES_tradnl"/>
              </w:rPr>
            </w:pPr>
          </w:p>
          <w:p w14:paraId="0FC55843" w14:textId="77777777" w:rsidR="0077491F" w:rsidRPr="00D20E55" w:rsidRDefault="0077491F" w:rsidP="007D5BB7">
            <w:pPr>
              <w:pStyle w:val="Textoindependiente3"/>
              <w:jc w:val="center"/>
              <w:rPr>
                <w:rFonts w:asciiTheme="majorHAnsi" w:hAnsiTheme="majorHAnsi"/>
                <w:b/>
                <w:sz w:val="24"/>
                <w:szCs w:val="24"/>
                <w:lang w:val="es-ES_tradnl" w:eastAsia="en-US"/>
              </w:rPr>
            </w:pPr>
          </w:p>
        </w:tc>
      </w:tr>
      <w:tr w:rsidR="00D20E55" w:rsidRPr="00D20E55" w14:paraId="41F4E578" w14:textId="77777777" w:rsidTr="00D20E55">
        <w:trPr>
          <w:jc w:val="center"/>
        </w:trPr>
        <w:tc>
          <w:tcPr>
            <w:tcW w:w="5000" w:type="pct"/>
          </w:tcPr>
          <w:p w14:paraId="2A401FEA" w14:textId="4172839F" w:rsidR="00AB5D4E" w:rsidRPr="00D20E55" w:rsidRDefault="00AB5D4E" w:rsidP="00AB5D4E">
            <w:pPr>
              <w:widowControl w:val="0"/>
              <w:spacing w:after="0" w:line="240" w:lineRule="auto"/>
              <w:jc w:val="both"/>
              <w:rPr>
                <w:rFonts w:asciiTheme="majorHAnsi" w:hAnsiTheme="majorHAnsi"/>
                <w:b/>
                <w:i/>
                <w:sz w:val="24"/>
                <w:szCs w:val="24"/>
              </w:rPr>
            </w:pPr>
            <w:r w:rsidRPr="00D20E55">
              <w:rPr>
                <w:rFonts w:asciiTheme="majorHAnsi" w:hAnsiTheme="majorHAnsi"/>
                <w:sz w:val="24"/>
                <w:lang w:val="es-ES_tradnl"/>
              </w:rPr>
              <w:t xml:space="preserve">El Superintendente General de Seguros a las </w:t>
            </w:r>
            <w:r w:rsidR="00D20E55" w:rsidRPr="00D20E55">
              <w:rPr>
                <w:rFonts w:asciiTheme="majorHAnsi" w:hAnsiTheme="majorHAnsi"/>
                <w:sz w:val="24"/>
                <w:lang w:val="es-ES_tradnl"/>
              </w:rPr>
              <w:t>doce</w:t>
            </w:r>
            <w:r w:rsidRPr="00D20E55">
              <w:rPr>
                <w:rFonts w:asciiTheme="majorHAnsi" w:hAnsiTheme="majorHAnsi"/>
                <w:sz w:val="24"/>
                <w:lang w:val="es-ES_tradnl"/>
              </w:rPr>
              <w:t xml:space="preserve"> horas del </w:t>
            </w:r>
            <w:r w:rsidR="00D20E55" w:rsidRPr="00D20E55">
              <w:rPr>
                <w:rFonts w:asciiTheme="majorHAnsi" w:hAnsiTheme="majorHAnsi"/>
                <w:sz w:val="24"/>
                <w:lang w:val="es-ES_tradnl"/>
              </w:rPr>
              <w:t>once</w:t>
            </w:r>
            <w:r w:rsidRPr="00D20E55">
              <w:rPr>
                <w:rFonts w:asciiTheme="majorHAnsi" w:hAnsiTheme="majorHAnsi"/>
                <w:sz w:val="24"/>
                <w:lang w:val="es-ES_tradnl"/>
              </w:rPr>
              <w:t xml:space="preserve"> de </w:t>
            </w:r>
            <w:r w:rsidR="00A046F3" w:rsidRPr="00D20E55">
              <w:rPr>
                <w:rFonts w:asciiTheme="majorHAnsi" w:hAnsiTheme="majorHAnsi"/>
                <w:sz w:val="24"/>
                <w:lang w:val="es-ES_tradnl"/>
              </w:rPr>
              <w:t>setiembre</w:t>
            </w:r>
            <w:r w:rsidRPr="00D20E55">
              <w:rPr>
                <w:rFonts w:asciiTheme="majorHAnsi" w:hAnsiTheme="majorHAnsi"/>
                <w:sz w:val="24"/>
                <w:lang w:val="es-ES_tradnl"/>
              </w:rPr>
              <w:t xml:space="preserve"> de dos mil trece, considerando</w:t>
            </w:r>
            <w:r w:rsidRPr="00D20E55">
              <w:rPr>
                <w:rFonts w:asciiTheme="majorHAnsi" w:hAnsiTheme="majorHAnsi"/>
                <w:sz w:val="24"/>
                <w:szCs w:val="24"/>
              </w:rPr>
              <w:t xml:space="preserve"> que</w:t>
            </w:r>
            <w:r w:rsidRPr="00D20E55">
              <w:rPr>
                <w:rFonts w:asciiTheme="majorHAnsi" w:hAnsiTheme="majorHAnsi"/>
                <w:b/>
                <w:i/>
                <w:sz w:val="24"/>
                <w:szCs w:val="24"/>
              </w:rPr>
              <w:t>:</w:t>
            </w:r>
          </w:p>
          <w:p w14:paraId="26EC086D" w14:textId="77777777" w:rsidR="00A046F3" w:rsidRPr="00D20E55" w:rsidRDefault="00A046F3" w:rsidP="00AB5D4E">
            <w:pPr>
              <w:widowControl w:val="0"/>
              <w:spacing w:after="0" w:line="240" w:lineRule="auto"/>
              <w:jc w:val="both"/>
              <w:rPr>
                <w:rFonts w:asciiTheme="majorHAnsi" w:hAnsiTheme="majorHAnsi"/>
                <w:b/>
                <w:i/>
                <w:sz w:val="24"/>
                <w:szCs w:val="24"/>
              </w:rPr>
            </w:pPr>
          </w:p>
          <w:p w14:paraId="0D52F104" w14:textId="7EB96AB8" w:rsidR="009613A7" w:rsidRPr="00D20E55" w:rsidRDefault="009613A7" w:rsidP="00AB5D4E">
            <w:pPr>
              <w:widowControl w:val="0"/>
              <w:spacing w:after="0" w:line="240" w:lineRule="auto"/>
              <w:jc w:val="center"/>
              <w:rPr>
                <w:rFonts w:asciiTheme="majorHAnsi" w:hAnsiTheme="majorHAnsi"/>
                <w:b/>
                <w:i/>
                <w:sz w:val="24"/>
                <w:szCs w:val="24"/>
              </w:rPr>
            </w:pPr>
          </w:p>
        </w:tc>
      </w:tr>
      <w:tr w:rsidR="00D20E55" w:rsidRPr="00D20E55" w14:paraId="78E611E6" w14:textId="77777777" w:rsidTr="00D20E55">
        <w:trPr>
          <w:jc w:val="center"/>
        </w:trPr>
        <w:tc>
          <w:tcPr>
            <w:tcW w:w="5000" w:type="pct"/>
          </w:tcPr>
          <w:p w14:paraId="32D5CF78" w14:textId="68994031" w:rsidR="0077491F" w:rsidRPr="00D20E55" w:rsidRDefault="0077491F" w:rsidP="00AB5D4E">
            <w:pPr>
              <w:pStyle w:val="Prrafodelista"/>
              <w:numPr>
                <w:ilvl w:val="0"/>
                <w:numId w:val="5"/>
              </w:numPr>
              <w:spacing w:after="0" w:line="240" w:lineRule="auto"/>
              <w:ind w:left="567" w:hanging="567"/>
              <w:jc w:val="both"/>
              <w:rPr>
                <w:rFonts w:asciiTheme="majorHAnsi" w:hAnsiTheme="majorHAnsi"/>
                <w:sz w:val="24"/>
                <w:szCs w:val="24"/>
                <w:lang w:val="es-ES_tradnl"/>
              </w:rPr>
            </w:pPr>
            <w:r w:rsidRPr="00D20E55">
              <w:rPr>
                <w:rFonts w:asciiTheme="majorHAnsi" w:hAnsiTheme="majorHAnsi"/>
                <w:sz w:val="24"/>
                <w:szCs w:val="24"/>
                <w:lang w:val="es-ES_tradnl"/>
              </w:rPr>
              <w:t xml:space="preserve">El artículo 29 de la Ley Reguladora del Mercado de Seguros (N°8653) establece, como objetivo de la Superintendencia </w:t>
            </w:r>
            <w:r w:rsidRPr="00D20E55">
              <w:rPr>
                <w:rFonts w:asciiTheme="majorHAnsi" w:hAnsiTheme="majorHAnsi"/>
                <w:i/>
                <w:sz w:val="24"/>
                <w:szCs w:val="24"/>
                <w:lang w:val="es-ES_tradnl"/>
              </w:rPr>
              <w:t>“…velar por la estabilidad y el eficiente funcionamiento del mercado de seguros,…”</w:t>
            </w:r>
            <w:r w:rsidRPr="00D20E55">
              <w:rPr>
                <w:rFonts w:asciiTheme="majorHAnsi" w:hAnsiTheme="majorHAnsi"/>
                <w:sz w:val="24"/>
                <w:szCs w:val="24"/>
                <w:lang w:val="es-ES_tradnl"/>
              </w:rPr>
              <w:t xml:space="preserve"> y le faculta para </w:t>
            </w:r>
            <w:r w:rsidRPr="00D20E55">
              <w:rPr>
                <w:rFonts w:asciiTheme="majorHAnsi" w:hAnsiTheme="majorHAnsi"/>
                <w:i/>
                <w:sz w:val="24"/>
                <w:szCs w:val="24"/>
                <w:lang w:val="es-ES_tradnl"/>
              </w:rPr>
              <w:t>“Dictar las demás normas y directrices de carácter técnico u operativo”</w:t>
            </w:r>
            <w:r w:rsidRPr="00D20E55">
              <w:rPr>
                <w:rFonts w:asciiTheme="majorHAnsi" w:hAnsiTheme="majorHAnsi"/>
                <w:sz w:val="24"/>
                <w:szCs w:val="24"/>
                <w:lang w:val="es-ES_tradnl"/>
              </w:rPr>
              <w:t>, que requiera  para lograr ese propósito.</w:t>
            </w:r>
          </w:p>
          <w:p w14:paraId="090D5DD3" w14:textId="77777777" w:rsidR="009613A7" w:rsidRPr="00D20E55" w:rsidRDefault="009613A7" w:rsidP="00AB5D4E">
            <w:pPr>
              <w:pStyle w:val="Prrafodelista"/>
              <w:spacing w:after="0" w:line="240" w:lineRule="auto"/>
              <w:ind w:left="426" w:hanging="426"/>
              <w:jc w:val="both"/>
              <w:rPr>
                <w:rFonts w:asciiTheme="majorHAnsi" w:hAnsiTheme="majorHAnsi"/>
                <w:bCs/>
                <w:sz w:val="24"/>
                <w:szCs w:val="24"/>
                <w:lang w:val="es-MX"/>
              </w:rPr>
            </w:pPr>
          </w:p>
          <w:p w14:paraId="19DA2DD4" w14:textId="77777777" w:rsidR="00E06893" w:rsidRPr="00D20E55" w:rsidRDefault="00E06893" w:rsidP="00E06893">
            <w:pPr>
              <w:pStyle w:val="Prrafodelista"/>
              <w:numPr>
                <w:ilvl w:val="0"/>
                <w:numId w:val="5"/>
              </w:numPr>
              <w:spacing w:after="0" w:line="240" w:lineRule="auto"/>
              <w:ind w:left="567" w:hanging="567"/>
              <w:jc w:val="both"/>
              <w:rPr>
                <w:rFonts w:asciiTheme="majorHAnsi" w:hAnsiTheme="majorHAnsi"/>
                <w:bCs/>
                <w:sz w:val="24"/>
                <w:szCs w:val="24"/>
                <w:lang w:val="es-MX"/>
              </w:rPr>
            </w:pPr>
            <w:r w:rsidRPr="00D20E55">
              <w:rPr>
                <w:rFonts w:asciiTheme="majorHAnsi" w:hAnsiTheme="majorHAnsi"/>
                <w:bCs/>
                <w:sz w:val="24"/>
                <w:szCs w:val="24"/>
                <w:lang w:val="es-MX"/>
              </w:rPr>
              <w:t xml:space="preserve">Los Principios Básicos para Mercados de Seguros, emitidos por la Asociación Internacional de Supervisores de Seguros (IAIS) en el 2011, establecen entre las condiciones necesarias para el buen funcionamiento de los mercados de seguros, contar  con </w:t>
            </w:r>
            <w:r w:rsidRPr="00D20E55">
              <w:rPr>
                <w:rFonts w:asciiTheme="majorHAnsi" w:hAnsiTheme="majorHAnsi"/>
                <w:bCs/>
                <w:i/>
                <w:sz w:val="24"/>
                <w:szCs w:val="24"/>
                <w:lang w:val="es-MX"/>
              </w:rPr>
              <w:t>“…una infraestructura pública bien desarrollada…”</w:t>
            </w:r>
            <w:r w:rsidRPr="00D20E55">
              <w:rPr>
                <w:rFonts w:asciiTheme="majorHAnsi" w:hAnsiTheme="majorHAnsi"/>
                <w:bCs/>
                <w:sz w:val="24"/>
                <w:szCs w:val="24"/>
                <w:lang w:val="es-MX"/>
              </w:rPr>
              <w:t xml:space="preserve">, que a su vez establezca </w:t>
            </w:r>
            <w:r w:rsidRPr="00D20E55">
              <w:rPr>
                <w:rFonts w:asciiTheme="majorHAnsi" w:hAnsiTheme="majorHAnsi"/>
                <w:bCs/>
                <w:i/>
                <w:sz w:val="24"/>
                <w:szCs w:val="24"/>
                <w:lang w:val="es-MX"/>
              </w:rPr>
              <w:t>“…principios y normas contables generales bien definidos que cuenten con el respaldo de una amplia aceptación internacional…”</w:t>
            </w:r>
            <w:r w:rsidRPr="00D20E55">
              <w:rPr>
                <w:rFonts w:asciiTheme="majorHAnsi" w:hAnsiTheme="majorHAnsi"/>
                <w:bCs/>
                <w:sz w:val="24"/>
                <w:szCs w:val="24"/>
                <w:lang w:val="es-MX"/>
              </w:rPr>
              <w:t>.</w:t>
            </w:r>
          </w:p>
          <w:p w14:paraId="6B13FD37" w14:textId="77777777" w:rsidR="00E06893" w:rsidRPr="00D20E55" w:rsidRDefault="00E06893" w:rsidP="00AB5D4E">
            <w:pPr>
              <w:pStyle w:val="Prrafodelista"/>
              <w:spacing w:after="0" w:line="240" w:lineRule="auto"/>
              <w:ind w:left="426" w:hanging="426"/>
              <w:jc w:val="both"/>
              <w:rPr>
                <w:rFonts w:asciiTheme="majorHAnsi" w:hAnsiTheme="majorHAnsi"/>
                <w:bCs/>
                <w:sz w:val="24"/>
                <w:szCs w:val="24"/>
                <w:lang w:val="es-MX"/>
              </w:rPr>
            </w:pPr>
          </w:p>
        </w:tc>
      </w:tr>
      <w:tr w:rsidR="00D20E55" w:rsidRPr="00D20E55" w14:paraId="7E6D6AC5" w14:textId="77777777" w:rsidTr="00D20E55">
        <w:trPr>
          <w:jc w:val="center"/>
        </w:trPr>
        <w:tc>
          <w:tcPr>
            <w:tcW w:w="5000" w:type="pct"/>
          </w:tcPr>
          <w:p w14:paraId="4F850788" w14:textId="4F193306" w:rsidR="0077491F" w:rsidRPr="00D20E55" w:rsidRDefault="0077491F" w:rsidP="00AB5D4E">
            <w:pPr>
              <w:pStyle w:val="Prrafodelista"/>
              <w:numPr>
                <w:ilvl w:val="0"/>
                <w:numId w:val="5"/>
              </w:numPr>
              <w:spacing w:after="0" w:line="240" w:lineRule="auto"/>
              <w:ind w:left="567" w:hanging="567"/>
              <w:jc w:val="both"/>
              <w:rPr>
                <w:rFonts w:asciiTheme="majorHAnsi" w:hAnsiTheme="majorHAnsi"/>
                <w:bCs/>
                <w:sz w:val="24"/>
                <w:szCs w:val="24"/>
                <w:lang w:val="es-MX"/>
              </w:rPr>
            </w:pPr>
            <w:r w:rsidRPr="00D20E55">
              <w:rPr>
                <w:rFonts w:asciiTheme="majorHAnsi" w:hAnsiTheme="majorHAnsi"/>
                <w:bCs/>
                <w:sz w:val="24"/>
                <w:szCs w:val="24"/>
                <w:lang w:val="es-MX"/>
              </w:rPr>
              <w:t xml:space="preserve">Mediante artículo 13, del acta de la sesión 411-2004, celebrada el 14 de enero del 2004, el Consejo Nacional de Supervisión del Sistema Financiero (CONASSIF), aprobó el </w:t>
            </w:r>
            <w:r w:rsidRPr="00D20E55">
              <w:rPr>
                <w:rFonts w:asciiTheme="majorHAnsi" w:hAnsiTheme="majorHAnsi"/>
                <w:bCs/>
                <w:i/>
                <w:sz w:val="24"/>
                <w:szCs w:val="24"/>
                <w:lang w:val="es-MX"/>
              </w:rPr>
              <w:t>Reglamento Relativo a la Información Financiera de Entidades, Grupos y Conglomerados Financieros</w:t>
            </w:r>
            <w:r w:rsidRPr="00D20E55">
              <w:rPr>
                <w:rFonts w:asciiTheme="majorHAnsi" w:hAnsiTheme="majorHAnsi"/>
                <w:bCs/>
                <w:sz w:val="24"/>
                <w:szCs w:val="24"/>
                <w:lang w:val="es-MX"/>
              </w:rPr>
              <w:t>, el cual aplica a todas las entidades supervisadas por la Superintendencia General de Entidades Financieras (SUGEF) y los grupos y conglomerados financieros supervisados por la Superintendencia General de Entidades Financieras (SUGEF), la Superintendencia General de Valores (SUGEVAL), la Superintendencia de Pensiones (SUPEN) y la Superintendencia General de Seguros (SUGESE).</w:t>
            </w:r>
          </w:p>
          <w:p w14:paraId="2D49AC8D" w14:textId="77777777" w:rsidR="009613A7" w:rsidRPr="00D20E55" w:rsidRDefault="009613A7" w:rsidP="00AB5D4E">
            <w:pPr>
              <w:pStyle w:val="Prrafodelista"/>
              <w:spacing w:after="0" w:line="240" w:lineRule="auto"/>
              <w:ind w:left="426" w:hanging="426"/>
              <w:jc w:val="both"/>
              <w:rPr>
                <w:rFonts w:asciiTheme="majorHAnsi" w:hAnsiTheme="majorHAnsi"/>
                <w:bCs/>
                <w:sz w:val="24"/>
                <w:szCs w:val="24"/>
                <w:lang w:val="es-MX"/>
              </w:rPr>
            </w:pPr>
          </w:p>
        </w:tc>
      </w:tr>
      <w:tr w:rsidR="00D20E55" w:rsidRPr="00D20E55" w14:paraId="6A820284" w14:textId="77777777" w:rsidTr="00D20E55">
        <w:trPr>
          <w:jc w:val="center"/>
        </w:trPr>
        <w:tc>
          <w:tcPr>
            <w:tcW w:w="5000" w:type="pct"/>
          </w:tcPr>
          <w:p w14:paraId="46A607B2" w14:textId="7B95D3DE" w:rsidR="009613A7" w:rsidRPr="00D20E55" w:rsidRDefault="0077491F" w:rsidP="002A12C2">
            <w:pPr>
              <w:pStyle w:val="Prrafodelista"/>
              <w:numPr>
                <w:ilvl w:val="0"/>
                <w:numId w:val="5"/>
              </w:numPr>
              <w:spacing w:after="0" w:line="240" w:lineRule="auto"/>
              <w:ind w:left="567" w:hanging="567"/>
              <w:contextualSpacing w:val="0"/>
              <w:jc w:val="both"/>
              <w:rPr>
                <w:rFonts w:asciiTheme="majorHAnsi" w:hAnsiTheme="majorHAnsi" w:cs="Calibri"/>
                <w:sz w:val="24"/>
                <w:szCs w:val="24"/>
              </w:rPr>
            </w:pPr>
            <w:r w:rsidRPr="00D20E55">
              <w:rPr>
                <w:rFonts w:asciiTheme="majorHAnsi" w:hAnsiTheme="majorHAnsi"/>
                <w:bCs/>
                <w:sz w:val="24"/>
                <w:szCs w:val="24"/>
                <w:lang w:val="es-MX"/>
              </w:rPr>
              <w:t xml:space="preserve">Mediante artículo 13, numeral 3, del acta de la sesión 811-2009, celebrada el 2 de octubre del 2009, el Consejo Nacional de Supervisión del Sistema Financiero, aprobó </w:t>
            </w:r>
            <w:r w:rsidRPr="00D20E55">
              <w:rPr>
                <w:rFonts w:asciiTheme="majorHAnsi" w:hAnsiTheme="majorHAnsi"/>
                <w:bCs/>
                <w:sz w:val="24"/>
                <w:szCs w:val="24"/>
                <w:lang w:val="es-MX"/>
              </w:rPr>
              <w:lastRenderedPageBreak/>
              <w:t>el Plan de Cuentas para las Entidades de Seguros, con el fin de contar con un registro adecuado y uniforme de las actividades de seguros de las entidades supervisada</w:t>
            </w:r>
            <w:r w:rsidR="00F94126" w:rsidRPr="00D20E55">
              <w:rPr>
                <w:rFonts w:asciiTheme="majorHAnsi" w:hAnsiTheme="majorHAnsi"/>
                <w:bCs/>
                <w:sz w:val="24"/>
                <w:szCs w:val="24"/>
                <w:lang w:val="es-MX"/>
              </w:rPr>
              <w:t>s</w:t>
            </w:r>
            <w:r w:rsidRPr="00D20E55">
              <w:rPr>
                <w:rFonts w:asciiTheme="majorHAnsi" w:hAnsiTheme="majorHAnsi"/>
                <w:bCs/>
                <w:sz w:val="24"/>
                <w:szCs w:val="24"/>
                <w:lang w:val="es-MX"/>
              </w:rPr>
              <w:t xml:space="preserve"> y dicho Plan está estructurado de forma consistente con el Plan de Cuentas para Entidades, Grupos y Conglomerados Financi</w:t>
            </w:r>
            <w:bookmarkStart w:id="0" w:name="_GoBack"/>
            <w:bookmarkEnd w:id="0"/>
            <w:r w:rsidRPr="00D20E55">
              <w:rPr>
                <w:rFonts w:asciiTheme="majorHAnsi" w:hAnsiTheme="majorHAnsi"/>
                <w:bCs/>
                <w:sz w:val="24"/>
                <w:szCs w:val="24"/>
                <w:lang w:val="es-MX"/>
              </w:rPr>
              <w:t>eros aplicable a las entidades supervisadas por la Superintendencia General de Entidades Financieras (SUGEF), la Superintendencia General de Valores (SUGEVAL) y la Superintendencia de Pensiones (SUPEN), con el fin de facilitar la consolidación de los estados financieros de grupo y conglomerados financieros.</w:t>
            </w:r>
          </w:p>
        </w:tc>
      </w:tr>
      <w:tr w:rsidR="00D20E55" w:rsidRPr="00D20E55" w14:paraId="6A1CCE06" w14:textId="77777777" w:rsidTr="00D20E55">
        <w:trPr>
          <w:jc w:val="center"/>
        </w:trPr>
        <w:tc>
          <w:tcPr>
            <w:tcW w:w="5000" w:type="pct"/>
          </w:tcPr>
          <w:p w14:paraId="18A76D67" w14:textId="77777777" w:rsidR="009613A7" w:rsidRPr="00D20E55" w:rsidRDefault="009613A7" w:rsidP="00AB5D4E">
            <w:pPr>
              <w:spacing w:after="0" w:line="240" w:lineRule="auto"/>
              <w:ind w:left="426" w:hanging="426"/>
              <w:jc w:val="both"/>
              <w:rPr>
                <w:rFonts w:asciiTheme="majorHAnsi" w:hAnsiTheme="majorHAnsi"/>
                <w:bCs/>
                <w:sz w:val="24"/>
                <w:szCs w:val="24"/>
                <w:lang w:val="es-MX"/>
              </w:rPr>
            </w:pPr>
          </w:p>
        </w:tc>
      </w:tr>
      <w:tr w:rsidR="00D20E55" w:rsidRPr="00D20E55" w14:paraId="44873E37" w14:textId="77777777" w:rsidTr="00D20E55">
        <w:trPr>
          <w:jc w:val="center"/>
        </w:trPr>
        <w:tc>
          <w:tcPr>
            <w:tcW w:w="5000" w:type="pct"/>
          </w:tcPr>
          <w:p w14:paraId="2D38E985" w14:textId="1B517A97" w:rsidR="00AB5D4E" w:rsidRPr="00D20E55" w:rsidRDefault="0077491F" w:rsidP="00AB5D4E">
            <w:pPr>
              <w:pStyle w:val="Prrafodelista"/>
              <w:numPr>
                <w:ilvl w:val="0"/>
                <w:numId w:val="5"/>
              </w:numPr>
              <w:spacing w:after="0" w:line="240" w:lineRule="auto"/>
              <w:ind w:left="567" w:hanging="567"/>
              <w:jc w:val="both"/>
              <w:rPr>
                <w:rFonts w:asciiTheme="majorHAnsi" w:hAnsiTheme="majorHAnsi"/>
                <w:bCs/>
                <w:sz w:val="24"/>
                <w:szCs w:val="24"/>
                <w:lang w:val="es-MX"/>
              </w:rPr>
            </w:pPr>
            <w:r w:rsidRPr="00D20E55">
              <w:rPr>
                <w:rFonts w:asciiTheme="majorHAnsi" w:hAnsiTheme="majorHAnsi"/>
                <w:bCs/>
                <w:sz w:val="24"/>
                <w:szCs w:val="24"/>
                <w:lang w:val="es-MX"/>
              </w:rPr>
              <w:t xml:space="preserve">Mediante artículo </w:t>
            </w:r>
            <w:r w:rsidR="00F0075F" w:rsidRPr="00D20E55">
              <w:rPr>
                <w:rFonts w:asciiTheme="majorHAnsi" w:hAnsiTheme="majorHAnsi"/>
                <w:bCs/>
                <w:sz w:val="24"/>
                <w:szCs w:val="24"/>
                <w:lang w:val="es-MX"/>
              </w:rPr>
              <w:t>10</w:t>
            </w:r>
            <w:r w:rsidRPr="00D20E55">
              <w:rPr>
                <w:rFonts w:asciiTheme="majorHAnsi" w:hAnsiTheme="majorHAnsi"/>
                <w:bCs/>
                <w:sz w:val="24"/>
                <w:szCs w:val="24"/>
                <w:lang w:val="es-MX"/>
              </w:rPr>
              <w:t xml:space="preserve">, del acta de la sesión </w:t>
            </w:r>
            <w:r w:rsidR="00F0075F" w:rsidRPr="00D20E55">
              <w:rPr>
                <w:rFonts w:asciiTheme="majorHAnsi" w:hAnsiTheme="majorHAnsi"/>
                <w:bCs/>
                <w:sz w:val="24"/>
                <w:szCs w:val="24"/>
                <w:lang w:val="es-MX"/>
              </w:rPr>
              <w:t>1053</w:t>
            </w:r>
            <w:r w:rsidRPr="00D20E55">
              <w:rPr>
                <w:rFonts w:asciiTheme="majorHAnsi" w:hAnsiTheme="majorHAnsi"/>
                <w:bCs/>
                <w:sz w:val="24"/>
                <w:szCs w:val="24"/>
                <w:lang w:val="es-MX"/>
              </w:rPr>
              <w:t xml:space="preserve">-2013, celebrada el </w:t>
            </w:r>
            <w:r w:rsidR="00F0075F" w:rsidRPr="00D20E55">
              <w:rPr>
                <w:rFonts w:asciiTheme="majorHAnsi" w:hAnsiTheme="majorHAnsi"/>
                <w:bCs/>
                <w:sz w:val="24"/>
                <w:szCs w:val="24"/>
                <w:lang w:val="es-MX"/>
              </w:rPr>
              <w:t>23</w:t>
            </w:r>
            <w:r w:rsidRPr="00D20E55">
              <w:rPr>
                <w:rFonts w:asciiTheme="majorHAnsi" w:hAnsiTheme="majorHAnsi"/>
                <w:bCs/>
                <w:sz w:val="24"/>
                <w:szCs w:val="24"/>
                <w:lang w:val="es-MX"/>
              </w:rPr>
              <w:t xml:space="preserve"> de </w:t>
            </w:r>
            <w:r w:rsidR="00F0075F" w:rsidRPr="00D20E55">
              <w:rPr>
                <w:rFonts w:asciiTheme="majorHAnsi" w:hAnsiTheme="majorHAnsi"/>
                <w:bCs/>
                <w:sz w:val="24"/>
                <w:szCs w:val="24"/>
                <w:lang w:val="es-MX"/>
              </w:rPr>
              <w:t>julio</w:t>
            </w:r>
            <w:r w:rsidRPr="00D20E55">
              <w:rPr>
                <w:rFonts w:asciiTheme="majorHAnsi" w:hAnsiTheme="majorHAnsi"/>
                <w:bCs/>
                <w:sz w:val="24"/>
                <w:szCs w:val="24"/>
                <w:lang w:val="es-MX"/>
              </w:rPr>
              <w:t xml:space="preserve"> de 2013, el Consejo Nacional de Supervisión del Sistema Financiero, aprobó</w:t>
            </w:r>
            <w:r w:rsidR="00E06893" w:rsidRPr="00D20E55">
              <w:rPr>
                <w:rFonts w:asciiTheme="majorHAnsi" w:hAnsiTheme="majorHAnsi"/>
                <w:bCs/>
                <w:sz w:val="24"/>
                <w:szCs w:val="24"/>
                <w:lang w:val="es-MX"/>
              </w:rPr>
              <w:t xml:space="preserve"> la </w:t>
            </w:r>
            <w:r w:rsidRPr="00D20E55">
              <w:rPr>
                <w:rFonts w:asciiTheme="majorHAnsi" w:hAnsiTheme="majorHAnsi"/>
                <w:bCs/>
                <w:sz w:val="24"/>
                <w:szCs w:val="24"/>
                <w:lang w:val="es-MX"/>
              </w:rPr>
              <w:t xml:space="preserve"> modificación al Plan de Cuentas para las Entidades de Seguros el cual regirá a partir del 01 de enero del 2014.</w:t>
            </w:r>
          </w:p>
          <w:p w14:paraId="6E18B290" w14:textId="7B635DDE" w:rsidR="0077491F" w:rsidRPr="00D20E55" w:rsidRDefault="0077491F" w:rsidP="00AB5D4E">
            <w:pPr>
              <w:spacing w:after="0" w:line="240" w:lineRule="auto"/>
              <w:ind w:left="426" w:hanging="426"/>
              <w:jc w:val="both"/>
              <w:rPr>
                <w:rFonts w:asciiTheme="majorHAnsi" w:hAnsiTheme="majorHAnsi"/>
                <w:sz w:val="24"/>
                <w:szCs w:val="24"/>
                <w:lang w:val="es-MX"/>
              </w:rPr>
            </w:pPr>
          </w:p>
        </w:tc>
      </w:tr>
      <w:tr w:rsidR="00D20E55" w:rsidRPr="00D20E55" w14:paraId="7C914ED2" w14:textId="77777777" w:rsidTr="00D20E55">
        <w:trPr>
          <w:jc w:val="center"/>
        </w:trPr>
        <w:tc>
          <w:tcPr>
            <w:tcW w:w="5000" w:type="pct"/>
          </w:tcPr>
          <w:p w14:paraId="52465B56" w14:textId="400C294F" w:rsidR="0077491F" w:rsidRPr="00D20E55" w:rsidRDefault="0077491F" w:rsidP="006222D7">
            <w:pPr>
              <w:pStyle w:val="Prrafodelista"/>
              <w:numPr>
                <w:ilvl w:val="0"/>
                <w:numId w:val="5"/>
              </w:numPr>
              <w:spacing w:after="0" w:line="240" w:lineRule="auto"/>
              <w:ind w:left="567" w:hanging="567"/>
              <w:jc w:val="both"/>
              <w:rPr>
                <w:rFonts w:asciiTheme="majorHAnsi" w:hAnsiTheme="majorHAnsi"/>
                <w:bCs/>
                <w:sz w:val="24"/>
                <w:szCs w:val="24"/>
                <w:lang w:val="es-MX"/>
              </w:rPr>
            </w:pPr>
            <w:r w:rsidRPr="00D20E55">
              <w:rPr>
                <w:rFonts w:asciiTheme="majorHAnsi" w:hAnsiTheme="majorHAnsi"/>
                <w:bCs/>
                <w:sz w:val="24"/>
                <w:szCs w:val="24"/>
                <w:lang w:val="es-MX"/>
              </w:rPr>
              <w:t>Las disposiciones generales del Plan de Cuentas para las Entida</w:t>
            </w:r>
            <w:r w:rsidR="006222D7" w:rsidRPr="00D20E55">
              <w:rPr>
                <w:rFonts w:asciiTheme="majorHAnsi" w:hAnsiTheme="majorHAnsi"/>
                <w:bCs/>
                <w:sz w:val="24"/>
                <w:szCs w:val="24"/>
                <w:lang w:val="es-MX"/>
              </w:rPr>
              <w:t xml:space="preserve">des de Seguros en su artículo 3, inciso c), </w:t>
            </w:r>
            <w:r w:rsidRPr="00D20E55">
              <w:rPr>
                <w:rFonts w:asciiTheme="majorHAnsi" w:hAnsiTheme="majorHAnsi"/>
                <w:bCs/>
                <w:sz w:val="24"/>
                <w:szCs w:val="24"/>
                <w:lang w:val="es-MX"/>
              </w:rPr>
              <w:t>señala</w:t>
            </w:r>
            <w:r w:rsidR="00F94126" w:rsidRPr="00D20E55">
              <w:rPr>
                <w:rFonts w:asciiTheme="majorHAnsi" w:hAnsiTheme="majorHAnsi"/>
                <w:bCs/>
                <w:sz w:val="24"/>
                <w:szCs w:val="24"/>
                <w:lang w:val="es-MX"/>
              </w:rPr>
              <w:t>n</w:t>
            </w:r>
            <w:r w:rsidRPr="00D20E55">
              <w:rPr>
                <w:rFonts w:asciiTheme="majorHAnsi" w:hAnsiTheme="majorHAnsi"/>
                <w:bCs/>
                <w:sz w:val="24"/>
                <w:szCs w:val="24"/>
                <w:lang w:val="es-MX"/>
              </w:rPr>
              <w:t xml:space="preserve"> que </w:t>
            </w:r>
            <w:r w:rsidRPr="00D20E55">
              <w:rPr>
                <w:rFonts w:asciiTheme="majorHAnsi" w:hAnsiTheme="majorHAnsi"/>
                <w:bCs/>
                <w:i/>
                <w:sz w:val="24"/>
                <w:szCs w:val="24"/>
                <w:lang w:val="es-MX"/>
              </w:rPr>
              <w:t>“…</w:t>
            </w:r>
            <w:r w:rsidR="006222D7" w:rsidRPr="00D20E55">
              <w:rPr>
                <w:rFonts w:asciiTheme="majorHAnsi" w:hAnsiTheme="majorHAnsi"/>
                <w:bCs/>
                <w:i/>
                <w:sz w:val="24"/>
                <w:szCs w:val="24"/>
                <w:lang w:val="es-MX"/>
              </w:rPr>
              <w:t>Los Superintendentes conjunta o separadamente pueden emitir guías que consideren necesarias para la adecuada aplicación del plan de cuentas por las entidades supervisada</w:t>
            </w:r>
            <w:r w:rsidR="00F94126" w:rsidRPr="00D20E55">
              <w:rPr>
                <w:rFonts w:asciiTheme="majorHAnsi" w:hAnsiTheme="majorHAnsi"/>
                <w:bCs/>
                <w:i/>
                <w:sz w:val="24"/>
                <w:szCs w:val="24"/>
                <w:lang w:val="es-MX"/>
              </w:rPr>
              <w:t>s</w:t>
            </w:r>
            <w:r w:rsidRPr="00D20E55">
              <w:rPr>
                <w:rFonts w:asciiTheme="majorHAnsi" w:hAnsiTheme="majorHAnsi"/>
                <w:bCs/>
                <w:i/>
                <w:sz w:val="24"/>
                <w:szCs w:val="24"/>
                <w:lang w:val="es-MX"/>
              </w:rPr>
              <w:t>.”</w:t>
            </w:r>
          </w:p>
          <w:p w14:paraId="136AA038" w14:textId="77777777" w:rsidR="009613A7" w:rsidRPr="00D20E55" w:rsidRDefault="009613A7" w:rsidP="00AB5D4E">
            <w:pPr>
              <w:spacing w:after="0" w:line="240" w:lineRule="auto"/>
              <w:ind w:left="426" w:hanging="426"/>
              <w:jc w:val="both"/>
              <w:rPr>
                <w:rFonts w:asciiTheme="majorHAnsi" w:hAnsiTheme="majorHAnsi"/>
                <w:sz w:val="24"/>
                <w:szCs w:val="24"/>
              </w:rPr>
            </w:pPr>
          </w:p>
        </w:tc>
      </w:tr>
      <w:tr w:rsidR="00D20E55" w:rsidRPr="00D20E55" w14:paraId="582E6744" w14:textId="77777777" w:rsidTr="00D20E55">
        <w:trPr>
          <w:jc w:val="center"/>
        </w:trPr>
        <w:tc>
          <w:tcPr>
            <w:tcW w:w="5000" w:type="pct"/>
          </w:tcPr>
          <w:p w14:paraId="702AC1E3" w14:textId="0F4E70EC" w:rsidR="0077491F" w:rsidRPr="00D20E55" w:rsidRDefault="0077491F" w:rsidP="00AB5D4E">
            <w:pPr>
              <w:pStyle w:val="Prrafodelista"/>
              <w:numPr>
                <w:ilvl w:val="0"/>
                <w:numId w:val="5"/>
              </w:numPr>
              <w:spacing w:after="0" w:line="240" w:lineRule="auto"/>
              <w:ind w:left="567" w:hanging="567"/>
              <w:jc w:val="both"/>
              <w:rPr>
                <w:rFonts w:asciiTheme="majorHAnsi" w:hAnsiTheme="majorHAnsi"/>
                <w:sz w:val="24"/>
                <w:szCs w:val="24"/>
              </w:rPr>
            </w:pPr>
            <w:r w:rsidRPr="00D20E55">
              <w:rPr>
                <w:rFonts w:asciiTheme="majorHAnsi" w:hAnsiTheme="majorHAnsi"/>
                <w:sz w:val="24"/>
                <w:szCs w:val="24"/>
              </w:rPr>
              <w:t>La operativa contable del negocio asegurador posee características particulares respecto a la operativa normal de los negocios de</w:t>
            </w:r>
            <w:r w:rsidR="00F94126" w:rsidRPr="00D20E55">
              <w:rPr>
                <w:rFonts w:asciiTheme="majorHAnsi" w:hAnsiTheme="majorHAnsi"/>
                <w:sz w:val="24"/>
                <w:szCs w:val="24"/>
              </w:rPr>
              <w:t xml:space="preserve"> otras</w:t>
            </w:r>
            <w:r w:rsidRPr="00D20E55">
              <w:rPr>
                <w:rFonts w:asciiTheme="majorHAnsi" w:hAnsiTheme="majorHAnsi"/>
                <w:sz w:val="24"/>
                <w:szCs w:val="24"/>
              </w:rPr>
              <w:t xml:space="preserve"> entidades financieras, por lo que se hace necesario especificar el registro de las operaciones de seguro directo, seguro cedido, seguro retrocedido y reaseguro aceptado, así como el registro de las provisiones técnicas de las operaciones de seguros.</w:t>
            </w:r>
          </w:p>
          <w:p w14:paraId="6D89BD41" w14:textId="77777777" w:rsidR="009613A7" w:rsidRPr="00D20E55" w:rsidRDefault="009613A7" w:rsidP="00AB5D4E">
            <w:pPr>
              <w:spacing w:after="0" w:line="240" w:lineRule="auto"/>
              <w:ind w:left="426" w:hanging="426"/>
              <w:jc w:val="both"/>
              <w:rPr>
                <w:rFonts w:asciiTheme="majorHAnsi" w:hAnsiTheme="majorHAnsi"/>
                <w:sz w:val="24"/>
                <w:szCs w:val="24"/>
              </w:rPr>
            </w:pPr>
          </w:p>
        </w:tc>
      </w:tr>
      <w:tr w:rsidR="00D20E55" w:rsidRPr="00D20E55" w14:paraId="34C3EF30" w14:textId="77777777" w:rsidTr="00D20E55">
        <w:trPr>
          <w:jc w:val="center"/>
        </w:trPr>
        <w:tc>
          <w:tcPr>
            <w:tcW w:w="5000" w:type="pct"/>
          </w:tcPr>
          <w:p w14:paraId="335D24E4" w14:textId="7B6D7D28" w:rsidR="0077491F" w:rsidRPr="00D20E55" w:rsidRDefault="0077491F" w:rsidP="00AB5D4E">
            <w:pPr>
              <w:pStyle w:val="Prrafodelista"/>
              <w:numPr>
                <w:ilvl w:val="0"/>
                <w:numId w:val="5"/>
              </w:numPr>
              <w:spacing w:after="0" w:line="240" w:lineRule="auto"/>
              <w:ind w:left="567" w:hanging="567"/>
              <w:jc w:val="both"/>
              <w:rPr>
                <w:rFonts w:asciiTheme="majorHAnsi" w:hAnsiTheme="majorHAnsi"/>
                <w:sz w:val="24"/>
                <w:szCs w:val="24"/>
              </w:rPr>
            </w:pPr>
            <w:r w:rsidRPr="00D20E55">
              <w:rPr>
                <w:rFonts w:asciiTheme="majorHAnsi" w:hAnsiTheme="majorHAnsi"/>
                <w:sz w:val="24"/>
                <w:szCs w:val="24"/>
              </w:rPr>
              <w:t>Mediante oficio SGS-DES-O-0535-2013 del 20 de marzo de 2013, fue enviado a consulta por un plazo de 15 días hábiles el acuerdo con las guías contables propuestas, plazo que fue ampliado hasta el 6 de mayo de 2013 mediante oficio SGS-DES-O-0718-2013 del 24 de abril de 2013</w:t>
            </w:r>
            <w:r w:rsidR="00A046F3" w:rsidRPr="00D20E55">
              <w:rPr>
                <w:rFonts w:asciiTheme="majorHAnsi" w:hAnsiTheme="majorHAnsi"/>
                <w:sz w:val="24"/>
                <w:szCs w:val="24"/>
              </w:rPr>
              <w:t>, de conformidad con lo estipulado en el artículo 361, numeral 2, de la Ley General de Administración Pública</w:t>
            </w:r>
          </w:p>
          <w:p w14:paraId="073C70E6" w14:textId="77777777" w:rsidR="009613A7" w:rsidRPr="00D20E55" w:rsidRDefault="009613A7" w:rsidP="007D5BB7">
            <w:pPr>
              <w:spacing w:after="0" w:line="240" w:lineRule="auto"/>
              <w:jc w:val="both"/>
              <w:rPr>
                <w:rFonts w:asciiTheme="majorHAnsi" w:hAnsiTheme="majorHAnsi"/>
                <w:sz w:val="24"/>
                <w:szCs w:val="24"/>
                <w:u w:val="single"/>
                <w:lang w:val="es-ES_tradnl"/>
              </w:rPr>
            </w:pPr>
          </w:p>
        </w:tc>
      </w:tr>
      <w:tr w:rsidR="00D20E55" w:rsidRPr="00D20E55" w14:paraId="4F45B2BE" w14:textId="77777777" w:rsidTr="00D20E55">
        <w:trPr>
          <w:jc w:val="center"/>
        </w:trPr>
        <w:tc>
          <w:tcPr>
            <w:tcW w:w="5000" w:type="pct"/>
          </w:tcPr>
          <w:p w14:paraId="175D0962" w14:textId="50D24CED" w:rsidR="0077491F" w:rsidRPr="00D20E55" w:rsidRDefault="0077491F" w:rsidP="00AB5D4E">
            <w:pPr>
              <w:pStyle w:val="Prrafodelista"/>
              <w:numPr>
                <w:ilvl w:val="0"/>
                <w:numId w:val="5"/>
              </w:numPr>
              <w:spacing w:after="0" w:line="240" w:lineRule="auto"/>
              <w:ind w:left="567" w:hanging="567"/>
              <w:jc w:val="both"/>
              <w:rPr>
                <w:rFonts w:asciiTheme="majorHAnsi" w:hAnsiTheme="majorHAnsi"/>
                <w:sz w:val="24"/>
                <w:szCs w:val="24"/>
              </w:rPr>
            </w:pPr>
            <w:r w:rsidRPr="00D20E55">
              <w:rPr>
                <w:rFonts w:asciiTheme="majorHAnsi" w:hAnsiTheme="majorHAnsi"/>
                <w:sz w:val="24"/>
                <w:szCs w:val="24"/>
              </w:rPr>
              <w:t>La Superintendencia revisó y analizó cada una de las observaciones recibidas e incorporó aquellas que considera apegadas a la normativa contab</w:t>
            </w:r>
            <w:r w:rsidR="00AB5D4E" w:rsidRPr="00D20E55">
              <w:rPr>
                <w:rFonts w:asciiTheme="majorHAnsi" w:hAnsiTheme="majorHAnsi"/>
                <w:sz w:val="24"/>
                <w:szCs w:val="24"/>
              </w:rPr>
              <w:t xml:space="preserve">le y al plan de cuentas vigente, </w:t>
            </w:r>
            <w:r w:rsidR="00A046F3" w:rsidRPr="00D20E55">
              <w:rPr>
                <w:rFonts w:asciiTheme="majorHAnsi" w:hAnsiTheme="majorHAnsi"/>
                <w:sz w:val="24"/>
                <w:szCs w:val="24"/>
              </w:rPr>
              <w:t xml:space="preserve">así como a la práctica contable generalmente aceptada, </w:t>
            </w:r>
            <w:r w:rsidR="00AB5D4E" w:rsidRPr="00D20E55">
              <w:rPr>
                <w:rFonts w:asciiTheme="majorHAnsi" w:hAnsiTheme="majorHAnsi"/>
                <w:sz w:val="24"/>
                <w:szCs w:val="24"/>
              </w:rPr>
              <w:t>por lo que procede la emisión definitiva del acuerdo.</w:t>
            </w:r>
          </w:p>
          <w:p w14:paraId="4C9DDBC2" w14:textId="77777777" w:rsidR="009613A7" w:rsidRPr="00D20E55" w:rsidRDefault="009613A7" w:rsidP="007D5BB7">
            <w:pPr>
              <w:spacing w:after="0" w:line="240" w:lineRule="auto"/>
              <w:jc w:val="both"/>
              <w:rPr>
                <w:rFonts w:asciiTheme="majorHAnsi" w:hAnsiTheme="majorHAnsi"/>
                <w:sz w:val="24"/>
                <w:szCs w:val="24"/>
                <w:u w:val="single"/>
                <w:lang w:val="es-ES_tradnl"/>
              </w:rPr>
            </w:pPr>
          </w:p>
          <w:p w14:paraId="5BBBD0CA" w14:textId="77777777" w:rsidR="00A046F3" w:rsidRPr="00D20E55" w:rsidRDefault="00A046F3" w:rsidP="007D5BB7">
            <w:pPr>
              <w:spacing w:after="0" w:line="240" w:lineRule="auto"/>
              <w:jc w:val="both"/>
              <w:rPr>
                <w:rFonts w:asciiTheme="majorHAnsi" w:hAnsiTheme="majorHAnsi"/>
                <w:sz w:val="24"/>
                <w:szCs w:val="24"/>
                <w:u w:val="single"/>
                <w:lang w:val="es-ES_tradnl"/>
              </w:rPr>
            </w:pPr>
          </w:p>
        </w:tc>
      </w:tr>
    </w:tbl>
    <w:p w14:paraId="77703DB3" w14:textId="77777777" w:rsidR="00D20E55" w:rsidRDefault="00D20E55">
      <w:r>
        <w:br w:type="page"/>
      </w:r>
    </w:p>
    <w:p w14:paraId="208BFF8B" w14:textId="77777777" w:rsidR="006A1B8F" w:rsidRPr="00D20E55" w:rsidRDefault="006A1B8F" w:rsidP="009613A7">
      <w:pPr>
        <w:spacing w:after="0" w:line="240" w:lineRule="auto"/>
        <w:jc w:val="center"/>
        <w:rPr>
          <w:rFonts w:asciiTheme="majorHAnsi" w:hAnsiTheme="majorHAnsi"/>
          <w:sz w:val="28"/>
          <w:szCs w:val="28"/>
        </w:rPr>
      </w:pPr>
      <w:r w:rsidRPr="00D20E55">
        <w:rPr>
          <w:rFonts w:asciiTheme="majorHAnsi" w:hAnsiTheme="majorHAnsi"/>
          <w:b/>
          <w:sz w:val="28"/>
          <w:szCs w:val="28"/>
          <w:lang w:val="es-ES_tradnl"/>
        </w:rPr>
        <w:lastRenderedPageBreak/>
        <w:t>Dispone:</w:t>
      </w:r>
    </w:p>
    <w:p w14:paraId="35D7408D" w14:textId="77777777" w:rsidR="006A1B8F" w:rsidRPr="00D20E55" w:rsidRDefault="006A1B8F" w:rsidP="007D5BB7">
      <w:pPr>
        <w:pStyle w:val="Textoindependiente3"/>
        <w:jc w:val="left"/>
        <w:rPr>
          <w:rFonts w:asciiTheme="majorHAnsi" w:hAnsiTheme="majorHAnsi"/>
          <w:sz w:val="24"/>
          <w:szCs w:val="24"/>
          <w:lang w:val="es-ES_tradnl"/>
        </w:rPr>
      </w:pPr>
    </w:p>
    <w:p w14:paraId="1DD43EE3" w14:textId="77777777" w:rsidR="006A1B8F" w:rsidRPr="00D20E55" w:rsidRDefault="006A1B8F" w:rsidP="007D5BB7">
      <w:pPr>
        <w:pStyle w:val="Textoindependiente3"/>
        <w:jc w:val="left"/>
        <w:rPr>
          <w:rFonts w:asciiTheme="majorHAnsi" w:hAnsiTheme="majorHAnsi"/>
          <w:sz w:val="24"/>
          <w:szCs w:val="24"/>
          <w:lang w:val="es-ES_tradnl"/>
        </w:rPr>
      </w:pPr>
      <w:r w:rsidRPr="00D20E55">
        <w:rPr>
          <w:rFonts w:asciiTheme="majorHAnsi" w:hAnsiTheme="majorHAnsi"/>
          <w:sz w:val="24"/>
          <w:szCs w:val="24"/>
          <w:lang w:val="es-ES_tradnl"/>
        </w:rPr>
        <w:t>Emitir las siguientes disposiciones:</w:t>
      </w:r>
    </w:p>
    <w:p w14:paraId="727D3FE3" w14:textId="77777777" w:rsidR="006A1B8F" w:rsidRPr="00D20E55" w:rsidRDefault="006A1B8F" w:rsidP="007D5BB7">
      <w:pPr>
        <w:pStyle w:val="Textoindependiente3"/>
        <w:jc w:val="left"/>
        <w:rPr>
          <w:rFonts w:asciiTheme="majorHAnsi" w:hAnsiTheme="majorHAnsi"/>
          <w:sz w:val="24"/>
          <w:szCs w:val="24"/>
          <w:lang w:val="es-ES_tradnl"/>
        </w:rPr>
      </w:pPr>
    </w:p>
    <w:p w14:paraId="4A08D4DC" w14:textId="77777777" w:rsidR="006A1B8F" w:rsidRDefault="006A1B8F" w:rsidP="00D20E55">
      <w:pPr>
        <w:pStyle w:val="Textoindependiente3"/>
        <w:jc w:val="center"/>
        <w:rPr>
          <w:rFonts w:asciiTheme="majorHAnsi" w:hAnsiTheme="majorHAnsi"/>
          <w:b/>
          <w:bCs/>
          <w:szCs w:val="28"/>
          <w:lang w:val="es-ES_tradnl"/>
        </w:rPr>
      </w:pPr>
      <w:r w:rsidRPr="00D20E55">
        <w:rPr>
          <w:rFonts w:asciiTheme="majorHAnsi" w:hAnsiTheme="majorHAnsi"/>
          <w:b/>
          <w:szCs w:val="28"/>
          <w:lang w:val="es-ES_tradnl"/>
        </w:rPr>
        <w:t>“</w:t>
      </w:r>
      <w:r w:rsidRPr="00D20E55">
        <w:rPr>
          <w:rFonts w:asciiTheme="majorHAnsi" w:hAnsiTheme="majorHAnsi"/>
          <w:b/>
          <w:bCs/>
          <w:szCs w:val="28"/>
          <w:lang w:val="es-ES_tradnl"/>
        </w:rPr>
        <w:t>Guías de Aplicación Contable para la Actividad</w:t>
      </w:r>
    </w:p>
    <w:p w14:paraId="4FDADD41" w14:textId="77777777" w:rsidR="006A1B8F" w:rsidRPr="00D20E55" w:rsidRDefault="006A1B8F" w:rsidP="00D20E55">
      <w:pPr>
        <w:pStyle w:val="Textoindependiente3"/>
        <w:jc w:val="center"/>
        <w:rPr>
          <w:rFonts w:asciiTheme="majorHAnsi" w:hAnsiTheme="majorHAnsi"/>
          <w:b/>
          <w:bCs/>
          <w:szCs w:val="28"/>
          <w:lang w:val="es-ES_tradnl"/>
        </w:rPr>
      </w:pPr>
      <w:r w:rsidRPr="00D20E55">
        <w:rPr>
          <w:rFonts w:asciiTheme="majorHAnsi" w:hAnsiTheme="majorHAnsi"/>
          <w:b/>
          <w:bCs/>
          <w:szCs w:val="28"/>
          <w:lang w:val="es-ES_tradnl"/>
        </w:rPr>
        <w:t>Aseguradora y Reaseguradora”</w:t>
      </w:r>
    </w:p>
    <w:p w14:paraId="1A66DE95" w14:textId="77777777" w:rsidR="006A1B8F" w:rsidRPr="00D20E55" w:rsidRDefault="006A1B8F" w:rsidP="007D5BB7">
      <w:pPr>
        <w:spacing w:after="0" w:line="240" w:lineRule="auto"/>
        <w:jc w:val="both"/>
        <w:rPr>
          <w:rFonts w:asciiTheme="majorHAnsi" w:hAnsiTheme="majorHAnsi"/>
          <w:b/>
          <w:bCs/>
          <w:iCs/>
          <w:sz w:val="24"/>
          <w:szCs w:val="24"/>
        </w:rPr>
      </w:pPr>
    </w:p>
    <w:p w14:paraId="7775B70B" w14:textId="77777777" w:rsidR="006A1B8F" w:rsidRPr="00D20E55" w:rsidRDefault="006A1B8F" w:rsidP="007D5BB7">
      <w:pPr>
        <w:spacing w:after="0" w:line="240" w:lineRule="auto"/>
        <w:jc w:val="both"/>
        <w:rPr>
          <w:rFonts w:asciiTheme="majorHAnsi" w:hAnsiTheme="majorHAnsi"/>
          <w:b/>
          <w:bCs/>
          <w:iCs/>
          <w:sz w:val="24"/>
          <w:szCs w:val="24"/>
        </w:rPr>
      </w:pPr>
    </w:p>
    <w:p w14:paraId="79FC14AF" w14:textId="77777777" w:rsidR="006A1B8F" w:rsidRPr="00D20E55" w:rsidRDefault="006A1B8F" w:rsidP="007D5BB7">
      <w:pPr>
        <w:spacing w:after="0" w:line="240" w:lineRule="auto"/>
        <w:jc w:val="both"/>
        <w:rPr>
          <w:rFonts w:asciiTheme="majorHAnsi" w:hAnsiTheme="majorHAnsi"/>
          <w:b/>
          <w:bCs/>
          <w:iCs/>
          <w:sz w:val="24"/>
          <w:szCs w:val="24"/>
        </w:rPr>
      </w:pPr>
      <w:r>
        <w:rPr>
          <w:rStyle w:val="Refdenotaalpie"/>
          <w:rFonts w:asciiTheme="majorHAnsi" w:hAnsiTheme="majorHAnsi"/>
          <w:b/>
          <w:bCs/>
          <w:iCs/>
          <w:sz w:val="24"/>
          <w:szCs w:val="24"/>
        </w:rPr>
        <w:footnoteReference w:id="2"/>
      </w:r>
      <w:r w:rsidRPr="00D20E55">
        <w:rPr>
          <w:rFonts w:asciiTheme="majorHAnsi" w:hAnsiTheme="majorHAnsi"/>
          <w:b/>
          <w:bCs/>
          <w:iCs/>
          <w:sz w:val="24"/>
          <w:szCs w:val="24"/>
        </w:rPr>
        <w:t>Artículo 1. Alcance</w:t>
      </w:r>
    </w:p>
    <w:p w14:paraId="56B268CC" w14:textId="77777777" w:rsidR="006A1B8F" w:rsidRPr="00D20E55" w:rsidRDefault="006A1B8F" w:rsidP="007D5BB7">
      <w:pPr>
        <w:spacing w:after="0" w:line="240" w:lineRule="auto"/>
        <w:jc w:val="both"/>
        <w:rPr>
          <w:rFonts w:asciiTheme="majorHAnsi" w:hAnsiTheme="majorHAnsi"/>
          <w:bCs/>
          <w:iCs/>
          <w:sz w:val="24"/>
          <w:szCs w:val="24"/>
        </w:rPr>
      </w:pPr>
    </w:p>
    <w:p w14:paraId="156B3141" w14:textId="77777777" w:rsidR="006A1B8F" w:rsidRPr="00D20E55" w:rsidRDefault="006A1B8F" w:rsidP="007D5BB7">
      <w:pPr>
        <w:spacing w:after="0" w:line="240" w:lineRule="auto"/>
        <w:jc w:val="both"/>
        <w:rPr>
          <w:rFonts w:asciiTheme="majorHAnsi" w:hAnsiTheme="majorHAnsi"/>
          <w:bCs/>
          <w:iCs/>
          <w:sz w:val="24"/>
          <w:szCs w:val="24"/>
        </w:rPr>
      </w:pPr>
      <w:r w:rsidRPr="00E607B3">
        <w:rPr>
          <w:rFonts w:asciiTheme="majorHAnsi" w:hAnsiTheme="majorHAnsi"/>
          <w:bCs/>
          <w:iCs/>
          <w:sz w:val="24"/>
          <w:szCs w:val="24"/>
        </w:rPr>
        <w:t>Estas guías aplican para todas las entidades aseguradoras y reaseguradoras, incluyendo las operaciones que realicen las entidades de seguros constituidas bajo la figura de sucursal,   de conformidad con lo señalado en el Reglamento de Información Financiera.</w:t>
      </w:r>
    </w:p>
    <w:p w14:paraId="4C4D479B" w14:textId="77777777" w:rsidR="006A1B8F" w:rsidRPr="00D20E55" w:rsidRDefault="006A1B8F" w:rsidP="007D5BB7">
      <w:pPr>
        <w:spacing w:after="0" w:line="240" w:lineRule="auto"/>
        <w:jc w:val="both"/>
        <w:rPr>
          <w:rFonts w:asciiTheme="majorHAnsi" w:eastAsia="Times New Roman" w:hAnsiTheme="majorHAnsi"/>
          <w:b/>
          <w:bCs/>
          <w:iCs/>
          <w:sz w:val="24"/>
          <w:szCs w:val="24"/>
          <w:lang w:eastAsia="es-ES"/>
        </w:rPr>
      </w:pPr>
    </w:p>
    <w:p w14:paraId="4BC0D99A" w14:textId="77777777" w:rsidR="006A1B8F" w:rsidRPr="00D20E55" w:rsidRDefault="006A1B8F" w:rsidP="007D5BB7">
      <w:pPr>
        <w:spacing w:after="0" w:line="240" w:lineRule="auto"/>
        <w:jc w:val="both"/>
        <w:rPr>
          <w:rFonts w:asciiTheme="majorHAnsi" w:eastAsia="Times New Roman" w:hAnsiTheme="majorHAnsi"/>
          <w:b/>
          <w:bCs/>
          <w:iCs/>
          <w:sz w:val="24"/>
          <w:szCs w:val="24"/>
          <w:lang w:eastAsia="es-ES"/>
        </w:rPr>
      </w:pPr>
    </w:p>
    <w:p w14:paraId="4068D00C" w14:textId="11097F6E" w:rsidR="006A1B8F" w:rsidRPr="00D20E55" w:rsidRDefault="006A1B8F" w:rsidP="007D5BB7">
      <w:pPr>
        <w:spacing w:after="0" w:line="240" w:lineRule="auto"/>
        <w:jc w:val="both"/>
        <w:rPr>
          <w:rFonts w:asciiTheme="majorHAnsi" w:eastAsia="Times New Roman" w:hAnsiTheme="majorHAnsi"/>
          <w:b/>
          <w:bCs/>
          <w:iCs/>
          <w:sz w:val="24"/>
          <w:szCs w:val="24"/>
          <w:lang w:eastAsia="es-ES"/>
        </w:rPr>
      </w:pPr>
      <w:r>
        <w:rPr>
          <w:rStyle w:val="Refdenotaalpie"/>
          <w:rFonts w:asciiTheme="majorHAnsi" w:eastAsia="Times New Roman" w:hAnsiTheme="majorHAnsi"/>
          <w:b/>
          <w:bCs/>
          <w:iCs/>
          <w:sz w:val="24"/>
          <w:szCs w:val="24"/>
          <w:lang w:eastAsia="es-ES"/>
        </w:rPr>
        <w:footnoteReference w:id="3"/>
      </w:r>
      <w:r w:rsidRPr="00D20E55">
        <w:rPr>
          <w:rFonts w:asciiTheme="majorHAnsi" w:eastAsia="Times New Roman" w:hAnsiTheme="majorHAnsi"/>
          <w:b/>
          <w:bCs/>
          <w:iCs/>
          <w:sz w:val="24"/>
          <w:szCs w:val="24"/>
          <w:lang w:eastAsia="es-ES"/>
        </w:rPr>
        <w:t>Artículo 2. Lineamientos Generales</w:t>
      </w:r>
    </w:p>
    <w:p w14:paraId="100233CE" w14:textId="77777777" w:rsidR="006A1B8F" w:rsidRPr="00D20E55" w:rsidRDefault="006A1B8F" w:rsidP="007D5BB7">
      <w:pPr>
        <w:spacing w:after="0" w:line="240" w:lineRule="auto"/>
        <w:jc w:val="both"/>
        <w:rPr>
          <w:rFonts w:asciiTheme="majorHAnsi" w:eastAsia="Times New Roman" w:hAnsiTheme="majorHAnsi"/>
          <w:b/>
          <w:bCs/>
          <w:iCs/>
          <w:sz w:val="24"/>
          <w:szCs w:val="24"/>
          <w:lang w:eastAsia="es-ES"/>
        </w:rPr>
      </w:pPr>
    </w:p>
    <w:p w14:paraId="48CA4158" w14:textId="77777777" w:rsidR="006A1B8F" w:rsidRPr="006A1B8F" w:rsidRDefault="006A1B8F" w:rsidP="006A1B8F">
      <w:pPr>
        <w:pStyle w:val="Textoindependiente3"/>
        <w:tabs>
          <w:tab w:val="left" w:pos="857"/>
          <w:tab w:val="left" w:pos="1168"/>
        </w:tabs>
        <w:rPr>
          <w:rFonts w:asciiTheme="majorHAnsi" w:hAnsiTheme="majorHAnsi"/>
          <w:bCs/>
          <w:iCs/>
          <w:sz w:val="24"/>
          <w:szCs w:val="24"/>
        </w:rPr>
      </w:pPr>
      <w:r w:rsidRPr="006A1B8F">
        <w:rPr>
          <w:rFonts w:asciiTheme="majorHAnsi" w:hAnsiTheme="majorHAnsi"/>
          <w:bCs/>
          <w:iCs/>
          <w:sz w:val="24"/>
          <w:szCs w:val="24"/>
        </w:rPr>
        <w:t xml:space="preserve">Las guías son esquemas básicos que describen el adecuado registro de operaciones ligadas a la actividad aseguradora y reaseguradora, por lo que no constituyen una lista exhaustiva de todos los registros contables de una entidad de seguros. </w:t>
      </w:r>
    </w:p>
    <w:p w14:paraId="1239B62C" w14:textId="77777777" w:rsidR="006A1B8F" w:rsidRPr="006A1B8F" w:rsidRDefault="006A1B8F" w:rsidP="006A1B8F">
      <w:pPr>
        <w:pStyle w:val="Textoindependiente3"/>
        <w:tabs>
          <w:tab w:val="left" w:pos="857"/>
          <w:tab w:val="left" w:pos="1168"/>
        </w:tabs>
        <w:rPr>
          <w:rFonts w:asciiTheme="majorHAnsi" w:hAnsiTheme="majorHAnsi"/>
          <w:bCs/>
          <w:iCs/>
          <w:sz w:val="24"/>
          <w:szCs w:val="24"/>
        </w:rPr>
      </w:pPr>
    </w:p>
    <w:p w14:paraId="4B0E6A5C" w14:textId="77777777" w:rsidR="006A1B8F" w:rsidRPr="006A1B8F" w:rsidRDefault="006A1B8F" w:rsidP="006A1B8F">
      <w:pPr>
        <w:pStyle w:val="Textoindependiente3"/>
        <w:tabs>
          <w:tab w:val="left" w:pos="857"/>
          <w:tab w:val="left" w:pos="1168"/>
        </w:tabs>
        <w:rPr>
          <w:rFonts w:asciiTheme="majorHAnsi" w:hAnsiTheme="majorHAnsi"/>
          <w:bCs/>
          <w:iCs/>
          <w:sz w:val="24"/>
          <w:szCs w:val="24"/>
        </w:rPr>
      </w:pPr>
      <w:r w:rsidRPr="006A1B8F">
        <w:rPr>
          <w:rFonts w:asciiTheme="majorHAnsi" w:hAnsiTheme="majorHAnsi"/>
          <w:bCs/>
          <w:iCs/>
          <w:sz w:val="24"/>
          <w:szCs w:val="24"/>
        </w:rPr>
        <w:t xml:space="preserve">Para las operaciones relacionadas con el registro de inversiones: intereses acumulados y los cobros o las reversiones de éste, registros de valoración de activos, registro de primas y descuentos, registro de ganancias o pérdidas en las ventas de inversiones,  y demás operaciones no contempladas en las presentes guías, se debe considerar lo que señala el Reglamento de Información Financiera.  </w:t>
      </w:r>
    </w:p>
    <w:p w14:paraId="031323FE" w14:textId="77777777" w:rsidR="006A1B8F" w:rsidRPr="006A1B8F" w:rsidRDefault="006A1B8F" w:rsidP="006A1B8F">
      <w:pPr>
        <w:pStyle w:val="Textoindependiente3"/>
        <w:tabs>
          <w:tab w:val="left" w:pos="857"/>
          <w:tab w:val="left" w:pos="1168"/>
        </w:tabs>
        <w:rPr>
          <w:rFonts w:asciiTheme="majorHAnsi" w:hAnsiTheme="majorHAnsi"/>
          <w:bCs/>
          <w:iCs/>
          <w:sz w:val="24"/>
          <w:szCs w:val="24"/>
        </w:rPr>
      </w:pPr>
    </w:p>
    <w:p w14:paraId="10586F37" w14:textId="77777777" w:rsidR="006A1B8F" w:rsidRPr="006A1B8F" w:rsidRDefault="006A1B8F" w:rsidP="006A1B8F">
      <w:pPr>
        <w:pStyle w:val="Textoindependiente3"/>
        <w:tabs>
          <w:tab w:val="left" w:pos="857"/>
          <w:tab w:val="left" w:pos="1168"/>
        </w:tabs>
        <w:rPr>
          <w:rFonts w:asciiTheme="majorHAnsi" w:hAnsiTheme="majorHAnsi"/>
          <w:bCs/>
          <w:iCs/>
          <w:sz w:val="24"/>
          <w:szCs w:val="24"/>
        </w:rPr>
      </w:pPr>
      <w:r w:rsidRPr="006A1B8F">
        <w:rPr>
          <w:rFonts w:asciiTheme="majorHAnsi" w:hAnsiTheme="majorHAnsi"/>
          <w:bCs/>
          <w:iCs/>
          <w:sz w:val="24"/>
          <w:szCs w:val="24"/>
        </w:rPr>
        <w:t>El desglose de los registros contables se presenta de acuerdo al estado y al momento en que fue realizada cada transacción;   por ejemplo: el registro de la póliza, el cobro de las primas, etc.</w:t>
      </w:r>
    </w:p>
    <w:p w14:paraId="2BAF3D58" w14:textId="77777777" w:rsidR="006A1B8F" w:rsidRPr="006A1B8F" w:rsidRDefault="006A1B8F" w:rsidP="006A1B8F">
      <w:pPr>
        <w:pStyle w:val="Textoindependiente3"/>
        <w:tabs>
          <w:tab w:val="left" w:pos="857"/>
          <w:tab w:val="left" w:pos="1168"/>
        </w:tabs>
        <w:rPr>
          <w:rFonts w:asciiTheme="majorHAnsi" w:hAnsiTheme="majorHAnsi"/>
          <w:bCs/>
          <w:iCs/>
          <w:sz w:val="24"/>
          <w:szCs w:val="24"/>
        </w:rPr>
      </w:pPr>
    </w:p>
    <w:p w14:paraId="7CD11176" w14:textId="0EED675C" w:rsidR="006A1B8F" w:rsidRDefault="006A1B8F" w:rsidP="006A1B8F">
      <w:pPr>
        <w:pStyle w:val="Textoindependiente3"/>
        <w:tabs>
          <w:tab w:val="left" w:pos="857"/>
          <w:tab w:val="left" w:pos="1168"/>
        </w:tabs>
        <w:rPr>
          <w:rFonts w:asciiTheme="majorHAnsi" w:hAnsiTheme="majorHAnsi"/>
          <w:bCs/>
          <w:iCs/>
          <w:sz w:val="24"/>
          <w:szCs w:val="24"/>
        </w:rPr>
      </w:pPr>
      <w:r w:rsidRPr="006A1B8F">
        <w:rPr>
          <w:rFonts w:asciiTheme="majorHAnsi" w:hAnsiTheme="majorHAnsi"/>
          <w:bCs/>
          <w:iCs/>
          <w:sz w:val="24"/>
          <w:szCs w:val="24"/>
        </w:rPr>
        <w:t>En el caso de operaciones que se realizan en monedas diferentes al colón, los registros deben efectuarse en la cuenta</w:t>
      </w:r>
      <w:r>
        <w:rPr>
          <w:rFonts w:asciiTheme="majorHAnsi" w:hAnsiTheme="majorHAnsi"/>
          <w:bCs/>
          <w:iCs/>
          <w:sz w:val="24"/>
          <w:szCs w:val="24"/>
        </w:rPr>
        <w:t xml:space="preserve"> correspondiente a cada moneda.</w:t>
      </w:r>
    </w:p>
    <w:p w14:paraId="44A2FD41" w14:textId="77777777" w:rsidR="006A1B8F" w:rsidRDefault="006A1B8F" w:rsidP="006A1B8F">
      <w:pPr>
        <w:pStyle w:val="Textoindependiente3"/>
        <w:tabs>
          <w:tab w:val="left" w:pos="857"/>
          <w:tab w:val="left" w:pos="1168"/>
        </w:tabs>
        <w:rPr>
          <w:rFonts w:asciiTheme="majorHAnsi" w:hAnsiTheme="majorHAnsi"/>
          <w:bCs/>
          <w:iCs/>
          <w:sz w:val="24"/>
          <w:szCs w:val="24"/>
        </w:rPr>
      </w:pPr>
    </w:p>
    <w:p w14:paraId="3BDA6F5F" w14:textId="77777777" w:rsidR="006A1B8F" w:rsidRPr="006A1B8F" w:rsidRDefault="006A1B8F" w:rsidP="006A1B8F">
      <w:pPr>
        <w:pStyle w:val="Textoindependiente3"/>
        <w:tabs>
          <w:tab w:val="left" w:pos="857"/>
          <w:tab w:val="left" w:pos="1168"/>
        </w:tabs>
        <w:rPr>
          <w:rFonts w:asciiTheme="majorHAnsi" w:hAnsiTheme="majorHAnsi"/>
          <w:bCs/>
          <w:iCs/>
          <w:sz w:val="24"/>
          <w:szCs w:val="24"/>
        </w:rPr>
      </w:pPr>
    </w:p>
    <w:p w14:paraId="7B97DA6B" w14:textId="77777777" w:rsidR="006A1B8F" w:rsidRDefault="006A1B8F" w:rsidP="007D5BB7">
      <w:pPr>
        <w:pStyle w:val="Textoindependiente3"/>
        <w:tabs>
          <w:tab w:val="left" w:pos="857"/>
          <w:tab w:val="left" w:pos="1168"/>
        </w:tabs>
        <w:rPr>
          <w:rFonts w:asciiTheme="majorHAnsi" w:hAnsiTheme="majorHAnsi"/>
          <w:b/>
          <w:bCs/>
          <w:iCs/>
          <w:sz w:val="24"/>
          <w:szCs w:val="24"/>
        </w:rPr>
      </w:pPr>
    </w:p>
    <w:p w14:paraId="564828F8" w14:textId="77777777" w:rsidR="006A1B8F" w:rsidRPr="00D20E55" w:rsidRDefault="006A1B8F" w:rsidP="007D5BB7">
      <w:pPr>
        <w:pStyle w:val="Textoindependiente3"/>
        <w:tabs>
          <w:tab w:val="left" w:pos="857"/>
          <w:tab w:val="left" w:pos="1168"/>
        </w:tabs>
        <w:rPr>
          <w:rFonts w:asciiTheme="majorHAnsi" w:hAnsiTheme="majorHAnsi"/>
          <w:b/>
          <w:bCs/>
          <w:iCs/>
          <w:sz w:val="24"/>
          <w:szCs w:val="24"/>
        </w:rPr>
      </w:pPr>
      <w:r w:rsidRPr="00D20E55">
        <w:rPr>
          <w:rFonts w:asciiTheme="majorHAnsi" w:hAnsiTheme="majorHAnsi"/>
          <w:b/>
          <w:bCs/>
          <w:iCs/>
          <w:sz w:val="24"/>
          <w:szCs w:val="24"/>
        </w:rPr>
        <w:t>Artículo 3.  Guías Contables</w:t>
      </w:r>
    </w:p>
    <w:p w14:paraId="2958845E" w14:textId="77777777" w:rsidR="006A1B8F" w:rsidRPr="00D20E55" w:rsidRDefault="006A1B8F" w:rsidP="007D5BB7">
      <w:pPr>
        <w:pStyle w:val="Textoindependiente3"/>
        <w:tabs>
          <w:tab w:val="left" w:pos="857"/>
          <w:tab w:val="left" w:pos="1168"/>
        </w:tabs>
        <w:rPr>
          <w:rFonts w:asciiTheme="majorHAnsi" w:hAnsiTheme="majorHAnsi"/>
          <w:sz w:val="24"/>
          <w:szCs w:val="24"/>
        </w:rPr>
      </w:pPr>
    </w:p>
    <w:p w14:paraId="43DACE8F" w14:textId="77777777" w:rsidR="006A1B8F" w:rsidRPr="00D20E55" w:rsidRDefault="006A1B8F" w:rsidP="007D5BB7">
      <w:pPr>
        <w:pStyle w:val="Textoindependiente3"/>
        <w:tabs>
          <w:tab w:val="left" w:pos="857"/>
          <w:tab w:val="left" w:pos="1168"/>
        </w:tabs>
        <w:rPr>
          <w:rFonts w:asciiTheme="majorHAnsi" w:hAnsiTheme="majorHAnsi"/>
          <w:sz w:val="24"/>
          <w:szCs w:val="24"/>
          <w:lang w:val="es-ES_tradnl"/>
        </w:rPr>
      </w:pPr>
      <w:r w:rsidRPr="00D20E55">
        <w:rPr>
          <w:rFonts w:asciiTheme="majorHAnsi" w:hAnsiTheme="majorHAnsi"/>
          <w:sz w:val="24"/>
          <w:szCs w:val="24"/>
        </w:rPr>
        <w:t>En la sección de Anexos se presentan las guías contables de conformidad con lo señalado</w:t>
      </w:r>
      <w:r w:rsidRPr="00D20E55">
        <w:rPr>
          <w:rFonts w:asciiTheme="majorHAnsi" w:hAnsiTheme="majorHAnsi"/>
          <w:sz w:val="24"/>
          <w:szCs w:val="24"/>
          <w:lang w:val="es-ES_tradnl"/>
        </w:rPr>
        <w:t xml:space="preserve">, en los artículos anteriores, las cuales son parte integral del presente acuerdo. </w:t>
      </w:r>
    </w:p>
    <w:p w14:paraId="3C331792" w14:textId="77777777" w:rsidR="006A1B8F" w:rsidRPr="00D20E55" w:rsidRDefault="006A1B8F" w:rsidP="007D5BB7">
      <w:pPr>
        <w:pStyle w:val="Textoindependiente3"/>
        <w:tabs>
          <w:tab w:val="left" w:pos="857"/>
          <w:tab w:val="left" w:pos="1168"/>
        </w:tabs>
        <w:rPr>
          <w:rFonts w:asciiTheme="majorHAnsi" w:hAnsiTheme="majorHAnsi"/>
          <w:sz w:val="24"/>
          <w:szCs w:val="24"/>
          <w:lang w:val="es-ES_tradnl"/>
        </w:rPr>
      </w:pPr>
    </w:p>
    <w:p w14:paraId="0F1C0ACB" w14:textId="77777777" w:rsidR="006A1B8F" w:rsidRPr="00D20E55" w:rsidRDefault="006A1B8F" w:rsidP="007D5BB7">
      <w:pPr>
        <w:pStyle w:val="Textoindependiente3"/>
        <w:tabs>
          <w:tab w:val="left" w:pos="857"/>
          <w:tab w:val="left" w:pos="1168"/>
        </w:tabs>
        <w:rPr>
          <w:rFonts w:asciiTheme="majorHAnsi" w:hAnsiTheme="majorHAnsi"/>
          <w:sz w:val="24"/>
          <w:szCs w:val="24"/>
          <w:lang w:val="es-ES_tradnl"/>
        </w:rPr>
      </w:pPr>
      <w:r w:rsidRPr="00D20E55">
        <w:rPr>
          <w:rFonts w:asciiTheme="majorHAnsi" w:hAnsiTheme="majorHAnsi"/>
          <w:sz w:val="24"/>
          <w:szCs w:val="24"/>
          <w:lang w:val="es-ES_tradnl"/>
        </w:rPr>
        <w:t xml:space="preserve">Las guías contables incluidas en este  acuerdo son: </w:t>
      </w:r>
    </w:p>
    <w:p w14:paraId="41D6BD8D" w14:textId="77777777" w:rsidR="006A1B8F" w:rsidRPr="00D20E55" w:rsidRDefault="006A1B8F" w:rsidP="007D5BB7">
      <w:pPr>
        <w:pStyle w:val="Textoindependiente3"/>
        <w:tabs>
          <w:tab w:val="left" w:pos="857"/>
          <w:tab w:val="left" w:pos="1168"/>
        </w:tabs>
        <w:rPr>
          <w:rFonts w:asciiTheme="majorHAnsi" w:hAnsiTheme="majorHAnsi"/>
          <w:sz w:val="24"/>
          <w:szCs w:val="24"/>
          <w:lang w:val="es-ES_tradnl"/>
        </w:rPr>
      </w:pPr>
    </w:p>
    <w:p w14:paraId="66329FB7" w14:textId="77777777" w:rsidR="006A1B8F" w:rsidRPr="00D20E55" w:rsidRDefault="006A1B8F" w:rsidP="007D5BB7">
      <w:pPr>
        <w:pStyle w:val="Textoindependiente3"/>
        <w:numPr>
          <w:ilvl w:val="0"/>
          <w:numId w:val="2"/>
        </w:numPr>
        <w:tabs>
          <w:tab w:val="left" w:pos="857"/>
          <w:tab w:val="left" w:pos="1168"/>
        </w:tabs>
        <w:rPr>
          <w:rFonts w:asciiTheme="majorHAnsi" w:hAnsiTheme="majorHAnsi"/>
          <w:sz w:val="24"/>
          <w:szCs w:val="24"/>
        </w:rPr>
      </w:pPr>
      <w:r w:rsidRPr="00D20E55">
        <w:rPr>
          <w:rFonts w:asciiTheme="majorHAnsi" w:hAnsiTheme="majorHAnsi"/>
          <w:sz w:val="24"/>
          <w:szCs w:val="24"/>
          <w:lang w:val="es-ES_tradnl"/>
        </w:rPr>
        <w:t>Guía para  la operativa general de registro de las operaciones de seguro directo.</w:t>
      </w:r>
    </w:p>
    <w:p w14:paraId="3F2612FC" w14:textId="77777777" w:rsidR="006A1B8F" w:rsidRPr="00D20E55" w:rsidRDefault="006A1B8F" w:rsidP="007D5BB7">
      <w:pPr>
        <w:pStyle w:val="Textoindependiente3"/>
        <w:numPr>
          <w:ilvl w:val="0"/>
          <w:numId w:val="2"/>
        </w:numPr>
        <w:tabs>
          <w:tab w:val="left" w:pos="857"/>
          <w:tab w:val="left" w:pos="1168"/>
        </w:tabs>
        <w:rPr>
          <w:rFonts w:asciiTheme="majorHAnsi" w:hAnsiTheme="majorHAnsi"/>
          <w:sz w:val="24"/>
          <w:szCs w:val="24"/>
        </w:rPr>
      </w:pPr>
      <w:r w:rsidRPr="00D20E55">
        <w:rPr>
          <w:rFonts w:asciiTheme="majorHAnsi" w:hAnsiTheme="majorHAnsi"/>
          <w:sz w:val="24"/>
          <w:szCs w:val="24"/>
          <w:lang w:val="es-ES_tradnl"/>
        </w:rPr>
        <w:t xml:space="preserve">Guía para el registro de las operaciones de reaseguro desde el punto de vista de la cedente y de la aceptante. </w:t>
      </w:r>
    </w:p>
    <w:p w14:paraId="32B32FC7" w14:textId="77777777" w:rsidR="006A1B8F" w:rsidRPr="00D20E55" w:rsidRDefault="006A1B8F" w:rsidP="007D5BB7">
      <w:pPr>
        <w:pStyle w:val="Textoindependiente3"/>
        <w:tabs>
          <w:tab w:val="left" w:pos="857"/>
          <w:tab w:val="left" w:pos="1168"/>
        </w:tabs>
        <w:rPr>
          <w:rFonts w:asciiTheme="majorHAnsi" w:hAnsiTheme="majorHAnsi"/>
          <w:sz w:val="24"/>
          <w:szCs w:val="24"/>
          <w:lang w:val="es-ES_tradnl"/>
        </w:rPr>
      </w:pPr>
    </w:p>
    <w:p w14:paraId="1F3CC428" w14:textId="77777777" w:rsidR="006A1B8F" w:rsidRPr="00D20E55" w:rsidRDefault="006A1B8F" w:rsidP="002A12C2">
      <w:pPr>
        <w:pStyle w:val="Textoindependiente3"/>
        <w:tabs>
          <w:tab w:val="left" w:pos="857"/>
          <w:tab w:val="left" w:pos="1168"/>
        </w:tabs>
        <w:rPr>
          <w:rFonts w:asciiTheme="majorHAnsi" w:hAnsiTheme="majorHAnsi"/>
          <w:b/>
          <w:i/>
          <w:sz w:val="24"/>
          <w:szCs w:val="24"/>
          <w:lang w:val="es-ES_tradnl"/>
        </w:rPr>
      </w:pPr>
      <w:r w:rsidRPr="00D20E55">
        <w:rPr>
          <w:rFonts w:asciiTheme="majorHAnsi" w:hAnsiTheme="majorHAnsi"/>
          <w:sz w:val="24"/>
          <w:szCs w:val="24"/>
          <w:lang w:val="es-ES_tradnl"/>
        </w:rPr>
        <w:t>Además, se presenta como referencia ejemplos ilustrativos relacionados con el tratamiento de las operaciones de seguro directo.</w:t>
      </w:r>
    </w:p>
    <w:p w14:paraId="793DE45B" w14:textId="77777777" w:rsidR="006A1B8F" w:rsidRDefault="006A1B8F" w:rsidP="007D5BB7">
      <w:pPr>
        <w:spacing w:after="0" w:line="240" w:lineRule="auto"/>
        <w:jc w:val="both"/>
        <w:rPr>
          <w:rFonts w:asciiTheme="majorHAnsi" w:hAnsiTheme="majorHAnsi"/>
          <w:b/>
          <w:bCs/>
          <w:iCs/>
          <w:sz w:val="24"/>
          <w:szCs w:val="24"/>
        </w:rPr>
      </w:pPr>
    </w:p>
    <w:p w14:paraId="566E6F3E" w14:textId="77777777" w:rsidR="006A1B8F" w:rsidRPr="00D20E55" w:rsidRDefault="006A1B8F" w:rsidP="007D5BB7">
      <w:pPr>
        <w:spacing w:after="0" w:line="240" w:lineRule="auto"/>
        <w:jc w:val="both"/>
        <w:rPr>
          <w:rFonts w:asciiTheme="majorHAnsi" w:hAnsiTheme="majorHAnsi"/>
          <w:b/>
          <w:bCs/>
          <w:iCs/>
          <w:sz w:val="24"/>
          <w:szCs w:val="24"/>
        </w:rPr>
      </w:pPr>
    </w:p>
    <w:p w14:paraId="65AE84D9" w14:textId="77777777" w:rsidR="006A1B8F" w:rsidRPr="00D20E55" w:rsidRDefault="006A1B8F" w:rsidP="007D5BB7">
      <w:pPr>
        <w:spacing w:after="0" w:line="240" w:lineRule="auto"/>
        <w:jc w:val="both"/>
        <w:rPr>
          <w:rFonts w:asciiTheme="majorHAnsi" w:hAnsiTheme="majorHAnsi"/>
          <w:b/>
          <w:bCs/>
          <w:iCs/>
          <w:sz w:val="24"/>
          <w:szCs w:val="24"/>
        </w:rPr>
      </w:pPr>
      <w:r w:rsidRPr="00D20E55">
        <w:rPr>
          <w:rFonts w:asciiTheme="majorHAnsi" w:hAnsiTheme="majorHAnsi"/>
          <w:b/>
          <w:bCs/>
          <w:iCs/>
          <w:sz w:val="24"/>
          <w:szCs w:val="24"/>
        </w:rPr>
        <w:t>Artículo 4.  Vigencia</w:t>
      </w:r>
    </w:p>
    <w:p w14:paraId="732B652D" w14:textId="77777777" w:rsidR="006A1B8F" w:rsidRPr="00D20E55" w:rsidRDefault="006A1B8F" w:rsidP="007D5BB7">
      <w:pPr>
        <w:spacing w:after="0" w:line="240" w:lineRule="auto"/>
        <w:jc w:val="both"/>
        <w:rPr>
          <w:rFonts w:asciiTheme="majorHAnsi" w:hAnsiTheme="majorHAnsi"/>
          <w:bCs/>
          <w:sz w:val="24"/>
          <w:szCs w:val="24"/>
          <w:lang w:val="es-CR"/>
        </w:rPr>
      </w:pPr>
    </w:p>
    <w:p w14:paraId="62D56236" w14:textId="77777777" w:rsidR="006A1B8F" w:rsidRPr="00D20E55" w:rsidRDefault="006A1B8F" w:rsidP="007D5BB7">
      <w:pPr>
        <w:spacing w:after="0" w:line="240" w:lineRule="auto"/>
        <w:jc w:val="both"/>
        <w:rPr>
          <w:rFonts w:asciiTheme="majorHAnsi" w:hAnsiTheme="majorHAnsi"/>
          <w:sz w:val="24"/>
          <w:szCs w:val="24"/>
          <w:lang w:val="es-CR"/>
        </w:rPr>
      </w:pPr>
      <w:r w:rsidRPr="00D20E55">
        <w:rPr>
          <w:rFonts w:asciiTheme="majorHAnsi" w:hAnsiTheme="majorHAnsi"/>
          <w:bCs/>
          <w:sz w:val="24"/>
          <w:szCs w:val="24"/>
          <w:lang w:val="es-CR"/>
        </w:rPr>
        <w:t xml:space="preserve">Rige a partir </w:t>
      </w:r>
      <w:r w:rsidRPr="00D20E55">
        <w:rPr>
          <w:rFonts w:asciiTheme="majorHAnsi" w:hAnsiTheme="majorHAnsi"/>
          <w:sz w:val="24"/>
          <w:szCs w:val="24"/>
          <w:lang w:val="es-CR"/>
        </w:rPr>
        <w:t>del 01 de enero de 2014.</w:t>
      </w:r>
    </w:p>
    <w:p w14:paraId="2F259CFE" w14:textId="77777777" w:rsidR="006A1B8F" w:rsidRPr="00D20E55" w:rsidRDefault="006A1B8F" w:rsidP="007D5BB7">
      <w:pPr>
        <w:spacing w:after="0" w:line="240" w:lineRule="auto"/>
        <w:jc w:val="center"/>
        <w:rPr>
          <w:rFonts w:asciiTheme="majorHAnsi" w:hAnsiTheme="majorHAnsi"/>
          <w:b/>
          <w:bCs/>
          <w:iCs/>
          <w:sz w:val="24"/>
          <w:szCs w:val="24"/>
        </w:rPr>
      </w:pPr>
    </w:p>
    <w:p w14:paraId="51047AEA" w14:textId="77777777" w:rsidR="006A1B8F" w:rsidRPr="00D20E55" w:rsidRDefault="006A1B8F" w:rsidP="007D5BB7">
      <w:pPr>
        <w:spacing w:after="0" w:line="240" w:lineRule="auto"/>
        <w:jc w:val="center"/>
        <w:rPr>
          <w:rFonts w:asciiTheme="majorHAnsi" w:hAnsiTheme="majorHAnsi"/>
          <w:b/>
          <w:bCs/>
          <w:iCs/>
          <w:sz w:val="24"/>
          <w:szCs w:val="24"/>
        </w:rPr>
      </w:pPr>
      <w:r w:rsidRPr="00D20E55">
        <w:rPr>
          <w:rFonts w:asciiTheme="majorHAnsi" w:hAnsiTheme="majorHAnsi"/>
          <w:b/>
          <w:bCs/>
          <w:iCs/>
          <w:sz w:val="24"/>
          <w:szCs w:val="24"/>
        </w:rPr>
        <w:t>ANEXOS</w:t>
      </w:r>
    </w:p>
    <w:p w14:paraId="33EC3727" w14:textId="77777777" w:rsidR="006A1B8F" w:rsidRPr="00D20E55" w:rsidRDefault="006A1B8F" w:rsidP="007D5BB7">
      <w:pPr>
        <w:spacing w:after="0" w:line="240" w:lineRule="auto"/>
        <w:jc w:val="center"/>
        <w:rPr>
          <w:rFonts w:asciiTheme="majorHAnsi" w:hAnsiTheme="majorHAnsi"/>
          <w:b/>
          <w:bCs/>
          <w:iCs/>
          <w:sz w:val="24"/>
          <w:szCs w:val="24"/>
        </w:rPr>
      </w:pPr>
    </w:p>
    <w:p w14:paraId="080CAC56" w14:textId="77777777" w:rsidR="006A1B8F" w:rsidRPr="00D20E55" w:rsidRDefault="006A1B8F" w:rsidP="009613A7">
      <w:pPr>
        <w:spacing w:after="0" w:line="240" w:lineRule="auto"/>
        <w:jc w:val="center"/>
        <w:rPr>
          <w:rFonts w:asciiTheme="majorHAnsi" w:hAnsiTheme="majorHAnsi"/>
          <w:b/>
          <w:sz w:val="24"/>
          <w:szCs w:val="24"/>
        </w:rPr>
      </w:pPr>
      <w:r w:rsidRPr="00D20E55">
        <w:rPr>
          <w:rFonts w:asciiTheme="majorHAnsi" w:hAnsiTheme="majorHAnsi"/>
          <w:b/>
          <w:sz w:val="24"/>
          <w:szCs w:val="24"/>
        </w:rPr>
        <w:t>Contabilidad Seguro Directo</w:t>
      </w:r>
      <w:r>
        <w:rPr>
          <w:rStyle w:val="Refdenotaalpie"/>
          <w:rFonts w:asciiTheme="majorHAnsi" w:hAnsiTheme="majorHAnsi"/>
          <w:b/>
          <w:bCs/>
          <w:iCs/>
          <w:sz w:val="24"/>
          <w:szCs w:val="24"/>
        </w:rPr>
        <w:footnoteReference w:id="4"/>
      </w:r>
    </w:p>
    <w:bookmarkStart w:id="1" w:name="_MON_1574512435"/>
    <w:bookmarkEnd w:id="1"/>
    <w:p w14:paraId="693C188F" w14:textId="77777777" w:rsidR="006A1B8F" w:rsidRPr="00D20E55" w:rsidRDefault="006A1B8F" w:rsidP="009613A7">
      <w:pPr>
        <w:spacing w:after="0" w:line="240" w:lineRule="auto"/>
        <w:ind w:left="360"/>
        <w:jc w:val="center"/>
        <w:rPr>
          <w:rFonts w:asciiTheme="majorHAnsi" w:hAnsiTheme="majorHAnsi"/>
          <w:sz w:val="24"/>
          <w:szCs w:val="24"/>
        </w:rPr>
      </w:pPr>
      <w:r>
        <w:rPr>
          <w:rFonts w:asciiTheme="majorHAnsi" w:hAnsiTheme="majorHAnsi"/>
          <w:sz w:val="24"/>
          <w:szCs w:val="24"/>
        </w:rPr>
        <w:object w:dxaOrig="1550" w:dyaOrig="991" w14:anchorId="3D2C9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pt;height:49.45pt" o:ole="">
            <v:imagedata r:id="rId11" o:title=""/>
          </v:shape>
          <o:OLEObject Type="Embed" ProgID="Excel.Sheet.12" ShapeID="_x0000_i1029" DrawAspect="Icon" ObjectID="_1630493745" r:id="rId12"/>
        </w:object>
      </w:r>
    </w:p>
    <w:p w14:paraId="4187246E" w14:textId="77777777" w:rsidR="006A1B8F" w:rsidRPr="00D20E55" w:rsidRDefault="006A1B8F" w:rsidP="00B43BA1">
      <w:pPr>
        <w:spacing w:after="0" w:line="240" w:lineRule="auto"/>
        <w:ind w:left="360"/>
        <w:jc w:val="both"/>
        <w:rPr>
          <w:rFonts w:asciiTheme="majorHAnsi" w:hAnsiTheme="majorHAnsi"/>
          <w:b/>
          <w:sz w:val="24"/>
          <w:szCs w:val="24"/>
        </w:rPr>
      </w:pPr>
    </w:p>
    <w:p w14:paraId="788D5AD0" w14:textId="77777777" w:rsidR="006A1B8F" w:rsidRPr="00D20E55" w:rsidRDefault="006A1B8F" w:rsidP="009613A7">
      <w:pPr>
        <w:spacing w:after="0" w:line="240" w:lineRule="auto"/>
        <w:jc w:val="center"/>
        <w:rPr>
          <w:rFonts w:asciiTheme="majorHAnsi" w:hAnsiTheme="majorHAnsi"/>
          <w:b/>
          <w:sz w:val="24"/>
          <w:szCs w:val="24"/>
        </w:rPr>
      </w:pPr>
      <w:r w:rsidRPr="00D20E55">
        <w:rPr>
          <w:rFonts w:asciiTheme="majorHAnsi" w:hAnsiTheme="majorHAnsi"/>
          <w:b/>
          <w:sz w:val="24"/>
          <w:szCs w:val="24"/>
        </w:rPr>
        <w:t>Contabilidad Reaseguro</w:t>
      </w:r>
    </w:p>
    <w:p w14:paraId="61E1C902" w14:textId="77777777" w:rsidR="006A1B8F" w:rsidRPr="00D20E55" w:rsidRDefault="006A1B8F" w:rsidP="009613A7">
      <w:pPr>
        <w:spacing w:after="0" w:line="240" w:lineRule="auto"/>
        <w:jc w:val="center"/>
        <w:rPr>
          <w:rFonts w:asciiTheme="majorHAnsi" w:hAnsiTheme="majorHAnsi"/>
          <w:b/>
          <w:sz w:val="24"/>
          <w:szCs w:val="24"/>
        </w:rPr>
      </w:pPr>
    </w:p>
    <w:p w14:paraId="2DE93DD9" w14:textId="77777777" w:rsidR="006A1B8F" w:rsidRPr="00D20E55" w:rsidRDefault="006A1B8F" w:rsidP="009613A7">
      <w:pPr>
        <w:spacing w:after="0" w:line="240" w:lineRule="auto"/>
        <w:ind w:left="360"/>
        <w:jc w:val="center"/>
        <w:rPr>
          <w:rFonts w:asciiTheme="majorHAnsi" w:hAnsiTheme="majorHAnsi"/>
          <w:b/>
          <w:sz w:val="24"/>
          <w:szCs w:val="24"/>
        </w:rPr>
      </w:pPr>
      <w:r>
        <w:rPr>
          <w:rFonts w:asciiTheme="majorHAnsi" w:hAnsiTheme="majorHAnsi"/>
          <w:b/>
          <w:sz w:val="24"/>
          <w:szCs w:val="24"/>
        </w:rPr>
        <w:object w:dxaOrig="1550" w:dyaOrig="991" w14:anchorId="73445C0B">
          <v:shape id="_x0000_i1030" type="#_x0000_t75" style="width:78.25pt;height:49.45pt" o:ole="">
            <v:imagedata r:id="rId13" o:title=""/>
          </v:shape>
          <o:OLEObject Type="Embed" ProgID="Excel.Sheet.12" ShapeID="_x0000_i1030" DrawAspect="Icon" ObjectID="_1630493746" r:id="rId14"/>
        </w:object>
      </w:r>
    </w:p>
    <w:p w14:paraId="4682E396" w14:textId="77777777" w:rsidR="008747DC" w:rsidRPr="00D20E55" w:rsidRDefault="008747DC">
      <w:pPr>
        <w:rPr>
          <w:rFonts w:asciiTheme="majorHAnsi" w:hAnsiTheme="majorHAnsi"/>
          <w:sz w:val="24"/>
          <w:szCs w:val="24"/>
        </w:rPr>
      </w:pPr>
    </w:p>
    <w:sectPr w:rsidR="008747DC" w:rsidRPr="00D20E55" w:rsidSect="00D20E55">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9EF68" w14:textId="77777777" w:rsidR="007E7C93" w:rsidRDefault="007E7C93">
      <w:pPr>
        <w:spacing w:after="0" w:line="240" w:lineRule="auto"/>
      </w:pPr>
      <w:r>
        <w:separator/>
      </w:r>
    </w:p>
  </w:endnote>
  <w:endnote w:type="continuationSeparator" w:id="0">
    <w:p w14:paraId="1EE9643D" w14:textId="77777777" w:rsidR="007E7C93" w:rsidRDefault="007E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701F7" w14:textId="77777777" w:rsidR="008E3C12" w:rsidRDefault="008E3C12" w:rsidP="008E3C12">
    <w:pPr>
      <w:pStyle w:val="Piedepgina"/>
      <w:pBdr>
        <w:top w:val="single" w:sz="4" w:space="1" w:color="auto"/>
      </w:pBdr>
      <w:rPr>
        <w:sz w:val="16"/>
        <w:szCs w:val="16"/>
      </w:rPr>
    </w:pPr>
  </w:p>
  <w:p w14:paraId="2A73297D" w14:textId="77777777" w:rsidR="008E3C12" w:rsidRDefault="008E3C12" w:rsidP="008E3C12">
    <w:pPr>
      <w:pStyle w:val="Piedepgina"/>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1F0B6233" w14:textId="4F97591C" w:rsidR="008E3C12" w:rsidRDefault="008E3C12" w:rsidP="008E3C12">
    <w:pPr>
      <w:pStyle w:val="Piedepgina"/>
      <w:jc w:val="right"/>
      <w:rPr>
        <w:rFonts w:ascii="Baskerville Old Face" w:hAnsi="Baskerville Old Face"/>
        <w:sz w:val="18"/>
        <w:szCs w:val="18"/>
      </w:rPr>
    </w:pPr>
    <w:r w:rsidRPr="00121F8C">
      <w:rPr>
        <w:rFonts w:ascii="Baskerville Old Face" w:hAnsi="Baskerville Old Face"/>
        <w:sz w:val="18"/>
        <w:szCs w:val="18"/>
      </w:rPr>
      <w:t xml:space="preserve">Dirección: Edificio </w:t>
    </w:r>
    <w:proofErr w:type="spellStart"/>
    <w:r w:rsidR="00471B52">
      <w:rPr>
        <w:rFonts w:ascii="Baskerville Old Face" w:hAnsi="Baskerville Old Face"/>
        <w:sz w:val="18"/>
        <w:szCs w:val="18"/>
      </w:rPr>
      <w:t>ODMs</w:t>
    </w:r>
    <w:proofErr w:type="spellEnd"/>
    <w:r w:rsidR="00471B52">
      <w:rPr>
        <w:rFonts w:ascii="Baskerville Old Face" w:hAnsi="Baskerville Old Face"/>
        <w:sz w:val="18"/>
        <w:szCs w:val="18"/>
      </w:rPr>
      <w:t>, Barrio Tournon, Piso 4</w:t>
    </w:r>
  </w:p>
  <w:p w14:paraId="55AC08B6" w14:textId="2F34CF80" w:rsidR="008E3C12" w:rsidRPr="008E3C12" w:rsidRDefault="00471B52" w:rsidP="008E3C12">
    <w:pPr>
      <w:pStyle w:val="Piedepgina"/>
      <w:jc w:val="right"/>
    </w:pPr>
    <w:hyperlink r:id="rId1" w:history="1">
      <w:r w:rsidR="008E3C12" w:rsidRPr="00121F8C">
        <w:rPr>
          <w:rStyle w:val="Hipervnculo"/>
          <w:rFonts w:ascii="Baskerville Old Face" w:hAnsi="Baskerville Old Face"/>
          <w:sz w:val="18"/>
          <w:szCs w:val="18"/>
        </w:rPr>
        <w:t>sugese@sugese.fi.cr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E4D9" w14:textId="77777777" w:rsidR="00D20E55" w:rsidRDefault="00D20E55" w:rsidP="00D20E55">
    <w:pPr>
      <w:pStyle w:val="Piedepgina"/>
      <w:pBdr>
        <w:top w:val="single" w:sz="4" w:space="1" w:color="auto"/>
      </w:pBdr>
      <w:rPr>
        <w:sz w:val="16"/>
        <w:szCs w:val="16"/>
      </w:rPr>
    </w:pPr>
  </w:p>
  <w:p w14:paraId="2F9A487A" w14:textId="77777777" w:rsidR="00D20E55" w:rsidRDefault="00D20E55" w:rsidP="00D20E55">
    <w:pPr>
      <w:pStyle w:val="Piedepgina"/>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4CDB3C86" w14:textId="681DD047" w:rsidR="00D20E55" w:rsidRDefault="00D20E55" w:rsidP="00D20E55">
    <w:pPr>
      <w:pStyle w:val="Piedepgina"/>
      <w:jc w:val="right"/>
      <w:rPr>
        <w:rFonts w:ascii="Baskerville Old Face" w:hAnsi="Baskerville Old Face"/>
        <w:sz w:val="18"/>
        <w:szCs w:val="18"/>
      </w:rPr>
    </w:pPr>
    <w:r w:rsidRPr="00121F8C">
      <w:rPr>
        <w:rFonts w:ascii="Baskerville Old Face" w:hAnsi="Baskerville Old Face"/>
        <w:sz w:val="18"/>
        <w:szCs w:val="18"/>
      </w:rPr>
      <w:t xml:space="preserve">Dirección: Edificio </w:t>
    </w:r>
    <w:proofErr w:type="spellStart"/>
    <w:r w:rsidR="00471B52">
      <w:rPr>
        <w:rFonts w:ascii="Baskerville Old Face" w:hAnsi="Baskerville Old Face"/>
        <w:sz w:val="18"/>
        <w:szCs w:val="18"/>
      </w:rPr>
      <w:t>ODMs</w:t>
    </w:r>
    <w:proofErr w:type="spellEnd"/>
    <w:r w:rsidR="00471B52">
      <w:rPr>
        <w:rFonts w:ascii="Baskerville Old Face" w:hAnsi="Baskerville Old Face"/>
        <w:sz w:val="18"/>
        <w:szCs w:val="18"/>
      </w:rPr>
      <w:t>, Barrio Tournon, Piso 4</w:t>
    </w:r>
  </w:p>
  <w:p w14:paraId="47274110" w14:textId="15793C04" w:rsidR="00D20E55" w:rsidRPr="00D20E55" w:rsidRDefault="00471B52" w:rsidP="00D20E55">
    <w:pPr>
      <w:pStyle w:val="Piedepgina"/>
      <w:jc w:val="right"/>
    </w:pPr>
    <w:hyperlink r:id="rId1" w:history="1">
      <w:r w:rsidR="00D20E55" w:rsidRPr="00121F8C">
        <w:rPr>
          <w:rStyle w:val="Hipervnculo"/>
          <w:rFonts w:ascii="Baskerville Old Face" w:hAnsi="Baskerville Old Face"/>
          <w:sz w:val="18"/>
          <w:szCs w:val="18"/>
        </w:rPr>
        <w:t>sugese@sugese.fi.cr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C481E" w14:textId="77777777" w:rsidR="007E7C93" w:rsidRDefault="007E7C93">
      <w:pPr>
        <w:spacing w:after="0" w:line="240" w:lineRule="auto"/>
      </w:pPr>
      <w:r>
        <w:separator/>
      </w:r>
    </w:p>
  </w:footnote>
  <w:footnote w:type="continuationSeparator" w:id="0">
    <w:p w14:paraId="43F59F29" w14:textId="77777777" w:rsidR="007E7C93" w:rsidRDefault="007E7C93">
      <w:pPr>
        <w:spacing w:after="0" w:line="240" w:lineRule="auto"/>
      </w:pPr>
      <w:r>
        <w:continuationSeparator/>
      </w:r>
    </w:p>
  </w:footnote>
  <w:footnote w:id="1">
    <w:p w14:paraId="0EB8FF6C" w14:textId="68FA3524" w:rsidR="00354CE9" w:rsidRPr="00354CE9" w:rsidRDefault="00354CE9">
      <w:pPr>
        <w:pStyle w:val="Textonotapie"/>
        <w:rPr>
          <w:lang w:val="es-CR"/>
        </w:rPr>
      </w:pPr>
      <w:r>
        <w:rPr>
          <w:rStyle w:val="Refdenotaalpie"/>
        </w:rPr>
        <w:footnoteRef/>
      </w:r>
      <w:r>
        <w:t xml:space="preserve"> </w:t>
      </w:r>
      <w:r>
        <w:rPr>
          <w:lang w:val="es-CR"/>
        </w:rPr>
        <w:t>Fecha última actualización 16/09/2019. Actualizado mediante acuerdo SGS-A-066-2019 del 16/09/2019.</w:t>
      </w:r>
    </w:p>
  </w:footnote>
  <w:footnote w:id="2">
    <w:p w14:paraId="67F68BCA" w14:textId="77777777" w:rsidR="006A1B8F" w:rsidRPr="00E607B3" w:rsidRDefault="006A1B8F">
      <w:pPr>
        <w:pStyle w:val="Textonotapie"/>
        <w:rPr>
          <w:lang w:val="es-CR"/>
        </w:rPr>
      </w:pPr>
      <w:r>
        <w:rPr>
          <w:rStyle w:val="Refdenotaalpie"/>
        </w:rPr>
        <w:footnoteRef/>
      </w:r>
      <w:r>
        <w:t xml:space="preserve"> </w:t>
      </w:r>
      <w:r>
        <w:rPr>
          <w:lang w:val="es-CR"/>
        </w:rPr>
        <w:t>Modificado mediante acuerdo SGS-A-0066-2019. Rige a partir del 1° de enero de 2020.</w:t>
      </w:r>
    </w:p>
  </w:footnote>
  <w:footnote w:id="3">
    <w:p w14:paraId="346A677E" w14:textId="3DBC60EA" w:rsidR="006A1B8F" w:rsidRPr="006A1B8F" w:rsidRDefault="006A1B8F">
      <w:pPr>
        <w:pStyle w:val="Textonotapie"/>
        <w:rPr>
          <w:lang w:val="es-CR"/>
        </w:rPr>
      </w:pPr>
      <w:r>
        <w:rPr>
          <w:rStyle w:val="Refdenotaalpie"/>
        </w:rPr>
        <w:footnoteRef/>
      </w:r>
      <w:r>
        <w:t xml:space="preserve"> </w:t>
      </w:r>
      <w:r>
        <w:rPr>
          <w:lang w:val="es-CR"/>
        </w:rPr>
        <w:t>Modificado mediante acuerdo SGS-A-0066-2019. Rige a partir del 1° de enero de 2020.</w:t>
      </w:r>
    </w:p>
  </w:footnote>
  <w:footnote w:id="4">
    <w:p w14:paraId="785DBC0A" w14:textId="77777777" w:rsidR="006A1B8F" w:rsidRPr="005E7CE0" w:rsidRDefault="006A1B8F" w:rsidP="005E7CE0">
      <w:pPr>
        <w:pStyle w:val="Textonotapie"/>
        <w:rPr>
          <w:lang w:val="es-CR"/>
        </w:rPr>
      </w:pPr>
      <w:r>
        <w:rPr>
          <w:rStyle w:val="Refdenotaalpie"/>
        </w:rPr>
        <w:footnoteRef/>
      </w:r>
      <w:r>
        <w:t xml:space="preserve"> </w:t>
      </w:r>
      <w:r>
        <w:rPr>
          <w:lang w:val="es-CR"/>
        </w:rPr>
        <w:t>Modificado mediante acuerdo SGS- A-0059-2017 del 5 de diciembre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9498B" w14:textId="278635D7" w:rsidR="00D20E55" w:rsidRPr="00E621E7" w:rsidRDefault="00D20E55" w:rsidP="00471B52">
    <w:pPr>
      <w:pStyle w:val="Encabezado"/>
      <w:jc w:val="center"/>
      <w:rPr>
        <w:rFonts w:asciiTheme="majorHAnsi" w:hAnsiTheme="majorHAnsi"/>
        <w:sz w:val="24"/>
        <w:szCs w:val="24"/>
      </w:rPr>
    </w:pPr>
    <w:r w:rsidRPr="00E621E7">
      <w:rPr>
        <w:rFonts w:asciiTheme="majorHAnsi" w:hAnsiTheme="majorHAnsi"/>
        <w:noProof/>
        <w:sz w:val="24"/>
        <w:szCs w:val="24"/>
        <w:lang w:val="es-CR" w:eastAsia="es-CR"/>
      </w:rPr>
      <w:drawing>
        <wp:inline distT="0" distB="0" distL="0" distR="0" wp14:anchorId="6F74D49B" wp14:editId="62CC495A">
          <wp:extent cx="1209580" cy="971550"/>
          <wp:effectExtent l="19050" t="0" r="0" b="0"/>
          <wp:docPr id="2"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p w14:paraId="0007258D" w14:textId="77777777" w:rsidR="00D20E55" w:rsidRDefault="00D20E55" w:rsidP="00D20E55">
    <w:pPr>
      <w:pStyle w:val="Encabezado"/>
      <w:jc w:val="right"/>
      <w:rPr>
        <w:rFonts w:asciiTheme="majorHAnsi" w:hAnsiTheme="majorHAnsi"/>
        <w:sz w:val="24"/>
        <w:szCs w:val="24"/>
      </w:rPr>
    </w:pPr>
  </w:p>
  <w:p w14:paraId="0E07B689" w14:textId="2A24E840" w:rsidR="00D20E55" w:rsidRPr="00D20E55" w:rsidRDefault="00D20E55" w:rsidP="004A1351">
    <w:pPr>
      <w:pStyle w:val="Encabezado"/>
      <w:jc w:val="both"/>
      <w:rPr>
        <w:rFonts w:asciiTheme="majorHAnsi" w:hAnsiTheme="majorHAnsi"/>
        <w:b/>
        <w:i/>
        <w:sz w:val="24"/>
        <w:szCs w:val="24"/>
      </w:rPr>
    </w:pPr>
    <w:r>
      <w:rPr>
        <w:rFonts w:asciiTheme="majorHAnsi" w:hAnsiTheme="majorHAnsi"/>
        <w:b/>
        <w:i/>
        <w:sz w:val="24"/>
        <w:szCs w:val="24"/>
      </w:rPr>
      <w:t>SGS-DES-A-</w:t>
    </w:r>
    <w:r w:rsidR="006C3167">
      <w:rPr>
        <w:rFonts w:asciiTheme="majorHAnsi" w:hAnsiTheme="majorHAnsi"/>
        <w:b/>
        <w:i/>
        <w:sz w:val="24"/>
        <w:szCs w:val="24"/>
      </w:rPr>
      <w:t>028</w:t>
    </w:r>
    <w:r>
      <w:rPr>
        <w:rFonts w:asciiTheme="majorHAnsi" w:hAnsiTheme="majorHAnsi"/>
        <w:b/>
        <w:i/>
        <w:sz w:val="24"/>
        <w:szCs w:val="24"/>
      </w:rPr>
      <w:t>-2013</w:t>
    </w:r>
  </w:p>
  <w:p w14:paraId="58F27079" w14:textId="69339346" w:rsidR="00D20E55" w:rsidRDefault="00D20E55" w:rsidP="004A1351">
    <w:pPr>
      <w:pStyle w:val="Encabezado"/>
      <w:jc w:val="both"/>
      <w:rPr>
        <w:rFonts w:asciiTheme="majorHAnsi" w:hAnsiTheme="majorHAnsi"/>
        <w:sz w:val="24"/>
        <w:szCs w:val="24"/>
      </w:rPr>
    </w:pPr>
    <w:r>
      <w:rPr>
        <w:rFonts w:asciiTheme="majorHAnsi" w:hAnsiTheme="majorHAnsi"/>
        <w:sz w:val="24"/>
        <w:szCs w:val="24"/>
      </w:rPr>
      <w:t xml:space="preserve">Página </w:t>
    </w:r>
    <w:r w:rsidRPr="00D20E55">
      <w:rPr>
        <w:rFonts w:asciiTheme="majorHAnsi" w:hAnsiTheme="majorHAnsi"/>
        <w:sz w:val="24"/>
        <w:szCs w:val="24"/>
      </w:rPr>
      <w:fldChar w:fldCharType="begin"/>
    </w:r>
    <w:r w:rsidRPr="00D20E55">
      <w:rPr>
        <w:rFonts w:asciiTheme="majorHAnsi" w:hAnsiTheme="majorHAnsi"/>
        <w:sz w:val="24"/>
        <w:szCs w:val="24"/>
      </w:rPr>
      <w:instrText>PAGE   \* MERGEFORMAT</w:instrText>
    </w:r>
    <w:r w:rsidRPr="00D20E55">
      <w:rPr>
        <w:rFonts w:asciiTheme="majorHAnsi" w:hAnsiTheme="majorHAnsi"/>
        <w:sz w:val="24"/>
        <w:szCs w:val="24"/>
      </w:rPr>
      <w:fldChar w:fldCharType="separate"/>
    </w:r>
    <w:r w:rsidR="00471B52">
      <w:rPr>
        <w:rFonts w:asciiTheme="majorHAnsi" w:hAnsiTheme="majorHAnsi"/>
        <w:noProof/>
        <w:sz w:val="24"/>
        <w:szCs w:val="24"/>
      </w:rPr>
      <w:t>4</w:t>
    </w:r>
    <w:r w:rsidRPr="00D20E55">
      <w:rPr>
        <w:rFonts w:asciiTheme="majorHAnsi" w:hAnsiTheme="majorHAnsi"/>
        <w:sz w:val="24"/>
        <w:szCs w:val="24"/>
      </w:rPr>
      <w:fldChar w:fldCharType="end"/>
    </w:r>
  </w:p>
  <w:p w14:paraId="67D1C678" w14:textId="77777777" w:rsidR="00D20E55" w:rsidRPr="00E621E7" w:rsidRDefault="00D20E55" w:rsidP="004A1351">
    <w:pPr>
      <w:pStyle w:val="Encabezado"/>
      <w:jc w:val="both"/>
      <w:rPr>
        <w:rFonts w:asciiTheme="majorHAnsi" w:hAnsiTheme="majorHAns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E142C" w14:textId="60863505" w:rsidR="00D20E55" w:rsidRPr="00E621E7" w:rsidRDefault="00D20E55" w:rsidP="00471B52">
    <w:pPr>
      <w:pStyle w:val="Encabezado"/>
      <w:jc w:val="center"/>
      <w:rPr>
        <w:rFonts w:asciiTheme="majorHAnsi" w:hAnsiTheme="majorHAnsi"/>
        <w:sz w:val="24"/>
        <w:szCs w:val="24"/>
      </w:rPr>
    </w:pPr>
    <w:r w:rsidRPr="00E621E7">
      <w:rPr>
        <w:rFonts w:asciiTheme="majorHAnsi" w:hAnsiTheme="majorHAnsi"/>
        <w:noProof/>
        <w:sz w:val="24"/>
        <w:szCs w:val="24"/>
        <w:lang w:val="es-CR" w:eastAsia="es-CR"/>
      </w:rPr>
      <w:drawing>
        <wp:inline distT="0" distB="0" distL="0" distR="0" wp14:anchorId="71F03013" wp14:editId="17ACE85F">
          <wp:extent cx="1209580" cy="971550"/>
          <wp:effectExtent l="19050" t="0" r="0" b="0"/>
          <wp:docPr id="3"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p w14:paraId="5328A9C2" w14:textId="77777777" w:rsidR="00D20E55" w:rsidRPr="00E621E7" w:rsidRDefault="00D20E55" w:rsidP="00D20E55">
    <w:pPr>
      <w:pStyle w:val="Encabezado"/>
      <w:jc w:val="both"/>
      <w:rPr>
        <w:rFonts w:asciiTheme="majorHAnsi" w:hAnsiTheme="maj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E01"/>
    <w:multiLevelType w:val="hybridMultilevel"/>
    <w:tmpl w:val="5C78D32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3936ACB"/>
    <w:multiLevelType w:val="hybridMultilevel"/>
    <w:tmpl w:val="95C2D8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519B00B2"/>
    <w:multiLevelType w:val="hybridMultilevel"/>
    <w:tmpl w:val="6EAA0AB4"/>
    <w:lvl w:ilvl="0" w:tplc="0F1E5E02">
      <w:start w:val="1"/>
      <w:numFmt w:val="lowerLetter"/>
      <w:lvlText w:val="%1)"/>
      <w:lvlJc w:val="left"/>
      <w:pPr>
        <w:ind w:left="1004" w:hanging="360"/>
      </w:pPr>
      <w:rPr>
        <w:rFonts w:hint="default"/>
        <w:sz w:val="18"/>
        <w:szCs w:val="18"/>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3" w15:restartNumberingAfterBreak="0">
    <w:nsid w:val="69A40FE9"/>
    <w:multiLevelType w:val="hybridMultilevel"/>
    <w:tmpl w:val="3EFA674C"/>
    <w:lvl w:ilvl="0" w:tplc="B5C0029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AB32C84"/>
    <w:multiLevelType w:val="hybridMultilevel"/>
    <w:tmpl w:val="0F2A291C"/>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6CF11DDD"/>
    <w:multiLevelType w:val="hybridMultilevel"/>
    <w:tmpl w:val="4B6A8C1C"/>
    <w:lvl w:ilvl="0" w:tplc="B5C0029C">
      <w:start w:val="1"/>
      <w:numFmt w:val="decimal"/>
      <w:lvlText w:val="%1."/>
      <w:lvlJc w:val="left"/>
      <w:pPr>
        <w:ind w:left="720" w:hanging="360"/>
      </w:pPr>
      <w:rPr>
        <w:rFonts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1F"/>
    <w:rsid w:val="00020A98"/>
    <w:rsid w:val="00211E24"/>
    <w:rsid w:val="00232767"/>
    <w:rsid w:val="00241956"/>
    <w:rsid w:val="00280009"/>
    <w:rsid w:val="002A12C2"/>
    <w:rsid w:val="002B2DF6"/>
    <w:rsid w:val="00354CE9"/>
    <w:rsid w:val="003730FE"/>
    <w:rsid w:val="003A54E9"/>
    <w:rsid w:val="00447D71"/>
    <w:rsid w:val="00471B52"/>
    <w:rsid w:val="004A1351"/>
    <w:rsid w:val="004B3F67"/>
    <w:rsid w:val="004E04B2"/>
    <w:rsid w:val="004F42B1"/>
    <w:rsid w:val="0050065F"/>
    <w:rsid w:val="00502C5B"/>
    <w:rsid w:val="005571A3"/>
    <w:rsid w:val="00595388"/>
    <w:rsid w:val="005A499E"/>
    <w:rsid w:val="005A6261"/>
    <w:rsid w:val="005E7CE0"/>
    <w:rsid w:val="006029FC"/>
    <w:rsid w:val="006222D7"/>
    <w:rsid w:val="00641866"/>
    <w:rsid w:val="00643940"/>
    <w:rsid w:val="006838BC"/>
    <w:rsid w:val="006A1B8F"/>
    <w:rsid w:val="006C3167"/>
    <w:rsid w:val="0070443D"/>
    <w:rsid w:val="0077491F"/>
    <w:rsid w:val="007D00AE"/>
    <w:rsid w:val="007D5BB7"/>
    <w:rsid w:val="007E2093"/>
    <w:rsid w:val="007E7C93"/>
    <w:rsid w:val="00810243"/>
    <w:rsid w:val="008747DC"/>
    <w:rsid w:val="0087761D"/>
    <w:rsid w:val="00881F45"/>
    <w:rsid w:val="008A3A0A"/>
    <w:rsid w:val="008E3C12"/>
    <w:rsid w:val="008E3DE0"/>
    <w:rsid w:val="008E6623"/>
    <w:rsid w:val="00907906"/>
    <w:rsid w:val="00946E32"/>
    <w:rsid w:val="009613A7"/>
    <w:rsid w:val="00965CDE"/>
    <w:rsid w:val="009A5054"/>
    <w:rsid w:val="009B26C9"/>
    <w:rsid w:val="009E4043"/>
    <w:rsid w:val="00A046F3"/>
    <w:rsid w:val="00A21F19"/>
    <w:rsid w:val="00A64A7A"/>
    <w:rsid w:val="00AB5D4E"/>
    <w:rsid w:val="00AC0A9E"/>
    <w:rsid w:val="00AE2A88"/>
    <w:rsid w:val="00B01F6E"/>
    <w:rsid w:val="00B05BEA"/>
    <w:rsid w:val="00B05C9C"/>
    <w:rsid w:val="00B43BA1"/>
    <w:rsid w:val="00BA3B34"/>
    <w:rsid w:val="00BC5D79"/>
    <w:rsid w:val="00BE0879"/>
    <w:rsid w:val="00BF5ADC"/>
    <w:rsid w:val="00D20E55"/>
    <w:rsid w:val="00D43986"/>
    <w:rsid w:val="00D511AF"/>
    <w:rsid w:val="00DA3EA2"/>
    <w:rsid w:val="00E06893"/>
    <w:rsid w:val="00E31DBF"/>
    <w:rsid w:val="00E607B3"/>
    <w:rsid w:val="00EA2C2F"/>
    <w:rsid w:val="00F0075F"/>
    <w:rsid w:val="00F03A4B"/>
    <w:rsid w:val="00F23456"/>
    <w:rsid w:val="00F44746"/>
    <w:rsid w:val="00F94126"/>
    <w:rsid w:val="00FB0591"/>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EC8D64"/>
  <w15:docId w15:val="{D126B665-6939-4610-8232-56E0E8F8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91F"/>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F6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B3F67"/>
  </w:style>
  <w:style w:type="paragraph" w:styleId="Piedepgina">
    <w:name w:val="footer"/>
    <w:basedOn w:val="Normal"/>
    <w:link w:val="PiedepginaCar"/>
    <w:uiPriority w:val="99"/>
    <w:unhideWhenUsed/>
    <w:rsid w:val="004B3F6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B3F67"/>
  </w:style>
  <w:style w:type="paragraph" w:styleId="Prrafodelista">
    <w:name w:val="List Paragraph"/>
    <w:basedOn w:val="Normal"/>
    <w:link w:val="PrrafodelistaCar"/>
    <w:uiPriority w:val="99"/>
    <w:qFormat/>
    <w:rsid w:val="0077491F"/>
    <w:pPr>
      <w:ind w:left="720"/>
      <w:contextualSpacing/>
    </w:pPr>
  </w:style>
  <w:style w:type="paragraph" w:styleId="Textoindependiente3">
    <w:name w:val="Body Text 3"/>
    <w:basedOn w:val="Normal"/>
    <w:link w:val="Textoindependiente3Car1"/>
    <w:rsid w:val="0077491F"/>
    <w:pPr>
      <w:widowControl w:val="0"/>
      <w:spacing w:after="0" w:line="240" w:lineRule="auto"/>
      <w:jc w:val="both"/>
    </w:pPr>
    <w:rPr>
      <w:rFonts w:ascii="Times New Roman" w:eastAsia="Times New Roman" w:hAnsi="Times New Roman"/>
      <w:sz w:val="28"/>
      <w:szCs w:val="16"/>
      <w:lang w:eastAsia="es-ES"/>
    </w:rPr>
  </w:style>
  <w:style w:type="character" w:customStyle="1" w:styleId="Textoindependiente3Car">
    <w:name w:val="Texto independiente 3 Car"/>
    <w:basedOn w:val="Fuentedeprrafopredeter"/>
    <w:uiPriority w:val="99"/>
    <w:semiHidden/>
    <w:rsid w:val="0077491F"/>
    <w:rPr>
      <w:rFonts w:ascii="Calibri" w:eastAsia="Calibri" w:hAnsi="Calibri" w:cs="Times New Roman"/>
      <w:sz w:val="16"/>
      <w:szCs w:val="16"/>
      <w:lang w:val="es-ES"/>
    </w:rPr>
  </w:style>
  <w:style w:type="character" w:customStyle="1" w:styleId="Textoindependiente3Car1">
    <w:name w:val="Texto independiente 3 Car1"/>
    <w:link w:val="Textoindependiente3"/>
    <w:rsid w:val="0077491F"/>
    <w:rPr>
      <w:rFonts w:ascii="Times New Roman" w:eastAsia="Times New Roman" w:hAnsi="Times New Roman" w:cs="Times New Roman"/>
      <w:sz w:val="28"/>
      <w:szCs w:val="16"/>
      <w:lang w:val="es-ES" w:eastAsia="es-ES"/>
    </w:rPr>
  </w:style>
  <w:style w:type="character" w:customStyle="1" w:styleId="PrrafodelistaCar">
    <w:name w:val="Párrafo de lista Car"/>
    <w:link w:val="Prrafodelista"/>
    <w:uiPriority w:val="99"/>
    <w:locked/>
    <w:rsid w:val="0077491F"/>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9613A7"/>
    <w:pPr>
      <w:spacing w:after="120"/>
    </w:pPr>
  </w:style>
  <w:style w:type="character" w:customStyle="1" w:styleId="TextoindependienteCar">
    <w:name w:val="Texto independiente Car"/>
    <w:basedOn w:val="Fuentedeprrafopredeter"/>
    <w:link w:val="Textoindependiente"/>
    <w:uiPriority w:val="99"/>
    <w:semiHidden/>
    <w:rsid w:val="009613A7"/>
    <w:rPr>
      <w:rFonts w:ascii="Calibri" w:eastAsia="Calibri" w:hAnsi="Calibri" w:cs="Times New Roman"/>
      <w:lang w:val="es-ES"/>
    </w:rPr>
  </w:style>
  <w:style w:type="character" w:styleId="Refdecomentario">
    <w:name w:val="annotation reference"/>
    <w:basedOn w:val="Fuentedeprrafopredeter"/>
    <w:uiPriority w:val="99"/>
    <w:semiHidden/>
    <w:unhideWhenUsed/>
    <w:rsid w:val="00E06893"/>
    <w:rPr>
      <w:sz w:val="16"/>
      <w:szCs w:val="16"/>
    </w:rPr>
  </w:style>
  <w:style w:type="paragraph" w:styleId="Textocomentario">
    <w:name w:val="annotation text"/>
    <w:basedOn w:val="Normal"/>
    <w:link w:val="TextocomentarioCar"/>
    <w:uiPriority w:val="99"/>
    <w:semiHidden/>
    <w:unhideWhenUsed/>
    <w:rsid w:val="00E068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6893"/>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06893"/>
    <w:rPr>
      <w:b/>
      <w:bCs/>
    </w:rPr>
  </w:style>
  <w:style w:type="character" w:customStyle="1" w:styleId="AsuntodelcomentarioCar">
    <w:name w:val="Asunto del comentario Car"/>
    <w:basedOn w:val="TextocomentarioCar"/>
    <w:link w:val="Asuntodelcomentario"/>
    <w:uiPriority w:val="99"/>
    <w:semiHidden/>
    <w:rsid w:val="00E06893"/>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E068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93"/>
    <w:rPr>
      <w:rFonts w:ascii="Tahoma" w:eastAsia="Calibri" w:hAnsi="Tahoma" w:cs="Tahoma"/>
      <w:sz w:val="16"/>
      <w:szCs w:val="16"/>
      <w:lang w:val="es-ES"/>
    </w:rPr>
  </w:style>
  <w:style w:type="paragraph" w:styleId="NormalWeb">
    <w:name w:val="Normal (Web)"/>
    <w:basedOn w:val="Normal"/>
    <w:uiPriority w:val="99"/>
    <w:semiHidden/>
    <w:unhideWhenUsed/>
    <w:rsid w:val="004E04B2"/>
    <w:pPr>
      <w:spacing w:before="100" w:beforeAutospacing="1" w:after="100" w:afterAutospacing="1" w:line="240" w:lineRule="auto"/>
    </w:pPr>
    <w:rPr>
      <w:rFonts w:ascii="Times New Roman" w:eastAsia="Times New Roman" w:hAnsi="Times New Roman"/>
      <w:sz w:val="24"/>
      <w:szCs w:val="24"/>
      <w:lang w:val="es-CR" w:eastAsia="es-CR"/>
    </w:rPr>
  </w:style>
  <w:style w:type="character" w:styleId="Hipervnculo">
    <w:name w:val="Hyperlink"/>
    <w:basedOn w:val="Fuentedeprrafopredeter"/>
    <w:uiPriority w:val="99"/>
    <w:unhideWhenUsed/>
    <w:rsid w:val="003730FE"/>
    <w:rPr>
      <w:color w:val="0000FF" w:themeColor="hyperlink"/>
      <w:u w:val="single"/>
    </w:rPr>
  </w:style>
  <w:style w:type="character" w:styleId="Hipervnculovisitado">
    <w:name w:val="FollowedHyperlink"/>
    <w:basedOn w:val="Fuentedeprrafopredeter"/>
    <w:uiPriority w:val="99"/>
    <w:semiHidden/>
    <w:unhideWhenUsed/>
    <w:rsid w:val="00020A98"/>
    <w:rPr>
      <w:color w:val="800080" w:themeColor="followedHyperlink"/>
      <w:u w:val="single"/>
    </w:rPr>
  </w:style>
  <w:style w:type="paragraph" w:styleId="Textonotapie">
    <w:name w:val="footnote text"/>
    <w:basedOn w:val="Normal"/>
    <w:link w:val="TextonotapieCar"/>
    <w:uiPriority w:val="99"/>
    <w:semiHidden/>
    <w:unhideWhenUsed/>
    <w:rsid w:val="005E7C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7CE0"/>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5E7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9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Hoja_de_c_lculo_de_Microsoft_Excel1.xlsx"/><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Hoja_de_c_lculo_de_Microsoft_Excel2.xlsx"/></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Sugese/NyA/TramitesNormativa/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FechaPublicacionDocumento xmlns="b9fc4df0-8f56-46e7-b005-54afe0044df7">2013-09-11T06:00:00+00:00</FechaPublicacionDocumento>
    <NormativaRelacionada xmlns="b9fc4df0-8f56-46e7-b005-54afe0044df7">&lt;div class="ExternalClass7667E873B99F490092BA9FCC3D1B04E4"&gt;Reglamento de información financiera&lt;br&gt;&lt;/div&gt;</NormativaRelacionada>
    <TipoContenido xmlns="b9fc4df0-8f56-46e7-b005-54afe0044df7">6</TipoContenido>
    <ContenidoMultilineaHTML xmlns="b9fc4df0-8f56-46e7-b005-54afe0044df7">​Presenta las guías contables para las principales operaciones contables de las entidades aseguradoras&amp;#160;&lt;br&gt;</ContenidoMultilineaHTML>
    <NumeroAcuerdo xmlns="b9fc4df0-8f56-46e7-b005-54afe0044df7">SGS-DES-A-028-2013</NumeroAcuerd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C5259700016054FB9EF02CC18F40A60" ma:contentTypeVersion="6" ma:contentTypeDescription="Crear nuevo documento." ma:contentTypeScope="" ma:versionID="b9c0e0c741e91f52546f6fa1418e81a2">
  <xsd:schema xmlns:xsd="http://www.w3.org/2001/XMLSchema" xmlns:xs="http://www.w3.org/2001/XMLSchema" xmlns:p="http://schemas.microsoft.com/office/2006/metadata/properties" xmlns:ns2="b9fc4df0-8f56-46e7-b005-54afe0044df7" targetNamespace="http://schemas.microsoft.com/office/2006/metadata/properties" ma:root="true" ma:fieldsID="4e86dda2f0fdd5bfa93fc52ff69e4c55" ns2:_="">
    <xsd:import namespace="b9fc4df0-8f56-46e7-b005-54afe0044df7"/>
    <xsd:element name="properties">
      <xsd:complexType>
        <xsd:sequence>
          <xsd:element name="documentManagement">
            <xsd:complexType>
              <xsd:all>
                <xsd:element ref="ns2:NumeroAcuerdo" minOccurs="0"/>
                <xsd:element ref="ns2:ContenidoMultilineaHTML"/>
                <xsd:element ref="ns2:NormativaRelacionada" minOccurs="0"/>
                <xsd:element ref="ns2:FechaPublicacionDocumento" minOccurs="0"/>
                <xsd:element ref="ns2:SharedWithUsers" minOccurs="0"/>
                <xsd:element ref="ns2:TipoConteni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Acuerdo" ma:index="8" nillable="true" ma:displayName="Número Acuerdo" ma:description="" ma:internalName="NumeroAcuerdo">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NormativaRelacionada" ma:index="10" nillable="true" ma:displayName="Normativa Relacionada" ma:internalName="NormativaRelacionada">
      <xsd:simpleType>
        <xsd:restriction base="dms:Note">
          <xsd:maxLength value="255"/>
        </xsd:restriction>
      </xsd:simpleType>
    </xsd:element>
    <xsd:element name="FechaPublicacionDocumento" ma:index="11" nillable="true" ma:displayName="FechaPublicacionDocumento" ma:description="" ma:internalName="FechaPublicacionDocumento">
      <xsd:simpleType>
        <xsd:restriction base="dms:DateTime"/>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poContenido" ma:index="13"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B91C1-83AA-4A81-91B8-119FEF953953}"/>
</file>

<file path=customXml/itemProps2.xml><?xml version="1.0" encoding="utf-8"?>
<ds:datastoreItem xmlns:ds="http://schemas.openxmlformats.org/officeDocument/2006/customXml" ds:itemID="{E7AA3E38-27C2-4312-AEA1-58B0F2424D40}"/>
</file>

<file path=customXml/itemProps3.xml><?xml version="1.0" encoding="utf-8"?>
<ds:datastoreItem xmlns:ds="http://schemas.openxmlformats.org/officeDocument/2006/customXml" ds:itemID="{F84A961A-6D4B-486C-9AEE-FB53565F9594}"/>
</file>

<file path=customXml/itemProps4.xml><?xml version="1.0" encoding="utf-8"?>
<ds:datastoreItem xmlns:ds="http://schemas.openxmlformats.org/officeDocument/2006/customXml" ds:itemID="{60DAB901-1E57-45ED-99A6-8F83329CE7D1}"/>
</file>

<file path=docProps/app.xml><?xml version="1.0" encoding="utf-8"?>
<Properties xmlns="http://schemas.openxmlformats.org/officeDocument/2006/extended-properties" xmlns:vt="http://schemas.openxmlformats.org/officeDocument/2006/docPropsVTypes">
  <Template>template</Template>
  <TotalTime>6</TotalTime>
  <Pages>4</Pages>
  <Words>970</Words>
  <Characters>5340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Acuerdo para Aseguradoras sobre las Guías de Aplicación Contable.</vt:lpstr>
    </vt:vector>
  </TitlesOfParts>
  <Company>BCCR</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SGS-A-0028-2013</dc:title>
  <dc:creator>SABORIO ROJAS JUAN CARLOS</dc:creator>
  <dc:description>Favor asignar consecutivo. coordinar con Celia a quienes debe remirse el acuerdo.</dc:description>
  <cp:lastModifiedBy>SABORIO ROJAS JUAN CARLOS</cp:lastModifiedBy>
  <cp:revision>5</cp:revision>
  <dcterms:created xsi:type="dcterms:W3CDTF">2019-09-20T20:00:00Z</dcterms:created>
  <dcterms:modified xsi:type="dcterms:W3CDTF">2019-09-20T20:07:00Z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cargado">
    <vt:lpwstr/>
  </property>
  <property fmtid="{D5CDD505-2E9C-101B-9397-08002B2CF9AE}" pid="3" name="ContentTypeId">
    <vt:lpwstr>0x0101002C5259700016054FB9EF02CC18F40A60</vt:lpwstr>
  </property>
  <property fmtid="{D5CDD505-2E9C-101B-9397-08002B2CF9AE}" pid="4" name="WorkflowChangePath">
    <vt:lpwstr>915a046f-9ef4-4295-8572-7dbfd8ab4299,36;1b451566-358f-489f-bd8d-d4c5978ece0d,37;180b06c7-f8f0-4f11-a9e8-2440ebacdf81,6;</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