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6.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8B883" w14:textId="77777777" w:rsidR="006A3734" w:rsidRPr="006A3734" w:rsidRDefault="006A3734" w:rsidP="006A3734">
      <w:pPr>
        <w:ind w:hanging="567"/>
        <w:jc w:val="both"/>
        <w:rPr>
          <w:rFonts w:ascii="Cambria" w:hAnsi="Cambria"/>
          <w:i/>
          <w:color w:val="000000"/>
        </w:rPr>
      </w:pPr>
      <w:r w:rsidRPr="006A3734">
        <w:rPr>
          <w:rFonts w:ascii="Cambria" w:hAnsi="Cambria"/>
          <w:i/>
          <w:color w:val="000000"/>
        </w:rPr>
        <w:t>Tomas Soley Pérez</w:t>
      </w:r>
    </w:p>
    <w:p w14:paraId="6C7B2F9C" w14:textId="77777777" w:rsidR="006A3734" w:rsidRPr="006A3734" w:rsidRDefault="006A3734" w:rsidP="006A3734">
      <w:pPr>
        <w:ind w:hanging="567"/>
        <w:jc w:val="both"/>
        <w:rPr>
          <w:rFonts w:ascii="Cambria" w:hAnsi="Cambria"/>
          <w:i/>
          <w:color w:val="000000"/>
        </w:rPr>
      </w:pPr>
      <w:r w:rsidRPr="006A3734">
        <w:rPr>
          <w:rFonts w:ascii="Cambria" w:hAnsi="Cambria"/>
          <w:i/>
          <w:color w:val="000000"/>
        </w:rPr>
        <w:t>Superintendente de Seguros</w:t>
      </w:r>
    </w:p>
    <w:p w14:paraId="4CDE7273" w14:textId="77777777" w:rsidR="00B330AC" w:rsidRDefault="00B330AC" w:rsidP="009618C8">
      <w:pPr>
        <w:jc w:val="both"/>
        <w:rPr>
          <w:rFonts w:ascii="Cambria" w:hAnsi="Cambria"/>
          <w:color w:val="000000"/>
        </w:rPr>
      </w:pPr>
    </w:p>
    <w:p w14:paraId="10F00BD4" w14:textId="77777777" w:rsidR="009618C8" w:rsidRDefault="009618C8" w:rsidP="009618C8">
      <w:pPr>
        <w:jc w:val="both"/>
        <w:rPr>
          <w:rFonts w:asciiTheme="majorHAnsi" w:hAnsiTheme="majorHAnsi"/>
          <w:b/>
          <w:bCs/>
        </w:rPr>
      </w:pPr>
    </w:p>
    <w:p w14:paraId="64028B1F" w14:textId="77777777" w:rsidR="00B330AC" w:rsidRDefault="00B330AC" w:rsidP="00B330AC">
      <w:pPr>
        <w:jc w:val="center"/>
        <w:rPr>
          <w:rFonts w:asciiTheme="majorHAnsi" w:hAnsiTheme="majorHAnsi"/>
          <w:b/>
          <w:bCs/>
        </w:rPr>
      </w:pPr>
      <w:r>
        <w:rPr>
          <w:rFonts w:asciiTheme="majorHAnsi" w:hAnsiTheme="majorHAnsi"/>
          <w:b/>
          <w:bCs/>
        </w:rPr>
        <w:t>ACUERDO DE SUPERINTENDENTE</w:t>
      </w:r>
    </w:p>
    <w:sdt>
      <w:sdtPr>
        <w:rPr>
          <w:rFonts w:asciiTheme="majorHAnsi" w:hAnsiTheme="majorHAnsi"/>
          <w:b/>
          <w:bCs/>
        </w:rPr>
        <w:id w:val="-262232818"/>
        <w:placeholder>
          <w:docPart w:val="9F0DCEFDA4BF4CA787B2626901DD6926"/>
        </w:placeholder>
      </w:sdtPr>
      <w:sdtEndPr/>
      <w:sdtContent>
        <w:sdt>
          <w:sdtPr>
            <w:rPr>
              <w:rFonts w:asciiTheme="majorHAnsi" w:hAnsiTheme="majorHAnsi"/>
              <w:b/>
              <w:bCs/>
            </w:rPr>
            <w:alias w:val="Consecutivo"/>
            <w:tag w:val="Consecutivo"/>
            <w:id w:val="361866280"/>
            <w:placeholder>
              <w:docPart w:val="9F0DCEFDA4BF4CA787B2626901DD6926"/>
            </w:placeholder>
          </w:sdtPr>
          <w:sdtEndPr/>
          <w:sdtContent>
            <w:p w14:paraId="50A00C90" w14:textId="77777777" w:rsidR="00B330AC" w:rsidRDefault="00B330AC" w:rsidP="00B330AC">
              <w:pPr>
                <w:jc w:val="center"/>
                <w:rPr>
                  <w:rFonts w:asciiTheme="majorHAnsi" w:hAnsiTheme="majorHAnsi"/>
                  <w:b/>
                  <w:bCs/>
                </w:rPr>
              </w:pPr>
              <w:r w:rsidRPr="00CB7A44">
                <w:rPr>
                  <w:rFonts w:asciiTheme="majorHAnsi" w:hAnsiTheme="majorHAnsi"/>
                  <w:b/>
                  <w:bCs/>
                  <w:i/>
                  <w:iCs/>
                </w:rPr>
                <w:t>SGS-A-0092-2022</w:t>
              </w:r>
            </w:p>
          </w:sdtContent>
        </w:sdt>
      </w:sdtContent>
    </w:sdt>
    <w:p w14:paraId="62208593" w14:textId="77777777" w:rsidR="00CB099E" w:rsidRDefault="00CB099E" w:rsidP="00CB099E"/>
    <w:p w14:paraId="14B144E7" w14:textId="77777777" w:rsidR="00CB099E" w:rsidRPr="00C64FB2" w:rsidRDefault="00CB099E" w:rsidP="00CB099E">
      <w:pPr>
        <w:contextualSpacing/>
        <w:jc w:val="center"/>
        <w:rPr>
          <w:rFonts w:ascii="Cambria" w:hAnsi="Cambria"/>
          <w:b/>
          <w:bCs/>
        </w:rPr>
      </w:pPr>
      <w:r w:rsidRPr="00C64FB2">
        <w:rPr>
          <w:rFonts w:ascii="Cambria" w:hAnsi="Cambria"/>
          <w:b/>
          <w:bCs/>
        </w:rPr>
        <w:t>MODIFICACIONES A LOS ACUERDOS SGS-A-021-2013 Y SGS-A-0057-2017, PARA NORMAR LA REMISIÓN DE LA CERTIFICACIÓN DE LOS INGRESOS BRUTOS TOTALES Y REQUERIMIENTOS PARA EL CÁLCULO DE LA SUFICIENCIA PATRIMONIAL DE INTERMEDIARIOS DE SEGUROS PERTENECIENTES A GRUPOS O CONGLOMERADOS FINANCIEROS</w:t>
      </w:r>
    </w:p>
    <w:p w14:paraId="6FAD05FE" w14:textId="77777777" w:rsidR="00CB099E" w:rsidRPr="00037FDF" w:rsidRDefault="00CB099E" w:rsidP="00CB099E">
      <w:pPr>
        <w:contextualSpacing/>
        <w:jc w:val="both"/>
        <w:rPr>
          <w:rFonts w:ascii="Cambria" w:hAnsi="Cambria"/>
        </w:rPr>
      </w:pPr>
    </w:p>
    <w:p w14:paraId="5BCBC454" w14:textId="31B9D3AA" w:rsidR="00CB099E" w:rsidRDefault="00CB099E" w:rsidP="00CB099E">
      <w:pPr>
        <w:contextualSpacing/>
        <w:jc w:val="both"/>
        <w:rPr>
          <w:rFonts w:ascii="Cambria" w:hAnsi="Cambria"/>
        </w:rPr>
      </w:pPr>
      <w:r w:rsidRPr="005366BC">
        <w:rPr>
          <w:rFonts w:ascii="Cambria" w:hAnsi="Cambria"/>
        </w:rPr>
        <w:t xml:space="preserve">El Superintendente General de Seguros, a las </w:t>
      </w:r>
      <w:r>
        <w:rPr>
          <w:rFonts w:ascii="Cambria" w:hAnsi="Cambria"/>
        </w:rPr>
        <w:t>quince</w:t>
      </w:r>
      <w:r w:rsidRPr="005366BC">
        <w:rPr>
          <w:rFonts w:ascii="Cambria" w:hAnsi="Cambria"/>
        </w:rPr>
        <w:t xml:space="preserve"> horas </w:t>
      </w:r>
      <w:r>
        <w:rPr>
          <w:rFonts w:ascii="Cambria" w:hAnsi="Cambria"/>
        </w:rPr>
        <w:t xml:space="preserve">y treinta minutos </w:t>
      </w:r>
      <w:r w:rsidRPr="005366BC">
        <w:rPr>
          <w:rFonts w:ascii="Cambria" w:hAnsi="Cambria"/>
        </w:rPr>
        <w:t xml:space="preserve">del </w:t>
      </w:r>
      <w:r>
        <w:rPr>
          <w:rFonts w:ascii="Cambria" w:hAnsi="Cambria"/>
        </w:rPr>
        <w:t>ventitrés</w:t>
      </w:r>
      <w:r w:rsidRPr="005366BC">
        <w:rPr>
          <w:rFonts w:ascii="Cambria" w:hAnsi="Cambria"/>
        </w:rPr>
        <w:t xml:space="preserve"> de </w:t>
      </w:r>
      <w:r>
        <w:rPr>
          <w:rFonts w:ascii="Cambria" w:hAnsi="Cambria"/>
        </w:rPr>
        <w:t>diciembre</w:t>
      </w:r>
      <w:r w:rsidRPr="005366BC">
        <w:rPr>
          <w:rFonts w:ascii="Cambria" w:hAnsi="Cambria"/>
        </w:rPr>
        <w:t xml:space="preserve"> de dos mil veintidós</w:t>
      </w:r>
      <w:r w:rsidR="00CB7A44">
        <w:rPr>
          <w:rFonts w:ascii="Cambria" w:hAnsi="Cambria"/>
        </w:rPr>
        <w:t>.</w:t>
      </w:r>
    </w:p>
    <w:p w14:paraId="796C7FEF" w14:textId="77777777" w:rsidR="00CB099E" w:rsidRDefault="00CB099E" w:rsidP="00CB099E"/>
    <w:p w14:paraId="5274E7E3" w14:textId="77777777" w:rsidR="00CB099E" w:rsidRDefault="00CB099E" w:rsidP="00CB099E">
      <w:pPr>
        <w:contextualSpacing/>
        <w:jc w:val="center"/>
        <w:rPr>
          <w:rFonts w:ascii="Cambria" w:hAnsi="Cambria"/>
          <w:b/>
          <w:bCs/>
        </w:rPr>
      </w:pPr>
      <w:r w:rsidRPr="00A70622">
        <w:rPr>
          <w:rFonts w:ascii="Cambria" w:hAnsi="Cambria"/>
          <w:b/>
          <w:bCs/>
        </w:rPr>
        <w:t>Considerando que:</w:t>
      </w:r>
    </w:p>
    <w:p w14:paraId="69F0D73D" w14:textId="77777777" w:rsidR="00CB099E" w:rsidRDefault="00CB099E" w:rsidP="00CB099E">
      <w:pPr>
        <w:contextualSpacing/>
        <w:jc w:val="center"/>
        <w:rPr>
          <w:rFonts w:ascii="Cambria" w:hAnsi="Cambria"/>
          <w:b/>
          <w:bCs/>
        </w:rPr>
      </w:pPr>
    </w:p>
    <w:p w14:paraId="577E2EF4" w14:textId="77777777" w:rsidR="00CB099E" w:rsidRDefault="00CB099E" w:rsidP="00CB099E">
      <w:pPr>
        <w:pStyle w:val="Prrafodelista"/>
        <w:numPr>
          <w:ilvl w:val="0"/>
          <w:numId w:val="1"/>
        </w:numPr>
        <w:ind w:left="709"/>
        <w:jc w:val="both"/>
        <w:rPr>
          <w:rFonts w:ascii="Cambria" w:hAnsi="Cambria"/>
        </w:rPr>
      </w:pPr>
      <w:r w:rsidRPr="00E055E2">
        <w:rPr>
          <w:rFonts w:ascii="Cambria" w:hAnsi="Cambria"/>
        </w:rPr>
        <w:t>El Artículo 29 de la Ley Reguladora del Mercado de Seguros, Ley N° 8653, establece como objetivo de la Superintendencia General de Seguros (SUGESE) “velar por la estabilidad y el eficiente funcionamiento del mercado de seguros, así como entregar la más amplia información a los asegurados”. Además, para cumplir el objetivo mencionado, el inciso j) del Artículo 29 de dicha Ley, faculta a la SUGESE para dictar las normas y directrices de carácter técnico u operativo que se requieran.</w:t>
      </w:r>
    </w:p>
    <w:p w14:paraId="1EDC20C8" w14:textId="77777777" w:rsidR="00CB099E" w:rsidRDefault="00CB099E" w:rsidP="00CB099E">
      <w:pPr>
        <w:jc w:val="both"/>
        <w:rPr>
          <w:rFonts w:ascii="Cambria" w:hAnsi="Cambria"/>
        </w:rPr>
      </w:pPr>
    </w:p>
    <w:p w14:paraId="7DE25FD6" w14:textId="77777777" w:rsidR="00CB099E" w:rsidRPr="00E055E2" w:rsidRDefault="00CB099E" w:rsidP="00CB099E">
      <w:pPr>
        <w:pStyle w:val="Prrafodelista"/>
        <w:numPr>
          <w:ilvl w:val="0"/>
          <w:numId w:val="1"/>
        </w:numPr>
        <w:ind w:left="709"/>
        <w:jc w:val="both"/>
        <w:rPr>
          <w:rFonts w:ascii="Cambria" w:hAnsi="Cambria"/>
        </w:rPr>
      </w:pPr>
      <w:r w:rsidRPr="00E055E2">
        <w:rPr>
          <w:rFonts w:ascii="Cambria" w:hAnsi="Cambria" w:cstheme="minorHAnsi"/>
        </w:rPr>
        <w:t xml:space="preserve">La SUGESE, en el marco de su operación y de conformidad con las obligaciones y facultades que le da la legislación vigente, ha emitido los siguientes acuerdos: </w:t>
      </w:r>
      <w:r w:rsidRPr="00E055E2">
        <w:rPr>
          <w:rFonts w:ascii="Cambria" w:hAnsi="Cambria" w:cstheme="minorHAnsi"/>
          <w:bCs/>
          <w:lang w:val="es-CR"/>
        </w:rPr>
        <w:t xml:space="preserve">SGS-DES-A-021-2013 </w:t>
      </w:r>
      <w:r w:rsidRPr="00E055E2">
        <w:rPr>
          <w:rFonts w:ascii="Cambria" w:hAnsi="Cambria" w:cstheme="minorHAnsi"/>
          <w:bCs/>
          <w:i/>
          <w:iCs/>
          <w:lang w:val="es-CR"/>
        </w:rPr>
        <w:t xml:space="preserve">Disposiciones para la Remisión de la Información Contable y Estadística a la Superintendencia General de Seguros por parte de las Entidades Supervisadas </w:t>
      </w:r>
      <w:r w:rsidRPr="00E055E2">
        <w:rPr>
          <w:rFonts w:ascii="Cambria" w:hAnsi="Cambria" w:cstheme="minorHAnsi"/>
          <w:bCs/>
          <w:lang w:val="es-CR"/>
        </w:rPr>
        <w:t xml:space="preserve">y SGS-A-0057-2017 </w:t>
      </w:r>
      <w:r w:rsidRPr="00E055E2">
        <w:rPr>
          <w:rFonts w:ascii="Cambria" w:hAnsi="Cambria" w:cstheme="minorHAnsi"/>
          <w:bCs/>
          <w:i/>
          <w:iCs/>
          <w:lang w:val="es-CR"/>
        </w:rPr>
        <w:t>Lineamientos Generales para el Uso del Servicio Ejecución de Estudios y Seguimiento (EES)</w:t>
      </w:r>
      <w:r w:rsidRPr="00E055E2">
        <w:rPr>
          <w:rFonts w:ascii="Cambria" w:hAnsi="Cambria" w:cstheme="minorHAnsi"/>
          <w:bCs/>
          <w:lang w:val="es-CR"/>
        </w:rPr>
        <w:t>; los cuales, de acuerdo con los siguientes considerandos, deben ser ajustados para normar la remisión de la certificación de ingresos brutos totales y requerimientos para el cálculo de la suficiencia patrimonial de intermediarios de seguros pertenecientes a grupos o conglomerados financieros.</w:t>
      </w:r>
    </w:p>
    <w:p w14:paraId="70838402" w14:textId="77777777" w:rsidR="00CB099E" w:rsidRPr="00E055E2" w:rsidRDefault="00CB099E" w:rsidP="00CB099E">
      <w:pPr>
        <w:pStyle w:val="Prrafodelista"/>
        <w:rPr>
          <w:rFonts w:ascii="Cambria" w:hAnsi="Cambria"/>
        </w:rPr>
      </w:pPr>
    </w:p>
    <w:p w14:paraId="006C36E5" w14:textId="77777777" w:rsidR="00CB099E" w:rsidRPr="00E055E2" w:rsidRDefault="00CB099E" w:rsidP="00CB099E">
      <w:pPr>
        <w:jc w:val="both"/>
        <w:rPr>
          <w:rFonts w:ascii="Cambria" w:hAnsi="Cambria" w:cstheme="minorHAnsi"/>
          <w:b/>
          <w:bCs/>
        </w:rPr>
      </w:pPr>
      <w:r w:rsidRPr="00E055E2">
        <w:rPr>
          <w:rFonts w:ascii="Cambria" w:hAnsi="Cambria" w:cstheme="minorHAnsi"/>
          <w:b/>
          <w:bCs/>
        </w:rPr>
        <w:t>Consideraciones sobre la remisión de la certificación de los ingresos brutos totales</w:t>
      </w:r>
      <w:r>
        <w:rPr>
          <w:rFonts w:ascii="Cambria" w:hAnsi="Cambria" w:cstheme="minorHAnsi"/>
          <w:b/>
          <w:bCs/>
        </w:rPr>
        <w:t>:</w:t>
      </w:r>
    </w:p>
    <w:p w14:paraId="52828D89" w14:textId="77777777" w:rsidR="00CB099E" w:rsidRDefault="00CB099E" w:rsidP="00CB099E">
      <w:pPr>
        <w:pStyle w:val="Prrafodelista"/>
        <w:jc w:val="both"/>
        <w:rPr>
          <w:rFonts w:ascii="Cambria" w:hAnsi="Cambria" w:cstheme="minorHAnsi"/>
          <w:b/>
          <w:bCs/>
        </w:rPr>
      </w:pPr>
    </w:p>
    <w:p w14:paraId="757CB043" w14:textId="77777777" w:rsidR="00CB099E" w:rsidRPr="000857DF" w:rsidRDefault="00CB099E" w:rsidP="00CB099E">
      <w:pPr>
        <w:pStyle w:val="Prrafodelista"/>
        <w:numPr>
          <w:ilvl w:val="0"/>
          <w:numId w:val="1"/>
        </w:numPr>
        <w:ind w:left="709"/>
        <w:jc w:val="both"/>
        <w:rPr>
          <w:rFonts w:ascii="Cambria" w:hAnsi="Cambria"/>
        </w:rPr>
      </w:pPr>
      <w:r w:rsidRPr="00E055E2">
        <w:rPr>
          <w:rFonts w:ascii="Cambria" w:eastAsia="Verdana" w:hAnsi="Cambria" w:cstheme="minorHAnsi"/>
          <w:color w:val="000000"/>
          <w:lang w:val="es-CR" w:eastAsia="es-CR"/>
        </w:rPr>
        <w:t xml:space="preserve">El 17 de diciembre de 1997 fue aprobada la Ley N° 7732, </w:t>
      </w:r>
      <w:r w:rsidRPr="00E055E2">
        <w:rPr>
          <w:rFonts w:ascii="Cambria" w:eastAsia="Verdana" w:hAnsi="Cambria" w:cstheme="minorHAnsi"/>
          <w:i/>
          <w:color w:val="000000"/>
          <w:lang w:val="es-CR" w:eastAsia="es-CR"/>
        </w:rPr>
        <w:t>Ley Reguladora del Mercado de Valores</w:t>
      </w:r>
      <w:r w:rsidRPr="00E055E2">
        <w:rPr>
          <w:rFonts w:ascii="Cambria" w:eastAsia="Verdana" w:hAnsi="Cambria" w:cstheme="minorHAnsi"/>
          <w:color w:val="000000"/>
          <w:lang w:val="es-CR" w:eastAsia="es-CR"/>
        </w:rPr>
        <w:t xml:space="preserve">, en vigencia desde el 27 de enero de 1998, que en los artículos 174 y 175 dispone el esquema de financiamiento de la operación de los órganos supervisores del sistema financiero, los cuales fueron reformados por el artículo 1 de la Ley N° 9746 del 17 de setiembre de 2019, </w:t>
      </w:r>
      <w:r w:rsidRPr="00E055E2">
        <w:rPr>
          <w:rFonts w:ascii="Cambria" w:eastAsia="Verdana" w:hAnsi="Cambria" w:cstheme="minorHAnsi"/>
          <w:i/>
          <w:color w:val="000000"/>
          <w:lang w:val="es-CR" w:eastAsia="es-CR"/>
        </w:rPr>
        <w:t xml:space="preserve">Ley Reforma de la Ley N° 7732, Ley Reguladora del </w:t>
      </w:r>
      <w:r w:rsidRPr="00E055E2">
        <w:rPr>
          <w:rFonts w:ascii="Cambria" w:eastAsia="Verdana" w:hAnsi="Cambria" w:cstheme="minorHAnsi"/>
          <w:i/>
          <w:color w:val="000000"/>
          <w:lang w:val="es-CR" w:eastAsia="es-CR"/>
        </w:rPr>
        <w:lastRenderedPageBreak/>
        <w:t>Mercado de Valores, de 17 de diciembre de 1997, y otras leyes</w:t>
      </w:r>
      <w:r w:rsidRPr="00E055E2">
        <w:rPr>
          <w:rFonts w:ascii="Cambria" w:eastAsia="Verdana" w:hAnsi="Cambria" w:cstheme="minorHAnsi"/>
          <w:color w:val="000000"/>
          <w:lang w:val="es-CR" w:eastAsia="es-CR"/>
        </w:rPr>
        <w:t>, en vigencia desde el 22 de octubre de 2019. Dentro de las reformas citadas, figura la incorporación de la Superintendencia General de Seguros en dicho esquema de financiamiento.</w:t>
      </w:r>
    </w:p>
    <w:p w14:paraId="4B82EA6F" w14:textId="77777777" w:rsidR="00CB099E" w:rsidRPr="006A400D" w:rsidRDefault="00CB099E" w:rsidP="00CB099E">
      <w:pPr>
        <w:pStyle w:val="Prrafodelista"/>
        <w:jc w:val="both"/>
        <w:rPr>
          <w:rFonts w:ascii="Cambria" w:hAnsi="Cambria"/>
        </w:rPr>
      </w:pPr>
    </w:p>
    <w:p w14:paraId="786873F8" w14:textId="77777777" w:rsidR="00CB099E" w:rsidRPr="00E055E2" w:rsidRDefault="00CB099E" w:rsidP="00CB099E">
      <w:pPr>
        <w:pStyle w:val="Prrafodelista"/>
        <w:numPr>
          <w:ilvl w:val="0"/>
          <w:numId w:val="1"/>
        </w:numPr>
        <w:ind w:left="709"/>
        <w:jc w:val="both"/>
        <w:rPr>
          <w:rFonts w:ascii="Cambria" w:hAnsi="Cambria"/>
        </w:rPr>
      </w:pPr>
      <w:r w:rsidRPr="00E055E2">
        <w:rPr>
          <w:rFonts w:ascii="Cambria" w:eastAsia="Verdana" w:hAnsi="Cambria" w:cstheme="minorHAnsi"/>
          <w:color w:val="000000"/>
          <w:lang w:val="es-CR" w:eastAsia="es-CR"/>
        </w:rPr>
        <w:t>E</w:t>
      </w:r>
      <w:r w:rsidRPr="00E055E2">
        <w:rPr>
          <w:rFonts w:ascii="Cambria" w:hAnsi="Cambria" w:cstheme="minorHAnsi"/>
          <w:lang w:val="es-CR"/>
        </w:rPr>
        <w:t xml:space="preserve">l 20 de diciembre de 2013 fue aprobado el Decreto Ejecutivo N° 38292-H, </w:t>
      </w:r>
      <w:r w:rsidRPr="00E055E2">
        <w:rPr>
          <w:rFonts w:ascii="Cambria" w:eastAsia="Verdana" w:hAnsi="Cambria" w:cstheme="minorHAnsi"/>
          <w:i/>
          <w:color w:val="000000"/>
          <w:lang w:val="es-CR"/>
        </w:rPr>
        <w:t>Reglamento para regular la participación de los sujetos fiscalizados en el financiamiento del presupuesto de las superintendencias</w:t>
      </w:r>
      <w:r w:rsidRPr="00E055E2">
        <w:rPr>
          <w:rFonts w:ascii="Cambria" w:hAnsi="Cambria" w:cstheme="minorHAnsi"/>
          <w:lang w:val="es-CR"/>
        </w:rPr>
        <w:t xml:space="preserve">, en vigor desde el 01 de enero de 2015, el cual norma lo dispuesto en los artículos 174 y 175 de la Ley N° 7732 y fue reformado consecuentemente a partir de la reforma dispuesta en la </w:t>
      </w:r>
      <w:r w:rsidRPr="00E055E2">
        <w:rPr>
          <w:rFonts w:ascii="Cambria" w:eastAsia="Verdana" w:hAnsi="Cambria" w:cstheme="minorHAnsi"/>
          <w:color w:val="000000"/>
          <w:lang w:val="es-CR" w:eastAsia="es-CR"/>
        </w:rPr>
        <w:t xml:space="preserve">Ley N° 9746, mediante Decreto Ejecutivo N° 43628-H, </w:t>
      </w:r>
      <w:r w:rsidRPr="00E055E2">
        <w:rPr>
          <w:rFonts w:ascii="Cambria" w:hAnsi="Cambria" w:cstheme="minorHAnsi"/>
          <w:i/>
          <w:iCs/>
          <w:lang w:val="es-CR"/>
        </w:rPr>
        <w:t xml:space="preserve">“Reforma al Decreto Ejecutivo N°38292-H, Reglamento para Regular la Participación de los Sujetos Fiscalizados en el Financiamiento del Presupuesto de las Superintendencias, para incorporar a la </w:t>
      </w:r>
      <w:r w:rsidRPr="00A32A86">
        <w:rPr>
          <w:rFonts w:ascii="Cambria" w:hAnsi="Cambria" w:cstheme="minorHAnsi"/>
          <w:i/>
          <w:iCs/>
          <w:lang w:val="es-CR"/>
        </w:rPr>
        <w:t>Superintendencia General de Seguros”</w:t>
      </w:r>
      <w:r w:rsidRPr="00A32A86">
        <w:rPr>
          <w:rFonts w:ascii="Cambria" w:eastAsia="Verdana" w:hAnsi="Cambria" w:cstheme="minorHAnsi"/>
          <w:lang w:val="es-CR" w:eastAsia="es-CR"/>
        </w:rPr>
        <w:t xml:space="preserve">, emitido el día 13 de junio de 2022 y publicado en el Alcance N°178 al Diario Oficial La Gaceta N° 158, del </w:t>
      </w:r>
      <w:r w:rsidRPr="00E055E2">
        <w:rPr>
          <w:rFonts w:ascii="Cambria" w:eastAsia="Verdana" w:hAnsi="Cambria" w:cstheme="minorHAnsi"/>
          <w:color w:val="000000"/>
          <w:lang w:val="es-CR" w:eastAsia="es-CR"/>
        </w:rPr>
        <w:t>22 de agosto de 2022.</w:t>
      </w:r>
    </w:p>
    <w:p w14:paraId="5A35F484" w14:textId="77777777" w:rsidR="00CB099E" w:rsidRDefault="00CB099E" w:rsidP="00CB099E">
      <w:pPr>
        <w:jc w:val="both"/>
        <w:rPr>
          <w:rFonts w:ascii="Cambria" w:hAnsi="Cambria"/>
        </w:rPr>
      </w:pPr>
    </w:p>
    <w:p w14:paraId="62F25CDE" w14:textId="77777777" w:rsidR="00CB099E" w:rsidRPr="00E055E2" w:rsidRDefault="00CB099E" w:rsidP="00CB099E">
      <w:pPr>
        <w:pStyle w:val="Prrafodelista"/>
        <w:numPr>
          <w:ilvl w:val="0"/>
          <w:numId w:val="1"/>
        </w:numPr>
        <w:jc w:val="both"/>
        <w:rPr>
          <w:rFonts w:ascii="Cambria" w:hAnsi="Cambria"/>
        </w:rPr>
      </w:pPr>
      <w:r w:rsidRPr="00E055E2">
        <w:rPr>
          <w:rFonts w:ascii="Cambria" w:hAnsi="Cambria" w:cstheme="minorHAnsi"/>
          <w:lang w:val="es-CR"/>
        </w:rPr>
        <w:t xml:space="preserve">El Decreto Ejecutivo N° 38292-H, </w:t>
      </w:r>
      <w:r w:rsidRPr="00E055E2">
        <w:rPr>
          <w:rFonts w:ascii="Cambria" w:hAnsi="Cambria" w:cstheme="minorHAnsi"/>
          <w:i/>
          <w:iCs/>
          <w:lang w:val="es-CR"/>
        </w:rPr>
        <w:t>Reglamento para regular la participación de los sujetos fiscalizados en el financiamiento del presupuesto de las superintendencias</w:t>
      </w:r>
      <w:r w:rsidRPr="00E055E2">
        <w:rPr>
          <w:rFonts w:ascii="Cambria" w:hAnsi="Cambria" w:cstheme="minorHAnsi"/>
          <w:lang w:val="es-CR"/>
        </w:rPr>
        <w:t xml:space="preserve">, en su artículo 23, dispone que </w:t>
      </w:r>
      <w:r w:rsidRPr="00E055E2">
        <w:rPr>
          <w:rFonts w:ascii="Cambria" w:hAnsi="Cambria" w:cstheme="minorHAnsi"/>
          <w:i/>
          <w:iCs/>
          <w:lang w:val="es-CR"/>
        </w:rPr>
        <w:t>“Las Superintendencias están facultadas para emitir los lineamientos e instrucciones que sean necesarias y pertinentes para la correcta aplicación del presente reglamento”</w:t>
      </w:r>
      <w:r w:rsidRPr="00E055E2">
        <w:rPr>
          <w:rFonts w:ascii="Cambria" w:hAnsi="Cambria" w:cstheme="minorHAnsi"/>
          <w:lang w:val="es-CR"/>
        </w:rPr>
        <w:t>.</w:t>
      </w:r>
    </w:p>
    <w:p w14:paraId="06E1A697" w14:textId="77777777" w:rsidR="00CB099E" w:rsidRPr="00E055E2" w:rsidRDefault="00CB099E" w:rsidP="00CB099E">
      <w:pPr>
        <w:pStyle w:val="Prrafodelista"/>
        <w:rPr>
          <w:rFonts w:ascii="Cambria" w:hAnsi="Cambria"/>
        </w:rPr>
      </w:pPr>
    </w:p>
    <w:p w14:paraId="19C09E96" w14:textId="77777777" w:rsidR="00CB099E" w:rsidRPr="00E055E2" w:rsidRDefault="00CB099E" w:rsidP="00CB099E">
      <w:pPr>
        <w:pStyle w:val="Prrafodelista"/>
        <w:numPr>
          <w:ilvl w:val="0"/>
          <w:numId w:val="1"/>
        </w:numPr>
        <w:jc w:val="both"/>
        <w:rPr>
          <w:rFonts w:ascii="Cambria" w:hAnsi="Cambria"/>
        </w:rPr>
      </w:pPr>
      <w:r w:rsidRPr="00E055E2">
        <w:rPr>
          <w:rFonts w:ascii="Cambria" w:hAnsi="Cambria" w:cstheme="minorHAnsi"/>
          <w:lang w:val="es-CR"/>
        </w:rPr>
        <w:t xml:space="preserve">Respecto a la certificación de ingresos brutos, el Decreto Ejecutivo N° 38292-H, en su artículo 3, señala que: </w:t>
      </w:r>
    </w:p>
    <w:p w14:paraId="0D90AF05" w14:textId="77777777" w:rsidR="00CB099E" w:rsidRPr="006A400D" w:rsidRDefault="00CB099E" w:rsidP="00CB099E">
      <w:pPr>
        <w:pStyle w:val="Prrafodelista"/>
        <w:rPr>
          <w:rFonts w:ascii="Cambria" w:hAnsi="Cambria" w:cstheme="minorHAnsi"/>
        </w:rPr>
      </w:pPr>
    </w:p>
    <w:p w14:paraId="02971415" w14:textId="77777777" w:rsidR="00CB099E" w:rsidRPr="0011547B" w:rsidRDefault="00CB099E" w:rsidP="00CB099E">
      <w:pPr>
        <w:pStyle w:val="Prrafodelista"/>
        <w:ind w:left="1134" w:right="571"/>
        <w:jc w:val="both"/>
        <w:rPr>
          <w:rFonts w:ascii="Cambria" w:hAnsi="Cambria"/>
        </w:rPr>
      </w:pPr>
      <w:r w:rsidRPr="0011547B">
        <w:rPr>
          <w:rFonts w:ascii="Cambria" w:hAnsi="Cambria" w:cstheme="minorHAnsi"/>
          <w:lang w:val="es-CR"/>
        </w:rPr>
        <w:t>“</w:t>
      </w:r>
      <w:r w:rsidRPr="0011547B">
        <w:rPr>
          <w:rFonts w:ascii="Cambria" w:hAnsi="Cambria" w:cstheme="minorHAnsi"/>
          <w:i/>
          <w:iCs/>
          <w:lang w:val="es-CR"/>
        </w:rPr>
        <w:t>Para efectos del cálculo del cobro final mencionado en el primer párrafo de este artículo, los ingresos brutos al 31 de diciembre deben ser certificados por un auditor externo. Dicha certificación deberá de presentarse en la misma fecha en que se remita el informe que contiene la opinión de razonabilidad de los estados financieros auditados”.</w:t>
      </w:r>
    </w:p>
    <w:p w14:paraId="78EA251E" w14:textId="77777777" w:rsidR="00CB099E" w:rsidRPr="00E055E2" w:rsidRDefault="00CB099E" w:rsidP="00CB099E">
      <w:pPr>
        <w:pStyle w:val="Prrafodelista"/>
        <w:rPr>
          <w:rFonts w:ascii="Cambria" w:hAnsi="Cambria"/>
        </w:rPr>
      </w:pPr>
    </w:p>
    <w:p w14:paraId="499EF8A5" w14:textId="77777777" w:rsidR="00CB099E" w:rsidRPr="00E055E2" w:rsidRDefault="00CB099E" w:rsidP="00CB099E">
      <w:pPr>
        <w:pStyle w:val="Prrafodelista"/>
        <w:jc w:val="both"/>
        <w:rPr>
          <w:rFonts w:ascii="Cambria" w:hAnsi="Cambria"/>
        </w:rPr>
      </w:pPr>
      <w:r w:rsidRPr="00E055E2">
        <w:rPr>
          <w:rFonts w:ascii="Cambria" w:hAnsi="Cambria"/>
        </w:rPr>
        <w:t xml:space="preserve">Por su parte, en cuando al plazo para informar a las entidades sobre el cobro final, en ese mismo artículo se dispone que:  </w:t>
      </w:r>
    </w:p>
    <w:p w14:paraId="72B5AF60" w14:textId="77777777" w:rsidR="00CB099E" w:rsidRPr="00E055E2" w:rsidRDefault="00CB099E" w:rsidP="00CB099E">
      <w:pPr>
        <w:pStyle w:val="Prrafodelista"/>
        <w:jc w:val="both"/>
        <w:rPr>
          <w:rFonts w:ascii="Cambria" w:hAnsi="Cambria"/>
        </w:rPr>
      </w:pPr>
    </w:p>
    <w:p w14:paraId="3F15E31F" w14:textId="77777777" w:rsidR="00CB099E" w:rsidRPr="0011547B" w:rsidRDefault="00CB099E" w:rsidP="00CB099E">
      <w:pPr>
        <w:pStyle w:val="Prrafodelista"/>
        <w:ind w:left="1134" w:right="571"/>
        <w:jc w:val="both"/>
        <w:rPr>
          <w:rFonts w:ascii="Cambria" w:hAnsi="Cambria" w:cstheme="minorHAnsi"/>
          <w:i/>
          <w:iCs/>
          <w:lang w:val="es-CR"/>
        </w:rPr>
      </w:pPr>
      <w:r w:rsidRPr="0011547B">
        <w:rPr>
          <w:rFonts w:ascii="Cambria" w:hAnsi="Cambria" w:cstheme="minorHAnsi"/>
          <w:i/>
          <w:iCs/>
        </w:rPr>
        <w:t>“</w:t>
      </w:r>
      <w:r w:rsidRPr="0011547B">
        <w:rPr>
          <w:rFonts w:ascii="Cambria" w:hAnsi="Cambria" w:cstheme="minorHAnsi"/>
          <w:i/>
          <w:iCs/>
          <w:lang w:val="es-CR"/>
        </w:rPr>
        <w:t>Si al último día de febrero no se dispone de la certificación de ingresos del auditor externo, referenciada en el párrafo anterior, de algún ente fiscalizado, el cálculo del cobro final se realizará con la última certificación disponible, más un incremento del 10% anual sobre el total de ingresos brutos en ella reportados. Una vez que ingrese la totalidad de las certificaciones, se hará el ajuste respectivo.</w:t>
      </w:r>
    </w:p>
    <w:p w14:paraId="45B6EFCF" w14:textId="77777777" w:rsidR="00CB099E" w:rsidRPr="0011547B" w:rsidRDefault="00CB099E" w:rsidP="00CB099E">
      <w:pPr>
        <w:pStyle w:val="Prrafodelista"/>
        <w:ind w:left="1134" w:right="571"/>
        <w:jc w:val="both"/>
        <w:rPr>
          <w:rFonts w:ascii="Cambria" w:hAnsi="Cambria" w:cstheme="minorHAnsi"/>
          <w:lang w:val="es-CR"/>
        </w:rPr>
      </w:pPr>
      <w:r w:rsidRPr="0011547B">
        <w:rPr>
          <w:rFonts w:ascii="Cambria" w:hAnsi="Cambria" w:cstheme="minorHAnsi"/>
          <w:i/>
          <w:iCs/>
          <w:lang w:val="es-CR"/>
        </w:rPr>
        <w:lastRenderedPageBreak/>
        <w:t>El cobro final deberá ser notificado a los sujetos fiscalizados dentro de los treinta días hábiles siguientes al plazo establecido en el párrafo anterior.</w:t>
      </w:r>
      <w:r w:rsidRPr="0011547B">
        <w:rPr>
          <w:rFonts w:ascii="Cambria" w:hAnsi="Cambria" w:cstheme="minorHAnsi"/>
          <w:lang w:val="es-CR"/>
        </w:rPr>
        <w:t>”</w:t>
      </w:r>
    </w:p>
    <w:p w14:paraId="161A9FFC" w14:textId="77777777" w:rsidR="00CB099E" w:rsidRPr="00AD7AF9" w:rsidRDefault="00CB099E" w:rsidP="00CB099E">
      <w:pPr>
        <w:pStyle w:val="Prrafodelista"/>
        <w:ind w:left="1134" w:right="571"/>
        <w:jc w:val="both"/>
        <w:rPr>
          <w:rFonts w:ascii="Cambria" w:hAnsi="Cambria"/>
        </w:rPr>
      </w:pPr>
    </w:p>
    <w:p w14:paraId="16783A7A" w14:textId="77777777" w:rsidR="00CB099E" w:rsidRPr="000857DF" w:rsidRDefault="00CB099E" w:rsidP="00CB099E">
      <w:pPr>
        <w:pStyle w:val="Prrafodelista"/>
        <w:numPr>
          <w:ilvl w:val="0"/>
          <w:numId w:val="1"/>
        </w:numPr>
        <w:jc w:val="both"/>
        <w:rPr>
          <w:rFonts w:ascii="Cambria" w:hAnsi="Cambria"/>
        </w:rPr>
      </w:pPr>
      <w:r w:rsidRPr="00984BF8">
        <w:rPr>
          <w:rFonts w:ascii="Cambria" w:hAnsi="Cambria"/>
        </w:rPr>
        <w:t xml:space="preserve">De acuerdo con el considerando anterior, se </w:t>
      </w:r>
      <w:r w:rsidRPr="00984BF8">
        <w:rPr>
          <w:rFonts w:ascii="Cambria" w:hAnsi="Cambria" w:cstheme="minorHAnsi"/>
          <w:lang w:val="es-CR"/>
        </w:rPr>
        <w:t>requiere modificar el A</w:t>
      </w:r>
      <w:r w:rsidRPr="00984BF8">
        <w:rPr>
          <w:rFonts w:ascii="Cambria" w:hAnsi="Cambria" w:cstheme="minorHAnsi"/>
          <w:bCs/>
          <w:lang w:val="es-CR"/>
        </w:rPr>
        <w:t xml:space="preserve">cuerdo de Superintendente SGS-DES-A-021-2013, </w:t>
      </w:r>
      <w:r w:rsidRPr="00984BF8">
        <w:rPr>
          <w:rFonts w:ascii="Cambria" w:hAnsi="Cambria" w:cstheme="minorHAnsi"/>
          <w:bCs/>
          <w:i/>
          <w:iCs/>
          <w:lang w:val="es-CR"/>
        </w:rPr>
        <w:t>Disposiciones para la Remisión de la Información Contable y Estadística a la Superintendencia General de Seguros por parte de las Entidades Supervisadas</w:t>
      </w:r>
      <w:r w:rsidRPr="00984BF8">
        <w:rPr>
          <w:rFonts w:ascii="Cambria" w:hAnsi="Cambria" w:cstheme="minorHAnsi"/>
          <w:bCs/>
          <w:lang w:val="es-CR"/>
        </w:rPr>
        <w:t>, para definir y estandarizar requerimientos específicos de la certificación de ingresos brutos establecida en el Decreto Ejecutivo en cita, tales como la periodicidad de presentación, así como el plazo y medio de entrega del documento.</w:t>
      </w:r>
    </w:p>
    <w:p w14:paraId="1D680914" w14:textId="77777777" w:rsidR="00CB099E" w:rsidRPr="00984BF8" w:rsidRDefault="00CB099E" w:rsidP="00CB099E">
      <w:pPr>
        <w:pStyle w:val="Prrafodelista"/>
        <w:jc w:val="both"/>
        <w:rPr>
          <w:rFonts w:ascii="Cambria" w:hAnsi="Cambria"/>
        </w:rPr>
      </w:pPr>
    </w:p>
    <w:p w14:paraId="3B3104EE" w14:textId="77777777" w:rsidR="00CB099E" w:rsidRPr="00984BF8" w:rsidRDefault="00CB099E" w:rsidP="00CB099E">
      <w:pPr>
        <w:pStyle w:val="Prrafodelista"/>
        <w:numPr>
          <w:ilvl w:val="0"/>
          <w:numId w:val="1"/>
        </w:numPr>
        <w:jc w:val="both"/>
        <w:rPr>
          <w:rFonts w:ascii="Cambria" w:hAnsi="Cambria"/>
        </w:rPr>
      </w:pPr>
      <w:r w:rsidRPr="00984BF8">
        <w:rPr>
          <w:rFonts w:ascii="Cambria" w:hAnsi="Cambria" w:cstheme="minorHAnsi"/>
          <w:lang w:val="es-CR"/>
        </w:rPr>
        <w:t>En concordancia con la definición del medio de entrega de la certificación de ingresos brutos requerida en el considerando anterior y con el plazo establecido en el artículo 3 del Decreto Ejecutivo N° 38292-H, para comunicar el cobro final a las entidades supervisadas, se requiere modificar el A</w:t>
      </w:r>
      <w:r w:rsidRPr="00984BF8">
        <w:rPr>
          <w:rFonts w:ascii="Cambria" w:hAnsi="Cambria"/>
        </w:rPr>
        <w:t xml:space="preserve">cuerdo de Superintendente </w:t>
      </w:r>
      <w:r w:rsidRPr="00984BF8">
        <w:rPr>
          <w:rFonts w:ascii="Cambria" w:hAnsi="Cambria" w:cstheme="minorHAnsi"/>
          <w:bCs/>
          <w:lang w:val="es-CR"/>
        </w:rPr>
        <w:t xml:space="preserve">SGS-A-0057-2017, </w:t>
      </w:r>
      <w:r w:rsidRPr="00984BF8">
        <w:rPr>
          <w:rFonts w:ascii="Cambria" w:hAnsi="Cambria" w:cstheme="minorHAnsi"/>
          <w:bCs/>
          <w:i/>
          <w:iCs/>
          <w:lang w:val="es-CR"/>
        </w:rPr>
        <w:t xml:space="preserve">Lineamientos Generales para el Uso del Servicio Ejecución de Estudios y Seguimiento (EES) </w:t>
      </w:r>
      <w:r w:rsidRPr="00984BF8">
        <w:rPr>
          <w:rFonts w:ascii="Cambria" w:hAnsi="Cambria" w:cstheme="minorHAnsi"/>
          <w:bCs/>
          <w:lang w:val="es-CR"/>
        </w:rPr>
        <w:t>en lo concerniente al plazo dentro del cual se podría pronunciar la Superintendencia respecto a la información presentada por las aseguradoras a través de ese medio</w:t>
      </w:r>
      <w:r w:rsidRPr="00984BF8">
        <w:rPr>
          <w:rFonts w:ascii="Cambria" w:hAnsi="Cambria" w:cstheme="minorHAnsi"/>
          <w:bCs/>
          <w:i/>
          <w:iCs/>
          <w:lang w:val="es-CR"/>
        </w:rPr>
        <w:t>.</w:t>
      </w:r>
      <w:r w:rsidRPr="00984BF8">
        <w:rPr>
          <w:rFonts w:ascii="Cambria" w:hAnsi="Cambria" w:cstheme="minorHAnsi"/>
          <w:bCs/>
          <w:lang w:val="es-CR"/>
        </w:rPr>
        <w:t xml:space="preserve"> En relación con lo indicado, el artículo </w:t>
      </w:r>
      <w:r w:rsidRPr="00984BF8">
        <w:rPr>
          <w:rFonts w:ascii="Cambria" w:hAnsi="Cambria"/>
        </w:rPr>
        <w:t xml:space="preserve">11 del </w:t>
      </w:r>
      <w:r w:rsidRPr="00984BF8">
        <w:rPr>
          <w:rFonts w:ascii="Cambria" w:hAnsi="Cambria" w:cstheme="minorHAnsi"/>
          <w:lang w:val="es-CR"/>
        </w:rPr>
        <w:t>A</w:t>
      </w:r>
      <w:r w:rsidRPr="00984BF8">
        <w:rPr>
          <w:rFonts w:ascii="Cambria" w:hAnsi="Cambria"/>
        </w:rPr>
        <w:t xml:space="preserve">cuerdo de Superintendente </w:t>
      </w:r>
      <w:r w:rsidRPr="00984BF8">
        <w:rPr>
          <w:rFonts w:ascii="Cambria" w:hAnsi="Cambria" w:cstheme="minorHAnsi"/>
          <w:bCs/>
          <w:lang w:val="es-CR"/>
        </w:rPr>
        <w:t xml:space="preserve">SGS-A-0057-2017 define un plazo </w:t>
      </w:r>
      <w:r w:rsidRPr="00984BF8">
        <w:rPr>
          <w:rFonts w:ascii="Cambria" w:hAnsi="Cambria"/>
        </w:rPr>
        <w:t xml:space="preserve">máximo de veinte días hábiles para que la Superintendencia se pronuncie, por lo que debe ampliarse para este proceso específico, con el objetivo de que sea consistente con las disposiciones definidas en el </w:t>
      </w:r>
      <w:r w:rsidRPr="00984BF8">
        <w:rPr>
          <w:rFonts w:ascii="Cambria" w:hAnsi="Cambria" w:cstheme="minorHAnsi"/>
          <w:lang w:val="es-CR"/>
        </w:rPr>
        <w:t>Decreto Ejecutivo.</w:t>
      </w:r>
    </w:p>
    <w:p w14:paraId="6296EEEF" w14:textId="77777777" w:rsidR="00CB099E" w:rsidRDefault="00CB099E" w:rsidP="00CB099E">
      <w:pPr>
        <w:jc w:val="both"/>
        <w:rPr>
          <w:rFonts w:ascii="Cambria" w:hAnsi="Cambria"/>
        </w:rPr>
      </w:pPr>
    </w:p>
    <w:p w14:paraId="535923CF" w14:textId="77777777" w:rsidR="00CB099E" w:rsidRPr="00984BF8" w:rsidRDefault="00CB099E" w:rsidP="00CB099E">
      <w:pPr>
        <w:jc w:val="both"/>
        <w:rPr>
          <w:rFonts w:ascii="Cambria" w:hAnsi="Cambria"/>
        </w:rPr>
      </w:pPr>
      <w:r w:rsidRPr="00984BF8">
        <w:rPr>
          <w:rFonts w:ascii="Cambria" w:hAnsi="Cambria" w:cstheme="minorHAnsi"/>
          <w:b/>
          <w:bCs/>
        </w:rPr>
        <w:t xml:space="preserve">Consideraciones sobre la remisión de requerimientos para el cálculo de la suficiencia patrimonial de intermediarios de seguros </w:t>
      </w:r>
      <w:r w:rsidRPr="00984BF8">
        <w:rPr>
          <w:rFonts w:ascii="Cambria" w:hAnsi="Cambria" w:cstheme="minorHAnsi"/>
          <w:b/>
          <w:bCs/>
          <w:lang w:val="es-CR"/>
        </w:rPr>
        <w:t>pertenecientes a grupos o conglomerados financieros.</w:t>
      </w:r>
    </w:p>
    <w:p w14:paraId="1DBFA600" w14:textId="77777777" w:rsidR="00CB099E" w:rsidRDefault="00CB099E" w:rsidP="00CB099E">
      <w:pPr>
        <w:jc w:val="both"/>
        <w:rPr>
          <w:rFonts w:ascii="Cambria" w:hAnsi="Cambria"/>
        </w:rPr>
      </w:pPr>
    </w:p>
    <w:p w14:paraId="5C5013C2" w14:textId="77777777" w:rsidR="00CB099E" w:rsidRPr="00984BF8" w:rsidRDefault="00CB099E" w:rsidP="00CB099E">
      <w:pPr>
        <w:pStyle w:val="Prrafodelista"/>
        <w:numPr>
          <w:ilvl w:val="0"/>
          <w:numId w:val="1"/>
        </w:numPr>
        <w:jc w:val="both"/>
        <w:rPr>
          <w:rFonts w:ascii="Cambria" w:hAnsi="Cambria"/>
        </w:rPr>
      </w:pPr>
      <w:r w:rsidRPr="00984BF8">
        <w:rPr>
          <w:rFonts w:ascii="Cambria" w:hAnsi="Cambria"/>
        </w:rPr>
        <w:t xml:space="preserve">La Ley Orgánica del Banco Central de Costa Rica (Ley N° 7558) y sus reformas, contienen un conjunto de normas para la organización y el funcionamiento de los grupos y conglomerados financieros.  Esas normas constituyen un marco general, cuya reglamentación, corresponde al Consejo Nacional de Supervisión del Sistema Financiero (CONASSIF) y es fundamental para la consecución del objetivo de procurar un sistema financiero estable y solvente.  </w:t>
      </w:r>
    </w:p>
    <w:p w14:paraId="0712D771" w14:textId="77777777" w:rsidR="00CB099E" w:rsidRDefault="00CB099E" w:rsidP="00CB099E">
      <w:pPr>
        <w:jc w:val="both"/>
        <w:rPr>
          <w:rFonts w:ascii="Cambria" w:hAnsi="Cambria"/>
        </w:rPr>
      </w:pPr>
    </w:p>
    <w:p w14:paraId="78DFB4FB" w14:textId="77777777" w:rsidR="00CB099E" w:rsidRPr="00984BF8" w:rsidRDefault="00CB099E" w:rsidP="00CB099E">
      <w:pPr>
        <w:pStyle w:val="Prrafodelista"/>
        <w:numPr>
          <w:ilvl w:val="0"/>
          <w:numId w:val="1"/>
        </w:numPr>
        <w:jc w:val="both"/>
        <w:rPr>
          <w:rFonts w:ascii="Cambria" w:hAnsi="Cambria"/>
        </w:rPr>
      </w:pPr>
      <w:r w:rsidRPr="00984BF8">
        <w:rPr>
          <w:rFonts w:ascii="Cambria" w:hAnsi="Cambria"/>
        </w:rPr>
        <w:t xml:space="preserve">Mediante los artículos 7 y 10 de las actas de las sesiones 1275-2016 y 1276-2016 del 30 de agosto del 2016 el CONASSIF aprobó el </w:t>
      </w:r>
      <w:r w:rsidRPr="00984BF8">
        <w:rPr>
          <w:rFonts w:ascii="Cambria" w:hAnsi="Cambria"/>
          <w:i/>
          <w:iCs/>
        </w:rPr>
        <w:t>Reglamento sobre Suficiencia Patrimonial de Grupos y Conglomerados Financieros</w:t>
      </w:r>
      <w:r w:rsidRPr="00984BF8">
        <w:rPr>
          <w:rFonts w:ascii="Cambria" w:hAnsi="Cambria"/>
        </w:rPr>
        <w:t xml:space="preserve"> (Acuerdo CONASSIF 3-16), el cual establece la metodología para calcular la suficiencia patrimonial de los grupos y </w:t>
      </w:r>
      <w:r w:rsidRPr="00984BF8">
        <w:rPr>
          <w:rFonts w:ascii="Cambria" w:hAnsi="Cambria"/>
        </w:rPr>
        <w:lastRenderedPageBreak/>
        <w:t xml:space="preserve">conglomerados financieros supervisados, y el proceso a seguir en caso de situaciones de déficit patrimonial del grupo o conglomerado financiero.  </w:t>
      </w:r>
      <w:bookmarkStart w:id="0" w:name="_Hlk119051464"/>
      <w:r w:rsidRPr="00984BF8">
        <w:rPr>
          <w:rFonts w:ascii="Cambria" w:hAnsi="Cambria"/>
        </w:rPr>
        <w:t xml:space="preserve"> Para el caso de las entidades sociedades agencias de seguros y sociedades corredoras de seguros, que formen parte de un grupo o conglomerado financiero, donde no se tiene una regulación específica sobre suficiencia de capital, los artículos 5, 6 y 10 del Reglamento en cita, disponen el procedimiento para definir </w:t>
      </w:r>
      <w:bookmarkEnd w:id="0"/>
      <w:r w:rsidRPr="00984BF8">
        <w:rPr>
          <w:rFonts w:ascii="Cambria" w:hAnsi="Cambria"/>
        </w:rPr>
        <w:t>el capital base y el capital regulatorio, para efectos de determinar el superávit o déficit patrimonial.</w:t>
      </w:r>
    </w:p>
    <w:p w14:paraId="392F0475" w14:textId="77777777" w:rsidR="00CB099E" w:rsidRPr="00984BF8" w:rsidRDefault="00CB099E" w:rsidP="00CB099E">
      <w:pPr>
        <w:pStyle w:val="Prrafodelista"/>
        <w:rPr>
          <w:rFonts w:ascii="Cambria" w:hAnsi="Cambria"/>
        </w:rPr>
      </w:pPr>
    </w:p>
    <w:p w14:paraId="5BCADF55" w14:textId="77777777" w:rsidR="00CB099E" w:rsidRPr="00984BF8" w:rsidRDefault="00CB099E" w:rsidP="00CB099E">
      <w:pPr>
        <w:pStyle w:val="Prrafodelista"/>
        <w:numPr>
          <w:ilvl w:val="0"/>
          <w:numId w:val="1"/>
        </w:numPr>
        <w:jc w:val="both"/>
        <w:rPr>
          <w:rFonts w:ascii="Cambria" w:hAnsi="Cambria"/>
        </w:rPr>
      </w:pPr>
      <w:r w:rsidRPr="00984BF8">
        <w:rPr>
          <w:rFonts w:ascii="Cambria" w:hAnsi="Cambria"/>
        </w:rPr>
        <w:t xml:space="preserve">Mediante los artículos 5 y 6 de las actas de las sesiones 1759-2022 y 1760-2022, del 26 de setiembre del 2022 el CONASSIF aprobó el </w:t>
      </w:r>
      <w:r w:rsidRPr="00984BF8">
        <w:rPr>
          <w:rFonts w:ascii="Cambria" w:hAnsi="Cambria"/>
          <w:i/>
          <w:iCs/>
        </w:rPr>
        <w:t>Reglamento sobre Supervisión Consolidada</w:t>
      </w:r>
      <w:r w:rsidRPr="00984BF8">
        <w:rPr>
          <w:rFonts w:ascii="Cambria" w:hAnsi="Cambria"/>
        </w:rPr>
        <w:t xml:space="preserve"> (Acuerdo CONASSIF 16-22), el cual establece la metodología para medir la fortaleza patrimonial del grupo o conglomerado financiero. Dicha metodología se basa en un enfoque de bloques constructivos, según el cual cada entidad o empresa sujeta a supervisión por el supervisor responsable determina su déficit o superávit de capital según las disposiciones que les sean aplicables; en el caso de las entidades y empresas del grupo o conglomerado financiero, se establece un nivel mínimo de capital que se incorpora en la medición global. Posteriormente, los superávits de capital se ajustan en función de su efectiva disponibilidad para responder por riesgos dentro del grupo o conglomerado financiero. La posición patrimonial global es un elemento de fortaleza o debilidad de la entidad o empresa individual integrante del grupo o conglomerado financiero.</w:t>
      </w:r>
    </w:p>
    <w:p w14:paraId="10E6B020" w14:textId="77777777" w:rsidR="00CB099E" w:rsidRPr="00984BF8" w:rsidRDefault="00CB099E" w:rsidP="00CB099E">
      <w:pPr>
        <w:pStyle w:val="Prrafodelista"/>
        <w:rPr>
          <w:rFonts w:ascii="Cambria" w:hAnsi="Cambria"/>
        </w:rPr>
      </w:pPr>
    </w:p>
    <w:p w14:paraId="7CFF72D8" w14:textId="77777777" w:rsidR="00CB099E" w:rsidRPr="00984BF8" w:rsidRDefault="00CB099E" w:rsidP="00CB099E">
      <w:pPr>
        <w:pStyle w:val="Prrafodelista"/>
        <w:numPr>
          <w:ilvl w:val="0"/>
          <w:numId w:val="1"/>
        </w:numPr>
        <w:jc w:val="both"/>
        <w:rPr>
          <w:rFonts w:ascii="Cambria" w:hAnsi="Cambria"/>
        </w:rPr>
      </w:pPr>
      <w:r w:rsidRPr="00984BF8">
        <w:rPr>
          <w:rFonts w:ascii="Cambria" w:hAnsi="Cambria"/>
        </w:rPr>
        <w:t xml:space="preserve">El </w:t>
      </w:r>
      <w:r w:rsidRPr="00984BF8">
        <w:rPr>
          <w:rFonts w:ascii="Cambria" w:hAnsi="Cambria"/>
          <w:i/>
          <w:iCs/>
        </w:rPr>
        <w:t>Reglamento de Supervisión Consolidada</w:t>
      </w:r>
      <w:r w:rsidRPr="00984BF8">
        <w:rPr>
          <w:rFonts w:ascii="Cambria" w:hAnsi="Cambria"/>
        </w:rPr>
        <w:t xml:space="preserve"> establece la suficiencia patrimonial para un grupo o conglomerado financiero, por lo que debe calcularse el capital base y el requerimiento de capital basado en riesgos de cada entidad supervisada integrante de un grupo o conglomerado financiero, según se establece en los artículos 89, 90 y 94 de dicho cuerpo normativo. El Reglamento en cita renombra el concepto de “capital regulatorio” y, en su lugar, lo denomina “requerimiento de capital basado en riesgos”, no obstante, para los intermediarios de seguros que formen parte de un grupo o conglomerado financiero, el requerimiento se calcula de manera equivalente a lo dispuesto en el Acuerdo CONASSIF 3-16. Por su parte, para las sociedades agencias de seguros y sociedades corredoras, el capital base se calcula de la misma forma que para una entidad de seguros, en lo que aplique, según lo dispuesto en </w:t>
      </w:r>
      <w:r w:rsidRPr="00984BF8">
        <w:rPr>
          <w:rFonts w:ascii="Cambria" w:hAnsi="Cambria"/>
          <w:i/>
          <w:iCs/>
        </w:rPr>
        <w:t>el Reglamento sobre Solvencia de Entidades de Seguros y Reaseguros.</w:t>
      </w:r>
    </w:p>
    <w:p w14:paraId="6EE5C3A6" w14:textId="77777777" w:rsidR="00CB099E" w:rsidRPr="00984BF8" w:rsidRDefault="00CB099E" w:rsidP="00CB099E">
      <w:pPr>
        <w:pStyle w:val="Prrafodelista"/>
        <w:rPr>
          <w:rFonts w:ascii="Cambria" w:hAnsi="Cambria"/>
        </w:rPr>
      </w:pPr>
    </w:p>
    <w:p w14:paraId="7F8FA8D1" w14:textId="77777777" w:rsidR="00CB099E" w:rsidRPr="00984BF8" w:rsidRDefault="00CB099E" w:rsidP="00CB099E">
      <w:pPr>
        <w:pStyle w:val="Prrafodelista"/>
        <w:numPr>
          <w:ilvl w:val="0"/>
          <w:numId w:val="1"/>
        </w:numPr>
        <w:jc w:val="both"/>
        <w:rPr>
          <w:rFonts w:ascii="Cambria" w:hAnsi="Cambria"/>
        </w:rPr>
      </w:pPr>
      <w:r w:rsidRPr="00984BF8">
        <w:rPr>
          <w:rFonts w:ascii="Cambria" w:hAnsi="Cambria"/>
        </w:rPr>
        <w:t xml:space="preserve">De acuerdo con lo aprobado por el CONASSIF mediante los artículos 7 y 10 de las actas de las sesiones 1275-2016 y 1276-2016 el </w:t>
      </w:r>
      <w:r w:rsidRPr="00984BF8">
        <w:rPr>
          <w:rFonts w:ascii="Cambria" w:hAnsi="Cambria"/>
          <w:i/>
          <w:iCs/>
        </w:rPr>
        <w:t>Reglamento sobre Suficiencia Patrimonial de Grupos y Conglomerados Financieros</w:t>
      </w:r>
      <w:r w:rsidRPr="00984BF8">
        <w:rPr>
          <w:rFonts w:ascii="Cambria" w:hAnsi="Cambria"/>
        </w:rPr>
        <w:t xml:space="preserve">, queda derogado a partir del 1° de enero del 2025, cuando entra en vigor el Título IV del </w:t>
      </w:r>
      <w:r w:rsidRPr="00984BF8">
        <w:rPr>
          <w:rFonts w:ascii="Cambria" w:hAnsi="Cambria"/>
          <w:i/>
          <w:iCs/>
        </w:rPr>
        <w:t>Reglamento de Supervisión Consolidada</w:t>
      </w:r>
      <w:r w:rsidRPr="00984BF8">
        <w:rPr>
          <w:rFonts w:ascii="Cambria" w:hAnsi="Cambria"/>
        </w:rPr>
        <w:t xml:space="preserve">. </w:t>
      </w:r>
      <w:r w:rsidRPr="00984BF8">
        <w:rPr>
          <w:rFonts w:ascii="Cambria" w:hAnsi="Cambria"/>
        </w:rPr>
        <w:lastRenderedPageBreak/>
        <w:t xml:space="preserve">En lo atinente al tema, ambos documentos presentan disposiciones equivalentes sobre el cálculo del capital base y del requerimiento de capital basado en riesgos (capital regulatorio, en el Acuerdo CONASSIF 3-16) para intermediarios de seguros, por lo que hay continuidad en la forma de cálculo, en la transición del </w:t>
      </w:r>
      <w:r w:rsidRPr="00984BF8">
        <w:rPr>
          <w:rFonts w:ascii="Cambria" w:hAnsi="Cambria"/>
          <w:i/>
          <w:iCs/>
        </w:rPr>
        <w:t xml:space="preserve">Reglamento sobre Suficiencia Patrimonial de Grupos y Conglomerados Financieros </w:t>
      </w:r>
      <w:r w:rsidRPr="00984BF8">
        <w:rPr>
          <w:rFonts w:ascii="Cambria" w:hAnsi="Cambria"/>
        </w:rPr>
        <w:t xml:space="preserve">derogado hacia la entrada en vigor del Título IV del </w:t>
      </w:r>
      <w:r w:rsidRPr="00984BF8">
        <w:rPr>
          <w:rFonts w:ascii="Cambria" w:hAnsi="Cambria"/>
          <w:i/>
          <w:iCs/>
        </w:rPr>
        <w:t>Reglamento de Supervisión Consolidada.</w:t>
      </w:r>
    </w:p>
    <w:p w14:paraId="454C6152" w14:textId="77777777" w:rsidR="00CB099E" w:rsidRPr="00984BF8" w:rsidRDefault="00CB099E" w:rsidP="00CB099E">
      <w:pPr>
        <w:pStyle w:val="Prrafodelista"/>
        <w:rPr>
          <w:rFonts w:ascii="Cambria" w:hAnsi="Cambria"/>
        </w:rPr>
      </w:pPr>
    </w:p>
    <w:p w14:paraId="1E3E6952" w14:textId="77777777" w:rsidR="00CB099E" w:rsidRPr="00984BF8" w:rsidRDefault="00CB099E" w:rsidP="00CB099E">
      <w:pPr>
        <w:pStyle w:val="Prrafodelista"/>
        <w:numPr>
          <w:ilvl w:val="0"/>
          <w:numId w:val="1"/>
        </w:numPr>
        <w:jc w:val="both"/>
        <w:rPr>
          <w:rFonts w:ascii="Cambria" w:hAnsi="Cambria"/>
        </w:rPr>
      </w:pPr>
      <w:r w:rsidRPr="00984BF8">
        <w:rPr>
          <w:rFonts w:ascii="Cambria" w:hAnsi="Cambria"/>
        </w:rPr>
        <w:t xml:space="preserve">El supervisor responsable requiere de información de cada uno de los integrantes del grupo o conglomerado financiero, para efectos de lograr una efectiva supervisión consolidada y dicha información es adecuado que sea requerida por el supervisor natural a las entidades supervisadas que forman parte del grupo o conglomerado.  Lo anterior hace necesario establecer la obligación de presentar la información pertinente para dar cumplimiento a los objetivos legales; razón por la cual se requiere plantear un formulario que recopile la información detallada sobre la suficiencia patrimonial de intermediarios de seguros que pertenecen a grupos o conglomerados financieros. Este formulario debe ser incorporado en el </w:t>
      </w:r>
      <w:r w:rsidRPr="00984BF8">
        <w:rPr>
          <w:rFonts w:ascii="Cambria" w:hAnsi="Cambria" w:cstheme="minorHAnsi"/>
          <w:lang w:val="es-CR"/>
        </w:rPr>
        <w:t>A</w:t>
      </w:r>
      <w:r w:rsidRPr="00984BF8">
        <w:rPr>
          <w:rFonts w:ascii="Cambria" w:hAnsi="Cambria" w:cstheme="minorHAnsi"/>
          <w:bCs/>
          <w:lang w:val="es-CR"/>
        </w:rPr>
        <w:t xml:space="preserve">cuerdo de Superintendente SGS-DES-A-021-2013, </w:t>
      </w:r>
      <w:r w:rsidRPr="00984BF8">
        <w:rPr>
          <w:rFonts w:ascii="Cambria" w:hAnsi="Cambria" w:cstheme="minorHAnsi"/>
          <w:bCs/>
          <w:i/>
          <w:iCs/>
          <w:lang w:val="es-CR"/>
        </w:rPr>
        <w:t>Disposiciones para la Remisión de la Información Contable y Estadística a la Superintendencia General de Seguros por parte de las Entidades Supervisadas.</w:t>
      </w:r>
    </w:p>
    <w:p w14:paraId="5B5B4328" w14:textId="77777777" w:rsidR="00CB099E" w:rsidRPr="0011547B" w:rsidRDefault="00CB099E" w:rsidP="00CB099E">
      <w:pPr>
        <w:pStyle w:val="Prrafodelista"/>
        <w:rPr>
          <w:rFonts w:ascii="Cambria" w:hAnsi="Cambria"/>
        </w:rPr>
      </w:pPr>
    </w:p>
    <w:p w14:paraId="572C439A" w14:textId="77777777" w:rsidR="00CB099E" w:rsidRPr="00293A6B" w:rsidRDefault="00CB099E" w:rsidP="00CB099E">
      <w:pPr>
        <w:pStyle w:val="Prrafodelista"/>
        <w:numPr>
          <w:ilvl w:val="0"/>
          <w:numId w:val="1"/>
        </w:numPr>
        <w:jc w:val="both"/>
        <w:rPr>
          <w:rFonts w:ascii="Cambria" w:hAnsi="Cambria"/>
        </w:rPr>
      </w:pPr>
      <w:r w:rsidRPr="00293A6B">
        <w:rPr>
          <w:rFonts w:ascii="Cambria" w:hAnsi="Cambria"/>
        </w:rPr>
        <w:t>La Intendente de Seguros a.i., mediante oficio SGS-0908-2022 del 06 de diciembre de 2022, en acatamiento del artículo 361, numeral 2, de la Ley General de Administración Pública, envió a consulta de las entidades supervisadas el proyecto de acuerdo denominado “Modificaciones a los acuerdos SGS-A-021-2013 y SGS-A-0057-2017, para normar la remisión de la certificación de los ingresos brutos totales y requerimientos para el cálculo de la suficiencia patrimonial de intermediarios de seguros pertenecientes a grupos o conglomerados financieros” por un plazo de diez días hábiles. Una vez recibidas y analizadas las observaciones de las entidades que atendieron la consulta, lo que procede es la emisión definitiva del acuerdo por parte del Superintendente de Seguros.</w:t>
      </w:r>
    </w:p>
    <w:p w14:paraId="582A3E44" w14:textId="77777777" w:rsidR="00CB099E" w:rsidRDefault="00CB099E" w:rsidP="00CB099E">
      <w:pPr>
        <w:pStyle w:val="Prrafodelista"/>
        <w:jc w:val="center"/>
        <w:rPr>
          <w:rFonts w:ascii="Cambria" w:hAnsi="Cambria"/>
          <w:b/>
          <w:bCs/>
        </w:rPr>
      </w:pPr>
    </w:p>
    <w:p w14:paraId="67A38FF1" w14:textId="77777777" w:rsidR="00CB099E" w:rsidRDefault="00CB099E" w:rsidP="00CB099E">
      <w:pPr>
        <w:pStyle w:val="Prrafodelista"/>
        <w:jc w:val="center"/>
        <w:rPr>
          <w:rFonts w:ascii="Cambria" w:hAnsi="Cambria"/>
          <w:b/>
          <w:bCs/>
        </w:rPr>
      </w:pPr>
    </w:p>
    <w:p w14:paraId="08D5F735" w14:textId="77777777" w:rsidR="00CB099E" w:rsidRDefault="00CB099E" w:rsidP="00CB099E">
      <w:pPr>
        <w:pStyle w:val="Prrafodelista"/>
        <w:ind w:left="0"/>
        <w:jc w:val="center"/>
        <w:rPr>
          <w:rFonts w:ascii="Cambria" w:hAnsi="Cambria"/>
          <w:b/>
          <w:bCs/>
        </w:rPr>
      </w:pPr>
      <w:r w:rsidRPr="005F57C8">
        <w:rPr>
          <w:rFonts w:ascii="Cambria" w:hAnsi="Cambria"/>
          <w:b/>
          <w:bCs/>
        </w:rPr>
        <w:t>Dispone:</w:t>
      </w:r>
    </w:p>
    <w:p w14:paraId="137959E3" w14:textId="77777777" w:rsidR="00CB099E" w:rsidRDefault="00CB099E" w:rsidP="00CB099E">
      <w:pPr>
        <w:pStyle w:val="Prrafodelista"/>
        <w:ind w:left="0"/>
        <w:jc w:val="center"/>
        <w:rPr>
          <w:rFonts w:ascii="Cambria" w:hAnsi="Cambria"/>
          <w:b/>
          <w:bCs/>
        </w:rPr>
      </w:pPr>
    </w:p>
    <w:p w14:paraId="317A24B2" w14:textId="77777777" w:rsidR="00CB099E" w:rsidRPr="005F57C8" w:rsidRDefault="00CB099E" w:rsidP="00CB099E">
      <w:pPr>
        <w:pStyle w:val="Prrafodelista"/>
        <w:numPr>
          <w:ilvl w:val="0"/>
          <w:numId w:val="2"/>
        </w:numPr>
        <w:ind w:left="426"/>
        <w:jc w:val="both"/>
        <w:rPr>
          <w:rFonts w:ascii="Cambria" w:hAnsi="Cambria"/>
        </w:rPr>
      </w:pPr>
      <w:r w:rsidRPr="005F57C8">
        <w:rPr>
          <w:rFonts w:ascii="Cambria" w:hAnsi="Cambria" w:cstheme="minorHAnsi"/>
          <w:bCs/>
          <w:lang w:val="es-CR"/>
        </w:rPr>
        <w:t xml:space="preserve">Modificar el Acuerdo de Superintendente SGS-DES-A-021-2013, </w:t>
      </w:r>
      <w:r w:rsidRPr="005F57C8">
        <w:rPr>
          <w:rFonts w:ascii="Cambria" w:hAnsi="Cambria" w:cstheme="minorHAnsi"/>
          <w:bCs/>
          <w:i/>
          <w:iCs/>
          <w:lang w:val="es-CR"/>
        </w:rPr>
        <w:t>Disposiciones para la Remisión de la Información Contable y Estadística a la Superintendencia General de Seguros por parte de las Entidades Supervisadas</w:t>
      </w:r>
      <w:r w:rsidRPr="005F57C8">
        <w:rPr>
          <w:rFonts w:ascii="Cambria" w:hAnsi="Cambria" w:cstheme="minorHAnsi"/>
          <w:bCs/>
          <w:lang w:val="es-CR"/>
        </w:rPr>
        <w:t>, según se indica a continuación:</w:t>
      </w:r>
    </w:p>
    <w:p w14:paraId="35DE823A" w14:textId="77777777" w:rsidR="00CB099E" w:rsidRDefault="00CB099E" w:rsidP="00CB099E">
      <w:pPr>
        <w:jc w:val="both"/>
        <w:rPr>
          <w:rFonts w:ascii="Cambria" w:hAnsi="Cambria"/>
        </w:rPr>
      </w:pPr>
    </w:p>
    <w:p w14:paraId="3436C270" w14:textId="77777777" w:rsidR="00CB099E" w:rsidRPr="005F57C8" w:rsidRDefault="00CB099E" w:rsidP="00CB099E">
      <w:pPr>
        <w:pStyle w:val="Prrafodelista"/>
        <w:numPr>
          <w:ilvl w:val="0"/>
          <w:numId w:val="3"/>
        </w:numPr>
        <w:ind w:left="851"/>
        <w:jc w:val="both"/>
        <w:rPr>
          <w:rFonts w:ascii="Cambria" w:hAnsi="Cambria"/>
        </w:rPr>
      </w:pPr>
      <w:bookmarkStart w:id="1" w:name="_Hlk121217445"/>
      <w:r w:rsidRPr="005F57C8">
        <w:rPr>
          <w:rFonts w:ascii="Cambria" w:hAnsi="Cambria"/>
          <w:color w:val="000000"/>
        </w:rPr>
        <w:lastRenderedPageBreak/>
        <w:t xml:space="preserve">Incorporar la siguiente fila como penúltima de la tabla del </w:t>
      </w:r>
      <w:r w:rsidRPr="005F57C8">
        <w:rPr>
          <w:rFonts w:ascii="Cambria" w:hAnsi="Cambria"/>
          <w:i/>
          <w:iCs/>
          <w:color w:val="000000"/>
        </w:rPr>
        <w:t>Artículo 2. Información que deben Enviar las Entidades de Seguros, Periodicidad, Plazo y Medio de Remisión</w:t>
      </w:r>
      <w:r w:rsidRPr="005F57C8">
        <w:rPr>
          <w:rFonts w:ascii="Cambria" w:hAnsi="Cambria"/>
          <w:color w:val="000000"/>
        </w:rPr>
        <w:t>, para que en adelante se lea:</w:t>
      </w:r>
    </w:p>
    <w:p w14:paraId="33CE1496" w14:textId="77777777" w:rsidR="00CB099E" w:rsidRPr="00DA0A18" w:rsidRDefault="00CB099E" w:rsidP="00CB099E">
      <w:pPr>
        <w:jc w:val="both"/>
        <w:rPr>
          <w:rFonts w:ascii="Cambria" w:hAnsi="Cambria"/>
        </w:rPr>
      </w:pPr>
    </w:p>
    <w:tbl>
      <w:tblPr>
        <w:tblStyle w:val="Tablaconcuadrcula"/>
        <w:tblW w:w="8502" w:type="dxa"/>
        <w:tblInd w:w="846" w:type="dxa"/>
        <w:tblLook w:val="04A0" w:firstRow="1" w:lastRow="0" w:firstColumn="1" w:lastColumn="0" w:noHBand="0" w:noVBand="1"/>
      </w:tblPr>
      <w:tblGrid>
        <w:gridCol w:w="2412"/>
        <w:gridCol w:w="1701"/>
        <w:gridCol w:w="1558"/>
        <w:gridCol w:w="2831"/>
      </w:tblGrid>
      <w:tr w:rsidR="00CB099E" w:rsidRPr="001778E0" w14:paraId="608F8DA4" w14:textId="77777777" w:rsidTr="00456BED">
        <w:trPr>
          <w:cantSplit/>
        </w:trPr>
        <w:tc>
          <w:tcPr>
            <w:tcW w:w="1418" w:type="pct"/>
            <w:shd w:val="clear" w:color="auto" w:fill="BFBFBF" w:themeFill="background1" w:themeFillShade="BF"/>
            <w:vAlign w:val="center"/>
          </w:tcPr>
          <w:p w14:paraId="03F8866D" w14:textId="77777777" w:rsidR="00CB099E" w:rsidRPr="009021BE" w:rsidRDefault="00CB099E" w:rsidP="00456BED">
            <w:pPr>
              <w:widowControl w:val="0"/>
              <w:jc w:val="both"/>
              <w:rPr>
                <w:rFonts w:ascii="Cambria" w:hAnsi="Cambria"/>
                <w:b/>
                <w:i/>
                <w:color w:val="0070C0"/>
                <w:sz w:val="22"/>
                <w:szCs w:val="22"/>
              </w:rPr>
            </w:pPr>
            <w:r w:rsidRPr="009021BE">
              <w:rPr>
                <w:rFonts w:ascii="Cambria" w:hAnsi="Cambria"/>
                <w:b/>
                <w:i/>
                <w:snapToGrid w:val="0"/>
                <w:sz w:val="22"/>
                <w:szCs w:val="22"/>
              </w:rPr>
              <w:t>Información</w:t>
            </w:r>
          </w:p>
        </w:tc>
        <w:tc>
          <w:tcPr>
            <w:tcW w:w="1000" w:type="pct"/>
            <w:shd w:val="clear" w:color="auto" w:fill="BFBFBF" w:themeFill="background1" w:themeFillShade="BF"/>
            <w:vAlign w:val="center"/>
          </w:tcPr>
          <w:p w14:paraId="7049C575" w14:textId="77777777" w:rsidR="00CB099E" w:rsidRPr="009021BE" w:rsidRDefault="00CB099E" w:rsidP="00456BED">
            <w:pPr>
              <w:widowControl w:val="0"/>
              <w:jc w:val="both"/>
              <w:rPr>
                <w:rFonts w:ascii="Cambria" w:hAnsi="Cambria"/>
                <w:b/>
                <w:i/>
                <w:color w:val="0070C0"/>
                <w:sz w:val="22"/>
                <w:szCs w:val="22"/>
              </w:rPr>
            </w:pPr>
            <w:r w:rsidRPr="009021BE">
              <w:rPr>
                <w:rFonts w:ascii="Cambria" w:hAnsi="Cambria"/>
                <w:b/>
                <w:i/>
                <w:sz w:val="22"/>
                <w:szCs w:val="22"/>
              </w:rPr>
              <w:t>Periodicidad</w:t>
            </w:r>
          </w:p>
        </w:tc>
        <w:tc>
          <w:tcPr>
            <w:tcW w:w="916" w:type="pct"/>
            <w:shd w:val="clear" w:color="auto" w:fill="BFBFBF" w:themeFill="background1" w:themeFillShade="BF"/>
            <w:vAlign w:val="center"/>
          </w:tcPr>
          <w:p w14:paraId="59290CBE" w14:textId="77777777" w:rsidR="00CB099E" w:rsidRPr="009021BE" w:rsidRDefault="00CB099E" w:rsidP="00456BED">
            <w:pPr>
              <w:widowControl w:val="0"/>
              <w:jc w:val="both"/>
              <w:rPr>
                <w:rFonts w:ascii="Cambria" w:hAnsi="Cambria"/>
                <w:b/>
                <w:i/>
                <w:color w:val="0070C0"/>
                <w:sz w:val="22"/>
                <w:szCs w:val="22"/>
              </w:rPr>
            </w:pPr>
            <w:r w:rsidRPr="009021BE">
              <w:rPr>
                <w:rFonts w:ascii="Cambria" w:hAnsi="Cambria"/>
                <w:b/>
                <w:i/>
                <w:snapToGrid w:val="0"/>
                <w:sz w:val="22"/>
                <w:szCs w:val="22"/>
              </w:rPr>
              <w:t>Plazo de entrega</w:t>
            </w:r>
          </w:p>
        </w:tc>
        <w:tc>
          <w:tcPr>
            <w:tcW w:w="1665" w:type="pct"/>
            <w:shd w:val="clear" w:color="auto" w:fill="BFBFBF" w:themeFill="background1" w:themeFillShade="BF"/>
            <w:vAlign w:val="center"/>
          </w:tcPr>
          <w:p w14:paraId="16DABCF4" w14:textId="77777777" w:rsidR="00CB099E" w:rsidRPr="009021BE" w:rsidRDefault="00CB099E" w:rsidP="00456BED">
            <w:pPr>
              <w:widowControl w:val="0"/>
              <w:jc w:val="both"/>
              <w:rPr>
                <w:rFonts w:ascii="Cambria" w:hAnsi="Cambria"/>
                <w:b/>
                <w:i/>
                <w:color w:val="0070C0"/>
                <w:sz w:val="22"/>
                <w:szCs w:val="22"/>
              </w:rPr>
            </w:pPr>
            <w:r w:rsidRPr="009021BE">
              <w:rPr>
                <w:rFonts w:ascii="Cambria" w:hAnsi="Cambria"/>
                <w:b/>
                <w:i/>
                <w:snapToGrid w:val="0"/>
                <w:sz w:val="22"/>
                <w:szCs w:val="22"/>
              </w:rPr>
              <w:t>Medio</w:t>
            </w:r>
          </w:p>
        </w:tc>
      </w:tr>
      <w:tr w:rsidR="00CB099E" w:rsidRPr="001778E0" w14:paraId="6D4FC8DD" w14:textId="77777777" w:rsidTr="00456BED">
        <w:trPr>
          <w:cantSplit/>
        </w:trPr>
        <w:tc>
          <w:tcPr>
            <w:tcW w:w="1418" w:type="pct"/>
            <w:shd w:val="clear" w:color="auto" w:fill="auto"/>
          </w:tcPr>
          <w:p w14:paraId="7E39C4D6" w14:textId="77777777" w:rsidR="00CB099E" w:rsidRPr="009021BE" w:rsidRDefault="00CB099E" w:rsidP="00456BED">
            <w:pPr>
              <w:widowControl w:val="0"/>
              <w:jc w:val="both"/>
              <w:rPr>
                <w:rFonts w:ascii="Cambria" w:hAnsi="Cambria"/>
                <w:bCs/>
                <w:i/>
                <w:sz w:val="22"/>
                <w:szCs w:val="22"/>
              </w:rPr>
            </w:pPr>
            <w:r w:rsidRPr="009021BE">
              <w:rPr>
                <w:rFonts w:ascii="Cambria" w:hAnsi="Cambria"/>
                <w:bCs/>
                <w:i/>
                <w:sz w:val="22"/>
                <w:szCs w:val="22"/>
              </w:rPr>
              <w:t>(…)</w:t>
            </w:r>
          </w:p>
        </w:tc>
        <w:tc>
          <w:tcPr>
            <w:tcW w:w="1000" w:type="pct"/>
            <w:shd w:val="clear" w:color="auto" w:fill="auto"/>
          </w:tcPr>
          <w:p w14:paraId="0941340A" w14:textId="77777777" w:rsidR="00CB099E" w:rsidRPr="009021BE" w:rsidRDefault="00CB099E" w:rsidP="00456BED">
            <w:pPr>
              <w:widowControl w:val="0"/>
              <w:jc w:val="both"/>
              <w:rPr>
                <w:rFonts w:ascii="Cambria" w:hAnsi="Cambria"/>
                <w:bCs/>
                <w:i/>
                <w:sz w:val="22"/>
                <w:szCs w:val="22"/>
              </w:rPr>
            </w:pPr>
            <w:r w:rsidRPr="009021BE">
              <w:rPr>
                <w:rFonts w:ascii="Cambria" w:hAnsi="Cambria"/>
                <w:bCs/>
                <w:i/>
                <w:sz w:val="22"/>
                <w:szCs w:val="22"/>
              </w:rPr>
              <w:t>(…)</w:t>
            </w:r>
          </w:p>
        </w:tc>
        <w:tc>
          <w:tcPr>
            <w:tcW w:w="916" w:type="pct"/>
            <w:shd w:val="clear" w:color="auto" w:fill="auto"/>
          </w:tcPr>
          <w:p w14:paraId="2576257F" w14:textId="77777777" w:rsidR="00CB099E" w:rsidRPr="009021BE" w:rsidRDefault="00CB099E" w:rsidP="00456BED">
            <w:pPr>
              <w:widowControl w:val="0"/>
              <w:jc w:val="both"/>
              <w:rPr>
                <w:rFonts w:ascii="Cambria" w:hAnsi="Cambria"/>
                <w:bCs/>
                <w:i/>
                <w:sz w:val="22"/>
                <w:szCs w:val="22"/>
              </w:rPr>
            </w:pPr>
            <w:r w:rsidRPr="009021BE">
              <w:rPr>
                <w:rFonts w:ascii="Cambria" w:hAnsi="Cambria"/>
                <w:bCs/>
                <w:i/>
                <w:sz w:val="22"/>
                <w:szCs w:val="22"/>
              </w:rPr>
              <w:t>(…)</w:t>
            </w:r>
          </w:p>
        </w:tc>
        <w:tc>
          <w:tcPr>
            <w:tcW w:w="1665" w:type="pct"/>
            <w:shd w:val="clear" w:color="auto" w:fill="auto"/>
          </w:tcPr>
          <w:p w14:paraId="40894603" w14:textId="77777777" w:rsidR="00CB099E" w:rsidRPr="009021BE" w:rsidRDefault="00CB099E" w:rsidP="00456BED">
            <w:pPr>
              <w:widowControl w:val="0"/>
              <w:jc w:val="both"/>
              <w:rPr>
                <w:rFonts w:ascii="Cambria" w:hAnsi="Cambria"/>
                <w:bCs/>
                <w:i/>
                <w:sz w:val="22"/>
                <w:szCs w:val="22"/>
              </w:rPr>
            </w:pPr>
            <w:r w:rsidRPr="009021BE">
              <w:rPr>
                <w:rFonts w:ascii="Cambria" w:hAnsi="Cambria"/>
                <w:bCs/>
                <w:i/>
                <w:sz w:val="22"/>
                <w:szCs w:val="22"/>
              </w:rPr>
              <w:t>(…)</w:t>
            </w:r>
          </w:p>
        </w:tc>
      </w:tr>
      <w:tr w:rsidR="00CB099E" w:rsidRPr="001778E0" w14:paraId="53374637" w14:textId="77777777" w:rsidTr="00456BED">
        <w:trPr>
          <w:cantSplit/>
        </w:trPr>
        <w:tc>
          <w:tcPr>
            <w:tcW w:w="1418" w:type="pct"/>
            <w:shd w:val="clear" w:color="auto" w:fill="auto"/>
          </w:tcPr>
          <w:p w14:paraId="28D9B614" w14:textId="77777777" w:rsidR="00CB099E" w:rsidRPr="009021BE" w:rsidRDefault="00CB099E" w:rsidP="00456BED">
            <w:pPr>
              <w:widowControl w:val="0"/>
              <w:jc w:val="both"/>
              <w:rPr>
                <w:rFonts w:ascii="Cambria" w:hAnsi="Cambria"/>
                <w:b/>
                <w:i/>
                <w:sz w:val="22"/>
                <w:szCs w:val="22"/>
              </w:rPr>
            </w:pPr>
            <w:r w:rsidRPr="009021BE">
              <w:rPr>
                <w:rFonts w:ascii="Cambria" w:hAnsi="Cambria"/>
                <w:b/>
                <w:i/>
                <w:sz w:val="22"/>
                <w:szCs w:val="22"/>
              </w:rPr>
              <w:t>Certificación de ingresos brutos</w:t>
            </w:r>
          </w:p>
        </w:tc>
        <w:tc>
          <w:tcPr>
            <w:tcW w:w="1000" w:type="pct"/>
            <w:shd w:val="clear" w:color="auto" w:fill="auto"/>
          </w:tcPr>
          <w:p w14:paraId="432AF768" w14:textId="77777777" w:rsidR="00CB099E" w:rsidRPr="009021BE" w:rsidRDefault="00CB099E" w:rsidP="00456BED">
            <w:pPr>
              <w:widowControl w:val="0"/>
              <w:jc w:val="both"/>
              <w:rPr>
                <w:rFonts w:ascii="Cambria" w:hAnsi="Cambria"/>
                <w:bCs/>
                <w:i/>
                <w:sz w:val="22"/>
                <w:szCs w:val="22"/>
              </w:rPr>
            </w:pPr>
            <w:r w:rsidRPr="009021BE">
              <w:rPr>
                <w:rFonts w:ascii="Cambria" w:hAnsi="Cambria"/>
                <w:bCs/>
                <w:i/>
                <w:sz w:val="22"/>
                <w:szCs w:val="22"/>
              </w:rPr>
              <w:t>Anual</w:t>
            </w:r>
          </w:p>
        </w:tc>
        <w:tc>
          <w:tcPr>
            <w:tcW w:w="916" w:type="pct"/>
            <w:shd w:val="clear" w:color="auto" w:fill="auto"/>
          </w:tcPr>
          <w:p w14:paraId="626217F6" w14:textId="77777777" w:rsidR="00CB099E" w:rsidRPr="009021BE" w:rsidRDefault="00CB099E" w:rsidP="00456BED">
            <w:pPr>
              <w:widowControl w:val="0"/>
              <w:jc w:val="both"/>
              <w:rPr>
                <w:rFonts w:ascii="Cambria" w:hAnsi="Cambria"/>
                <w:bCs/>
                <w:i/>
                <w:sz w:val="22"/>
                <w:szCs w:val="22"/>
              </w:rPr>
            </w:pPr>
            <w:r w:rsidRPr="009021BE">
              <w:rPr>
                <w:rFonts w:ascii="Cambria" w:hAnsi="Cambria"/>
                <w:bCs/>
                <w:i/>
                <w:sz w:val="22"/>
                <w:szCs w:val="22"/>
              </w:rPr>
              <w:t>Cuarenta días hábiles posteriores al</w:t>
            </w:r>
          </w:p>
          <w:p w14:paraId="683E27A2" w14:textId="77777777" w:rsidR="00CB099E" w:rsidRPr="009021BE" w:rsidRDefault="00CB099E" w:rsidP="00456BED">
            <w:pPr>
              <w:widowControl w:val="0"/>
              <w:jc w:val="both"/>
              <w:rPr>
                <w:rFonts w:ascii="Cambria" w:hAnsi="Cambria"/>
                <w:bCs/>
                <w:i/>
                <w:sz w:val="22"/>
                <w:szCs w:val="22"/>
              </w:rPr>
            </w:pPr>
            <w:r w:rsidRPr="009021BE">
              <w:rPr>
                <w:rFonts w:ascii="Cambria" w:hAnsi="Cambria"/>
                <w:bCs/>
                <w:i/>
                <w:sz w:val="22"/>
                <w:szCs w:val="22"/>
              </w:rPr>
              <w:t>cierre anual.</w:t>
            </w:r>
          </w:p>
        </w:tc>
        <w:tc>
          <w:tcPr>
            <w:tcW w:w="1665" w:type="pct"/>
            <w:shd w:val="clear" w:color="auto" w:fill="auto"/>
          </w:tcPr>
          <w:p w14:paraId="338367F1" w14:textId="77777777" w:rsidR="00CB099E" w:rsidRPr="009021BE" w:rsidRDefault="00CB099E" w:rsidP="00456BED">
            <w:pPr>
              <w:widowControl w:val="0"/>
              <w:jc w:val="both"/>
              <w:rPr>
                <w:rFonts w:ascii="Cambria" w:hAnsi="Cambria"/>
                <w:i/>
                <w:sz w:val="22"/>
                <w:szCs w:val="22"/>
              </w:rPr>
            </w:pPr>
            <w:r w:rsidRPr="009021BE">
              <w:rPr>
                <w:rFonts w:ascii="Cambria" w:hAnsi="Cambria"/>
                <w:i/>
                <w:sz w:val="22"/>
                <w:szCs w:val="22"/>
              </w:rPr>
              <w:t>De forma digital mediante requerimiento del servicio de Ejecución de Estudios y Seguimiento (EES) de SUGESE en Línea.</w:t>
            </w:r>
          </w:p>
        </w:tc>
      </w:tr>
      <w:tr w:rsidR="00CB099E" w:rsidRPr="001778E0" w14:paraId="01A936C4" w14:textId="77777777" w:rsidTr="00456BED">
        <w:trPr>
          <w:cantSplit/>
        </w:trPr>
        <w:tc>
          <w:tcPr>
            <w:tcW w:w="1418" w:type="pct"/>
            <w:shd w:val="clear" w:color="auto" w:fill="auto"/>
          </w:tcPr>
          <w:p w14:paraId="0A8D98A1" w14:textId="77777777" w:rsidR="00CB099E" w:rsidRPr="009021BE" w:rsidRDefault="00CB099E" w:rsidP="00456BED">
            <w:pPr>
              <w:widowControl w:val="0"/>
              <w:jc w:val="both"/>
              <w:rPr>
                <w:rFonts w:ascii="Cambria" w:hAnsi="Cambria"/>
                <w:b/>
                <w:i/>
                <w:sz w:val="22"/>
                <w:szCs w:val="22"/>
              </w:rPr>
            </w:pPr>
            <w:r w:rsidRPr="009021BE">
              <w:rPr>
                <w:rFonts w:ascii="Cambria" w:hAnsi="Cambria"/>
                <w:bCs/>
                <w:i/>
                <w:sz w:val="22"/>
                <w:szCs w:val="22"/>
              </w:rPr>
              <w:t>(…)</w:t>
            </w:r>
          </w:p>
        </w:tc>
        <w:tc>
          <w:tcPr>
            <w:tcW w:w="1000" w:type="pct"/>
            <w:shd w:val="clear" w:color="auto" w:fill="auto"/>
          </w:tcPr>
          <w:p w14:paraId="75251A7F" w14:textId="77777777" w:rsidR="00CB099E" w:rsidRPr="009021BE" w:rsidRDefault="00CB099E" w:rsidP="00456BED">
            <w:pPr>
              <w:widowControl w:val="0"/>
              <w:jc w:val="both"/>
              <w:rPr>
                <w:rFonts w:ascii="Cambria" w:hAnsi="Cambria"/>
                <w:bCs/>
                <w:i/>
                <w:sz w:val="22"/>
                <w:szCs w:val="22"/>
              </w:rPr>
            </w:pPr>
            <w:r w:rsidRPr="009021BE">
              <w:rPr>
                <w:rFonts w:ascii="Cambria" w:hAnsi="Cambria"/>
                <w:bCs/>
                <w:i/>
                <w:sz w:val="22"/>
                <w:szCs w:val="22"/>
              </w:rPr>
              <w:t>(…)</w:t>
            </w:r>
          </w:p>
        </w:tc>
        <w:tc>
          <w:tcPr>
            <w:tcW w:w="916" w:type="pct"/>
            <w:shd w:val="clear" w:color="auto" w:fill="auto"/>
          </w:tcPr>
          <w:p w14:paraId="2B767B51" w14:textId="77777777" w:rsidR="00CB099E" w:rsidRPr="009021BE" w:rsidRDefault="00CB099E" w:rsidP="00456BED">
            <w:pPr>
              <w:widowControl w:val="0"/>
              <w:jc w:val="both"/>
              <w:rPr>
                <w:rFonts w:ascii="Cambria" w:hAnsi="Cambria"/>
                <w:bCs/>
                <w:i/>
                <w:sz w:val="22"/>
                <w:szCs w:val="22"/>
              </w:rPr>
            </w:pPr>
            <w:r w:rsidRPr="009021BE">
              <w:rPr>
                <w:rFonts w:ascii="Cambria" w:hAnsi="Cambria"/>
                <w:bCs/>
                <w:i/>
                <w:sz w:val="22"/>
                <w:szCs w:val="22"/>
              </w:rPr>
              <w:t>(…)</w:t>
            </w:r>
          </w:p>
        </w:tc>
        <w:tc>
          <w:tcPr>
            <w:tcW w:w="1665" w:type="pct"/>
            <w:shd w:val="clear" w:color="auto" w:fill="auto"/>
          </w:tcPr>
          <w:p w14:paraId="7B658B98" w14:textId="77777777" w:rsidR="00CB099E" w:rsidRPr="009021BE" w:rsidRDefault="00CB099E" w:rsidP="00456BED">
            <w:pPr>
              <w:widowControl w:val="0"/>
              <w:jc w:val="both"/>
              <w:rPr>
                <w:rFonts w:ascii="Cambria" w:hAnsi="Cambria"/>
                <w:i/>
                <w:sz w:val="22"/>
                <w:szCs w:val="22"/>
              </w:rPr>
            </w:pPr>
            <w:r w:rsidRPr="009021BE">
              <w:rPr>
                <w:rFonts w:ascii="Cambria" w:hAnsi="Cambria"/>
                <w:bCs/>
                <w:i/>
                <w:sz w:val="22"/>
                <w:szCs w:val="22"/>
              </w:rPr>
              <w:t>(…)</w:t>
            </w:r>
          </w:p>
        </w:tc>
      </w:tr>
    </w:tbl>
    <w:p w14:paraId="53A6AA16" w14:textId="77777777" w:rsidR="00CB099E" w:rsidRDefault="00CB099E" w:rsidP="00CB099E">
      <w:pPr>
        <w:jc w:val="both"/>
        <w:rPr>
          <w:rFonts w:ascii="Cambria" w:hAnsi="Cambria"/>
        </w:rPr>
      </w:pPr>
    </w:p>
    <w:p w14:paraId="3BD7E044" w14:textId="77777777" w:rsidR="00CB099E" w:rsidRDefault="00CB099E" w:rsidP="00CB099E">
      <w:pPr>
        <w:pStyle w:val="Prrafodelista"/>
        <w:numPr>
          <w:ilvl w:val="0"/>
          <w:numId w:val="3"/>
        </w:numPr>
        <w:ind w:left="851"/>
        <w:jc w:val="both"/>
        <w:rPr>
          <w:rFonts w:ascii="Cambria" w:hAnsi="Cambria"/>
          <w:color w:val="000000"/>
        </w:rPr>
      </w:pPr>
      <w:r w:rsidRPr="005F57C8">
        <w:rPr>
          <w:rFonts w:ascii="Cambria" w:hAnsi="Cambria"/>
          <w:color w:val="000000"/>
        </w:rPr>
        <w:t>Incorporar el siguiente texto como tercer párrafo del artículo 2:</w:t>
      </w:r>
    </w:p>
    <w:p w14:paraId="63C36093" w14:textId="77777777" w:rsidR="00CB099E" w:rsidRPr="00DA0A18" w:rsidRDefault="00CB099E" w:rsidP="00CB099E">
      <w:pPr>
        <w:jc w:val="both"/>
        <w:rPr>
          <w:rFonts w:ascii="Cambria" w:hAnsi="Cambria"/>
          <w:color w:val="000000"/>
        </w:rPr>
      </w:pPr>
    </w:p>
    <w:p w14:paraId="595CD95E" w14:textId="77777777" w:rsidR="00CB099E" w:rsidRDefault="00CB099E" w:rsidP="00CB099E">
      <w:pPr>
        <w:pStyle w:val="Prrafodelista"/>
        <w:ind w:left="851"/>
        <w:jc w:val="both"/>
        <w:rPr>
          <w:rFonts w:ascii="Cambria" w:hAnsi="Cambria"/>
          <w:i/>
          <w:iCs/>
          <w:color w:val="000000"/>
        </w:rPr>
      </w:pPr>
      <w:r w:rsidRPr="005F57C8">
        <w:rPr>
          <w:rFonts w:ascii="Cambria" w:hAnsi="Cambria"/>
          <w:i/>
          <w:iCs/>
          <w:color w:val="000000"/>
        </w:rPr>
        <w:t>“La certificación de ingresos brutos deberá presentarse en la misma fecha en que se remita el informe que contiene la opinión de razonabilidad de los estados financieros auditados, pero deberán ser documentos independientes entre sí.”</w:t>
      </w:r>
    </w:p>
    <w:bookmarkEnd w:id="1"/>
    <w:p w14:paraId="5A0BCF8D" w14:textId="77777777" w:rsidR="00CB099E" w:rsidRPr="00DA0A18" w:rsidRDefault="00CB099E" w:rsidP="00CB099E">
      <w:pPr>
        <w:jc w:val="both"/>
        <w:rPr>
          <w:rFonts w:ascii="Cambria" w:hAnsi="Cambria"/>
          <w:color w:val="000000"/>
        </w:rPr>
      </w:pPr>
    </w:p>
    <w:p w14:paraId="12263D5A" w14:textId="77777777" w:rsidR="00CB099E" w:rsidRDefault="00CB099E" w:rsidP="00CB099E">
      <w:pPr>
        <w:pStyle w:val="Prrafodelista"/>
        <w:numPr>
          <w:ilvl w:val="0"/>
          <w:numId w:val="3"/>
        </w:numPr>
        <w:ind w:left="851"/>
        <w:jc w:val="both"/>
        <w:rPr>
          <w:rFonts w:ascii="Cambria" w:hAnsi="Cambria"/>
        </w:rPr>
      </w:pPr>
      <w:r w:rsidRPr="005F57C8">
        <w:rPr>
          <w:rFonts w:ascii="Cambria" w:hAnsi="Cambria"/>
        </w:rPr>
        <w:t xml:space="preserve">Incorporar las siguientes filas como antepenúltima y última, respectivamente, de la tabla del </w:t>
      </w:r>
      <w:r w:rsidRPr="005F57C8">
        <w:rPr>
          <w:rFonts w:ascii="Cambria" w:hAnsi="Cambria"/>
          <w:i/>
          <w:iCs/>
        </w:rPr>
        <w:t>Artículo 3. Información que deben enviar los Intermediarios de Seguros, Periodicidad, Plazo y Medio de Remisión</w:t>
      </w:r>
      <w:r w:rsidRPr="005F57C8">
        <w:rPr>
          <w:rFonts w:ascii="Cambria" w:hAnsi="Cambria"/>
        </w:rPr>
        <w:t>, para que en adelante se lea:</w:t>
      </w:r>
    </w:p>
    <w:p w14:paraId="600C531A" w14:textId="77777777" w:rsidR="00CB099E" w:rsidRDefault="00CB099E" w:rsidP="00CB099E">
      <w:pPr>
        <w:spacing w:after="200" w:line="276" w:lineRule="auto"/>
        <w:rPr>
          <w:rFonts w:ascii="Cambria" w:hAnsi="Cambria"/>
        </w:rPr>
      </w:pPr>
      <w:r>
        <w:rPr>
          <w:rFonts w:ascii="Cambria" w:hAnsi="Cambria"/>
        </w:rPr>
        <w:br w:type="page"/>
      </w:r>
    </w:p>
    <w:p w14:paraId="53DCE921" w14:textId="77777777" w:rsidR="00CB099E" w:rsidRDefault="00CB099E" w:rsidP="00CB099E">
      <w:pPr>
        <w:jc w:val="both"/>
        <w:rPr>
          <w:rFonts w:ascii="Cambria" w:hAnsi="Cambria"/>
        </w:rPr>
      </w:pPr>
    </w:p>
    <w:tbl>
      <w:tblPr>
        <w:tblStyle w:val="Tablaconcuadrcula"/>
        <w:tblW w:w="8505" w:type="dxa"/>
        <w:tblInd w:w="846" w:type="dxa"/>
        <w:tblLook w:val="04A0" w:firstRow="1" w:lastRow="0" w:firstColumn="1" w:lastColumn="0" w:noHBand="0" w:noVBand="1"/>
      </w:tblPr>
      <w:tblGrid>
        <w:gridCol w:w="2410"/>
        <w:gridCol w:w="1712"/>
        <w:gridCol w:w="1543"/>
        <w:gridCol w:w="2840"/>
      </w:tblGrid>
      <w:tr w:rsidR="00CB099E" w:rsidRPr="001778E0" w14:paraId="07C6B109" w14:textId="77777777" w:rsidTr="00456BED">
        <w:tc>
          <w:tcPr>
            <w:tcW w:w="2410" w:type="dxa"/>
            <w:shd w:val="clear" w:color="auto" w:fill="BFBFBF" w:themeFill="background1" w:themeFillShade="BF"/>
            <w:vAlign w:val="center"/>
          </w:tcPr>
          <w:p w14:paraId="5CE88B47" w14:textId="77777777" w:rsidR="00CB099E" w:rsidRPr="009021BE" w:rsidRDefault="00CB099E" w:rsidP="00456BED">
            <w:pPr>
              <w:widowControl w:val="0"/>
              <w:rPr>
                <w:rFonts w:ascii="Cambria" w:hAnsi="Cambria"/>
                <w:b/>
                <w:bCs/>
                <w:i/>
                <w:sz w:val="22"/>
                <w:szCs w:val="22"/>
              </w:rPr>
            </w:pPr>
            <w:r w:rsidRPr="009021BE">
              <w:rPr>
                <w:rFonts w:ascii="Cambria" w:hAnsi="Cambria"/>
                <w:b/>
                <w:i/>
                <w:snapToGrid w:val="0"/>
                <w:sz w:val="22"/>
                <w:szCs w:val="22"/>
              </w:rPr>
              <w:t>Información</w:t>
            </w:r>
          </w:p>
        </w:tc>
        <w:tc>
          <w:tcPr>
            <w:tcW w:w="1712" w:type="dxa"/>
            <w:shd w:val="clear" w:color="auto" w:fill="BFBFBF" w:themeFill="background1" w:themeFillShade="BF"/>
            <w:vAlign w:val="center"/>
          </w:tcPr>
          <w:p w14:paraId="6033F909" w14:textId="77777777" w:rsidR="00CB099E" w:rsidRPr="009021BE" w:rsidRDefault="00CB099E" w:rsidP="00456BED">
            <w:pPr>
              <w:widowControl w:val="0"/>
              <w:ind w:left="94"/>
              <w:jc w:val="both"/>
              <w:rPr>
                <w:rFonts w:ascii="Cambria" w:hAnsi="Cambria" w:cstheme="minorHAnsi"/>
                <w:i/>
                <w:snapToGrid w:val="0"/>
                <w:sz w:val="22"/>
                <w:szCs w:val="22"/>
              </w:rPr>
            </w:pPr>
            <w:r w:rsidRPr="009021BE">
              <w:rPr>
                <w:rFonts w:ascii="Cambria" w:hAnsi="Cambria"/>
                <w:b/>
                <w:i/>
                <w:sz w:val="22"/>
                <w:szCs w:val="22"/>
              </w:rPr>
              <w:t>Periodicidad</w:t>
            </w:r>
          </w:p>
        </w:tc>
        <w:tc>
          <w:tcPr>
            <w:tcW w:w="1543" w:type="dxa"/>
            <w:shd w:val="clear" w:color="auto" w:fill="BFBFBF" w:themeFill="background1" w:themeFillShade="BF"/>
            <w:vAlign w:val="center"/>
          </w:tcPr>
          <w:p w14:paraId="44E5AABB" w14:textId="77777777" w:rsidR="00CB099E" w:rsidRPr="009021BE" w:rsidRDefault="00CB099E" w:rsidP="00456BED">
            <w:pPr>
              <w:widowControl w:val="0"/>
              <w:jc w:val="both"/>
              <w:rPr>
                <w:rFonts w:ascii="Cambria" w:hAnsi="Cambria"/>
                <w:i/>
                <w:sz w:val="22"/>
                <w:szCs w:val="22"/>
              </w:rPr>
            </w:pPr>
            <w:r w:rsidRPr="009021BE">
              <w:rPr>
                <w:rFonts w:ascii="Cambria" w:hAnsi="Cambria"/>
                <w:b/>
                <w:i/>
                <w:snapToGrid w:val="0"/>
                <w:sz w:val="22"/>
                <w:szCs w:val="22"/>
              </w:rPr>
              <w:t>Plazo de entrega</w:t>
            </w:r>
          </w:p>
        </w:tc>
        <w:tc>
          <w:tcPr>
            <w:tcW w:w="2840" w:type="dxa"/>
            <w:shd w:val="clear" w:color="auto" w:fill="BFBFBF" w:themeFill="background1" w:themeFillShade="BF"/>
            <w:vAlign w:val="center"/>
          </w:tcPr>
          <w:p w14:paraId="39D3A751" w14:textId="77777777" w:rsidR="00CB099E" w:rsidRPr="009021BE" w:rsidRDefault="00CB099E" w:rsidP="00456BED">
            <w:pPr>
              <w:widowControl w:val="0"/>
              <w:jc w:val="both"/>
              <w:rPr>
                <w:rFonts w:ascii="Cambria" w:hAnsi="Cambria"/>
                <w:i/>
                <w:sz w:val="22"/>
                <w:szCs w:val="22"/>
              </w:rPr>
            </w:pPr>
            <w:r w:rsidRPr="009021BE">
              <w:rPr>
                <w:rFonts w:ascii="Cambria" w:hAnsi="Cambria"/>
                <w:b/>
                <w:i/>
                <w:snapToGrid w:val="0"/>
                <w:sz w:val="22"/>
                <w:szCs w:val="22"/>
              </w:rPr>
              <w:t>Medio</w:t>
            </w:r>
          </w:p>
        </w:tc>
      </w:tr>
      <w:tr w:rsidR="00CB099E" w:rsidRPr="001778E0" w14:paraId="095913CC" w14:textId="77777777" w:rsidTr="00456BED">
        <w:tc>
          <w:tcPr>
            <w:tcW w:w="2410" w:type="dxa"/>
            <w:shd w:val="clear" w:color="auto" w:fill="auto"/>
            <w:vAlign w:val="center"/>
          </w:tcPr>
          <w:p w14:paraId="6C825B3E" w14:textId="77777777" w:rsidR="00CB099E" w:rsidRPr="009021BE" w:rsidRDefault="00CB099E" w:rsidP="00456BED">
            <w:pPr>
              <w:widowControl w:val="0"/>
              <w:rPr>
                <w:rFonts w:ascii="Cambria" w:hAnsi="Cambria"/>
                <w:b/>
                <w:i/>
                <w:snapToGrid w:val="0"/>
                <w:sz w:val="22"/>
                <w:szCs w:val="22"/>
              </w:rPr>
            </w:pPr>
            <w:r w:rsidRPr="009021BE">
              <w:rPr>
                <w:rFonts w:ascii="Cambria" w:hAnsi="Cambria"/>
                <w:i/>
                <w:sz w:val="22"/>
                <w:szCs w:val="22"/>
              </w:rPr>
              <w:t>(…)</w:t>
            </w:r>
          </w:p>
        </w:tc>
        <w:tc>
          <w:tcPr>
            <w:tcW w:w="1712" w:type="dxa"/>
            <w:shd w:val="clear" w:color="auto" w:fill="auto"/>
            <w:vAlign w:val="center"/>
          </w:tcPr>
          <w:p w14:paraId="5FF34378" w14:textId="77777777" w:rsidR="00CB099E" w:rsidRPr="009021BE" w:rsidRDefault="00CB099E" w:rsidP="00456BED">
            <w:pPr>
              <w:widowControl w:val="0"/>
              <w:ind w:left="94"/>
              <w:jc w:val="both"/>
              <w:rPr>
                <w:rFonts w:ascii="Cambria" w:hAnsi="Cambria"/>
                <w:b/>
                <w:i/>
                <w:sz w:val="22"/>
                <w:szCs w:val="22"/>
              </w:rPr>
            </w:pPr>
            <w:r w:rsidRPr="009021BE">
              <w:rPr>
                <w:rFonts w:ascii="Cambria" w:hAnsi="Cambria"/>
                <w:i/>
                <w:sz w:val="22"/>
                <w:szCs w:val="22"/>
              </w:rPr>
              <w:t>(…)</w:t>
            </w:r>
          </w:p>
        </w:tc>
        <w:tc>
          <w:tcPr>
            <w:tcW w:w="1543" w:type="dxa"/>
            <w:shd w:val="clear" w:color="auto" w:fill="auto"/>
            <w:vAlign w:val="center"/>
          </w:tcPr>
          <w:p w14:paraId="12704CCE" w14:textId="77777777" w:rsidR="00CB099E" w:rsidRPr="009021BE" w:rsidRDefault="00CB099E" w:rsidP="00456BED">
            <w:pPr>
              <w:widowControl w:val="0"/>
              <w:jc w:val="both"/>
              <w:rPr>
                <w:rFonts w:ascii="Cambria" w:hAnsi="Cambria"/>
                <w:b/>
                <w:i/>
                <w:snapToGrid w:val="0"/>
                <w:sz w:val="22"/>
                <w:szCs w:val="22"/>
              </w:rPr>
            </w:pPr>
            <w:r w:rsidRPr="009021BE">
              <w:rPr>
                <w:rFonts w:ascii="Cambria" w:hAnsi="Cambria"/>
                <w:i/>
                <w:sz w:val="22"/>
                <w:szCs w:val="22"/>
              </w:rPr>
              <w:t>(…)</w:t>
            </w:r>
          </w:p>
        </w:tc>
        <w:tc>
          <w:tcPr>
            <w:tcW w:w="2840" w:type="dxa"/>
            <w:shd w:val="clear" w:color="auto" w:fill="auto"/>
            <w:vAlign w:val="center"/>
          </w:tcPr>
          <w:p w14:paraId="793F3820" w14:textId="77777777" w:rsidR="00CB099E" w:rsidRPr="009021BE" w:rsidRDefault="00CB099E" w:rsidP="00456BED">
            <w:pPr>
              <w:widowControl w:val="0"/>
              <w:jc w:val="both"/>
              <w:rPr>
                <w:rFonts w:ascii="Cambria" w:hAnsi="Cambria"/>
                <w:b/>
                <w:i/>
                <w:snapToGrid w:val="0"/>
                <w:sz w:val="22"/>
                <w:szCs w:val="22"/>
              </w:rPr>
            </w:pPr>
            <w:r w:rsidRPr="009021BE">
              <w:rPr>
                <w:rFonts w:ascii="Cambria" w:hAnsi="Cambria"/>
                <w:i/>
                <w:sz w:val="22"/>
                <w:szCs w:val="22"/>
              </w:rPr>
              <w:t>(…)</w:t>
            </w:r>
          </w:p>
        </w:tc>
      </w:tr>
      <w:tr w:rsidR="00CB099E" w:rsidRPr="001778E0" w14:paraId="2A6EB9AA" w14:textId="77777777" w:rsidTr="00456BED">
        <w:tc>
          <w:tcPr>
            <w:tcW w:w="2410" w:type="dxa"/>
          </w:tcPr>
          <w:p w14:paraId="39592970" w14:textId="77777777" w:rsidR="00CB099E" w:rsidRPr="009021BE" w:rsidRDefault="00CB099E" w:rsidP="00456BED">
            <w:pPr>
              <w:widowControl w:val="0"/>
              <w:rPr>
                <w:rFonts w:ascii="Cambria" w:hAnsi="Cambria"/>
                <w:i/>
                <w:sz w:val="22"/>
                <w:szCs w:val="22"/>
              </w:rPr>
            </w:pPr>
            <w:r w:rsidRPr="009021BE">
              <w:rPr>
                <w:rFonts w:ascii="Cambria" w:hAnsi="Cambria"/>
                <w:b/>
                <w:bCs/>
                <w:i/>
                <w:sz w:val="22"/>
                <w:szCs w:val="22"/>
              </w:rPr>
              <w:t xml:space="preserve">Modelo 2: Suficiencia Patrimonial de </w:t>
            </w:r>
            <w:r w:rsidRPr="009021BE">
              <w:rPr>
                <w:rFonts w:ascii="Cambria" w:hAnsi="Cambria" w:cstheme="minorHAnsi"/>
                <w:b/>
                <w:bCs/>
                <w:i/>
                <w:snapToGrid w:val="0"/>
                <w:sz w:val="22"/>
                <w:szCs w:val="22"/>
              </w:rPr>
              <w:t>Sociedades Corredoras y Sociedades Agencias pertenecientes a grupos o conglomerados financieros</w:t>
            </w:r>
          </w:p>
        </w:tc>
        <w:tc>
          <w:tcPr>
            <w:tcW w:w="1712" w:type="dxa"/>
          </w:tcPr>
          <w:p w14:paraId="2C978D99" w14:textId="77777777" w:rsidR="00CB099E" w:rsidRPr="009021BE" w:rsidRDefault="00CB099E" w:rsidP="00456BED">
            <w:pPr>
              <w:widowControl w:val="0"/>
              <w:ind w:left="94"/>
              <w:jc w:val="both"/>
              <w:rPr>
                <w:rFonts w:ascii="Cambria" w:hAnsi="Cambria" w:cstheme="minorHAnsi"/>
                <w:i/>
                <w:snapToGrid w:val="0"/>
                <w:sz w:val="22"/>
                <w:szCs w:val="22"/>
              </w:rPr>
            </w:pPr>
            <w:r w:rsidRPr="009021BE">
              <w:rPr>
                <w:rFonts w:ascii="Cambria" w:hAnsi="Cambria" w:cstheme="minorHAnsi"/>
                <w:b/>
                <w:bCs/>
                <w:i/>
                <w:snapToGrid w:val="0"/>
                <w:sz w:val="22"/>
                <w:szCs w:val="22"/>
              </w:rPr>
              <w:t>Trimestral</w:t>
            </w:r>
          </w:p>
        </w:tc>
        <w:tc>
          <w:tcPr>
            <w:tcW w:w="1543" w:type="dxa"/>
          </w:tcPr>
          <w:p w14:paraId="4D1FED3D" w14:textId="77777777" w:rsidR="00CB099E" w:rsidRPr="009021BE" w:rsidRDefault="00CB099E" w:rsidP="00456BED">
            <w:pPr>
              <w:widowControl w:val="0"/>
              <w:jc w:val="both"/>
              <w:rPr>
                <w:rFonts w:ascii="Cambria" w:hAnsi="Cambria" w:cstheme="minorHAnsi"/>
                <w:i/>
                <w:snapToGrid w:val="0"/>
                <w:sz w:val="22"/>
                <w:szCs w:val="22"/>
              </w:rPr>
            </w:pPr>
            <w:r w:rsidRPr="009021BE">
              <w:rPr>
                <w:rFonts w:ascii="Cambria" w:hAnsi="Cambria" w:cstheme="minorHAnsi"/>
                <w:i/>
                <w:snapToGrid w:val="0"/>
                <w:sz w:val="22"/>
                <w:szCs w:val="22"/>
              </w:rPr>
              <w:t>15 días hábiles después del cierre de los meses de marzo, junio, setiembre y diciembre.</w:t>
            </w:r>
          </w:p>
        </w:tc>
        <w:tc>
          <w:tcPr>
            <w:tcW w:w="2840" w:type="dxa"/>
          </w:tcPr>
          <w:p w14:paraId="5CDD2203" w14:textId="77777777" w:rsidR="00CB099E" w:rsidRPr="009021BE" w:rsidRDefault="00CB099E" w:rsidP="00456BED">
            <w:pPr>
              <w:widowControl w:val="0"/>
              <w:jc w:val="both"/>
              <w:rPr>
                <w:rFonts w:ascii="Cambria" w:hAnsi="Cambria" w:cstheme="minorHAnsi"/>
                <w:i/>
                <w:snapToGrid w:val="0"/>
                <w:sz w:val="22"/>
                <w:szCs w:val="22"/>
              </w:rPr>
            </w:pPr>
            <w:r w:rsidRPr="009021BE">
              <w:rPr>
                <w:rFonts w:ascii="Cambria" w:hAnsi="Cambria" w:cstheme="minorHAnsi"/>
                <w:i/>
                <w:sz w:val="22"/>
                <w:szCs w:val="22"/>
              </w:rPr>
              <w:t xml:space="preserve">Formularios web dispuestos en la plataforma SUGESE en línea, disponible en el sitio web de SUGESE, de conformidad con el Estándar de Negocio para Intermediarios de Seguros, incluido en el </w:t>
            </w:r>
            <w:r w:rsidRPr="009021BE">
              <w:rPr>
                <w:rFonts w:ascii="Cambria" w:hAnsi="Cambria" w:cstheme="minorHAnsi"/>
                <w:b/>
                <w:bCs/>
                <w:i/>
                <w:sz w:val="22"/>
                <w:szCs w:val="22"/>
              </w:rPr>
              <w:t>Anexo 8</w:t>
            </w:r>
            <w:r w:rsidRPr="009021BE">
              <w:rPr>
                <w:rFonts w:ascii="Cambria" w:hAnsi="Cambria" w:cstheme="minorHAnsi"/>
                <w:i/>
                <w:snapToGrid w:val="0"/>
                <w:sz w:val="22"/>
                <w:szCs w:val="22"/>
              </w:rPr>
              <w:t>.</w:t>
            </w:r>
          </w:p>
        </w:tc>
      </w:tr>
      <w:tr w:rsidR="00CB099E" w:rsidRPr="001778E0" w14:paraId="6E4B07D7" w14:textId="77777777" w:rsidTr="00456BED">
        <w:tc>
          <w:tcPr>
            <w:tcW w:w="2410" w:type="dxa"/>
            <w:vAlign w:val="center"/>
          </w:tcPr>
          <w:p w14:paraId="74D569CC" w14:textId="77777777" w:rsidR="00CB099E" w:rsidRPr="009021BE" w:rsidRDefault="00CB099E" w:rsidP="00456BED">
            <w:pPr>
              <w:widowControl w:val="0"/>
              <w:rPr>
                <w:rFonts w:ascii="Cambria" w:hAnsi="Cambria"/>
                <w:i/>
                <w:sz w:val="22"/>
                <w:szCs w:val="22"/>
              </w:rPr>
            </w:pPr>
            <w:r w:rsidRPr="009021BE">
              <w:rPr>
                <w:rFonts w:ascii="Cambria" w:hAnsi="Cambria"/>
                <w:i/>
                <w:sz w:val="22"/>
                <w:szCs w:val="22"/>
              </w:rPr>
              <w:t>(…)</w:t>
            </w:r>
          </w:p>
        </w:tc>
        <w:tc>
          <w:tcPr>
            <w:tcW w:w="1712" w:type="dxa"/>
            <w:vAlign w:val="center"/>
          </w:tcPr>
          <w:p w14:paraId="3A48BC68" w14:textId="77777777" w:rsidR="00CB099E" w:rsidRPr="009021BE" w:rsidRDefault="00CB099E" w:rsidP="00456BED">
            <w:pPr>
              <w:widowControl w:val="0"/>
              <w:ind w:left="94"/>
              <w:jc w:val="both"/>
              <w:rPr>
                <w:rFonts w:ascii="Cambria" w:hAnsi="Cambria"/>
                <w:i/>
                <w:sz w:val="22"/>
                <w:szCs w:val="22"/>
              </w:rPr>
            </w:pPr>
            <w:r w:rsidRPr="009021BE">
              <w:rPr>
                <w:rFonts w:ascii="Cambria" w:hAnsi="Cambria"/>
                <w:i/>
                <w:sz w:val="22"/>
                <w:szCs w:val="22"/>
              </w:rPr>
              <w:t>(…)</w:t>
            </w:r>
          </w:p>
        </w:tc>
        <w:tc>
          <w:tcPr>
            <w:tcW w:w="1543" w:type="dxa"/>
            <w:vAlign w:val="center"/>
          </w:tcPr>
          <w:p w14:paraId="1370C105" w14:textId="77777777" w:rsidR="00CB099E" w:rsidRPr="009021BE" w:rsidRDefault="00CB099E" w:rsidP="00456BED">
            <w:pPr>
              <w:widowControl w:val="0"/>
              <w:jc w:val="both"/>
              <w:rPr>
                <w:rFonts w:ascii="Cambria" w:hAnsi="Cambria"/>
                <w:i/>
                <w:sz w:val="22"/>
                <w:szCs w:val="22"/>
              </w:rPr>
            </w:pPr>
            <w:r w:rsidRPr="009021BE">
              <w:rPr>
                <w:rFonts w:ascii="Cambria" w:hAnsi="Cambria"/>
                <w:i/>
                <w:sz w:val="22"/>
                <w:szCs w:val="22"/>
              </w:rPr>
              <w:t>(…)</w:t>
            </w:r>
          </w:p>
        </w:tc>
        <w:tc>
          <w:tcPr>
            <w:tcW w:w="2840" w:type="dxa"/>
            <w:vAlign w:val="center"/>
          </w:tcPr>
          <w:p w14:paraId="67A98B1F" w14:textId="77777777" w:rsidR="00CB099E" w:rsidRPr="009021BE" w:rsidRDefault="00CB099E" w:rsidP="00456BED">
            <w:pPr>
              <w:widowControl w:val="0"/>
              <w:jc w:val="both"/>
              <w:rPr>
                <w:rFonts w:ascii="Cambria" w:hAnsi="Cambria"/>
                <w:i/>
                <w:sz w:val="22"/>
                <w:szCs w:val="22"/>
              </w:rPr>
            </w:pPr>
            <w:r w:rsidRPr="009021BE">
              <w:rPr>
                <w:rFonts w:ascii="Cambria" w:hAnsi="Cambria"/>
                <w:i/>
                <w:sz w:val="22"/>
                <w:szCs w:val="22"/>
              </w:rPr>
              <w:t>(…)</w:t>
            </w:r>
          </w:p>
        </w:tc>
      </w:tr>
      <w:tr w:rsidR="00CB099E" w:rsidRPr="001778E0" w14:paraId="1BA68CDE" w14:textId="77777777" w:rsidTr="00456BED">
        <w:tc>
          <w:tcPr>
            <w:tcW w:w="2410" w:type="dxa"/>
            <w:vAlign w:val="center"/>
          </w:tcPr>
          <w:p w14:paraId="4F78AC4E" w14:textId="77777777" w:rsidR="00CB099E" w:rsidRPr="009021BE" w:rsidRDefault="00CB099E" w:rsidP="00456BED">
            <w:pPr>
              <w:widowControl w:val="0"/>
              <w:rPr>
                <w:rFonts w:ascii="Cambria" w:hAnsi="Cambria"/>
                <w:b/>
                <w:bCs/>
                <w:i/>
                <w:sz w:val="22"/>
                <w:szCs w:val="22"/>
              </w:rPr>
            </w:pPr>
            <w:r w:rsidRPr="009021BE">
              <w:rPr>
                <w:rFonts w:ascii="Cambria" w:hAnsi="Cambria"/>
                <w:b/>
                <w:bCs/>
                <w:i/>
                <w:sz w:val="22"/>
                <w:szCs w:val="22"/>
              </w:rPr>
              <w:t>Certificación de ingresos brutos</w:t>
            </w:r>
          </w:p>
        </w:tc>
        <w:tc>
          <w:tcPr>
            <w:tcW w:w="1712" w:type="dxa"/>
            <w:vAlign w:val="center"/>
          </w:tcPr>
          <w:p w14:paraId="63770712" w14:textId="77777777" w:rsidR="00CB099E" w:rsidRPr="009021BE" w:rsidRDefault="00CB099E" w:rsidP="00456BED">
            <w:pPr>
              <w:widowControl w:val="0"/>
              <w:ind w:left="94"/>
              <w:jc w:val="both"/>
              <w:rPr>
                <w:rFonts w:ascii="Cambria" w:hAnsi="Cambria" w:cstheme="minorHAnsi"/>
                <w:i/>
                <w:snapToGrid w:val="0"/>
                <w:sz w:val="22"/>
                <w:szCs w:val="22"/>
              </w:rPr>
            </w:pPr>
            <w:r w:rsidRPr="009021BE">
              <w:rPr>
                <w:rFonts w:ascii="Cambria" w:hAnsi="Cambria" w:cstheme="minorHAnsi"/>
                <w:i/>
                <w:snapToGrid w:val="0"/>
                <w:sz w:val="22"/>
                <w:szCs w:val="22"/>
              </w:rPr>
              <w:t>Anual</w:t>
            </w:r>
          </w:p>
        </w:tc>
        <w:tc>
          <w:tcPr>
            <w:tcW w:w="1543" w:type="dxa"/>
            <w:vAlign w:val="center"/>
          </w:tcPr>
          <w:p w14:paraId="68573C77" w14:textId="77777777" w:rsidR="00CB099E" w:rsidRPr="009021BE" w:rsidRDefault="00CB099E" w:rsidP="00456BED">
            <w:pPr>
              <w:widowControl w:val="0"/>
              <w:jc w:val="both"/>
              <w:rPr>
                <w:rFonts w:ascii="Cambria" w:hAnsi="Cambria"/>
                <w:i/>
                <w:sz w:val="22"/>
                <w:szCs w:val="22"/>
              </w:rPr>
            </w:pPr>
            <w:r w:rsidRPr="009021BE">
              <w:rPr>
                <w:rFonts w:ascii="Cambria" w:hAnsi="Cambria"/>
                <w:i/>
                <w:sz w:val="22"/>
                <w:szCs w:val="22"/>
              </w:rPr>
              <w:t>Cuarenta días hábiles posteriores al</w:t>
            </w:r>
          </w:p>
          <w:p w14:paraId="75B795E4" w14:textId="77777777" w:rsidR="00CB099E" w:rsidRPr="009021BE" w:rsidRDefault="00CB099E" w:rsidP="00456BED">
            <w:pPr>
              <w:widowControl w:val="0"/>
              <w:jc w:val="both"/>
              <w:rPr>
                <w:rFonts w:ascii="Cambria" w:hAnsi="Cambria"/>
                <w:i/>
                <w:sz w:val="22"/>
                <w:szCs w:val="22"/>
              </w:rPr>
            </w:pPr>
            <w:r w:rsidRPr="009021BE">
              <w:rPr>
                <w:rFonts w:ascii="Cambria" w:hAnsi="Cambria"/>
                <w:i/>
                <w:sz w:val="22"/>
                <w:szCs w:val="22"/>
              </w:rPr>
              <w:t>cierre anual.</w:t>
            </w:r>
          </w:p>
        </w:tc>
        <w:tc>
          <w:tcPr>
            <w:tcW w:w="2840" w:type="dxa"/>
            <w:vAlign w:val="center"/>
          </w:tcPr>
          <w:p w14:paraId="1EFE44EA" w14:textId="77777777" w:rsidR="00CB099E" w:rsidRPr="009021BE" w:rsidRDefault="00CB099E" w:rsidP="00456BED">
            <w:pPr>
              <w:widowControl w:val="0"/>
              <w:jc w:val="both"/>
              <w:rPr>
                <w:rFonts w:ascii="Cambria" w:hAnsi="Cambria"/>
                <w:i/>
                <w:sz w:val="22"/>
                <w:szCs w:val="22"/>
              </w:rPr>
            </w:pPr>
            <w:r w:rsidRPr="009021BE">
              <w:rPr>
                <w:rFonts w:ascii="Cambria" w:hAnsi="Cambria"/>
                <w:i/>
                <w:sz w:val="22"/>
                <w:szCs w:val="22"/>
              </w:rPr>
              <w:t>De forma digital al correo electrónico oficial de la Superintendencia según lo define el acuerdo de firma digital.</w:t>
            </w:r>
          </w:p>
        </w:tc>
      </w:tr>
    </w:tbl>
    <w:p w14:paraId="5F76DB8A" w14:textId="77777777" w:rsidR="00CB099E" w:rsidRPr="005F57C8" w:rsidRDefault="00CB099E" w:rsidP="00CB099E">
      <w:pPr>
        <w:jc w:val="both"/>
        <w:rPr>
          <w:rFonts w:ascii="Cambria" w:hAnsi="Cambria"/>
        </w:rPr>
      </w:pPr>
    </w:p>
    <w:p w14:paraId="6DD1347E" w14:textId="77777777" w:rsidR="00CB099E" w:rsidRDefault="00CB099E" w:rsidP="00CB099E">
      <w:pPr>
        <w:pStyle w:val="Prrafodelista"/>
        <w:numPr>
          <w:ilvl w:val="0"/>
          <w:numId w:val="3"/>
        </w:numPr>
        <w:ind w:left="851"/>
        <w:jc w:val="both"/>
        <w:rPr>
          <w:rFonts w:ascii="Cambria" w:hAnsi="Cambria"/>
          <w:color w:val="000000"/>
        </w:rPr>
      </w:pPr>
      <w:r w:rsidRPr="007E0236">
        <w:rPr>
          <w:rFonts w:ascii="Cambria" w:hAnsi="Cambria"/>
          <w:color w:val="000000"/>
        </w:rPr>
        <w:t>Incorporar el siguiente texto como tercer párrafo del artículo 3:</w:t>
      </w:r>
    </w:p>
    <w:p w14:paraId="0DD7AD2E" w14:textId="77777777" w:rsidR="00CB099E" w:rsidRPr="00DA0A18" w:rsidRDefault="00CB099E" w:rsidP="00CB099E">
      <w:pPr>
        <w:jc w:val="both"/>
        <w:rPr>
          <w:rFonts w:ascii="Cambria" w:hAnsi="Cambria"/>
          <w:color w:val="000000"/>
        </w:rPr>
      </w:pPr>
    </w:p>
    <w:p w14:paraId="261B644D" w14:textId="77777777" w:rsidR="00CB099E" w:rsidRDefault="00CB099E" w:rsidP="00CB099E">
      <w:pPr>
        <w:pStyle w:val="Prrafodelista"/>
        <w:ind w:left="851"/>
        <w:jc w:val="both"/>
        <w:rPr>
          <w:rFonts w:ascii="Cambria" w:hAnsi="Cambria"/>
          <w:i/>
          <w:iCs/>
          <w:color w:val="000000"/>
        </w:rPr>
      </w:pPr>
      <w:r w:rsidRPr="007E0236">
        <w:rPr>
          <w:rFonts w:ascii="Cambria" w:hAnsi="Cambria"/>
          <w:i/>
          <w:iCs/>
          <w:color w:val="000000"/>
        </w:rPr>
        <w:t>“La certificación de ingresos brutos deberá presentarse en la misma fecha en que se remita el informe que contiene la opinión de razonabilidad de los estados financieros auditados, pero deberán ser documentos independientes entre sí.”</w:t>
      </w:r>
    </w:p>
    <w:p w14:paraId="03E3A65B" w14:textId="77777777" w:rsidR="00CB099E" w:rsidRDefault="00CB099E" w:rsidP="00CB099E">
      <w:pPr>
        <w:jc w:val="both"/>
        <w:rPr>
          <w:rFonts w:ascii="Cambria" w:hAnsi="Cambria"/>
          <w:color w:val="000000"/>
        </w:rPr>
      </w:pPr>
    </w:p>
    <w:p w14:paraId="4F71B65E" w14:textId="77777777" w:rsidR="00CB099E" w:rsidRDefault="00CB099E" w:rsidP="00CB099E">
      <w:pPr>
        <w:pStyle w:val="Prrafodelista"/>
        <w:numPr>
          <w:ilvl w:val="0"/>
          <w:numId w:val="3"/>
        </w:numPr>
        <w:ind w:left="851"/>
        <w:jc w:val="both"/>
        <w:rPr>
          <w:rFonts w:ascii="Cambria" w:hAnsi="Cambria" w:cstheme="minorHAnsi"/>
          <w:bCs/>
          <w:lang w:val="es-CR"/>
        </w:rPr>
      </w:pPr>
      <w:r w:rsidRPr="007E0236">
        <w:rPr>
          <w:rFonts w:ascii="Cambria" w:hAnsi="Cambria" w:cstheme="minorHAnsi"/>
          <w:bCs/>
          <w:lang w:val="es-CR"/>
        </w:rPr>
        <w:t>Agregar el siguiente transitorio:</w:t>
      </w:r>
    </w:p>
    <w:p w14:paraId="586E0EA9" w14:textId="77777777" w:rsidR="00CB099E" w:rsidRPr="00DA0A18" w:rsidRDefault="00CB099E" w:rsidP="00CB099E">
      <w:pPr>
        <w:jc w:val="both"/>
        <w:rPr>
          <w:rFonts w:ascii="Cambria" w:hAnsi="Cambria" w:cstheme="minorHAnsi"/>
          <w:bCs/>
          <w:lang w:val="es-CR"/>
        </w:rPr>
      </w:pPr>
    </w:p>
    <w:p w14:paraId="1135536C" w14:textId="77777777" w:rsidR="00CB099E" w:rsidRDefault="00CB099E" w:rsidP="00CB099E">
      <w:pPr>
        <w:pStyle w:val="Prrafodelista"/>
        <w:ind w:left="851"/>
        <w:jc w:val="both"/>
        <w:rPr>
          <w:rFonts w:ascii="Cambria" w:hAnsi="Cambria" w:cstheme="minorHAnsi"/>
          <w:bCs/>
          <w:i/>
          <w:iCs/>
          <w:lang w:val="es-CR"/>
        </w:rPr>
      </w:pPr>
      <w:r w:rsidRPr="001778E0">
        <w:rPr>
          <w:rFonts w:ascii="Cambria" w:hAnsi="Cambria" w:cstheme="minorHAnsi"/>
          <w:bCs/>
          <w:i/>
          <w:iCs/>
          <w:lang w:val="es-CR"/>
        </w:rPr>
        <w:t xml:space="preserve">“Transitorio VII: La información </w:t>
      </w:r>
      <w:r>
        <w:rPr>
          <w:rFonts w:ascii="Cambria" w:hAnsi="Cambria" w:cstheme="minorHAnsi"/>
          <w:bCs/>
          <w:i/>
          <w:iCs/>
          <w:lang w:val="es-CR"/>
        </w:rPr>
        <w:t>d</w:t>
      </w:r>
      <w:r w:rsidRPr="001778E0">
        <w:rPr>
          <w:rFonts w:ascii="Cambria" w:hAnsi="Cambria" w:cstheme="minorHAnsi"/>
          <w:bCs/>
          <w:i/>
          <w:iCs/>
          <w:lang w:val="es-CR"/>
        </w:rPr>
        <w:t>el Modelo 2 del Estándar de Negocio para Intermediarios de Seguros, con corte al 31 de diciembre de 2022, deberá ser enviada por parte de las Sociedades Corredoras y Sociedades Agencias pertenecientes a grupos o conglomerados financieros, mediante un formulario en Excel remitido por la Superintendencia y deberá ser enviado por la entidad al correo oficial de la Superintendencia, según el plazo establecido en el artículo 3. A partir del corte de marzo de 2023, la información del modelo 2, se remitirá por los medios indicados en el artículo 3.</w:t>
      </w:r>
      <w:r>
        <w:rPr>
          <w:rFonts w:ascii="Cambria" w:hAnsi="Cambria" w:cstheme="minorHAnsi"/>
          <w:bCs/>
          <w:i/>
          <w:iCs/>
          <w:lang w:val="es-CR"/>
        </w:rPr>
        <w:t>”</w:t>
      </w:r>
    </w:p>
    <w:p w14:paraId="45CE0A89" w14:textId="77777777" w:rsidR="00CB099E" w:rsidRPr="00DA0A18" w:rsidRDefault="00CB099E" w:rsidP="00CB099E">
      <w:pPr>
        <w:jc w:val="both"/>
        <w:rPr>
          <w:rFonts w:ascii="Cambria" w:hAnsi="Cambria"/>
        </w:rPr>
      </w:pPr>
    </w:p>
    <w:p w14:paraId="0C76FB5F" w14:textId="77777777" w:rsidR="00CB099E" w:rsidRPr="000C66DB" w:rsidRDefault="00CB099E" w:rsidP="00CB099E">
      <w:pPr>
        <w:pStyle w:val="Prrafodelista"/>
        <w:numPr>
          <w:ilvl w:val="0"/>
          <w:numId w:val="5"/>
        </w:numPr>
        <w:ind w:left="851"/>
        <w:jc w:val="both"/>
        <w:rPr>
          <w:rFonts w:ascii="Cambria" w:hAnsi="Cambria"/>
        </w:rPr>
      </w:pPr>
      <w:r w:rsidRPr="000C66DB">
        <w:rPr>
          <w:rFonts w:ascii="Cambria" w:hAnsi="Cambria"/>
        </w:rPr>
        <w:t>Modificar el Estándar de Negocio para Intermediarios de Seguros, contenido en el Anexo 8, para incorporar el</w:t>
      </w:r>
      <w:r w:rsidRPr="000C66DB">
        <w:t xml:space="preserve"> </w:t>
      </w:r>
      <w:r w:rsidRPr="000C66DB">
        <w:rPr>
          <w:rFonts w:ascii="Cambria" w:hAnsi="Cambria"/>
        </w:rPr>
        <w:t>siguiente Modelo, después del Modelo 1 en la sección III y agregar una nueva sección IV sobre validaciones entre modelos:</w:t>
      </w:r>
    </w:p>
    <w:p w14:paraId="4B961792" w14:textId="77777777" w:rsidR="00CB099E" w:rsidRDefault="00CB099E" w:rsidP="00CB099E">
      <w:pPr>
        <w:jc w:val="both"/>
        <w:rPr>
          <w:rFonts w:ascii="Cambria" w:hAnsi="Cambria"/>
        </w:rPr>
      </w:pPr>
    </w:p>
    <w:p w14:paraId="58130E62" w14:textId="77777777" w:rsidR="00CB099E" w:rsidRPr="0051652C" w:rsidRDefault="00CB099E" w:rsidP="00CB099E">
      <w:pPr>
        <w:pStyle w:val="Ttulo2"/>
        <w:numPr>
          <w:ilvl w:val="0"/>
          <w:numId w:val="0"/>
        </w:numPr>
        <w:spacing w:before="0" w:line="240" w:lineRule="auto"/>
        <w:ind w:left="851"/>
        <w:rPr>
          <w:i/>
          <w:iCs/>
          <w:color w:val="auto"/>
          <w:sz w:val="24"/>
          <w:szCs w:val="24"/>
        </w:rPr>
      </w:pPr>
      <w:bookmarkStart w:id="2" w:name="_Toc120536358"/>
      <w:r>
        <w:rPr>
          <w:i/>
          <w:iCs/>
          <w:color w:val="auto"/>
          <w:sz w:val="24"/>
          <w:szCs w:val="24"/>
        </w:rPr>
        <w:t>“</w:t>
      </w:r>
      <w:r w:rsidRPr="0051652C">
        <w:rPr>
          <w:i/>
          <w:iCs/>
          <w:color w:val="auto"/>
          <w:sz w:val="24"/>
          <w:szCs w:val="24"/>
        </w:rPr>
        <w:t xml:space="preserve">MODELO 2: </w:t>
      </w:r>
      <w:r w:rsidRPr="0051652C">
        <w:rPr>
          <w:i/>
          <w:iCs/>
          <w:caps/>
          <w:color w:val="auto"/>
          <w:sz w:val="24"/>
          <w:szCs w:val="24"/>
        </w:rPr>
        <w:t>Suficiencia Patrimonial de Sociedades Corredoras y Sociedades Agencias pertenecientes a grupos o conglomerados financieros</w:t>
      </w:r>
      <w:bookmarkEnd w:id="2"/>
    </w:p>
    <w:p w14:paraId="6E1BB757" w14:textId="77777777" w:rsidR="00CB099E" w:rsidRPr="00DA0A18" w:rsidRDefault="00CB099E" w:rsidP="00CB099E">
      <w:pPr>
        <w:jc w:val="both"/>
        <w:rPr>
          <w:rFonts w:ascii="Cambria" w:hAnsi="Cambria"/>
        </w:rPr>
      </w:pPr>
    </w:p>
    <w:p w14:paraId="38557A78" w14:textId="77777777" w:rsidR="00CB099E" w:rsidRPr="0051652C" w:rsidRDefault="00CB099E" w:rsidP="00CB099E">
      <w:pPr>
        <w:ind w:left="851"/>
        <w:jc w:val="both"/>
        <w:rPr>
          <w:rFonts w:ascii="Cambria" w:hAnsi="Cambria"/>
          <w:i/>
          <w:iCs/>
        </w:rPr>
      </w:pPr>
      <w:r w:rsidRPr="0051652C">
        <w:rPr>
          <w:rFonts w:ascii="Cambria" w:hAnsi="Cambria"/>
          <w:i/>
          <w:iCs/>
        </w:rPr>
        <w:t xml:space="preserve">El Reglamento de Supervisión Consolidada establece la metodología para medir la fortaleza patrimonial del grupo o conglomerado financiero.  </w:t>
      </w:r>
    </w:p>
    <w:p w14:paraId="42481CCB" w14:textId="77777777" w:rsidR="00CB099E" w:rsidRPr="00DA0A18" w:rsidRDefault="00CB099E" w:rsidP="00CB099E">
      <w:pPr>
        <w:jc w:val="both"/>
        <w:rPr>
          <w:rFonts w:ascii="Cambria" w:hAnsi="Cambria"/>
        </w:rPr>
      </w:pPr>
    </w:p>
    <w:p w14:paraId="6385715C" w14:textId="77777777" w:rsidR="00CB099E" w:rsidRPr="0051652C" w:rsidRDefault="00CB099E" w:rsidP="00CB099E">
      <w:pPr>
        <w:ind w:left="851"/>
        <w:jc w:val="both"/>
        <w:rPr>
          <w:rFonts w:ascii="Cambria" w:hAnsi="Cambria"/>
          <w:i/>
          <w:iCs/>
        </w:rPr>
      </w:pPr>
      <w:r w:rsidRPr="0051652C">
        <w:rPr>
          <w:rFonts w:ascii="Cambria" w:hAnsi="Cambria"/>
          <w:i/>
          <w:iCs/>
        </w:rPr>
        <w:t>Este Reglamento establece una suficiencia patrimonial para un Grupo o Conglomerado Financiero, por lo anterior debe calcularse el capital base de una entidad supervisada integrante a un grupo o conglomerado financiero.  En el caso de entidades supervisadas por la SUGESE que no cuenten con regulaciones específicas sobre la suficiencia de capital, tales como las sociedades agencias de seguros y sociedades corredoras, el capital base se calcula según lo dispuesto en el Reglamento sobre solvencia de entidades de seguros y reaseguros.</w:t>
      </w:r>
    </w:p>
    <w:p w14:paraId="115AB98E" w14:textId="77777777" w:rsidR="00CB099E" w:rsidRPr="00DA0A18" w:rsidRDefault="00CB099E" w:rsidP="00CB099E">
      <w:pPr>
        <w:jc w:val="both"/>
        <w:rPr>
          <w:rFonts w:ascii="Cambria" w:hAnsi="Cambria"/>
        </w:rPr>
      </w:pPr>
    </w:p>
    <w:p w14:paraId="608D3BF9" w14:textId="77777777" w:rsidR="00CB099E" w:rsidRPr="0051652C" w:rsidRDefault="00CB099E" w:rsidP="00CB099E">
      <w:pPr>
        <w:ind w:left="851"/>
        <w:jc w:val="both"/>
        <w:rPr>
          <w:rFonts w:ascii="Cambria" w:hAnsi="Cambria"/>
          <w:i/>
          <w:iCs/>
        </w:rPr>
      </w:pPr>
      <w:r w:rsidRPr="0051652C">
        <w:rPr>
          <w:rFonts w:ascii="Cambria" w:hAnsi="Cambria"/>
          <w:i/>
          <w:iCs/>
        </w:rPr>
        <w:t>Por lo tanto, se establece este modelo con el fin de contar con información para efectos de lograr una efectiva supervisión consolidada de los grupos y conglomerados financieros.  Este modelo permitirá val</w:t>
      </w:r>
      <w:r>
        <w:rPr>
          <w:rFonts w:ascii="Cambria" w:hAnsi="Cambria"/>
          <w:i/>
          <w:iCs/>
        </w:rPr>
        <w:t>o</w:t>
      </w:r>
      <w:r w:rsidRPr="0051652C">
        <w:rPr>
          <w:rFonts w:ascii="Cambria" w:hAnsi="Cambria"/>
          <w:i/>
          <w:iCs/>
        </w:rPr>
        <w:t>rar el cumpli</w:t>
      </w:r>
      <w:r>
        <w:rPr>
          <w:rFonts w:ascii="Cambria" w:hAnsi="Cambria"/>
          <w:i/>
          <w:iCs/>
        </w:rPr>
        <w:t>mi</w:t>
      </w:r>
      <w:r w:rsidRPr="0051652C">
        <w:rPr>
          <w:rFonts w:ascii="Cambria" w:hAnsi="Cambria"/>
          <w:i/>
          <w:iCs/>
        </w:rPr>
        <w:t xml:space="preserve">ento del artículo 17, inciso a, del Acuerno CONASSIF 3-16, hasta el 31 de diciembre de 2024, y a partir del 01 de enero de </w:t>
      </w:r>
      <w:r w:rsidRPr="001B547C">
        <w:rPr>
          <w:rFonts w:ascii="Cambria" w:hAnsi="Cambria"/>
          <w:i/>
          <w:iCs/>
        </w:rPr>
        <w:t xml:space="preserve">2025, </w:t>
      </w:r>
      <w:r w:rsidRPr="0051652C">
        <w:rPr>
          <w:rFonts w:ascii="Cambria" w:hAnsi="Cambria"/>
          <w:i/>
          <w:iCs/>
        </w:rPr>
        <w:t>la norma aplicable será el artículo 110, inciso a, del Acuerno CONASSIF 16-22.</w:t>
      </w:r>
    </w:p>
    <w:p w14:paraId="2542B2EC" w14:textId="77777777" w:rsidR="00CB099E" w:rsidRPr="00DA0A18" w:rsidRDefault="00CB099E" w:rsidP="00CB099E">
      <w:pPr>
        <w:jc w:val="both"/>
        <w:rPr>
          <w:rFonts w:ascii="Cambria" w:hAnsi="Cambria" w:cs="Arial"/>
          <w:highlight w:val="yellow"/>
        </w:rPr>
      </w:pPr>
    </w:p>
    <w:p w14:paraId="0AD6DE0E" w14:textId="77777777" w:rsidR="00CB099E" w:rsidRPr="0051652C" w:rsidRDefault="00CB099E" w:rsidP="00CB099E">
      <w:pPr>
        <w:ind w:left="851"/>
        <w:jc w:val="both"/>
        <w:rPr>
          <w:rFonts w:ascii="Cambria" w:hAnsi="Cambria"/>
          <w:i/>
          <w:iCs/>
        </w:rPr>
      </w:pPr>
      <w:r w:rsidRPr="0051652C">
        <w:rPr>
          <w:rFonts w:ascii="Cambria" w:hAnsi="Cambria"/>
          <w:i/>
          <w:iCs/>
        </w:rPr>
        <w:t>Con respecto a la</w:t>
      </w:r>
      <w:r>
        <w:rPr>
          <w:rFonts w:ascii="Cambria" w:hAnsi="Cambria"/>
          <w:i/>
          <w:iCs/>
        </w:rPr>
        <w:t>s</w:t>
      </w:r>
      <w:r w:rsidRPr="0051652C">
        <w:rPr>
          <w:rFonts w:ascii="Cambria" w:hAnsi="Cambria"/>
          <w:i/>
          <w:iCs/>
        </w:rPr>
        <w:t xml:space="preserve"> partidas del modelo se aclara:</w:t>
      </w:r>
    </w:p>
    <w:p w14:paraId="70117C26" w14:textId="77777777" w:rsidR="00CB099E" w:rsidRPr="00DA0A18" w:rsidRDefault="00CB099E" w:rsidP="00CB099E">
      <w:pPr>
        <w:jc w:val="both"/>
        <w:rPr>
          <w:rFonts w:ascii="Cambria" w:hAnsi="Cambria"/>
        </w:rPr>
      </w:pPr>
    </w:p>
    <w:p w14:paraId="69D4BF6E" w14:textId="77777777" w:rsidR="00CB099E" w:rsidRPr="0051652C" w:rsidRDefault="00CB099E" w:rsidP="00CB099E">
      <w:pPr>
        <w:ind w:left="851"/>
        <w:jc w:val="both"/>
        <w:rPr>
          <w:rFonts w:ascii="Cambria" w:hAnsi="Cambria"/>
          <w:i/>
          <w:iCs/>
        </w:rPr>
      </w:pPr>
      <w:r w:rsidRPr="0051652C">
        <w:rPr>
          <w:rFonts w:ascii="Cambria" w:hAnsi="Cambria"/>
          <w:b/>
          <w:bCs/>
          <w:i/>
          <w:iCs/>
          <w:u w:val="single"/>
        </w:rPr>
        <w:t>Ajustes al patrimonio:</w:t>
      </w:r>
      <w:r w:rsidRPr="0051652C">
        <w:rPr>
          <w:rFonts w:ascii="Cambria" w:hAnsi="Cambria"/>
          <w:i/>
          <w:iCs/>
        </w:rPr>
        <w:t xml:space="preserve"> esta partida solo se incluye cuando el saldo es negativo, es decir, representa una pérdida.</w:t>
      </w:r>
    </w:p>
    <w:p w14:paraId="21C0C218" w14:textId="77777777" w:rsidR="00CB099E" w:rsidRPr="00DA0A18" w:rsidRDefault="00CB099E" w:rsidP="00CB099E">
      <w:pPr>
        <w:jc w:val="both"/>
        <w:rPr>
          <w:rFonts w:ascii="Cambria" w:hAnsi="Cambria"/>
        </w:rPr>
      </w:pPr>
    </w:p>
    <w:p w14:paraId="7AE2D21B" w14:textId="77777777" w:rsidR="00CB099E" w:rsidRDefault="00CB099E" w:rsidP="00CB099E">
      <w:pPr>
        <w:ind w:left="851"/>
        <w:jc w:val="both"/>
        <w:rPr>
          <w:rFonts w:ascii="Cambria" w:hAnsi="Cambria"/>
          <w:i/>
          <w:iCs/>
        </w:rPr>
      </w:pPr>
      <w:r w:rsidRPr="0051652C">
        <w:rPr>
          <w:rFonts w:ascii="Cambria" w:hAnsi="Cambria"/>
          <w:b/>
          <w:bCs/>
          <w:i/>
          <w:iCs/>
          <w:u w:val="single"/>
        </w:rPr>
        <w:t>Capital Base (I):</w:t>
      </w:r>
      <w:r w:rsidRPr="0051652C">
        <w:rPr>
          <w:rFonts w:ascii="Cambria" w:hAnsi="Cambria"/>
          <w:i/>
          <w:iCs/>
        </w:rPr>
        <w:t xml:space="preserve"> es igual a la suma del capital primario más el capital secundario.  En el caso de que el capital secundario sea mayor al capital primario, solo se podrá considerar como capital secundario el monto igual al capital primario.</w:t>
      </w:r>
    </w:p>
    <w:p w14:paraId="6AA34945" w14:textId="77777777" w:rsidR="00CB099E" w:rsidRPr="0051652C" w:rsidRDefault="00CB099E" w:rsidP="00CB099E">
      <w:pPr>
        <w:ind w:left="851"/>
        <w:jc w:val="both"/>
        <w:rPr>
          <w:rFonts w:ascii="Cambria" w:hAnsi="Cambria"/>
          <w:i/>
          <w:iCs/>
        </w:rPr>
      </w:pPr>
    </w:p>
    <w:p w14:paraId="153ED8D3" w14:textId="77777777" w:rsidR="00CB099E" w:rsidRPr="0051652C" w:rsidRDefault="00CB099E" w:rsidP="00CB099E">
      <w:pPr>
        <w:ind w:left="851"/>
        <w:jc w:val="both"/>
        <w:rPr>
          <w:rFonts w:ascii="Cambria" w:hAnsi="Cambria"/>
          <w:i/>
          <w:iCs/>
        </w:rPr>
      </w:pPr>
      <w:bookmarkStart w:id="3" w:name="_Hlk120534409"/>
      <w:r w:rsidRPr="0051652C">
        <w:rPr>
          <w:rFonts w:ascii="Cambria" w:hAnsi="Cambria"/>
          <w:b/>
          <w:bCs/>
          <w:i/>
          <w:iCs/>
          <w:u w:val="single"/>
        </w:rPr>
        <w:t>Capital Regulatorio o requerimiento de capital por riesgo (II)</w:t>
      </w:r>
      <w:bookmarkEnd w:id="3"/>
      <w:r w:rsidRPr="0051652C">
        <w:rPr>
          <w:rFonts w:ascii="Cambria" w:hAnsi="Cambria"/>
          <w:b/>
          <w:bCs/>
          <w:i/>
          <w:iCs/>
          <w:u w:val="single"/>
        </w:rPr>
        <w:t>:</w:t>
      </w:r>
      <w:r w:rsidRPr="0051652C">
        <w:rPr>
          <w:rFonts w:ascii="Cambria" w:hAnsi="Cambria"/>
          <w:i/>
          <w:iCs/>
        </w:rPr>
        <w:t xml:space="preserve"> corresponde al monto del Activo total menos el Ajuste a Activo por partidas deducidas del capital.  El resultado de esta resta se multiplica por un 20%.  A partir de la entrada en vigor del Título IV, del </w:t>
      </w:r>
      <w:r w:rsidRPr="001B547C">
        <w:rPr>
          <w:rFonts w:ascii="Cambria" w:hAnsi="Cambria"/>
          <w:i/>
          <w:iCs/>
        </w:rPr>
        <w:t>Acuerdo C</w:t>
      </w:r>
      <w:r w:rsidRPr="0051652C">
        <w:rPr>
          <w:rFonts w:ascii="Cambria" w:hAnsi="Cambria"/>
          <w:i/>
          <w:iCs/>
        </w:rPr>
        <w:t>ONASSIF 16-22, el concepto de “Capital Regulatorio” se denominará “Requerimiento de Capital Basado en Riesgos”, manteniéndose la misma forma de cálculo.</w:t>
      </w:r>
    </w:p>
    <w:p w14:paraId="2710DAB0" w14:textId="77777777" w:rsidR="00CB099E" w:rsidRPr="00DA0A18" w:rsidRDefault="00CB099E" w:rsidP="00CB099E">
      <w:pPr>
        <w:jc w:val="both"/>
        <w:rPr>
          <w:rFonts w:ascii="Cambria" w:hAnsi="Cambria"/>
        </w:rPr>
      </w:pPr>
    </w:p>
    <w:p w14:paraId="4CA26914" w14:textId="77777777" w:rsidR="00CB099E" w:rsidRPr="0051652C" w:rsidRDefault="00CB099E" w:rsidP="00CB099E">
      <w:pPr>
        <w:ind w:left="851"/>
        <w:jc w:val="both"/>
        <w:rPr>
          <w:rFonts w:ascii="Cambria" w:hAnsi="Cambria"/>
          <w:i/>
          <w:iCs/>
        </w:rPr>
      </w:pPr>
      <w:r w:rsidRPr="0051652C">
        <w:rPr>
          <w:rFonts w:ascii="Cambria" w:hAnsi="Cambria"/>
          <w:b/>
          <w:bCs/>
          <w:i/>
          <w:iCs/>
          <w:u w:val="single"/>
        </w:rPr>
        <w:t>Ajuste a Activo por partidas deducidas del capital</w:t>
      </w:r>
      <w:r w:rsidRPr="0051652C">
        <w:rPr>
          <w:rFonts w:ascii="Cambria" w:hAnsi="Cambria"/>
          <w:i/>
          <w:iCs/>
        </w:rPr>
        <w:t>: corresponde al monto del total de Deducciones.</w:t>
      </w:r>
    </w:p>
    <w:p w14:paraId="0DA607A0" w14:textId="77777777" w:rsidR="00CB099E" w:rsidRPr="00DA0A18" w:rsidRDefault="00CB099E" w:rsidP="00CB099E">
      <w:pPr>
        <w:jc w:val="both"/>
        <w:rPr>
          <w:rFonts w:ascii="Cambria" w:hAnsi="Cambria"/>
        </w:rPr>
      </w:pPr>
    </w:p>
    <w:p w14:paraId="357F330F" w14:textId="77777777" w:rsidR="00CB099E" w:rsidRDefault="00CB099E" w:rsidP="00CB099E">
      <w:pPr>
        <w:ind w:left="851"/>
        <w:jc w:val="both"/>
        <w:rPr>
          <w:rFonts w:ascii="Cambria" w:hAnsi="Cambria"/>
          <w:i/>
          <w:iCs/>
        </w:rPr>
      </w:pPr>
      <w:r w:rsidRPr="0051652C">
        <w:rPr>
          <w:rFonts w:ascii="Cambria" w:hAnsi="Cambria"/>
          <w:b/>
          <w:bCs/>
          <w:i/>
          <w:iCs/>
          <w:u w:val="single"/>
        </w:rPr>
        <w:t>Superávit o Déficit Patrimonial:</w:t>
      </w:r>
      <w:r w:rsidRPr="0051652C">
        <w:rPr>
          <w:rFonts w:ascii="Cambria" w:hAnsi="Cambria"/>
          <w:i/>
          <w:iCs/>
        </w:rPr>
        <w:t xml:space="preserve"> es la resta del Capital Base (I) menos Capital Regulatorio o requerimiento de capital por riesgo (II).</w:t>
      </w:r>
    </w:p>
    <w:p w14:paraId="6BD6872F" w14:textId="77777777" w:rsidR="00CB099E" w:rsidRPr="00DA0A18" w:rsidRDefault="00CB099E" w:rsidP="00CB099E">
      <w:pPr>
        <w:jc w:val="both"/>
        <w:rPr>
          <w:rFonts w:ascii="Cambria" w:hAnsi="Cambria"/>
        </w:rPr>
      </w:pPr>
    </w:p>
    <w:p w14:paraId="200D13E2" w14:textId="77777777" w:rsidR="00CB099E" w:rsidRPr="00DA0A18" w:rsidRDefault="00CB099E" w:rsidP="00CB099E">
      <w:pPr>
        <w:jc w:val="both"/>
        <w:rPr>
          <w:rFonts w:ascii="Cambria" w:hAnsi="Cambria"/>
        </w:rPr>
      </w:pPr>
    </w:p>
    <w:p w14:paraId="30C077AE" w14:textId="77777777" w:rsidR="00CB099E" w:rsidRDefault="00CB099E" w:rsidP="00CB099E">
      <w:pPr>
        <w:spacing w:after="200" w:line="276" w:lineRule="auto"/>
        <w:rPr>
          <w:rFonts w:ascii="Cambria" w:hAnsi="Cambria"/>
          <w:b/>
          <w:bCs/>
          <w:i/>
          <w:iCs/>
          <w:szCs w:val="18"/>
          <w:lang w:eastAsia="en-US"/>
        </w:rPr>
      </w:pPr>
      <w:r>
        <w:rPr>
          <w:i/>
          <w:iCs/>
        </w:rPr>
        <w:br w:type="page"/>
      </w:r>
    </w:p>
    <w:p w14:paraId="62BC18FD" w14:textId="77777777" w:rsidR="00CB099E" w:rsidRPr="0051652C" w:rsidRDefault="00CB099E" w:rsidP="00CB099E">
      <w:pPr>
        <w:pStyle w:val="Descripcin"/>
        <w:keepNext/>
        <w:spacing w:after="0"/>
        <w:ind w:left="851"/>
        <w:jc w:val="center"/>
        <w:rPr>
          <w:i/>
          <w:iCs/>
          <w:color w:val="auto"/>
          <w:sz w:val="24"/>
        </w:rPr>
      </w:pPr>
      <w:r w:rsidRPr="0051652C">
        <w:rPr>
          <w:i/>
          <w:iCs/>
          <w:color w:val="auto"/>
          <w:sz w:val="24"/>
        </w:rPr>
        <w:t>Modelo 2</w:t>
      </w:r>
    </w:p>
    <w:p w14:paraId="65178663" w14:textId="77777777" w:rsidR="00CB099E" w:rsidRPr="00DA0A18" w:rsidRDefault="00CB099E" w:rsidP="00CB099E">
      <w:pPr>
        <w:jc w:val="both"/>
        <w:rPr>
          <w:rFonts w:ascii="Cambria" w:hAnsi="Cambria"/>
        </w:rPr>
      </w:pPr>
    </w:p>
    <w:p w14:paraId="528B740F" w14:textId="77777777" w:rsidR="00CB099E" w:rsidRPr="0051652C" w:rsidRDefault="00CB099E" w:rsidP="00CB099E">
      <w:pPr>
        <w:ind w:left="851"/>
        <w:jc w:val="center"/>
        <w:rPr>
          <w:rFonts w:ascii="Cambria" w:hAnsi="Cambria"/>
          <w:b/>
          <w:i/>
          <w:iCs/>
        </w:rPr>
      </w:pPr>
      <w:r w:rsidRPr="0051652C">
        <w:rPr>
          <w:rFonts w:ascii="Cambria" w:hAnsi="Cambria"/>
          <w:b/>
          <w:i/>
          <w:iCs/>
        </w:rPr>
        <w:t>Suficiencia Patrimonial de Sociedades Corredoras y Sociedades Agencias pertenecientes a grupos o conglomerados financieros:</w:t>
      </w:r>
    </w:p>
    <w:p w14:paraId="4AF03319" w14:textId="77777777" w:rsidR="00CB099E" w:rsidRPr="0051652C" w:rsidRDefault="00CB099E" w:rsidP="00CB099E">
      <w:pPr>
        <w:ind w:left="851"/>
        <w:jc w:val="center"/>
        <w:rPr>
          <w:rFonts w:ascii="Cambria" w:hAnsi="Cambria"/>
          <w:i/>
          <w:iCs/>
        </w:rPr>
      </w:pPr>
      <w:r w:rsidRPr="0051652C">
        <w:rPr>
          <w:rFonts w:ascii="Cambria" w:hAnsi="Cambria"/>
          <w:i/>
          <w:iCs/>
        </w:rPr>
        <w:t>Cifras en colones</w:t>
      </w:r>
    </w:p>
    <w:p w14:paraId="7BE52324" w14:textId="77777777" w:rsidR="00CB099E" w:rsidRPr="0051652C" w:rsidRDefault="00CB099E" w:rsidP="00CB099E">
      <w:pPr>
        <w:ind w:left="851"/>
        <w:jc w:val="center"/>
        <w:rPr>
          <w:rFonts w:ascii="Cambria" w:hAnsi="Cambria"/>
          <w:i/>
          <w:iCs/>
        </w:rPr>
      </w:pPr>
      <w:r w:rsidRPr="0051652C">
        <w:rPr>
          <w:rFonts w:ascii="Cambria" w:hAnsi="Cambria"/>
          <w:i/>
          <w:iCs/>
        </w:rPr>
        <w:t>Número de Licencia de la entidad: _________</w:t>
      </w:r>
    </w:p>
    <w:p w14:paraId="20820CD9" w14:textId="77777777" w:rsidR="00CB099E" w:rsidRPr="0051652C" w:rsidRDefault="00CB099E" w:rsidP="00CB099E">
      <w:pPr>
        <w:ind w:left="851"/>
        <w:jc w:val="center"/>
        <w:rPr>
          <w:rFonts w:ascii="Cambria" w:hAnsi="Cambria"/>
          <w:i/>
          <w:iCs/>
        </w:rPr>
      </w:pPr>
      <w:r w:rsidRPr="0051652C">
        <w:rPr>
          <w:rFonts w:ascii="Cambria" w:hAnsi="Cambria"/>
          <w:i/>
          <w:iCs/>
        </w:rPr>
        <w:t>Periodo:</w:t>
      </w:r>
    </w:p>
    <w:p w14:paraId="3833A28C" w14:textId="77777777" w:rsidR="00CB099E" w:rsidRPr="00DA0A18" w:rsidRDefault="00CB099E" w:rsidP="00CB099E">
      <w:pPr>
        <w:jc w:val="both"/>
        <w:rPr>
          <w:rFonts w:ascii="Cambria" w:hAnsi="Cambria"/>
          <w:lang w:val="es-CR"/>
        </w:rPr>
      </w:pPr>
    </w:p>
    <w:tbl>
      <w:tblPr>
        <w:tblW w:w="8477" w:type="dxa"/>
        <w:tblInd w:w="841" w:type="dxa"/>
        <w:tblCellMar>
          <w:left w:w="70" w:type="dxa"/>
          <w:right w:w="70" w:type="dxa"/>
        </w:tblCellMar>
        <w:tblLook w:val="04A0" w:firstRow="1" w:lastRow="0" w:firstColumn="1" w:lastColumn="0" w:noHBand="0" w:noVBand="1"/>
      </w:tblPr>
      <w:tblGrid>
        <w:gridCol w:w="2001"/>
        <w:gridCol w:w="4661"/>
        <w:gridCol w:w="1815"/>
      </w:tblGrid>
      <w:tr w:rsidR="00CB099E" w:rsidRPr="009021BE" w14:paraId="47DC044E" w14:textId="77777777" w:rsidTr="00456BED">
        <w:trPr>
          <w:trHeight w:val="300"/>
          <w:tblHeader/>
        </w:trPr>
        <w:tc>
          <w:tcPr>
            <w:tcW w:w="2001" w:type="dxa"/>
            <w:tcBorders>
              <w:top w:val="single" w:sz="4" w:space="0" w:color="auto"/>
              <w:left w:val="single" w:sz="8" w:space="0" w:color="auto"/>
              <w:bottom w:val="single" w:sz="4" w:space="0" w:color="auto"/>
              <w:right w:val="single" w:sz="4" w:space="0" w:color="auto"/>
            </w:tcBorders>
            <w:shd w:val="clear" w:color="000000" w:fill="44546A"/>
            <w:vAlign w:val="center"/>
            <w:hideMark/>
          </w:tcPr>
          <w:p w14:paraId="2FEF93CD" w14:textId="77777777" w:rsidR="00CB099E" w:rsidRPr="009021BE" w:rsidRDefault="00CB099E" w:rsidP="00456BED">
            <w:pPr>
              <w:jc w:val="center"/>
              <w:rPr>
                <w:rFonts w:ascii="Cambria" w:hAnsi="Cambria" w:cs="Calibri"/>
                <w:b/>
                <w:bCs/>
                <w:i/>
                <w:iCs/>
                <w:color w:val="FFFFFF"/>
                <w:lang w:val="es-CR" w:eastAsia="es-CR"/>
              </w:rPr>
            </w:pPr>
            <w:r w:rsidRPr="009021BE">
              <w:rPr>
                <w:rFonts w:ascii="Cambria" w:hAnsi="Cambria" w:cs="Calibri"/>
                <w:b/>
                <w:bCs/>
                <w:i/>
                <w:iCs/>
                <w:color w:val="FFFFFF"/>
                <w:lang w:val="es-CR" w:eastAsia="es-CR"/>
              </w:rPr>
              <w:t>CÓDIGO CUENTA</w:t>
            </w:r>
          </w:p>
        </w:tc>
        <w:tc>
          <w:tcPr>
            <w:tcW w:w="4661" w:type="dxa"/>
            <w:tcBorders>
              <w:top w:val="single" w:sz="4" w:space="0" w:color="auto"/>
              <w:left w:val="nil"/>
              <w:bottom w:val="single" w:sz="4" w:space="0" w:color="auto"/>
              <w:right w:val="single" w:sz="4" w:space="0" w:color="auto"/>
            </w:tcBorders>
            <w:shd w:val="clear" w:color="000000" w:fill="44546A"/>
            <w:vAlign w:val="center"/>
            <w:hideMark/>
          </w:tcPr>
          <w:p w14:paraId="1505E921" w14:textId="77777777" w:rsidR="00CB099E" w:rsidRPr="009021BE" w:rsidRDefault="00CB099E" w:rsidP="00456BED">
            <w:pPr>
              <w:jc w:val="center"/>
              <w:rPr>
                <w:rFonts w:ascii="Cambria" w:hAnsi="Cambria" w:cs="Calibri"/>
                <w:b/>
                <w:bCs/>
                <w:i/>
                <w:iCs/>
                <w:color w:val="FFFFFF"/>
                <w:lang w:val="es-CR" w:eastAsia="es-CR"/>
              </w:rPr>
            </w:pPr>
            <w:r w:rsidRPr="009021BE">
              <w:rPr>
                <w:rFonts w:ascii="Cambria" w:hAnsi="Cambria" w:cs="Calibri"/>
                <w:b/>
                <w:bCs/>
                <w:i/>
                <w:iCs/>
                <w:color w:val="FFFFFF"/>
                <w:lang w:val="es-CR" w:eastAsia="es-CR"/>
              </w:rPr>
              <w:t>PARTIDAS</w:t>
            </w:r>
          </w:p>
        </w:tc>
        <w:tc>
          <w:tcPr>
            <w:tcW w:w="1815" w:type="dxa"/>
            <w:tcBorders>
              <w:top w:val="single" w:sz="4" w:space="0" w:color="auto"/>
              <w:left w:val="nil"/>
              <w:bottom w:val="single" w:sz="4" w:space="0" w:color="auto"/>
              <w:right w:val="single" w:sz="8" w:space="0" w:color="auto"/>
            </w:tcBorders>
            <w:shd w:val="clear" w:color="000000" w:fill="44546A"/>
            <w:vAlign w:val="center"/>
            <w:hideMark/>
          </w:tcPr>
          <w:p w14:paraId="1ECD5FAC" w14:textId="77777777" w:rsidR="00CB099E" w:rsidRPr="009021BE" w:rsidRDefault="00CB099E" w:rsidP="00456BED">
            <w:pPr>
              <w:jc w:val="center"/>
              <w:rPr>
                <w:rFonts w:ascii="Cambria" w:hAnsi="Cambria" w:cs="Calibri"/>
                <w:b/>
                <w:bCs/>
                <w:i/>
                <w:iCs/>
                <w:color w:val="FFFFFF"/>
                <w:lang w:val="es-CR" w:eastAsia="es-CR"/>
              </w:rPr>
            </w:pPr>
            <w:r w:rsidRPr="009021BE">
              <w:rPr>
                <w:rFonts w:ascii="Cambria" w:hAnsi="Cambria" w:cs="Calibri"/>
                <w:b/>
                <w:bCs/>
                <w:i/>
                <w:iCs/>
                <w:color w:val="FFFFFF"/>
                <w:lang w:val="es-CR" w:eastAsia="es-CR"/>
              </w:rPr>
              <w:t>MONTOS</w:t>
            </w:r>
          </w:p>
        </w:tc>
      </w:tr>
      <w:tr w:rsidR="00CB099E" w:rsidRPr="009021BE" w14:paraId="01073FD9" w14:textId="77777777" w:rsidTr="00456BED">
        <w:trPr>
          <w:trHeight w:val="300"/>
        </w:trPr>
        <w:tc>
          <w:tcPr>
            <w:tcW w:w="2001" w:type="dxa"/>
            <w:tcBorders>
              <w:top w:val="nil"/>
              <w:left w:val="single" w:sz="8" w:space="0" w:color="auto"/>
              <w:bottom w:val="single" w:sz="4" w:space="0" w:color="auto"/>
              <w:right w:val="single" w:sz="4" w:space="0" w:color="auto"/>
            </w:tcBorders>
            <w:shd w:val="clear" w:color="auto" w:fill="auto"/>
            <w:noWrap/>
            <w:vAlign w:val="bottom"/>
            <w:hideMark/>
          </w:tcPr>
          <w:p w14:paraId="5E9DEE5D"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c>
          <w:tcPr>
            <w:tcW w:w="4661" w:type="dxa"/>
            <w:tcBorders>
              <w:top w:val="nil"/>
              <w:left w:val="nil"/>
              <w:bottom w:val="single" w:sz="4" w:space="0" w:color="auto"/>
              <w:right w:val="single" w:sz="4" w:space="0" w:color="auto"/>
            </w:tcBorders>
            <w:shd w:val="clear" w:color="000000" w:fill="44546A"/>
            <w:vAlign w:val="center"/>
            <w:hideMark/>
          </w:tcPr>
          <w:p w14:paraId="6BCE514E" w14:textId="77777777" w:rsidR="00CB099E" w:rsidRPr="009021BE" w:rsidRDefault="00CB099E" w:rsidP="00456BED">
            <w:pPr>
              <w:jc w:val="center"/>
              <w:rPr>
                <w:rFonts w:ascii="Cambria" w:hAnsi="Cambria" w:cs="Calibri"/>
                <w:b/>
                <w:bCs/>
                <w:i/>
                <w:iCs/>
                <w:color w:val="FFFFFF"/>
                <w:lang w:val="es-CR" w:eastAsia="es-CR"/>
              </w:rPr>
            </w:pPr>
            <w:r w:rsidRPr="009021BE">
              <w:rPr>
                <w:rFonts w:ascii="Cambria" w:hAnsi="Cambria" w:cs="Calibri"/>
                <w:b/>
                <w:bCs/>
                <w:i/>
                <w:iCs/>
                <w:color w:val="FFFFFF"/>
                <w:lang w:val="es-CR" w:eastAsia="es-CR"/>
              </w:rPr>
              <w:t>CÁLCULO DEL CAPITAL BASE (I)</w:t>
            </w:r>
          </w:p>
        </w:tc>
        <w:tc>
          <w:tcPr>
            <w:tcW w:w="1815" w:type="dxa"/>
            <w:tcBorders>
              <w:top w:val="nil"/>
              <w:left w:val="nil"/>
              <w:bottom w:val="single" w:sz="4" w:space="0" w:color="auto"/>
              <w:right w:val="single" w:sz="8" w:space="0" w:color="auto"/>
            </w:tcBorders>
            <w:shd w:val="clear" w:color="000000" w:fill="44546A"/>
            <w:vAlign w:val="center"/>
            <w:hideMark/>
          </w:tcPr>
          <w:p w14:paraId="65121046" w14:textId="77777777" w:rsidR="00CB099E" w:rsidRPr="009021BE" w:rsidRDefault="00CB099E" w:rsidP="00456BED">
            <w:pPr>
              <w:jc w:val="center"/>
              <w:rPr>
                <w:rFonts w:ascii="Cambria" w:hAnsi="Cambria" w:cs="Calibri"/>
                <w:b/>
                <w:bCs/>
                <w:i/>
                <w:iCs/>
                <w:color w:val="FFFFFF"/>
                <w:lang w:val="es-CR" w:eastAsia="es-CR"/>
              </w:rPr>
            </w:pPr>
            <w:r w:rsidRPr="009021BE">
              <w:rPr>
                <w:rFonts w:ascii="Cambria" w:hAnsi="Cambria" w:cs="Calibri"/>
                <w:b/>
                <w:bCs/>
                <w:i/>
                <w:iCs/>
                <w:color w:val="FFFFFF"/>
                <w:lang w:val="es-CR" w:eastAsia="es-CR"/>
              </w:rPr>
              <w:t> </w:t>
            </w:r>
          </w:p>
        </w:tc>
      </w:tr>
      <w:tr w:rsidR="00CB099E" w:rsidRPr="009021BE" w14:paraId="5AE54E2C" w14:textId="77777777" w:rsidTr="00456BED">
        <w:trPr>
          <w:trHeight w:val="315"/>
        </w:trPr>
        <w:tc>
          <w:tcPr>
            <w:tcW w:w="2001" w:type="dxa"/>
            <w:tcBorders>
              <w:top w:val="nil"/>
              <w:left w:val="single" w:sz="8" w:space="0" w:color="auto"/>
              <w:bottom w:val="single" w:sz="4" w:space="0" w:color="auto"/>
              <w:right w:val="single" w:sz="4" w:space="0" w:color="auto"/>
            </w:tcBorders>
            <w:shd w:val="clear" w:color="auto" w:fill="auto"/>
            <w:noWrap/>
            <w:vAlign w:val="center"/>
            <w:hideMark/>
          </w:tcPr>
          <w:p w14:paraId="0E292953"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30100100000000 </w:t>
            </w:r>
          </w:p>
        </w:tc>
        <w:tc>
          <w:tcPr>
            <w:tcW w:w="4661" w:type="dxa"/>
            <w:tcBorders>
              <w:top w:val="nil"/>
              <w:left w:val="nil"/>
              <w:bottom w:val="single" w:sz="4" w:space="0" w:color="auto"/>
              <w:right w:val="single" w:sz="4" w:space="0" w:color="auto"/>
            </w:tcBorders>
            <w:shd w:val="clear" w:color="auto" w:fill="auto"/>
            <w:vAlign w:val="center"/>
            <w:hideMark/>
          </w:tcPr>
          <w:p w14:paraId="5C22FF30" w14:textId="77777777" w:rsidR="00CB099E" w:rsidRPr="009021BE" w:rsidRDefault="00CB099E" w:rsidP="00456BED">
            <w:pPr>
              <w:rPr>
                <w:rFonts w:ascii="Cambria" w:hAnsi="Cambria"/>
                <w:i/>
                <w:iCs/>
                <w:color w:val="000000"/>
                <w:lang w:val="es-CR" w:eastAsia="es-CR"/>
              </w:rPr>
            </w:pPr>
            <w:r w:rsidRPr="009021BE">
              <w:rPr>
                <w:rFonts w:ascii="Cambria" w:hAnsi="Cambria"/>
                <w:i/>
                <w:iCs/>
                <w:color w:val="000000"/>
                <w:lang w:val="es-CR" w:eastAsia="es-CR"/>
              </w:rPr>
              <w:t xml:space="preserve">Capital Social </w:t>
            </w:r>
          </w:p>
        </w:tc>
        <w:tc>
          <w:tcPr>
            <w:tcW w:w="1815" w:type="dxa"/>
            <w:tcBorders>
              <w:top w:val="nil"/>
              <w:left w:val="nil"/>
              <w:bottom w:val="single" w:sz="4" w:space="0" w:color="auto"/>
              <w:right w:val="single" w:sz="8" w:space="0" w:color="auto"/>
            </w:tcBorders>
            <w:shd w:val="clear" w:color="auto" w:fill="auto"/>
            <w:noWrap/>
            <w:vAlign w:val="bottom"/>
            <w:hideMark/>
          </w:tcPr>
          <w:p w14:paraId="45A4B5F5"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3BB0CEF6" w14:textId="77777777" w:rsidTr="00456BED">
        <w:trPr>
          <w:trHeight w:val="315"/>
        </w:trPr>
        <w:tc>
          <w:tcPr>
            <w:tcW w:w="2001" w:type="dxa"/>
            <w:tcBorders>
              <w:top w:val="nil"/>
              <w:left w:val="single" w:sz="8" w:space="0" w:color="auto"/>
              <w:bottom w:val="single" w:sz="4" w:space="0" w:color="auto"/>
              <w:right w:val="single" w:sz="4" w:space="0" w:color="auto"/>
            </w:tcBorders>
            <w:shd w:val="clear" w:color="auto" w:fill="auto"/>
            <w:noWrap/>
            <w:vAlign w:val="center"/>
            <w:hideMark/>
          </w:tcPr>
          <w:p w14:paraId="29F4C37B"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30400100000000 </w:t>
            </w:r>
          </w:p>
        </w:tc>
        <w:tc>
          <w:tcPr>
            <w:tcW w:w="4661" w:type="dxa"/>
            <w:tcBorders>
              <w:top w:val="nil"/>
              <w:left w:val="nil"/>
              <w:bottom w:val="single" w:sz="4" w:space="0" w:color="auto"/>
              <w:right w:val="single" w:sz="4" w:space="0" w:color="auto"/>
            </w:tcBorders>
            <w:shd w:val="clear" w:color="auto" w:fill="auto"/>
            <w:vAlign w:val="center"/>
            <w:hideMark/>
          </w:tcPr>
          <w:p w14:paraId="2DFC02D4" w14:textId="77777777" w:rsidR="00CB099E" w:rsidRPr="009021BE" w:rsidRDefault="00CB099E" w:rsidP="00456BED">
            <w:pPr>
              <w:rPr>
                <w:rFonts w:ascii="Cambria" w:hAnsi="Cambria"/>
                <w:i/>
                <w:iCs/>
                <w:color w:val="000000"/>
                <w:lang w:val="es-CR" w:eastAsia="es-CR"/>
              </w:rPr>
            </w:pPr>
            <w:r w:rsidRPr="009021BE">
              <w:rPr>
                <w:rFonts w:ascii="Cambria" w:hAnsi="Cambria"/>
                <w:i/>
                <w:iCs/>
                <w:color w:val="000000"/>
                <w:lang w:val="es-CR" w:eastAsia="es-CR"/>
              </w:rPr>
              <w:t xml:space="preserve"> Reserva legal </w:t>
            </w:r>
          </w:p>
        </w:tc>
        <w:tc>
          <w:tcPr>
            <w:tcW w:w="1815" w:type="dxa"/>
            <w:tcBorders>
              <w:top w:val="nil"/>
              <w:left w:val="nil"/>
              <w:bottom w:val="single" w:sz="4" w:space="0" w:color="auto"/>
              <w:right w:val="single" w:sz="8" w:space="0" w:color="auto"/>
            </w:tcBorders>
            <w:shd w:val="clear" w:color="auto" w:fill="auto"/>
            <w:noWrap/>
            <w:vAlign w:val="bottom"/>
            <w:hideMark/>
          </w:tcPr>
          <w:p w14:paraId="38053AE2"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07A18141" w14:textId="77777777" w:rsidTr="00456BED">
        <w:trPr>
          <w:trHeight w:val="315"/>
        </w:trPr>
        <w:tc>
          <w:tcPr>
            <w:tcW w:w="2001" w:type="dxa"/>
            <w:tcBorders>
              <w:top w:val="nil"/>
              <w:left w:val="single" w:sz="8" w:space="0" w:color="auto"/>
              <w:bottom w:val="single" w:sz="4" w:space="0" w:color="auto"/>
              <w:right w:val="single" w:sz="4" w:space="0" w:color="auto"/>
            </w:tcBorders>
            <w:shd w:val="clear" w:color="auto" w:fill="auto"/>
            <w:noWrap/>
            <w:vAlign w:val="center"/>
            <w:hideMark/>
          </w:tcPr>
          <w:p w14:paraId="09008B90"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c>
          <w:tcPr>
            <w:tcW w:w="4661" w:type="dxa"/>
            <w:tcBorders>
              <w:top w:val="nil"/>
              <w:left w:val="nil"/>
              <w:bottom w:val="single" w:sz="4" w:space="0" w:color="auto"/>
              <w:right w:val="single" w:sz="4" w:space="0" w:color="auto"/>
            </w:tcBorders>
            <w:shd w:val="clear" w:color="000000" w:fill="9BC2E6"/>
            <w:vAlign w:val="center"/>
            <w:hideMark/>
          </w:tcPr>
          <w:p w14:paraId="74F6BEC5" w14:textId="77777777" w:rsidR="00CB099E" w:rsidRPr="009021BE" w:rsidRDefault="00CB099E" w:rsidP="00456BED">
            <w:pPr>
              <w:rPr>
                <w:rFonts w:ascii="Cambria" w:hAnsi="Cambria"/>
                <w:b/>
                <w:bCs/>
                <w:i/>
                <w:iCs/>
                <w:color w:val="000000"/>
                <w:lang w:val="es-CR" w:eastAsia="es-CR"/>
              </w:rPr>
            </w:pPr>
            <w:r w:rsidRPr="009021BE">
              <w:rPr>
                <w:rFonts w:ascii="Cambria" w:hAnsi="Cambria"/>
                <w:b/>
                <w:bCs/>
                <w:i/>
                <w:iCs/>
                <w:color w:val="000000"/>
                <w:lang w:val="es-CR" w:eastAsia="es-CR"/>
              </w:rPr>
              <w:t xml:space="preserve">Capital Primario </w:t>
            </w:r>
          </w:p>
        </w:tc>
        <w:tc>
          <w:tcPr>
            <w:tcW w:w="1815" w:type="dxa"/>
            <w:tcBorders>
              <w:top w:val="nil"/>
              <w:left w:val="nil"/>
              <w:bottom w:val="single" w:sz="4" w:space="0" w:color="auto"/>
              <w:right w:val="single" w:sz="8" w:space="0" w:color="auto"/>
            </w:tcBorders>
            <w:shd w:val="clear" w:color="000000" w:fill="9BC2E6"/>
            <w:noWrap/>
            <w:vAlign w:val="bottom"/>
            <w:hideMark/>
          </w:tcPr>
          <w:p w14:paraId="390172E5" w14:textId="77777777" w:rsidR="00CB099E" w:rsidRPr="009021BE" w:rsidRDefault="00CB099E" w:rsidP="00456BED">
            <w:pPr>
              <w:rPr>
                <w:rFonts w:ascii="Cambria" w:hAnsi="Cambria" w:cs="Calibri"/>
                <w:b/>
                <w:bCs/>
                <w:i/>
                <w:iCs/>
                <w:color w:val="000000"/>
                <w:lang w:val="es-CR" w:eastAsia="es-CR"/>
              </w:rPr>
            </w:pPr>
            <w:r w:rsidRPr="009021BE">
              <w:rPr>
                <w:rFonts w:ascii="Cambria" w:hAnsi="Cambria" w:cs="Calibri"/>
                <w:b/>
                <w:bCs/>
                <w:i/>
                <w:iCs/>
                <w:color w:val="000000"/>
                <w:lang w:val="es-CR" w:eastAsia="es-CR"/>
              </w:rPr>
              <w:t xml:space="preserve">                            -   </w:t>
            </w:r>
          </w:p>
        </w:tc>
      </w:tr>
      <w:tr w:rsidR="00CB099E" w:rsidRPr="009021BE" w14:paraId="6D5718D0" w14:textId="77777777" w:rsidTr="00456BED">
        <w:trPr>
          <w:trHeight w:val="315"/>
        </w:trPr>
        <w:tc>
          <w:tcPr>
            <w:tcW w:w="2001" w:type="dxa"/>
            <w:tcBorders>
              <w:top w:val="nil"/>
              <w:left w:val="single" w:sz="8" w:space="0" w:color="auto"/>
              <w:bottom w:val="single" w:sz="4" w:space="0" w:color="auto"/>
              <w:right w:val="single" w:sz="4" w:space="0" w:color="auto"/>
            </w:tcBorders>
            <w:shd w:val="clear" w:color="auto" w:fill="auto"/>
            <w:noWrap/>
            <w:vAlign w:val="center"/>
            <w:hideMark/>
          </w:tcPr>
          <w:p w14:paraId="59E847B8"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30200200000000 </w:t>
            </w:r>
          </w:p>
        </w:tc>
        <w:tc>
          <w:tcPr>
            <w:tcW w:w="4661" w:type="dxa"/>
            <w:tcBorders>
              <w:top w:val="nil"/>
              <w:left w:val="nil"/>
              <w:bottom w:val="single" w:sz="4" w:space="0" w:color="auto"/>
              <w:right w:val="single" w:sz="4" w:space="0" w:color="auto"/>
            </w:tcBorders>
            <w:shd w:val="clear" w:color="auto" w:fill="auto"/>
            <w:vAlign w:val="center"/>
            <w:hideMark/>
          </w:tcPr>
          <w:p w14:paraId="3F144505" w14:textId="77777777" w:rsidR="00CB099E" w:rsidRPr="009021BE" w:rsidRDefault="00CB099E" w:rsidP="00456BED">
            <w:pPr>
              <w:rPr>
                <w:rFonts w:ascii="Cambria" w:hAnsi="Cambria"/>
                <w:i/>
                <w:iCs/>
                <w:color w:val="000000"/>
                <w:lang w:val="es-CR" w:eastAsia="es-CR"/>
              </w:rPr>
            </w:pPr>
            <w:r w:rsidRPr="009021BE">
              <w:rPr>
                <w:rFonts w:ascii="Cambria" w:hAnsi="Cambria"/>
                <w:i/>
                <w:iCs/>
                <w:color w:val="000000"/>
                <w:lang w:val="es-CR" w:eastAsia="es-CR"/>
              </w:rPr>
              <w:t>Aportes para incremento de capital</w:t>
            </w:r>
          </w:p>
        </w:tc>
        <w:tc>
          <w:tcPr>
            <w:tcW w:w="1815" w:type="dxa"/>
            <w:tcBorders>
              <w:top w:val="nil"/>
              <w:left w:val="nil"/>
              <w:bottom w:val="single" w:sz="4" w:space="0" w:color="auto"/>
              <w:right w:val="single" w:sz="8" w:space="0" w:color="auto"/>
            </w:tcBorders>
            <w:shd w:val="clear" w:color="auto" w:fill="auto"/>
            <w:noWrap/>
            <w:vAlign w:val="bottom"/>
            <w:hideMark/>
          </w:tcPr>
          <w:p w14:paraId="07A8AF3B"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14F0179D" w14:textId="77777777" w:rsidTr="00456BED">
        <w:trPr>
          <w:trHeight w:val="315"/>
        </w:trPr>
        <w:tc>
          <w:tcPr>
            <w:tcW w:w="2001" w:type="dxa"/>
            <w:tcBorders>
              <w:top w:val="nil"/>
              <w:left w:val="single" w:sz="8" w:space="0" w:color="auto"/>
              <w:bottom w:val="single" w:sz="4" w:space="0" w:color="auto"/>
              <w:right w:val="single" w:sz="4" w:space="0" w:color="auto"/>
            </w:tcBorders>
            <w:shd w:val="clear" w:color="auto" w:fill="auto"/>
            <w:noWrap/>
            <w:vAlign w:val="center"/>
            <w:hideMark/>
          </w:tcPr>
          <w:p w14:paraId="415FCE1C"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30300000000000 </w:t>
            </w:r>
          </w:p>
        </w:tc>
        <w:tc>
          <w:tcPr>
            <w:tcW w:w="4661" w:type="dxa"/>
            <w:tcBorders>
              <w:top w:val="nil"/>
              <w:left w:val="nil"/>
              <w:bottom w:val="single" w:sz="4" w:space="0" w:color="auto"/>
              <w:right w:val="single" w:sz="4" w:space="0" w:color="auto"/>
            </w:tcBorders>
            <w:shd w:val="clear" w:color="auto" w:fill="auto"/>
            <w:vAlign w:val="center"/>
            <w:hideMark/>
          </w:tcPr>
          <w:p w14:paraId="1372ED67" w14:textId="77777777" w:rsidR="00CB099E" w:rsidRPr="009021BE" w:rsidRDefault="00CB099E" w:rsidP="00456BED">
            <w:pPr>
              <w:rPr>
                <w:rFonts w:ascii="Cambria" w:hAnsi="Cambria"/>
                <w:i/>
                <w:iCs/>
                <w:color w:val="000000"/>
                <w:lang w:val="es-CR" w:eastAsia="es-CR"/>
              </w:rPr>
            </w:pPr>
            <w:r w:rsidRPr="009021BE">
              <w:rPr>
                <w:rFonts w:ascii="Cambria" w:hAnsi="Cambria"/>
                <w:i/>
                <w:iCs/>
                <w:color w:val="000000"/>
                <w:lang w:val="es-CR" w:eastAsia="es-CR"/>
              </w:rPr>
              <w:t>Ajustes al patrimonio (solo cuando es negativo, saldo deudor)</w:t>
            </w:r>
          </w:p>
        </w:tc>
        <w:tc>
          <w:tcPr>
            <w:tcW w:w="1815" w:type="dxa"/>
            <w:tcBorders>
              <w:top w:val="nil"/>
              <w:left w:val="nil"/>
              <w:bottom w:val="single" w:sz="4" w:space="0" w:color="auto"/>
              <w:right w:val="single" w:sz="8" w:space="0" w:color="auto"/>
            </w:tcBorders>
            <w:shd w:val="clear" w:color="auto" w:fill="auto"/>
            <w:noWrap/>
            <w:vAlign w:val="bottom"/>
            <w:hideMark/>
          </w:tcPr>
          <w:p w14:paraId="3B0A4B1B"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4D8EA204" w14:textId="77777777" w:rsidTr="00456BED">
        <w:trPr>
          <w:trHeight w:val="315"/>
        </w:trPr>
        <w:tc>
          <w:tcPr>
            <w:tcW w:w="2001" w:type="dxa"/>
            <w:tcBorders>
              <w:top w:val="nil"/>
              <w:left w:val="single" w:sz="8" w:space="0" w:color="auto"/>
              <w:bottom w:val="single" w:sz="4" w:space="0" w:color="auto"/>
              <w:right w:val="single" w:sz="4" w:space="0" w:color="auto"/>
            </w:tcBorders>
            <w:shd w:val="clear" w:color="auto" w:fill="auto"/>
            <w:noWrap/>
            <w:vAlign w:val="center"/>
            <w:hideMark/>
          </w:tcPr>
          <w:p w14:paraId="59C69C7A"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30500000000000 </w:t>
            </w:r>
          </w:p>
        </w:tc>
        <w:tc>
          <w:tcPr>
            <w:tcW w:w="4661" w:type="dxa"/>
            <w:tcBorders>
              <w:top w:val="nil"/>
              <w:left w:val="nil"/>
              <w:bottom w:val="single" w:sz="4" w:space="0" w:color="auto"/>
              <w:right w:val="single" w:sz="4" w:space="0" w:color="auto"/>
            </w:tcBorders>
            <w:shd w:val="clear" w:color="auto" w:fill="auto"/>
            <w:vAlign w:val="center"/>
            <w:hideMark/>
          </w:tcPr>
          <w:p w14:paraId="336DE83C" w14:textId="77777777" w:rsidR="00CB099E" w:rsidRPr="009021BE" w:rsidRDefault="00CB099E" w:rsidP="00456BED">
            <w:pPr>
              <w:rPr>
                <w:rFonts w:ascii="Cambria" w:hAnsi="Cambria"/>
                <w:i/>
                <w:iCs/>
                <w:color w:val="000000"/>
                <w:lang w:val="es-CR" w:eastAsia="es-CR"/>
              </w:rPr>
            </w:pPr>
            <w:r w:rsidRPr="009021BE">
              <w:rPr>
                <w:rFonts w:ascii="Cambria" w:hAnsi="Cambria"/>
                <w:i/>
                <w:iCs/>
                <w:color w:val="000000"/>
                <w:lang w:val="es-CR" w:eastAsia="es-CR"/>
              </w:rPr>
              <w:t xml:space="preserve">Utilidad periodos anteriores       </w:t>
            </w:r>
          </w:p>
        </w:tc>
        <w:tc>
          <w:tcPr>
            <w:tcW w:w="1815" w:type="dxa"/>
            <w:tcBorders>
              <w:top w:val="nil"/>
              <w:left w:val="nil"/>
              <w:bottom w:val="single" w:sz="4" w:space="0" w:color="auto"/>
              <w:right w:val="single" w:sz="8" w:space="0" w:color="auto"/>
            </w:tcBorders>
            <w:shd w:val="clear" w:color="auto" w:fill="auto"/>
            <w:noWrap/>
            <w:vAlign w:val="bottom"/>
            <w:hideMark/>
          </w:tcPr>
          <w:p w14:paraId="1A731F90"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00928FF3" w14:textId="77777777" w:rsidTr="00456BED">
        <w:trPr>
          <w:trHeight w:val="315"/>
        </w:trPr>
        <w:tc>
          <w:tcPr>
            <w:tcW w:w="2001" w:type="dxa"/>
            <w:tcBorders>
              <w:top w:val="nil"/>
              <w:left w:val="single" w:sz="8" w:space="0" w:color="auto"/>
              <w:bottom w:val="single" w:sz="4" w:space="0" w:color="auto"/>
              <w:right w:val="single" w:sz="4" w:space="0" w:color="auto"/>
            </w:tcBorders>
            <w:shd w:val="clear" w:color="auto" w:fill="auto"/>
            <w:noWrap/>
            <w:vAlign w:val="center"/>
            <w:hideMark/>
          </w:tcPr>
          <w:p w14:paraId="73EA50F6"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30600000000000 </w:t>
            </w:r>
          </w:p>
        </w:tc>
        <w:tc>
          <w:tcPr>
            <w:tcW w:w="4661" w:type="dxa"/>
            <w:tcBorders>
              <w:top w:val="nil"/>
              <w:left w:val="nil"/>
              <w:bottom w:val="single" w:sz="4" w:space="0" w:color="auto"/>
              <w:right w:val="single" w:sz="4" w:space="0" w:color="auto"/>
            </w:tcBorders>
            <w:shd w:val="clear" w:color="auto" w:fill="auto"/>
            <w:vAlign w:val="center"/>
            <w:hideMark/>
          </w:tcPr>
          <w:p w14:paraId="7F30E194" w14:textId="77777777" w:rsidR="00CB099E" w:rsidRPr="009021BE" w:rsidRDefault="00CB099E" w:rsidP="00456BED">
            <w:pPr>
              <w:rPr>
                <w:rFonts w:ascii="Cambria" w:hAnsi="Cambria"/>
                <w:i/>
                <w:iCs/>
                <w:color w:val="000000"/>
                <w:lang w:val="es-CR" w:eastAsia="es-CR"/>
              </w:rPr>
            </w:pPr>
            <w:r w:rsidRPr="009021BE">
              <w:rPr>
                <w:rFonts w:ascii="Cambria" w:hAnsi="Cambria"/>
                <w:i/>
                <w:iCs/>
                <w:color w:val="000000"/>
                <w:lang w:val="es-CR" w:eastAsia="es-CR"/>
              </w:rPr>
              <w:t xml:space="preserve">Utilidad del periodo  </w:t>
            </w:r>
          </w:p>
        </w:tc>
        <w:tc>
          <w:tcPr>
            <w:tcW w:w="1815" w:type="dxa"/>
            <w:tcBorders>
              <w:top w:val="nil"/>
              <w:left w:val="nil"/>
              <w:bottom w:val="single" w:sz="4" w:space="0" w:color="auto"/>
              <w:right w:val="single" w:sz="8" w:space="0" w:color="auto"/>
            </w:tcBorders>
            <w:shd w:val="clear" w:color="auto" w:fill="auto"/>
            <w:noWrap/>
            <w:vAlign w:val="bottom"/>
            <w:hideMark/>
          </w:tcPr>
          <w:p w14:paraId="114AE07B"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01431938" w14:textId="77777777" w:rsidTr="00456BED">
        <w:trPr>
          <w:trHeight w:val="315"/>
        </w:trPr>
        <w:tc>
          <w:tcPr>
            <w:tcW w:w="2001" w:type="dxa"/>
            <w:tcBorders>
              <w:top w:val="nil"/>
              <w:left w:val="single" w:sz="8" w:space="0" w:color="auto"/>
              <w:bottom w:val="single" w:sz="4" w:space="0" w:color="auto"/>
              <w:right w:val="single" w:sz="4" w:space="0" w:color="auto"/>
            </w:tcBorders>
            <w:shd w:val="clear" w:color="auto" w:fill="auto"/>
            <w:noWrap/>
            <w:vAlign w:val="center"/>
            <w:hideMark/>
          </w:tcPr>
          <w:p w14:paraId="11A918C6"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c>
          <w:tcPr>
            <w:tcW w:w="4661" w:type="dxa"/>
            <w:tcBorders>
              <w:top w:val="nil"/>
              <w:left w:val="nil"/>
              <w:bottom w:val="single" w:sz="4" w:space="0" w:color="auto"/>
              <w:right w:val="single" w:sz="4" w:space="0" w:color="auto"/>
            </w:tcBorders>
            <w:shd w:val="clear" w:color="000000" w:fill="9BC2E6"/>
            <w:vAlign w:val="center"/>
            <w:hideMark/>
          </w:tcPr>
          <w:p w14:paraId="1F281FF3" w14:textId="77777777" w:rsidR="00CB099E" w:rsidRPr="009021BE" w:rsidRDefault="00CB099E" w:rsidP="00456BED">
            <w:pPr>
              <w:rPr>
                <w:rFonts w:ascii="Cambria" w:hAnsi="Cambria"/>
                <w:b/>
                <w:bCs/>
                <w:i/>
                <w:iCs/>
                <w:color w:val="000000"/>
                <w:lang w:val="es-CR" w:eastAsia="es-CR"/>
              </w:rPr>
            </w:pPr>
            <w:r w:rsidRPr="009021BE">
              <w:rPr>
                <w:rFonts w:ascii="Cambria" w:hAnsi="Cambria"/>
                <w:b/>
                <w:bCs/>
                <w:i/>
                <w:iCs/>
                <w:color w:val="000000"/>
                <w:lang w:val="es-CR" w:eastAsia="es-CR"/>
              </w:rPr>
              <w:t xml:space="preserve">Capital Secundario </w:t>
            </w:r>
          </w:p>
        </w:tc>
        <w:tc>
          <w:tcPr>
            <w:tcW w:w="1815" w:type="dxa"/>
            <w:tcBorders>
              <w:top w:val="nil"/>
              <w:left w:val="nil"/>
              <w:bottom w:val="single" w:sz="4" w:space="0" w:color="auto"/>
              <w:right w:val="single" w:sz="8" w:space="0" w:color="auto"/>
            </w:tcBorders>
            <w:shd w:val="clear" w:color="000000" w:fill="9BC2E6"/>
            <w:noWrap/>
            <w:vAlign w:val="bottom"/>
            <w:hideMark/>
          </w:tcPr>
          <w:p w14:paraId="615E7F36" w14:textId="77777777" w:rsidR="00CB099E" w:rsidRPr="009021BE" w:rsidRDefault="00CB099E" w:rsidP="00456BED">
            <w:pPr>
              <w:rPr>
                <w:rFonts w:ascii="Cambria" w:hAnsi="Cambria" w:cs="Calibri"/>
                <w:b/>
                <w:bCs/>
                <w:i/>
                <w:iCs/>
                <w:color w:val="000000"/>
                <w:lang w:val="es-CR" w:eastAsia="es-CR"/>
              </w:rPr>
            </w:pPr>
            <w:r w:rsidRPr="009021BE">
              <w:rPr>
                <w:rFonts w:ascii="Cambria" w:hAnsi="Cambria" w:cs="Calibri"/>
                <w:b/>
                <w:bCs/>
                <w:i/>
                <w:iCs/>
                <w:color w:val="000000"/>
                <w:lang w:val="es-CR" w:eastAsia="es-CR"/>
              </w:rPr>
              <w:t xml:space="preserve">                             -   </w:t>
            </w:r>
          </w:p>
        </w:tc>
      </w:tr>
      <w:tr w:rsidR="00CB099E" w:rsidRPr="009021BE" w14:paraId="4EB7B76E" w14:textId="77777777" w:rsidTr="00456BED">
        <w:trPr>
          <w:trHeight w:val="315"/>
        </w:trPr>
        <w:tc>
          <w:tcPr>
            <w:tcW w:w="2001" w:type="dxa"/>
            <w:tcBorders>
              <w:top w:val="nil"/>
              <w:left w:val="single" w:sz="8" w:space="0" w:color="auto"/>
              <w:bottom w:val="single" w:sz="4" w:space="0" w:color="auto"/>
              <w:right w:val="single" w:sz="4" w:space="0" w:color="auto"/>
            </w:tcBorders>
            <w:shd w:val="clear" w:color="auto" w:fill="auto"/>
            <w:noWrap/>
            <w:vAlign w:val="center"/>
            <w:hideMark/>
          </w:tcPr>
          <w:p w14:paraId="062B2601"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c>
          <w:tcPr>
            <w:tcW w:w="4661" w:type="dxa"/>
            <w:tcBorders>
              <w:top w:val="nil"/>
              <w:left w:val="nil"/>
              <w:bottom w:val="single" w:sz="4" w:space="0" w:color="auto"/>
              <w:right w:val="single" w:sz="4" w:space="0" w:color="auto"/>
            </w:tcBorders>
            <w:shd w:val="clear" w:color="000000" w:fill="9BC2E6"/>
            <w:vAlign w:val="center"/>
            <w:hideMark/>
          </w:tcPr>
          <w:p w14:paraId="405DB1BB" w14:textId="77777777" w:rsidR="00CB099E" w:rsidRPr="009021BE" w:rsidRDefault="00CB099E" w:rsidP="00456BED">
            <w:pPr>
              <w:rPr>
                <w:rFonts w:ascii="Cambria" w:hAnsi="Cambria"/>
                <w:b/>
                <w:bCs/>
                <w:i/>
                <w:iCs/>
                <w:lang w:val="es-CR" w:eastAsia="es-CR"/>
              </w:rPr>
            </w:pPr>
            <w:r w:rsidRPr="009021BE">
              <w:rPr>
                <w:rFonts w:ascii="Cambria" w:hAnsi="Cambria"/>
                <w:b/>
                <w:bCs/>
                <w:i/>
                <w:iCs/>
                <w:lang w:val="es-CR" w:eastAsia="es-CR"/>
              </w:rPr>
              <w:t>Deducciones</w:t>
            </w:r>
          </w:p>
        </w:tc>
        <w:tc>
          <w:tcPr>
            <w:tcW w:w="1815" w:type="dxa"/>
            <w:tcBorders>
              <w:top w:val="nil"/>
              <w:left w:val="nil"/>
              <w:bottom w:val="single" w:sz="4" w:space="0" w:color="auto"/>
              <w:right w:val="single" w:sz="8" w:space="0" w:color="auto"/>
            </w:tcBorders>
            <w:shd w:val="clear" w:color="000000" w:fill="9BC2E6"/>
            <w:noWrap/>
            <w:vAlign w:val="bottom"/>
            <w:hideMark/>
          </w:tcPr>
          <w:p w14:paraId="65782F33" w14:textId="77777777" w:rsidR="00CB099E" w:rsidRPr="009021BE" w:rsidRDefault="00CB099E" w:rsidP="00456BED">
            <w:pPr>
              <w:rPr>
                <w:rFonts w:ascii="Cambria" w:hAnsi="Cambria" w:cs="Calibri"/>
                <w:b/>
                <w:bCs/>
                <w:i/>
                <w:iCs/>
                <w:color w:val="000000"/>
                <w:lang w:val="es-CR" w:eastAsia="es-CR"/>
              </w:rPr>
            </w:pPr>
            <w:r w:rsidRPr="009021BE">
              <w:rPr>
                <w:rFonts w:ascii="Cambria" w:hAnsi="Cambria" w:cs="Calibri"/>
                <w:b/>
                <w:bCs/>
                <w:i/>
                <w:iCs/>
                <w:color w:val="000000"/>
                <w:lang w:val="es-CR" w:eastAsia="es-CR"/>
              </w:rPr>
              <w:t xml:space="preserve">                             -   </w:t>
            </w:r>
          </w:p>
        </w:tc>
      </w:tr>
      <w:tr w:rsidR="00CB099E" w:rsidRPr="009021BE" w14:paraId="119D0DC3" w14:textId="77777777" w:rsidTr="00456BED">
        <w:trPr>
          <w:trHeight w:val="315"/>
        </w:trPr>
        <w:tc>
          <w:tcPr>
            <w:tcW w:w="2001" w:type="dxa"/>
            <w:tcBorders>
              <w:top w:val="nil"/>
              <w:left w:val="single" w:sz="8" w:space="0" w:color="auto"/>
              <w:bottom w:val="single" w:sz="4" w:space="0" w:color="auto"/>
              <w:right w:val="single" w:sz="4" w:space="0" w:color="auto"/>
            </w:tcBorders>
            <w:shd w:val="clear" w:color="auto" w:fill="auto"/>
            <w:noWrap/>
            <w:vAlign w:val="center"/>
            <w:hideMark/>
          </w:tcPr>
          <w:p w14:paraId="7904D31F"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c>
          <w:tcPr>
            <w:tcW w:w="4661" w:type="dxa"/>
            <w:tcBorders>
              <w:top w:val="nil"/>
              <w:left w:val="nil"/>
              <w:bottom w:val="single" w:sz="4" w:space="0" w:color="auto"/>
              <w:right w:val="single" w:sz="4" w:space="0" w:color="auto"/>
            </w:tcBorders>
            <w:shd w:val="clear" w:color="000000" w:fill="9BC2E6"/>
            <w:vAlign w:val="center"/>
            <w:hideMark/>
          </w:tcPr>
          <w:p w14:paraId="49243623" w14:textId="77777777" w:rsidR="00CB099E" w:rsidRPr="009021BE" w:rsidRDefault="00CB099E" w:rsidP="00456BED">
            <w:pPr>
              <w:rPr>
                <w:rFonts w:ascii="Cambria" w:hAnsi="Cambria"/>
                <w:i/>
                <w:iCs/>
                <w:color w:val="000000"/>
                <w:lang w:val="es-CR" w:eastAsia="es-CR"/>
              </w:rPr>
            </w:pPr>
            <w:r w:rsidRPr="009021BE">
              <w:rPr>
                <w:rFonts w:ascii="Cambria" w:hAnsi="Cambria"/>
                <w:i/>
                <w:iCs/>
                <w:color w:val="000000"/>
                <w:lang w:val="es-CR" w:eastAsia="es-CR"/>
              </w:rPr>
              <w:t>Capital Base</w:t>
            </w:r>
          </w:p>
        </w:tc>
        <w:tc>
          <w:tcPr>
            <w:tcW w:w="1815" w:type="dxa"/>
            <w:tcBorders>
              <w:top w:val="nil"/>
              <w:left w:val="nil"/>
              <w:bottom w:val="single" w:sz="4" w:space="0" w:color="auto"/>
              <w:right w:val="single" w:sz="8" w:space="0" w:color="auto"/>
            </w:tcBorders>
            <w:shd w:val="clear" w:color="000000" w:fill="9BC2E6"/>
            <w:noWrap/>
            <w:vAlign w:val="bottom"/>
            <w:hideMark/>
          </w:tcPr>
          <w:p w14:paraId="0D3DA985" w14:textId="77777777" w:rsidR="00CB099E" w:rsidRPr="009021BE" w:rsidRDefault="00CB099E" w:rsidP="00456BED">
            <w:pPr>
              <w:rPr>
                <w:rFonts w:ascii="Cambria" w:hAnsi="Cambria" w:cs="Calibri"/>
                <w:b/>
                <w:bCs/>
                <w:i/>
                <w:iCs/>
                <w:color w:val="000000"/>
                <w:lang w:val="es-CR" w:eastAsia="es-CR"/>
              </w:rPr>
            </w:pPr>
            <w:r w:rsidRPr="009021BE">
              <w:rPr>
                <w:rFonts w:ascii="Cambria" w:hAnsi="Cambria" w:cs="Calibri"/>
                <w:b/>
                <w:bCs/>
                <w:i/>
                <w:iCs/>
                <w:color w:val="000000"/>
                <w:lang w:val="es-CR" w:eastAsia="es-CR"/>
              </w:rPr>
              <w:t xml:space="preserve">                             -   </w:t>
            </w:r>
          </w:p>
        </w:tc>
      </w:tr>
      <w:tr w:rsidR="00CB099E" w:rsidRPr="009021BE" w14:paraId="5E90C4BE" w14:textId="77777777" w:rsidTr="00456BED">
        <w:trPr>
          <w:trHeight w:val="645"/>
        </w:trPr>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5BF64"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c>
          <w:tcPr>
            <w:tcW w:w="4661" w:type="dxa"/>
            <w:tcBorders>
              <w:top w:val="nil"/>
              <w:left w:val="nil"/>
              <w:bottom w:val="single" w:sz="4" w:space="0" w:color="auto"/>
              <w:right w:val="single" w:sz="4" w:space="0" w:color="auto"/>
            </w:tcBorders>
            <w:shd w:val="clear" w:color="000000" w:fill="44546A"/>
            <w:vAlign w:val="center"/>
            <w:hideMark/>
          </w:tcPr>
          <w:p w14:paraId="302C3918" w14:textId="77777777" w:rsidR="00CB099E" w:rsidRPr="009021BE" w:rsidRDefault="00CB099E" w:rsidP="00456BED">
            <w:pPr>
              <w:jc w:val="center"/>
              <w:rPr>
                <w:rFonts w:ascii="Cambria" w:hAnsi="Cambria" w:cs="Calibri"/>
                <w:b/>
                <w:bCs/>
                <w:i/>
                <w:iCs/>
                <w:color w:val="FFFFFF"/>
                <w:lang w:val="es-CR" w:eastAsia="es-CR"/>
              </w:rPr>
            </w:pPr>
            <w:r w:rsidRPr="009021BE">
              <w:rPr>
                <w:rFonts w:ascii="Cambria" w:hAnsi="Cambria" w:cs="Calibri"/>
                <w:b/>
                <w:bCs/>
                <w:i/>
                <w:iCs/>
                <w:color w:val="FFFFFF"/>
                <w:lang w:val="es-CR" w:eastAsia="es-CR"/>
              </w:rPr>
              <w:t>CÁLCULO DEL CAPITAL REGULATORIO O REQUERIMIENTO DE CAPITAL POR RIESGO</w:t>
            </w:r>
            <w:r w:rsidRPr="009021BE">
              <w:rPr>
                <w:rFonts w:ascii="Cambria" w:hAnsi="Cambria" w:cs="Calibri"/>
                <w:b/>
                <w:bCs/>
                <w:i/>
                <w:iCs/>
                <w:color w:val="FFFFFF"/>
                <w:vertAlign w:val="superscript"/>
                <w:lang w:val="es-CR" w:eastAsia="es-CR"/>
              </w:rPr>
              <w:t>1</w:t>
            </w:r>
            <w:r w:rsidRPr="009021BE">
              <w:rPr>
                <w:rFonts w:ascii="Cambria" w:hAnsi="Cambria" w:cs="Calibri"/>
                <w:b/>
                <w:bCs/>
                <w:i/>
                <w:iCs/>
                <w:color w:val="FFFFFF"/>
                <w:lang w:val="es-CR" w:eastAsia="es-CR"/>
              </w:rPr>
              <w:t xml:space="preserve"> (II)</w:t>
            </w:r>
          </w:p>
        </w:tc>
        <w:tc>
          <w:tcPr>
            <w:tcW w:w="1815" w:type="dxa"/>
            <w:tcBorders>
              <w:top w:val="nil"/>
              <w:left w:val="nil"/>
              <w:bottom w:val="single" w:sz="4" w:space="0" w:color="auto"/>
              <w:right w:val="single" w:sz="8" w:space="0" w:color="auto"/>
            </w:tcBorders>
            <w:shd w:val="clear" w:color="000000" w:fill="44546A"/>
            <w:vAlign w:val="center"/>
            <w:hideMark/>
          </w:tcPr>
          <w:p w14:paraId="2B97186D" w14:textId="77777777" w:rsidR="00CB099E" w:rsidRPr="009021BE" w:rsidRDefault="00CB099E" w:rsidP="00456BED">
            <w:pPr>
              <w:jc w:val="center"/>
              <w:rPr>
                <w:rFonts w:ascii="Cambria" w:hAnsi="Cambria" w:cs="Calibri"/>
                <w:b/>
                <w:bCs/>
                <w:i/>
                <w:iCs/>
                <w:color w:val="FFFFFF"/>
                <w:lang w:val="es-CR" w:eastAsia="es-CR"/>
              </w:rPr>
            </w:pPr>
            <w:r w:rsidRPr="009021BE">
              <w:rPr>
                <w:rFonts w:ascii="Cambria" w:hAnsi="Cambria" w:cs="Calibri"/>
                <w:b/>
                <w:bCs/>
                <w:i/>
                <w:iCs/>
                <w:color w:val="FFFFFF"/>
                <w:lang w:val="es-CR" w:eastAsia="es-CR"/>
              </w:rPr>
              <w:t> </w:t>
            </w:r>
          </w:p>
        </w:tc>
      </w:tr>
      <w:tr w:rsidR="00CB099E" w:rsidRPr="009021BE" w14:paraId="4ADF8D1B" w14:textId="77777777" w:rsidTr="00456BED">
        <w:trPr>
          <w:trHeight w:val="315"/>
        </w:trPr>
        <w:tc>
          <w:tcPr>
            <w:tcW w:w="2001" w:type="dxa"/>
            <w:tcBorders>
              <w:top w:val="nil"/>
              <w:left w:val="single" w:sz="8" w:space="0" w:color="auto"/>
              <w:bottom w:val="single" w:sz="4" w:space="0" w:color="auto"/>
              <w:right w:val="single" w:sz="4" w:space="0" w:color="auto"/>
            </w:tcBorders>
            <w:shd w:val="clear" w:color="auto" w:fill="auto"/>
            <w:noWrap/>
            <w:vAlign w:val="center"/>
            <w:hideMark/>
          </w:tcPr>
          <w:p w14:paraId="72D8A13C"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10000000000000 </w:t>
            </w:r>
          </w:p>
        </w:tc>
        <w:tc>
          <w:tcPr>
            <w:tcW w:w="4661" w:type="dxa"/>
            <w:tcBorders>
              <w:top w:val="nil"/>
              <w:left w:val="nil"/>
              <w:bottom w:val="single" w:sz="4" w:space="0" w:color="auto"/>
              <w:right w:val="single" w:sz="4" w:space="0" w:color="auto"/>
            </w:tcBorders>
            <w:shd w:val="clear" w:color="auto" w:fill="auto"/>
            <w:vAlign w:val="center"/>
            <w:hideMark/>
          </w:tcPr>
          <w:p w14:paraId="7BAE706E" w14:textId="77777777" w:rsidR="00CB099E" w:rsidRPr="009021BE" w:rsidRDefault="00CB099E" w:rsidP="00456BED">
            <w:pPr>
              <w:rPr>
                <w:rFonts w:ascii="Cambria" w:hAnsi="Cambria"/>
                <w:i/>
                <w:iCs/>
                <w:color w:val="000000"/>
                <w:lang w:val="es-CR" w:eastAsia="es-CR"/>
              </w:rPr>
            </w:pPr>
            <w:r w:rsidRPr="009021BE">
              <w:rPr>
                <w:rFonts w:ascii="Cambria" w:hAnsi="Cambria"/>
                <w:i/>
                <w:iCs/>
                <w:color w:val="000000"/>
                <w:lang w:val="es-CR" w:eastAsia="es-CR"/>
              </w:rPr>
              <w:t>Activo Total</w:t>
            </w:r>
          </w:p>
        </w:tc>
        <w:tc>
          <w:tcPr>
            <w:tcW w:w="1815" w:type="dxa"/>
            <w:tcBorders>
              <w:top w:val="nil"/>
              <w:left w:val="nil"/>
              <w:bottom w:val="single" w:sz="4" w:space="0" w:color="auto"/>
              <w:right w:val="single" w:sz="8" w:space="0" w:color="auto"/>
            </w:tcBorders>
            <w:shd w:val="clear" w:color="auto" w:fill="auto"/>
            <w:noWrap/>
            <w:vAlign w:val="bottom"/>
            <w:hideMark/>
          </w:tcPr>
          <w:p w14:paraId="6E1C330E"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3B1EA2AB" w14:textId="77777777" w:rsidTr="00456BED">
        <w:trPr>
          <w:trHeight w:val="315"/>
        </w:trPr>
        <w:tc>
          <w:tcPr>
            <w:tcW w:w="2001" w:type="dxa"/>
            <w:tcBorders>
              <w:top w:val="nil"/>
              <w:left w:val="single" w:sz="8" w:space="0" w:color="auto"/>
              <w:bottom w:val="single" w:sz="4" w:space="0" w:color="auto"/>
              <w:right w:val="single" w:sz="4" w:space="0" w:color="auto"/>
            </w:tcBorders>
            <w:shd w:val="clear" w:color="auto" w:fill="auto"/>
            <w:noWrap/>
            <w:vAlign w:val="bottom"/>
            <w:hideMark/>
          </w:tcPr>
          <w:p w14:paraId="7D3529BC"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c>
          <w:tcPr>
            <w:tcW w:w="4661" w:type="dxa"/>
            <w:tcBorders>
              <w:top w:val="nil"/>
              <w:left w:val="nil"/>
              <w:bottom w:val="single" w:sz="4" w:space="0" w:color="auto"/>
              <w:right w:val="single" w:sz="4" w:space="0" w:color="auto"/>
            </w:tcBorders>
            <w:shd w:val="clear" w:color="000000" w:fill="9BC2E6"/>
            <w:vAlign w:val="center"/>
            <w:hideMark/>
          </w:tcPr>
          <w:p w14:paraId="7B8F04D5" w14:textId="77777777" w:rsidR="00CB099E" w:rsidRPr="009021BE" w:rsidRDefault="00CB099E" w:rsidP="00456BED">
            <w:pPr>
              <w:rPr>
                <w:rFonts w:ascii="Cambria" w:hAnsi="Cambria"/>
                <w:b/>
                <w:bCs/>
                <w:i/>
                <w:iCs/>
                <w:lang w:val="es-CR" w:eastAsia="es-CR"/>
              </w:rPr>
            </w:pPr>
            <w:r w:rsidRPr="009021BE">
              <w:rPr>
                <w:rFonts w:ascii="Cambria" w:hAnsi="Cambria"/>
                <w:b/>
                <w:bCs/>
                <w:i/>
                <w:iCs/>
                <w:lang w:val="es-CR" w:eastAsia="es-CR"/>
              </w:rPr>
              <w:t>Ajuste a Activo por partidas deducidas del capital</w:t>
            </w:r>
          </w:p>
        </w:tc>
        <w:tc>
          <w:tcPr>
            <w:tcW w:w="1815" w:type="dxa"/>
            <w:tcBorders>
              <w:top w:val="nil"/>
              <w:left w:val="nil"/>
              <w:bottom w:val="single" w:sz="4" w:space="0" w:color="auto"/>
              <w:right w:val="single" w:sz="8" w:space="0" w:color="auto"/>
            </w:tcBorders>
            <w:shd w:val="clear" w:color="000000" w:fill="9BC2E6"/>
            <w:noWrap/>
            <w:vAlign w:val="bottom"/>
            <w:hideMark/>
          </w:tcPr>
          <w:p w14:paraId="38B9632E" w14:textId="77777777" w:rsidR="00CB099E" w:rsidRPr="009021BE" w:rsidRDefault="00CB099E" w:rsidP="00456BED">
            <w:pPr>
              <w:rPr>
                <w:rFonts w:ascii="Cambria" w:hAnsi="Cambria" w:cs="Calibri"/>
                <w:b/>
                <w:bCs/>
                <w:i/>
                <w:iCs/>
                <w:color w:val="000000"/>
                <w:lang w:val="es-CR" w:eastAsia="es-CR"/>
              </w:rPr>
            </w:pPr>
            <w:r w:rsidRPr="009021BE">
              <w:rPr>
                <w:rFonts w:ascii="Cambria" w:hAnsi="Cambria" w:cs="Calibri"/>
                <w:b/>
                <w:bCs/>
                <w:i/>
                <w:iCs/>
                <w:color w:val="000000"/>
                <w:lang w:val="es-CR" w:eastAsia="es-CR"/>
              </w:rPr>
              <w:t xml:space="preserve">                             -   </w:t>
            </w:r>
          </w:p>
        </w:tc>
      </w:tr>
      <w:tr w:rsidR="00CB099E" w:rsidRPr="009021BE" w14:paraId="693E40D2" w14:textId="77777777" w:rsidTr="00456BED">
        <w:trPr>
          <w:trHeight w:val="315"/>
        </w:trPr>
        <w:tc>
          <w:tcPr>
            <w:tcW w:w="2001" w:type="dxa"/>
            <w:tcBorders>
              <w:top w:val="nil"/>
              <w:left w:val="single" w:sz="8" w:space="0" w:color="auto"/>
              <w:bottom w:val="single" w:sz="4" w:space="0" w:color="auto"/>
              <w:right w:val="single" w:sz="4" w:space="0" w:color="auto"/>
            </w:tcBorders>
            <w:shd w:val="clear" w:color="auto" w:fill="auto"/>
            <w:noWrap/>
            <w:vAlign w:val="bottom"/>
            <w:hideMark/>
          </w:tcPr>
          <w:p w14:paraId="2153547D"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c>
          <w:tcPr>
            <w:tcW w:w="4661" w:type="dxa"/>
            <w:tcBorders>
              <w:top w:val="nil"/>
              <w:left w:val="nil"/>
              <w:bottom w:val="single" w:sz="4" w:space="0" w:color="auto"/>
              <w:right w:val="single" w:sz="4" w:space="0" w:color="auto"/>
            </w:tcBorders>
            <w:shd w:val="clear" w:color="000000" w:fill="9BC2E6"/>
            <w:vAlign w:val="center"/>
            <w:hideMark/>
          </w:tcPr>
          <w:p w14:paraId="14DCF523" w14:textId="77777777" w:rsidR="00CB099E" w:rsidRPr="009021BE" w:rsidRDefault="00CB099E" w:rsidP="00456BED">
            <w:pPr>
              <w:rPr>
                <w:rFonts w:ascii="Cambria" w:hAnsi="Cambria"/>
                <w:b/>
                <w:bCs/>
                <w:i/>
                <w:iCs/>
                <w:color w:val="000000"/>
                <w:lang w:val="es-CR" w:eastAsia="es-CR"/>
              </w:rPr>
            </w:pPr>
            <w:r w:rsidRPr="009021BE">
              <w:rPr>
                <w:rFonts w:ascii="Cambria" w:hAnsi="Cambria"/>
                <w:b/>
                <w:bCs/>
                <w:i/>
                <w:iCs/>
                <w:color w:val="000000"/>
                <w:lang w:val="es-CR" w:eastAsia="es-CR"/>
              </w:rPr>
              <w:t>Capital Regulatorio o Requerimiento de capital por riesgo</w:t>
            </w:r>
          </w:p>
        </w:tc>
        <w:tc>
          <w:tcPr>
            <w:tcW w:w="1815" w:type="dxa"/>
            <w:tcBorders>
              <w:top w:val="nil"/>
              <w:left w:val="nil"/>
              <w:bottom w:val="single" w:sz="4" w:space="0" w:color="auto"/>
              <w:right w:val="single" w:sz="8" w:space="0" w:color="auto"/>
            </w:tcBorders>
            <w:shd w:val="clear" w:color="000000" w:fill="9BC2E6"/>
            <w:noWrap/>
            <w:vAlign w:val="bottom"/>
            <w:hideMark/>
          </w:tcPr>
          <w:p w14:paraId="7BB4FC41" w14:textId="77777777" w:rsidR="00CB099E" w:rsidRPr="009021BE" w:rsidRDefault="00CB099E" w:rsidP="00456BED">
            <w:pPr>
              <w:rPr>
                <w:rFonts w:ascii="Cambria" w:hAnsi="Cambria" w:cs="Calibri"/>
                <w:b/>
                <w:bCs/>
                <w:i/>
                <w:iCs/>
                <w:color w:val="000000"/>
                <w:lang w:val="es-CR" w:eastAsia="es-CR"/>
              </w:rPr>
            </w:pPr>
            <w:r w:rsidRPr="009021BE">
              <w:rPr>
                <w:rFonts w:ascii="Cambria" w:hAnsi="Cambria" w:cs="Calibri"/>
                <w:b/>
                <w:bCs/>
                <w:i/>
                <w:iCs/>
                <w:color w:val="000000"/>
                <w:lang w:val="es-CR" w:eastAsia="es-CR"/>
              </w:rPr>
              <w:t xml:space="preserve">                             -   </w:t>
            </w:r>
          </w:p>
        </w:tc>
      </w:tr>
      <w:tr w:rsidR="00CB099E" w:rsidRPr="009021BE" w14:paraId="3E690553" w14:textId="77777777" w:rsidTr="00456BED">
        <w:trPr>
          <w:trHeight w:val="469"/>
        </w:trPr>
        <w:tc>
          <w:tcPr>
            <w:tcW w:w="2001" w:type="dxa"/>
            <w:tcBorders>
              <w:top w:val="nil"/>
              <w:left w:val="single" w:sz="8" w:space="0" w:color="auto"/>
              <w:bottom w:val="single" w:sz="4" w:space="0" w:color="auto"/>
              <w:right w:val="single" w:sz="4" w:space="0" w:color="auto"/>
            </w:tcBorders>
            <w:shd w:val="clear" w:color="auto" w:fill="auto"/>
            <w:noWrap/>
            <w:vAlign w:val="bottom"/>
            <w:hideMark/>
          </w:tcPr>
          <w:p w14:paraId="1449B832"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c>
          <w:tcPr>
            <w:tcW w:w="4661" w:type="dxa"/>
            <w:tcBorders>
              <w:top w:val="nil"/>
              <w:left w:val="nil"/>
              <w:bottom w:val="single" w:sz="4" w:space="0" w:color="auto"/>
              <w:right w:val="single" w:sz="4" w:space="0" w:color="auto"/>
            </w:tcBorders>
            <w:shd w:val="clear" w:color="000000" w:fill="9BC2E6"/>
            <w:hideMark/>
          </w:tcPr>
          <w:p w14:paraId="6B2C0BF6" w14:textId="77777777" w:rsidR="00CB099E" w:rsidRPr="009021BE" w:rsidRDefault="00CB099E" w:rsidP="00456BED">
            <w:pPr>
              <w:rPr>
                <w:rFonts w:ascii="Cambria" w:hAnsi="Cambria"/>
                <w:b/>
                <w:bCs/>
                <w:i/>
                <w:iCs/>
                <w:color w:val="000000"/>
                <w:lang w:val="es-CR" w:eastAsia="es-CR"/>
              </w:rPr>
            </w:pPr>
            <w:r w:rsidRPr="009021BE">
              <w:rPr>
                <w:rFonts w:ascii="Cambria" w:hAnsi="Cambria"/>
                <w:b/>
                <w:bCs/>
                <w:i/>
                <w:iCs/>
                <w:color w:val="000000"/>
                <w:lang w:val="es-CR" w:eastAsia="es-CR"/>
              </w:rPr>
              <w:t xml:space="preserve">Superávit o Déficit Patrimonial: (I)-(II) </w:t>
            </w:r>
          </w:p>
        </w:tc>
        <w:tc>
          <w:tcPr>
            <w:tcW w:w="1815" w:type="dxa"/>
            <w:tcBorders>
              <w:top w:val="nil"/>
              <w:left w:val="nil"/>
              <w:bottom w:val="single" w:sz="4" w:space="0" w:color="auto"/>
              <w:right w:val="single" w:sz="8" w:space="0" w:color="auto"/>
            </w:tcBorders>
            <w:shd w:val="clear" w:color="000000" w:fill="9BC2E6"/>
            <w:noWrap/>
            <w:vAlign w:val="bottom"/>
            <w:hideMark/>
          </w:tcPr>
          <w:p w14:paraId="13D3C63E" w14:textId="77777777" w:rsidR="00CB099E" w:rsidRPr="009021BE" w:rsidRDefault="00CB099E" w:rsidP="00456BED">
            <w:pPr>
              <w:rPr>
                <w:rFonts w:ascii="Cambria" w:hAnsi="Cambria" w:cs="Calibri"/>
                <w:b/>
                <w:bCs/>
                <w:i/>
                <w:iCs/>
                <w:color w:val="000000"/>
                <w:lang w:val="es-CR" w:eastAsia="es-CR"/>
              </w:rPr>
            </w:pPr>
            <w:r w:rsidRPr="009021BE">
              <w:rPr>
                <w:rFonts w:ascii="Cambria" w:hAnsi="Cambria" w:cs="Calibri"/>
                <w:b/>
                <w:bCs/>
                <w:i/>
                <w:iCs/>
                <w:color w:val="000000"/>
                <w:lang w:val="es-CR" w:eastAsia="es-CR"/>
              </w:rPr>
              <w:t xml:space="preserve">                             -   </w:t>
            </w:r>
          </w:p>
        </w:tc>
      </w:tr>
      <w:tr w:rsidR="00CB099E" w:rsidRPr="009021BE" w14:paraId="7969A7EA" w14:textId="77777777" w:rsidTr="00456BED">
        <w:trPr>
          <w:trHeight w:val="1275"/>
        </w:trPr>
        <w:tc>
          <w:tcPr>
            <w:tcW w:w="8477"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14:paraId="5DFE21F5" w14:textId="77777777" w:rsidR="00CB099E" w:rsidRPr="009021BE" w:rsidRDefault="00CB099E" w:rsidP="00456BED">
            <w:pPr>
              <w:jc w:val="both"/>
              <w:rPr>
                <w:rFonts w:ascii="Cambria" w:hAnsi="Cambria" w:cs="Calibri"/>
                <w:i/>
                <w:iCs/>
                <w:color w:val="000000"/>
                <w:lang w:val="es-CR" w:eastAsia="es-CR"/>
              </w:rPr>
            </w:pPr>
            <w:r w:rsidRPr="009021BE">
              <w:rPr>
                <w:rFonts w:ascii="Cambria" w:hAnsi="Cambria" w:cs="Calibri"/>
                <w:i/>
                <w:iCs/>
                <w:color w:val="000000"/>
                <w:vertAlign w:val="superscript"/>
                <w:lang w:val="es-CR" w:eastAsia="es-CR"/>
              </w:rPr>
              <w:t xml:space="preserve">1 </w:t>
            </w:r>
            <w:r w:rsidRPr="009021BE">
              <w:rPr>
                <w:rFonts w:ascii="Cambria" w:hAnsi="Cambria" w:cs="Calibri"/>
                <w:i/>
                <w:iCs/>
                <w:color w:val="000000"/>
                <w:lang w:val="es-CR" w:eastAsia="es-CR"/>
              </w:rPr>
              <w:t>A partir de la entrada en vigor del Título IV, del Acuerno CONASSIF 16-22, el concepto de “Capital Regulatorio” se denominará “Requerimiento de Capital Basado en Riesgos”, manteniéndose la misma forma de cálculo.</w:t>
            </w:r>
            <w:r w:rsidRPr="009021BE">
              <w:rPr>
                <w:rFonts w:ascii="Cambria" w:hAnsi="Cambria" w:cs="Calibri"/>
                <w:i/>
                <w:iCs/>
                <w:color w:val="000000"/>
                <w:lang w:val="es-CR" w:eastAsia="es-CR"/>
              </w:rPr>
              <w:br/>
            </w:r>
            <w:r w:rsidRPr="009021BE">
              <w:rPr>
                <w:rFonts w:ascii="Cambria" w:hAnsi="Cambria" w:cs="Calibri"/>
                <w:i/>
                <w:iCs/>
                <w:color w:val="000000"/>
                <w:vertAlign w:val="superscript"/>
                <w:lang w:val="es-CR" w:eastAsia="es-CR"/>
              </w:rPr>
              <w:t xml:space="preserve">2 </w:t>
            </w:r>
            <w:r w:rsidRPr="009021BE">
              <w:rPr>
                <w:rFonts w:ascii="Cambria" w:hAnsi="Cambria" w:cs="Calibri"/>
                <w:i/>
                <w:iCs/>
                <w:color w:val="000000"/>
                <w:lang w:val="es-CR" w:eastAsia="es-CR"/>
              </w:rPr>
              <w:t xml:space="preserve">Con base en el artículo 17, inciso a, del Acuerno CONASSIF 3-16, hasta el 31 de diciembre de 2024. A partir del 01 de enero de </w:t>
            </w:r>
            <w:r w:rsidRPr="001B547C">
              <w:rPr>
                <w:rFonts w:ascii="Cambria" w:hAnsi="Cambria" w:cs="Calibri"/>
                <w:i/>
                <w:iCs/>
                <w:lang w:val="es-CR" w:eastAsia="es-CR"/>
              </w:rPr>
              <w:t xml:space="preserve">2025, </w:t>
            </w:r>
            <w:r w:rsidRPr="009021BE">
              <w:rPr>
                <w:rFonts w:ascii="Cambria" w:hAnsi="Cambria" w:cs="Calibri"/>
                <w:i/>
                <w:iCs/>
                <w:color w:val="000000"/>
                <w:lang w:val="es-CR" w:eastAsia="es-CR"/>
              </w:rPr>
              <w:t>la norma aplicable será el artículo 110, inciso a, del Acuerno CONASSIF 16-22.</w:t>
            </w:r>
          </w:p>
        </w:tc>
      </w:tr>
    </w:tbl>
    <w:p w14:paraId="655BBC22" w14:textId="77777777" w:rsidR="00CB099E" w:rsidRPr="00DA0A18" w:rsidRDefault="00CB099E" w:rsidP="00CB099E">
      <w:pPr>
        <w:jc w:val="both"/>
        <w:rPr>
          <w:rFonts w:ascii="Cambria" w:hAnsi="Cambria"/>
          <w:lang w:val="es-CR"/>
        </w:rPr>
      </w:pPr>
    </w:p>
    <w:tbl>
      <w:tblPr>
        <w:tblW w:w="8505" w:type="dxa"/>
        <w:tblInd w:w="841" w:type="dxa"/>
        <w:tblCellMar>
          <w:left w:w="70" w:type="dxa"/>
          <w:right w:w="70" w:type="dxa"/>
        </w:tblCellMar>
        <w:tblLook w:val="04A0" w:firstRow="1" w:lastRow="0" w:firstColumn="1" w:lastColumn="0" w:noHBand="0" w:noVBand="1"/>
      </w:tblPr>
      <w:tblGrid>
        <w:gridCol w:w="2218"/>
        <w:gridCol w:w="4394"/>
        <w:gridCol w:w="1893"/>
      </w:tblGrid>
      <w:tr w:rsidR="00CB099E" w:rsidRPr="009021BE" w14:paraId="7AAA79D1" w14:textId="77777777" w:rsidTr="00456BED">
        <w:trPr>
          <w:trHeight w:val="315"/>
          <w:tblHeader/>
        </w:trPr>
        <w:tc>
          <w:tcPr>
            <w:tcW w:w="2218" w:type="dxa"/>
            <w:tcBorders>
              <w:top w:val="single" w:sz="4" w:space="0" w:color="auto"/>
              <w:left w:val="single" w:sz="8" w:space="0" w:color="auto"/>
              <w:bottom w:val="single" w:sz="4" w:space="0" w:color="auto"/>
              <w:right w:val="single" w:sz="4" w:space="0" w:color="auto"/>
            </w:tcBorders>
            <w:shd w:val="clear" w:color="000000" w:fill="44546A"/>
            <w:vAlign w:val="center"/>
            <w:hideMark/>
          </w:tcPr>
          <w:p w14:paraId="0B4D5592" w14:textId="77777777" w:rsidR="00CB099E" w:rsidRPr="009021BE" w:rsidRDefault="00CB099E" w:rsidP="00456BED">
            <w:pPr>
              <w:jc w:val="center"/>
              <w:rPr>
                <w:rFonts w:ascii="Cambria" w:hAnsi="Cambria" w:cs="Calibri"/>
                <w:b/>
                <w:bCs/>
                <w:i/>
                <w:iCs/>
                <w:color w:val="FFFFFF"/>
                <w:lang w:val="es-CR" w:eastAsia="es-CR"/>
              </w:rPr>
            </w:pPr>
            <w:r w:rsidRPr="009021BE">
              <w:rPr>
                <w:rFonts w:ascii="Cambria" w:hAnsi="Cambria" w:cs="Calibri"/>
                <w:b/>
                <w:bCs/>
                <w:i/>
                <w:iCs/>
                <w:color w:val="FFFFFF"/>
                <w:lang w:val="es-CR" w:eastAsia="es-CR"/>
              </w:rPr>
              <w:t>CÓDIGO CUENTA</w:t>
            </w:r>
          </w:p>
        </w:tc>
        <w:tc>
          <w:tcPr>
            <w:tcW w:w="4394" w:type="dxa"/>
            <w:tcBorders>
              <w:top w:val="single" w:sz="4" w:space="0" w:color="auto"/>
              <w:left w:val="nil"/>
              <w:bottom w:val="single" w:sz="4" w:space="0" w:color="auto"/>
              <w:right w:val="single" w:sz="4" w:space="0" w:color="auto"/>
            </w:tcBorders>
            <w:shd w:val="clear" w:color="000000" w:fill="44546A"/>
            <w:vAlign w:val="center"/>
            <w:hideMark/>
          </w:tcPr>
          <w:p w14:paraId="30D88720" w14:textId="77777777" w:rsidR="00CB099E" w:rsidRPr="009021BE" w:rsidRDefault="00CB099E" w:rsidP="00456BED">
            <w:pPr>
              <w:jc w:val="center"/>
              <w:rPr>
                <w:rFonts w:ascii="Cambria" w:hAnsi="Cambria" w:cs="Calibri"/>
                <w:b/>
                <w:bCs/>
                <w:i/>
                <w:iCs/>
                <w:color w:val="FFFFFF"/>
                <w:lang w:val="es-CR" w:eastAsia="es-CR"/>
              </w:rPr>
            </w:pPr>
            <w:r w:rsidRPr="009021BE">
              <w:rPr>
                <w:rFonts w:ascii="Cambria" w:hAnsi="Cambria" w:cs="Calibri"/>
                <w:b/>
                <w:bCs/>
                <w:i/>
                <w:iCs/>
                <w:color w:val="FFFFFF"/>
                <w:lang w:val="es-CR" w:eastAsia="es-CR"/>
              </w:rPr>
              <w:t>PARTIDAS</w:t>
            </w:r>
          </w:p>
        </w:tc>
        <w:tc>
          <w:tcPr>
            <w:tcW w:w="1893" w:type="dxa"/>
            <w:tcBorders>
              <w:top w:val="single" w:sz="4" w:space="0" w:color="auto"/>
              <w:left w:val="nil"/>
              <w:bottom w:val="single" w:sz="4" w:space="0" w:color="auto"/>
              <w:right w:val="single" w:sz="8" w:space="0" w:color="auto"/>
            </w:tcBorders>
            <w:shd w:val="clear" w:color="000000" w:fill="44546A"/>
            <w:vAlign w:val="center"/>
            <w:hideMark/>
          </w:tcPr>
          <w:p w14:paraId="7DC49C3B" w14:textId="77777777" w:rsidR="00CB099E" w:rsidRPr="009021BE" w:rsidRDefault="00CB099E" w:rsidP="00456BED">
            <w:pPr>
              <w:jc w:val="center"/>
              <w:rPr>
                <w:rFonts w:ascii="Cambria" w:hAnsi="Cambria" w:cs="Calibri"/>
                <w:b/>
                <w:bCs/>
                <w:i/>
                <w:iCs/>
                <w:color w:val="FFFFFF"/>
                <w:lang w:val="es-CR" w:eastAsia="es-CR"/>
              </w:rPr>
            </w:pPr>
            <w:r w:rsidRPr="009021BE">
              <w:rPr>
                <w:rFonts w:ascii="Cambria" w:hAnsi="Cambria" w:cs="Calibri"/>
                <w:b/>
                <w:bCs/>
                <w:i/>
                <w:iCs/>
                <w:color w:val="FFFFFF"/>
                <w:lang w:val="es-CR" w:eastAsia="es-CR"/>
              </w:rPr>
              <w:t>MONTOS</w:t>
            </w:r>
          </w:p>
        </w:tc>
      </w:tr>
      <w:tr w:rsidR="00CB099E" w:rsidRPr="009021BE" w14:paraId="65A7FB2A" w14:textId="77777777" w:rsidTr="00456BED">
        <w:trPr>
          <w:trHeight w:val="375"/>
        </w:trPr>
        <w:tc>
          <w:tcPr>
            <w:tcW w:w="221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91046D3"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c>
          <w:tcPr>
            <w:tcW w:w="6287" w:type="dxa"/>
            <w:gridSpan w:val="2"/>
            <w:tcBorders>
              <w:top w:val="single" w:sz="8" w:space="0" w:color="auto"/>
              <w:left w:val="nil"/>
              <w:bottom w:val="single" w:sz="4" w:space="0" w:color="auto"/>
              <w:right w:val="single" w:sz="8" w:space="0" w:color="000000"/>
            </w:tcBorders>
            <w:shd w:val="clear" w:color="000000" w:fill="44546A"/>
            <w:vAlign w:val="center"/>
            <w:hideMark/>
          </w:tcPr>
          <w:p w14:paraId="007A0F42" w14:textId="77777777" w:rsidR="00CB099E" w:rsidRPr="009021BE" w:rsidRDefault="00CB099E" w:rsidP="00456BED">
            <w:pPr>
              <w:ind w:right="-33"/>
              <w:jc w:val="center"/>
              <w:rPr>
                <w:rFonts w:ascii="Cambria" w:hAnsi="Cambria" w:cs="Calibri"/>
                <w:b/>
                <w:bCs/>
                <w:i/>
                <w:iCs/>
                <w:color w:val="FFFFFF"/>
                <w:lang w:val="es-CR" w:eastAsia="es-CR"/>
              </w:rPr>
            </w:pPr>
            <w:r w:rsidRPr="009021BE">
              <w:rPr>
                <w:rFonts w:ascii="Cambria" w:hAnsi="Cambria" w:cs="Calibri"/>
                <w:b/>
                <w:bCs/>
                <w:i/>
                <w:iCs/>
                <w:color w:val="FFFFFF"/>
                <w:lang w:val="es-CR" w:eastAsia="es-CR"/>
              </w:rPr>
              <w:t>DEDUCCIONES</w:t>
            </w:r>
          </w:p>
        </w:tc>
      </w:tr>
      <w:tr w:rsidR="00CB099E" w:rsidRPr="009021BE" w14:paraId="4328ED24" w14:textId="77777777" w:rsidTr="00456BED">
        <w:trPr>
          <w:trHeight w:val="375"/>
        </w:trPr>
        <w:tc>
          <w:tcPr>
            <w:tcW w:w="2218" w:type="dxa"/>
            <w:tcBorders>
              <w:top w:val="nil"/>
              <w:left w:val="single" w:sz="8" w:space="0" w:color="auto"/>
              <w:bottom w:val="single" w:sz="4" w:space="0" w:color="auto"/>
              <w:right w:val="single" w:sz="4" w:space="0" w:color="auto"/>
            </w:tcBorders>
            <w:shd w:val="clear" w:color="auto" w:fill="auto"/>
            <w:noWrap/>
            <w:vAlign w:val="bottom"/>
            <w:hideMark/>
          </w:tcPr>
          <w:p w14:paraId="785B7031"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c>
          <w:tcPr>
            <w:tcW w:w="4394" w:type="dxa"/>
            <w:tcBorders>
              <w:top w:val="nil"/>
              <w:left w:val="nil"/>
              <w:bottom w:val="single" w:sz="4" w:space="0" w:color="auto"/>
              <w:right w:val="single" w:sz="4" w:space="0" w:color="auto"/>
            </w:tcBorders>
            <w:shd w:val="clear" w:color="000000" w:fill="70AD47"/>
            <w:vAlign w:val="center"/>
            <w:hideMark/>
          </w:tcPr>
          <w:p w14:paraId="66EC0FB8" w14:textId="77777777" w:rsidR="00CB099E" w:rsidRPr="009021BE" w:rsidRDefault="00CB099E" w:rsidP="00456BED">
            <w:pPr>
              <w:jc w:val="right"/>
              <w:rPr>
                <w:rFonts w:ascii="Cambria" w:hAnsi="Cambria" w:cs="Calibri"/>
                <w:b/>
                <w:bCs/>
                <w:i/>
                <w:iCs/>
                <w:color w:val="000000"/>
                <w:lang w:val="es-CR" w:eastAsia="es-CR"/>
              </w:rPr>
            </w:pPr>
            <w:r w:rsidRPr="009021BE">
              <w:rPr>
                <w:rFonts w:ascii="Cambria" w:hAnsi="Cambria" w:cs="Calibri"/>
                <w:b/>
                <w:bCs/>
                <w:i/>
                <w:iCs/>
                <w:color w:val="000000"/>
                <w:lang w:val="es-CR" w:eastAsia="es-CR"/>
              </w:rPr>
              <w:t>Suman:</w:t>
            </w:r>
          </w:p>
        </w:tc>
        <w:tc>
          <w:tcPr>
            <w:tcW w:w="1893" w:type="dxa"/>
            <w:tcBorders>
              <w:top w:val="nil"/>
              <w:left w:val="nil"/>
              <w:bottom w:val="single" w:sz="4" w:space="0" w:color="auto"/>
              <w:right w:val="single" w:sz="8" w:space="0" w:color="auto"/>
            </w:tcBorders>
            <w:shd w:val="clear" w:color="000000" w:fill="70AD47"/>
            <w:noWrap/>
            <w:vAlign w:val="bottom"/>
            <w:hideMark/>
          </w:tcPr>
          <w:p w14:paraId="0923F2DE" w14:textId="77777777" w:rsidR="00CB099E" w:rsidRPr="009021BE" w:rsidRDefault="00CB099E" w:rsidP="00456BED">
            <w:pPr>
              <w:rPr>
                <w:rFonts w:ascii="Cambria" w:hAnsi="Cambria" w:cs="Calibri"/>
                <w:b/>
                <w:bCs/>
                <w:i/>
                <w:iCs/>
                <w:color w:val="000000"/>
                <w:lang w:val="es-CR" w:eastAsia="es-CR"/>
              </w:rPr>
            </w:pPr>
            <w:r w:rsidRPr="009021BE">
              <w:rPr>
                <w:rFonts w:ascii="Cambria" w:hAnsi="Cambria" w:cs="Calibri"/>
                <w:b/>
                <w:bCs/>
                <w:i/>
                <w:iCs/>
                <w:color w:val="000000"/>
                <w:lang w:val="es-CR" w:eastAsia="es-CR"/>
              </w:rPr>
              <w:t xml:space="preserve">                        -   </w:t>
            </w:r>
          </w:p>
        </w:tc>
      </w:tr>
      <w:tr w:rsidR="00CB099E" w:rsidRPr="009021BE" w14:paraId="0A0B7612"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141E444A"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1010060 </w:t>
            </w:r>
          </w:p>
        </w:tc>
        <w:tc>
          <w:tcPr>
            <w:tcW w:w="4394" w:type="dxa"/>
            <w:tcBorders>
              <w:top w:val="nil"/>
              <w:left w:val="nil"/>
              <w:bottom w:val="single" w:sz="4" w:space="0" w:color="auto"/>
              <w:right w:val="single" w:sz="4" w:space="0" w:color="auto"/>
            </w:tcBorders>
            <w:shd w:val="clear" w:color="auto" w:fill="auto"/>
            <w:vAlign w:val="center"/>
            <w:hideMark/>
          </w:tcPr>
          <w:p w14:paraId="682E85ED"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DISPONIBILIDADES RESTRINGIDAS</w:t>
            </w:r>
          </w:p>
        </w:tc>
        <w:tc>
          <w:tcPr>
            <w:tcW w:w="1893" w:type="dxa"/>
            <w:tcBorders>
              <w:top w:val="nil"/>
              <w:left w:val="nil"/>
              <w:bottom w:val="single" w:sz="4" w:space="0" w:color="auto"/>
              <w:right w:val="single" w:sz="8" w:space="0" w:color="auto"/>
            </w:tcBorders>
            <w:shd w:val="clear" w:color="auto" w:fill="auto"/>
            <w:noWrap/>
            <w:vAlign w:val="bottom"/>
            <w:hideMark/>
          </w:tcPr>
          <w:p w14:paraId="5BD4B408"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2403EED5"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74BD37E0"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1020010050 </w:t>
            </w:r>
          </w:p>
        </w:tc>
        <w:tc>
          <w:tcPr>
            <w:tcW w:w="4394" w:type="dxa"/>
            <w:tcBorders>
              <w:top w:val="nil"/>
              <w:left w:val="nil"/>
              <w:bottom w:val="single" w:sz="4" w:space="0" w:color="auto"/>
              <w:right w:val="single" w:sz="4" w:space="0" w:color="auto"/>
            </w:tcBorders>
            <w:shd w:val="clear" w:color="auto" w:fill="auto"/>
            <w:vAlign w:val="center"/>
            <w:hideMark/>
          </w:tcPr>
          <w:p w14:paraId="1A157414"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Instrumentos financieros en partes relacionadas del país</w:t>
            </w:r>
          </w:p>
        </w:tc>
        <w:tc>
          <w:tcPr>
            <w:tcW w:w="1893" w:type="dxa"/>
            <w:tcBorders>
              <w:top w:val="nil"/>
              <w:left w:val="nil"/>
              <w:bottom w:val="single" w:sz="4" w:space="0" w:color="auto"/>
              <w:right w:val="single" w:sz="8" w:space="0" w:color="auto"/>
            </w:tcBorders>
            <w:shd w:val="clear" w:color="auto" w:fill="auto"/>
            <w:noWrap/>
            <w:vAlign w:val="bottom"/>
            <w:hideMark/>
          </w:tcPr>
          <w:p w14:paraId="4412E5BA"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7B889030"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45EE2830"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1020010100 </w:t>
            </w:r>
          </w:p>
        </w:tc>
        <w:tc>
          <w:tcPr>
            <w:tcW w:w="4394" w:type="dxa"/>
            <w:tcBorders>
              <w:top w:val="nil"/>
              <w:left w:val="nil"/>
              <w:bottom w:val="single" w:sz="4" w:space="0" w:color="auto"/>
              <w:right w:val="single" w:sz="4" w:space="0" w:color="auto"/>
            </w:tcBorders>
            <w:shd w:val="clear" w:color="auto" w:fill="auto"/>
            <w:vAlign w:val="center"/>
            <w:hideMark/>
          </w:tcPr>
          <w:p w14:paraId="5C8885DD"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Instrumentos financieros en partes relacionadas del exterior</w:t>
            </w:r>
          </w:p>
        </w:tc>
        <w:tc>
          <w:tcPr>
            <w:tcW w:w="1893" w:type="dxa"/>
            <w:tcBorders>
              <w:top w:val="nil"/>
              <w:left w:val="nil"/>
              <w:bottom w:val="single" w:sz="4" w:space="0" w:color="auto"/>
              <w:right w:val="single" w:sz="8" w:space="0" w:color="auto"/>
            </w:tcBorders>
            <w:shd w:val="clear" w:color="auto" w:fill="auto"/>
            <w:noWrap/>
            <w:vAlign w:val="bottom"/>
            <w:hideMark/>
          </w:tcPr>
          <w:p w14:paraId="7C84539C"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2A12C8D4"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41107FD7"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1020020050 </w:t>
            </w:r>
          </w:p>
        </w:tc>
        <w:tc>
          <w:tcPr>
            <w:tcW w:w="4394" w:type="dxa"/>
            <w:tcBorders>
              <w:top w:val="nil"/>
              <w:left w:val="nil"/>
              <w:bottom w:val="single" w:sz="4" w:space="0" w:color="auto"/>
              <w:right w:val="single" w:sz="4" w:space="0" w:color="auto"/>
            </w:tcBorders>
            <w:shd w:val="clear" w:color="auto" w:fill="auto"/>
            <w:vAlign w:val="center"/>
            <w:hideMark/>
          </w:tcPr>
          <w:p w14:paraId="3105456E"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Instrumentos financieros en partes relacionadas del país - Recursos propios</w:t>
            </w:r>
          </w:p>
        </w:tc>
        <w:tc>
          <w:tcPr>
            <w:tcW w:w="1893" w:type="dxa"/>
            <w:tcBorders>
              <w:top w:val="nil"/>
              <w:left w:val="nil"/>
              <w:bottom w:val="single" w:sz="4" w:space="0" w:color="auto"/>
              <w:right w:val="single" w:sz="8" w:space="0" w:color="auto"/>
            </w:tcBorders>
            <w:shd w:val="clear" w:color="auto" w:fill="auto"/>
            <w:noWrap/>
            <w:vAlign w:val="bottom"/>
            <w:hideMark/>
          </w:tcPr>
          <w:p w14:paraId="32455D23"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4FE8F5DC" w14:textId="77777777" w:rsidTr="00456BED">
        <w:trPr>
          <w:trHeight w:val="6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2DAF40F0"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1020020100 </w:t>
            </w:r>
          </w:p>
        </w:tc>
        <w:tc>
          <w:tcPr>
            <w:tcW w:w="4394" w:type="dxa"/>
            <w:tcBorders>
              <w:top w:val="nil"/>
              <w:left w:val="nil"/>
              <w:bottom w:val="single" w:sz="4" w:space="0" w:color="auto"/>
              <w:right w:val="single" w:sz="4" w:space="0" w:color="auto"/>
            </w:tcBorders>
            <w:shd w:val="clear" w:color="auto" w:fill="auto"/>
            <w:vAlign w:val="center"/>
            <w:hideMark/>
          </w:tcPr>
          <w:p w14:paraId="375AFB73"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Instrumentos financieros en partes relacionadas del exterior - Recursos propios</w:t>
            </w:r>
          </w:p>
        </w:tc>
        <w:tc>
          <w:tcPr>
            <w:tcW w:w="1893" w:type="dxa"/>
            <w:tcBorders>
              <w:top w:val="nil"/>
              <w:left w:val="nil"/>
              <w:bottom w:val="single" w:sz="4" w:space="0" w:color="auto"/>
              <w:right w:val="single" w:sz="8" w:space="0" w:color="auto"/>
            </w:tcBorders>
            <w:shd w:val="clear" w:color="auto" w:fill="auto"/>
            <w:noWrap/>
            <w:vAlign w:val="bottom"/>
            <w:hideMark/>
          </w:tcPr>
          <w:p w14:paraId="386D3076"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06D83573" w14:textId="77777777" w:rsidTr="00456BED">
        <w:trPr>
          <w:trHeight w:val="6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372CCE57"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1020020640 </w:t>
            </w:r>
          </w:p>
        </w:tc>
        <w:tc>
          <w:tcPr>
            <w:tcW w:w="4394" w:type="dxa"/>
            <w:tcBorders>
              <w:top w:val="nil"/>
              <w:left w:val="nil"/>
              <w:bottom w:val="single" w:sz="4" w:space="0" w:color="auto"/>
              <w:right w:val="single" w:sz="4" w:space="0" w:color="auto"/>
            </w:tcBorders>
            <w:shd w:val="clear" w:color="auto" w:fill="auto"/>
            <w:vAlign w:val="center"/>
            <w:hideMark/>
          </w:tcPr>
          <w:p w14:paraId="4CF4BC24"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Instrumentos financieros en partes relacionadas del país - Respaldo reservas, pasivos por contrato de seguro y requerimientos de capital</w:t>
            </w:r>
          </w:p>
        </w:tc>
        <w:tc>
          <w:tcPr>
            <w:tcW w:w="1893" w:type="dxa"/>
            <w:tcBorders>
              <w:top w:val="nil"/>
              <w:left w:val="nil"/>
              <w:bottom w:val="single" w:sz="4" w:space="0" w:color="auto"/>
              <w:right w:val="single" w:sz="8" w:space="0" w:color="auto"/>
            </w:tcBorders>
            <w:shd w:val="clear" w:color="auto" w:fill="auto"/>
            <w:noWrap/>
            <w:vAlign w:val="bottom"/>
            <w:hideMark/>
          </w:tcPr>
          <w:p w14:paraId="63E2976E"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058ACA18" w14:textId="77777777" w:rsidTr="00456BED">
        <w:trPr>
          <w:trHeight w:val="600"/>
        </w:trPr>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73221"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1020020690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09ADC0D"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Instrumentos financieros en partes relacionadas del exterior - Respaldo reservas, pasivos por contrato de seguro y requerimientos de capital</w:t>
            </w:r>
          </w:p>
        </w:tc>
        <w:tc>
          <w:tcPr>
            <w:tcW w:w="1893" w:type="dxa"/>
            <w:tcBorders>
              <w:top w:val="single" w:sz="4" w:space="0" w:color="auto"/>
              <w:left w:val="nil"/>
              <w:bottom w:val="single" w:sz="4" w:space="0" w:color="auto"/>
              <w:right w:val="single" w:sz="4" w:space="0" w:color="auto"/>
            </w:tcBorders>
            <w:shd w:val="clear" w:color="auto" w:fill="auto"/>
            <w:noWrap/>
            <w:vAlign w:val="bottom"/>
            <w:hideMark/>
          </w:tcPr>
          <w:p w14:paraId="7FF8C42C"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668113C1"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3877A2CE"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1020050190 </w:t>
            </w:r>
          </w:p>
        </w:tc>
        <w:tc>
          <w:tcPr>
            <w:tcW w:w="4394" w:type="dxa"/>
            <w:tcBorders>
              <w:top w:val="nil"/>
              <w:left w:val="nil"/>
              <w:bottom w:val="single" w:sz="4" w:space="0" w:color="auto"/>
              <w:right w:val="single" w:sz="4" w:space="0" w:color="auto"/>
            </w:tcBorders>
            <w:shd w:val="clear" w:color="auto" w:fill="auto"/>
            <w:vAlign w:val="center"/>
            <w:hideMark/>
          </w:tcPr>
          <w:p w14:paraId="60AD997E"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Instrumentos financieros restringidos por operaciones de reporto</w:t>
            </w:r>
          </w:p>
        </w:tc>
        <w:tc>
          <w:tcPr>
            <w:tcW w:w="1893" w:type="dxa"/>
            <w:tcBorders>
              <w:top w:val="nil"/>
              <w:left w:val="nil"/>
              <w:bottom w:val="single" w:sz="4" w:space="0" w:color="auto"/>
              <w:right w:val="single" w:sz="8" w:space="0" w:color="auto"/>
            </w:tcBorders>
            <w:shd w:val="clear" w:color="auto" w:fill="auto"/>
            <w:noWrap/>
            <w:vAlign w:val="bottom"/>
            <w:hideMark/>
          </w:tcPr>
          <w:p w14:paraId="7EE65CBF"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743444B2"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00DFC36F"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1020050200 </w:t>
            </w:r>
          </w:p>
        </w:tc>
        <w:tc>
          <w:tcPr>
            <w:tcW w:w="4394" w:type="dxa"/>
            <w:tcBorders>
              <w:top w:val="nil"/>
              <w:left w:val="nil"/>
              <w:bottom w:val="single" w:sz="4" w:space="0" w:color="auto"/>
              <w:right w:val="single" w:sz="4" w:space="0" w:color="auto"/>
            </w:tcBorders>
            <w:shd w:val="clear" w:color="auto" w:fill="auto"/>
            <w:vAlign w:val="center"/>
            <w:hideMark/>
          </w:tcPr>
          <w:p w14:paraId="23593784"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Instrumentos financieros restringidos por operaciones de reportos tripartitos</w:t>
            </w:r>
          </w:p>
        </w:tc>
        <w:tc>
          <w:tcPr>
            <w:tcW w:w="1893" w:type="dxa"/>
            <w:tcBorders>
              <w:top w:val="nil"/>
              <w:left w:val="nil"/>
              <w:bottom w:val="single" w:sz="4" w:space="0" w:color="auto"/>
              <w:right w:val="single" w:sz="8" w:space="0" w:color="auto"/>
            </w:tcBorders>
            <w:shd w:val="clear" w:color="auto" w:fill="auto"/>
            <w:noWrap/>
            <w:vAlign w:val="bottom"/>
            <w:hideMark/>
          </w:tcPr>
          <w:p w14:paraId="30B393A7"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15E21055" w14:textId="77777777" w:rsidTr="00456BED">
        <w:trPr>
          <w:trHeight w:val="6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143C4CC0"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1020050210 </w:t>
            </w:r>
          </w:p>
        </w:tc>
        <w:tc>
          <w:tcPr>
            <w:tcW w:w="4394" w:type="dxa"/>
            <w:tcBorders>
              <w:top w:val="nil"/>
              <w:left w:val="nil"/>
              <w:bottom w:val="single" w:sz="4" w:space="0" w:color="auto"/>
              <w:right w:val="single" w:sz="4" w:space="0" w:color="auto"/>
            </w:tcBorders>
            <w:shd w:val="clear" w:color="auto" w:fill="auto"/>
            <w:vAlign w:val="center"/>
            <w:hideMark/>
          </w:tcPr>
          <w:p w14:paraId="68592928"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Instrumentos financieros restringidos por llamadas a margen de reportos tripartitos</w:t>
            </w:r>
          </w:p>
        </w:tc>
        <w:tc>
          <w:tcPr>
            <w:tcW w:w="1893" w:type="dxa"/>
            <w:tcBorders>
              <w:top w:val="nil"/>
              <w:left w:val="nil"/>
              <w:bottom w:val="single" w:sz="4" w:space="0" w:color="auto"/>
              <w:right w:val="single" w:sz="8" w:space="0" w:color="auto"/>
            </w:tcBorders>
            <w:shd w:val="clear" w:color="auto" w:fill="auto"/>
            <w:noWrap/>
            <w:vAlign w:val="bottom"/>
            <w:hideMark/>
          </w:tcPr>
          <w:p w14:paraId="3F8CC158"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6076E3FE"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1C994BAC"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1020050220 </w:t>
            </w:r>
          </w:p>
        </w:tc>
        <w:tc>
          <w:tcPr>
            <w:tcW w:w="4394" w:type="dxa"/>
            <w:tcBorders>
              <w:top w:val="nil"/>
              <w:left w:val="nil"/>
              <w:bottom w:val="single" w:sz="4" w:space="0" w:color="auto"/>
              <w:right w:val="single" w:sz="4" w:space="0" w:color="auto"/>
            </w:tcBorders>
            <w:shd w:val="clear" w:color="auto" w:fill="auto"/>
            <w:vAlign w:val="center"/>
            <w:hideMark/>
          </w:tcPr>
          <w:p w14:paraId="3FF8C134"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Instrumentos financieros restringidos por operaciones a plazo</w:t>
            </w:r>
          </w:p>
        </w:tc>
        <w:tc>
          <w:tcPr>
            <w:tcW w:w="1893" w:type="dxa"/>
            <w:tcBorders>
              <w:top w:val="nil"/>
              <w:left w:val="nil"/>
              <w:bottom w:val="single" w:sz="4" w:space="0" w:color="auto"/>
              <w:right w:val="single" w:sz="8" w:space="0" w:color="auto"/>
            </w:tcBorders>
            <w:shd w:val="clear" w:color="auto" w:fill="auto"/>
            <w:noWrap/>
            <w:vAlign w:val="bottom"/>
            <w:hideMark/>
          </w:tcPr>
          <w:p w14:paraId="4518B8D0"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041D8943" w14:textId="77777777" w:rsidTr="00456BED">
        <w:trPr>
          <w:trHeight w:val="6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4C157EB5"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1020050230 </w:t>
            </w:r>
          </w:p>
        </w:tc>
        <w:tc>
          <w:tcPr>
            <w:tcW w:w="4394" w:type="dxa"/>
            <w:tcBorders>
              <w:top w:val="nil"/>
              <w:left w:val="nil"/>
              <w:bottom w:val="single" w:sz="4" w:space="0" w:color="auto"/>
              <w:right w:val="single" w:sz="4" w:space="0" w:color="auto"/>
            </w:tcBorders>
            <w:shd w:val="clear" w:color="auto" w:fill="auto"/>
            <w:vAlign w:val="center"/>
            <w:hideMark/>
          </w:tcPr>
          <w:p w14:paraId="6FAAD41F"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Instrumentos financieros restringidos por llamadas a margen de operaciones a plazo</w:t>
            </w:r>
          </w:p>
        </w:tc>
        <w:tc>
          <w:tcPr>
            <w:tcW w:w="1893" w:type="dxa"/>
            <w:tcBorders>
              <w:top w:val="nil"/>
              <w:left w:val="nil"/>
              <w:bottom w:val="single" w:sz="4" w:space="0" w:color="auto"/>
              <w:right w:val="single" w:sz="8" w:space="0" w:color="auto"/>
            </w:tcBorders>
            <w:shd w:val="clear" w:color="auto" w:fill="auto"/>
            <w:noWrap/>
            <w:vAlign w:val="bottom"/>
            <w:hideMark/>
          </w:tcPr>
          <w:p w14:paraId="07989876"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355BC848"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7C279120"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1020050240 </w:t>
            </w:r>
          </w:p>
        </w:tc>
        <w:tc>
          <w:tcPr>
            <w:tcW w:w="4394" w:type="dxa"/>
            <w:tcBorders>
              <w:top w:val="nil"/>
              <w:left w:val="nil"/>
              <w:bottom w:val="single" w:sz="4" w:space="0" w:color="auto"/>
              <w:right w:val="single" w:sz="4" w:space="0" w:color="auto"/>
            </w:tcBorders>
            <w:shd w:val="clear" w:color="auto" w:fill="auto"/>
            <w:vAlign w:val="center"/>
            <w:hideMark/>
          </w:tcPr>
          <w:p w14:paraId="14F764E6"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Instrumentos financieros restringidos por préstamo de valores</w:t>
            </w:r>
          </w:p>
        </w:tc>
        <w:tc>
          <w:tcPr>
            <w:tcW w:w="1893" w:type="dxa"/>
            <w:tcBorders>
              <w:top w:val="nil"/>
              <w:left w:val="nil"/>
              <w:bottom w:val="single" w:sz="4" w:space="0" w:color="auto"/>
              <w:right w:val="single" w:sz="8" w:space="0" w:color="auto"/>
            </w:tcBorders>
            <w:shd w:val="clear" w:color="auto" w:fill="auto"/>
            <w:noWrap/>
            <w:vAlign w:val="bottom"/>
            <w:hideMark/>
          </w:tcPr>
          <w:p w14:paraId="71E69129"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6524AEC5"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1D1F4BB3"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1020050270 </w:t>
            </w:r>
          </w:p>
        </w:tc>
        <w:tc>
          <w:tcPr>
            <w:tcW w:w="4394" w:type="dxa"/>
            <w:tcBorders>
              <w:top w:val="nil"/>
              <w:left w:val="nil"/>
              <w:bottom w:val="single" w:sz="4" w:space="0" w:color="auto"/>
              <w:right w:val="single" w:sz="4" w:space="0" w:color="auto"/>
            </w:tcBorders>
            <w:shd w:val="clear" w:color="auto" w:fill="auto"/>
            <w:vAlign w:val="center"/>
            <w:hideMark/>
          </w:tcPr>
          <w:p w14:paraId="54A7C7D3"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Instrumentos financieros restringidos por operaciones de crédito</w:t>
            </w:r>
          </w:p>
        </w:tc>
        <w:tc>
          <w:tcPr>
            <w:tcW w:w="1893" w:type="dxa"/>
            <w:tcBorders>
              <w:top w:val="nil"/>
              <w:left w:val="nil"/>
              <w:bottom w:val="single" w:sz="4" w:space="0" w:color="auto"/>
              <w:right w:val="single" w:sz="8" w:space="0" w:color="auto"/>
            </w:tcBorders>
            <w:shd w:val="clear" w:color="auto" w:fill="auto"/>
            <w:noWrap/>
            <w:vAlign w:val="bottom"/>
            <w:hideMark/>
          </w:tcPr>
          <w:p w14:paraId="43A9D387"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103666A2"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4B519568"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1020050280 </w:t>
            </w:r>
          </w:p>
        </w:tc>
        <w:tc>
          <w:tcPr>
            <w:tcW w:w="4394" w:type="dxa"/>
            <w:tcBorders>
              <w:top w:val="nil"/>
              <w:left w:val="nil"/>
              <w:bottom w:val="single" w:sz="4" w:space="0" w:color="auto"/>
              <w:right w:val="single" w:sz="4" w:space="0" w:color="auto"/>
            </w:tcBorders>
            <w:shd w:val="clear" w:color="auto" w:fill="auto"/>
            <w:vAlign w:val="center"/>
            <w:hideMark/>
          </w:tcPr>
          <w:p w14:paraId="13DD8875"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Instrumentos financieros restringidos por requerimientos judiciales</w:t>
            </w:r>
          </w:p>
        </w:tc>
        <w:tc>
          <w:tcPr>
            <w:tcW w:w="1893" w:type="dxa"/>
            <w:tcBorders>
              <w:top w:val="nil"/>
              <w:left w:val="nil"/>
              <w:bottom w:val="single" w:sz="4" w:space="0" w:color="auto"/>
              <w:right w:val="single" w:sz="8" w:space="0" w:color="auto"/>
            </w:tcBorders>
            <w:shd w:val="clear" w:color="auto" w:fill="auto"/>
            <w:noWrap/>
            <w:vAlign w:val="bottom"/>
            <w:hideMark/>
          </w:tcPr>
          <w:p w14:paraId="34C8A388"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10BC8704" w14:textId="77777777" w:rsidTr="00456BED">
        <w:trPr>
          <w:trHeight w:val="6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120C209B"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1020050290 </w:t>
            </w:r>
          </w:p>
        </w:tc>
        <w:tc>
          <w:tcPr>
            <w:tcW w:w="4394" w:type="dxa"/>
            <w:tcBorders>
              <w:top w:val="nil"/>
              <w:left w:val="nil"/>
              <w:bottom w:val="single" w:sz="4" w:space="0" w:color="auto"/>
              <w:right w:val="single" w:sz="4" w:space="0" w:color="auto"/>
            </w:tcBorders>
            <w:shd w:val="clear" w:color="auto" w:fill="auto"/>
            <w:vAlign w:val="center"/>
            <w:hideMark/>
          </w:tcPr>
          <w:p w14:paraId="764BA648"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Instrumentos financieros restringidos por operaciones de Mercado Interbancario</w:t>
            </w:r>
          </w:p>
        </w:tc>
        <w:tc>
          <w:tcPr>
            <w:tcW w:w="1893" w:type="dxa"/>
            <w:tcBorders>
              <w:top w:val="nil"/>
              <w:left w:val="nil"/>
              <w:bottom w:val="single" w:sz="4" w:space="0" w:color="auto"/>
              <w:right w:val="single" w:sz="8" w:space="0" w:color="auto"/>
            </w:tcBorders>
            <w:shd w:val="clear" w:color="auto" w:fill="auto"/>
            <w:noWrap/>
            <w:vAlign w:val="bottom"/>
            <w:hideMark/>
          </w:tcPr>
          <w:p w14:paraId="4F371F67"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2FF67AE7"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2B945AB4"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1020050300 </w:t>
            </w:r>
          </w:p>
        </w:tc>
        <w:tc>
          <w:tcPr>
            <w:tcW w:w="4394" w:type="dxa"/>
            <w:tcBorders>
              <w:top w:val="nil"/>
              <w:left w:val="nil"/>
              <w:bottom w:val="single" w:sz="4" w:space="0" w:color="auto"/>
              <w:right w:val="single" w:sz="4" w:space="0" w:color="auto"/>
            </w:tcBorders>
            <w:shd w:val="clear" w:color="auto" w:fill="auto"/>
            <w:vAlign w:val="center"/>
            <w:hideMark/>
          </w:tcPr>
          <w:p w14:paraId="75687258"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Instrumentos financieros restringidos por operaciones de Mercado de Liquidez</w:t>
            </w:r>
          </w:p>
        </w:tc>
        <w:tc>
          <w:tcPr>
            <w:tcW w:w="1893" w:type="dxa"/>
            <w:tcBorders>
              <w:top w:val="nil"/>
              <w:left w:val="nil"/>
              <w:bottom w:val="single" w:sz="4" w:space="0" w:color="auto"/>
              <w:right w:val="single" w:sz="8" w:space="0" w:color="auto"/>
            </w:tcBorders>
            <w:shd w:val="clear" w:color="auto" w:fill="auto"/>
            <w:noWrap/>
            <w:vAlign w:val="bottom"/>
            <w:hideMark/>
          </w:tcPr>
          <w:p w14:paraId="42F79AB2"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2FC382D3"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1DD5BA66"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1020050320 </w:t>
            </w:r>
          </w:p>
        </w:tc>
        <w:tc>
          <w:tcPr>
            <w:tcW w:w="4394" w:type="dxa"/>
            <w:tcBorders>
              <w:top w:val="nil"/>
              <w:left w:val="nil"/>
              <w:bottom w:val="single" w:sz="4" w:space="0" w:color="auto"/>
              <w:right w:val="single" w:sz="4" w:space="0" w:color="auto"/>
            </w:tcBorders>
            <w:shd w:val="clear" w:color="auto" w:fill="auto"/>
            <w:vAlign w:val="center"/>
            <w:hideMark/>
          </w:tcPr>
          <w:p w14:paraId="2B5CA3A9"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Instrumentos financieros restringidos por otros conceptos</w:t>
            </w:r>
          </w:p>
        </w:tc>
        <w:tc>
          <w:tcPr>
            <w:tcW w:w="1893" w:type="dxa"/>
            <w:tcBorders>
              <w:top w:val="nil"/>
              <w:left w:val="nil"/>
              <w:bottom w:val="single" w:sz="4" w:space="0" w:color="auto"/>
              <w:right w:val="single" w:sz="8" w:space="0" w:color="auto"/>
            </w:tcBorders>
            <w:shd w:val="clear" w:color="auto" w:fill="auto"/>
            <w:noWrap/>
            <w:vAlign w:val="bottom"/>
            <w:hideMark/>
          </w:tcPr>
          <w:p w14:paraId="1BFF649C"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1D31FEF5"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7A7E9D6F"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1020050330 </w:t>
            </w:r>
          </w:p>
        </w:tc>
        <w:tc>
          <w:tcPr>
            <w:tcW w:w="4394" w:type="dxa"/>
            <w:tcBorders>
              <w:top w:val="nil"/>
              <w:left w:val="nil"/>
              <w:bottom w:val="single" w:sz="4" w:space="0" w:color="auto"/>
              <w:right w:val="single" w:sz="4" w:space="0" w:color="auto"/>
            </w:tcBorders>
            <w:shd w:val="clear" w:color="auto" w:fill="auto"/>
            <w:vAlign w:val="center"/>
            <w:hideMark/>
          </w:tcPr>
          <w:p w14:paraId="666AA1C9"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Instrumentos financieros restringidos por operaciones diferidas de Liquidez</w:t>
            </w:r>
          </w:p>
        </w:tc>
        <w:tc>
          <w:tcPr>
            <w:tcW w:w="1893" w:type="dxa"/>
            <w:tcBorders>
              <w:top w:val="nil"/>
              <w:left w:val="nil"/>
              <w:bottom w:val="single" w:sz="4" w:space="0" w:color="auto"/>
              <w:right w:val="single" w:sz="8" w:space="0" w:color="auto"/>
            </w:tcBorders>
            <w:shd w:val="clear" w:color="auto" w:fill="auto"/>
            <w:noWrap/>
            <w:vAlign w:val="bottom"/>
            <w:hideMark/>
          </w:tcPr>
          <w:p w14:paraId="23CD7C9B"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509B2741" w14:textId="77777777" w:rsidTr="00456BED">
        <w:trPr>
          <w:trHeight w:val="6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220EBCC5"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1.020.080.080.M.050</w:t>
            </w:r>
          </w:p>
        </w:tc>
        <w:tc>
          <w:tcPr>
            <w:tcW w:w="4394" w:type="dxa"/>
            <w:tcBorders>
              <w:top w:val="nil"/>
              <w:left w:val="nil"/>
              <w:bottom w:val="single" w:sz="4" w:space="0" w:color="auto"/>
              <w:right w:val="single" w:sz="4" w:space="0" w:color="auto"/>
            </w:tcBorders>
            <w:shd w:val="clear" w:color="auto" w:fill="auto"/>
            <w:vAlign w:val="center"/>
            <w:hideMark/>
          </w:tcPr>
          <w:p w14:paraId="2A6C9B26"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Productos por cobrar por inversiones en instrumentos financieros vencidos y restringidos</w:t>
            </w:r>
          </w:p>
        </w:tc>
        <w:tc>
          <w:tcPr>
            <w:tcW w:w="1893" w:type="dxa"/>
            <w:tcBorders>
              <w:top w:val="nil"/>
              <w:left w:val="nil"/>
              <w:bottom w:val="single" w:sz="4" w:space="0" w:color="auto"/>
              <w:right w:val="single" w:sz="8" w:space="0" w:color="auto"/>
            </w:tcBorders>
            <w:shd w:val="clear" w:color="auto" w:fill="auto"/>
            <w:noWrap/>
            <w:vAlign w:val="bottom"/>
            <w:hideMark/>
          </w:tcPr>
          <w:p w14:paraId="2388C285"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342B23A1"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6B3DD8A1"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1.030.010.310.M.100</w:t>
            </w:r>
          </w:p>
        </w:tc>
        <w:tc>
          <w:tcPr>
            <w:tcW w:w="4394" w:type="dxa"/>
            <w:tcBorders>
              <w:top w:val="nil"/>
              <w:left w:val="nil"/>
              <w:bottom w:val="single" w:sz="4" w:space="0" w:color="auto"/>
              <w:right w:val="single" w:sz="4" w:space="0" w:color="auto"/>
            </w:tcBorders>
            <w:shd w:val="clear" w:color="auto" w:fill="auto"/>
            <w:vAlign w:val="center"/>
            <w:hideMark/>
          </w:tcPr>
          <w:p w14:paraId="3EAC8788"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Partes Relacionadas – Personas Físicas</w:t>
            </w:r>
          </w:p>
        </w:tc>
        <w:tc>
          <w:tcPr>
            <w:tcW w:w="1893" w:type="dxa"/>
            <w:tcBorders>
              <w:top w:val="nil"/>
              <w:left w:val="nil"/>
              <w:bottom w:val="single" w:sz="4" w:space="0" w:color="auto"/>
              <w:right w:val="single" w:sz="8" w:space="0" w:color="auto"/>
            </w:tcBorders>
            <w:shd w:val="clear" w:color="auto" w:fill="auto"/>
            <w:noWrap/>
            <w:vAlign w:val="bottom"/>
            <w:hideMark/>
          </w:tcPr>
          <w:p w14:paraId="7BD84DBC"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648DC41E"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7602948D"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1.030.010.330.M.100</w:t>
            </w:r>
          </w:p>
        </w:tc>
        <w:tc>
          <w:tcPr>
            <w:tcW w:w="4394" w:type="dxa"/>
            <w:tcBorders>
              <w:top w:val="nil"/>
              <w:left w:val="nil"/>
              <w:bottom w:val="single" w:sz="4" w:space="0" w:color="auto"/>
              <w:right w:val="single" w:sz="4" w:space="0" w:color="auto"/>
            </w:tcBorders>
            <w:shd w:val="clear" w:color="auto" w:fill="auto"/>
            <w:vAlign w:val="center"/>
            <w:hideMark/>
          </w:tcPr>
          <w:p w14:paraId="5C09E6D9"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xml:space="preserve"> Partes relacionadas - Empresarial</w:t>
            </w:r>
          </w:p>
        </w:tc>
        <w:tc>
          <w:tcPr>
            <w:tcW w:w="1893" w:type="dxa"/>
            <w:tcBorders>
              <w:top w:val="nil"/>
              <w:left w:val="nil"/>
              <w:bottom w:val="single" w:sz="4" w:space="0" w:color="auto"/>
              <w:right w:val="single" w:sz="8" w:space="0" w:color="auto"/>
            </w:tcBorders>
            <w:shd w:val="clear" w:color="auto" w:fill="auto"/>
            <w:noWrap/>
            <w:vAlign w:val="bottom"/>
            <w:hideMark/>
          </w:tcPr>
          <w:p w14:paraId="02E9F5F7"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329BC513"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2DA9A65E"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1.030.010.340.M.100</w:t>
            </w:r>
          </w:p>
        </w:tc>
        <w:tc>
          <w:tcPr>
            <w:tcW w:w="4394" w:type="dxa"/>
            <w:tcBorders>
              <w:top w:val="nil"/>
              <w:left w:val="nil"/>
              <w:bottom w:val="single" w:sz="4" w:space="0" w:color="auto"/>
              <w:right w:val="single" w:sz="4" w:space="0" w:color="auto"/>
            </w:tcBorders>
            <w:shd w:val="clear" w:color="auto" w:fill="auto"/>
            <w:vAlign w:val="center"/>
            <w:hideMark/>
          </w:tcPr>
          <w:p w14:paraId="60602B1B"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xml:space="preserve"> Partes Relacionadas – Corporativo</w:t>
            </w:r>
          </w:p>
        </w:tc>
        <w:tc>
          <w:tcPr>
            <w:tcW w:w="1893" w:type="dxa"/>
            <w:tcBorders>
              <w:top w:val="nil"/>
              <w:left w:val="nil"/>
              <w:bottom w:val="single" w:sz="4" w:space="0" w:color="auto"/>
              <w:right w:val="single" w:sz="8" w:space="0" w:color="auto"/>
            </w:tcBorders>
            <w:shd w:val="clear" w:color="auto" w:fill="auto"/>
            <w:noWrap/>
            <w:vAlign w:val="bottom"/>
            <w:hideMark/>
          </w:tcPr>
          <w:p w14:paraId="6462852C"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6F9A7F2D"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1CE42672"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1.030.010.360.M.100</w:t>
            </w:r>
          </w:p>
        </w:tc>
        <w:tc>
          <w:tcPr>
            <w:tcW w:w="4394" w:type="dxa"/>
            <w:tcBorders>
              <w:top w:val="nil"/>
              <w:left w:val="nil"/>
              <w:bottom w:val="single" w:sz="4" w:space="0" w:color="auto"/>
              <w:right w:val="single" w:sz="4" w:space="0" w:color="auto"/>
            </w:tcBorders>
            <w:shd w:val="clear" w:color="auto" w:fill="auto"/>
            <w:vAlign w:val="center"/>
            <w:hideMark/>
          </w:tcPr>
          <w:p w14:paraId="77A3B442"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xml:space="preserve"> Partes Relacionadas – Sector Financiero</w:t>
            </w:r>
          </w:p>
        </w:tc>
        <w:tc>
          <w:tcPr>
            <w:tcW w:w="1893" w:type="dxa"/>
            <w:tcBorders>
              <w:top w:val="nil"/>
              <w:left w:val="nil"/>
              <w:bottom w:val="single" w:sz="4" w:space="0" w:color="auto"/>
              <w:right w:val="single" w:sz="8" w:space="0" w:color="auto"/>
            </w:tcBorders>
            <w:shd w:val="clear" w:color="auto" w:fill="auto"/>
            <w:noWrap/>
            <w:vAlign w:val="bottom"/>
            <w:hideMark/>
          </w:tcPr>
          <w:p w14:paraId="5E4747CD"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3B6EC394"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150DDD48"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1.030.020.310.M.100</w:t>
            </w:r>
          </w:p>
        </w:tc>
        <w:tc>
          <w:tcPr>
            <w:tcW w:w="4394" w:type="dxa"/>
            <w:tcBorders>
              <w:top w:val="nil"/>
              <w:left w:val="nil"/>
              <w:bottom w:val="single" w:sz="4" w:space="0" w:color="auto"/>
              <w:right w:val="single" w:sz="4" w:space="0" w:color="auto"/>
            </w:tcBorders>
            <w:shd w:val="clear" w:color="auto" w:fill="auto"/>
            <w:vAlign w:val="center"/>
            <w:hideMark/>
          </w:tcPr>
          <w:p w14:paraId="4FEED76A"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xml:space="preserve"> Partes relacionadas – Personas Físicas</w:t>
            </w:r>
          </w:p>
        </w:tc>
        <w:tc>
          <w:tcPr>
            <w:tcW w:w="1893" w:type="dxa"/>
            <w:tcBorders>
              <w:top w:val="nil"/>
              <w:left w:val="nil"/>
              <w:bottom w:val="single" w:sz="4" w:space="0" w:color="auto"/>
              <w:right w:val="single" w:sz="8" w:space="0" w:color="auto"/>
            </w:tcBorders>
            <w:shd w:val="clear" w:color="auto" w:fill="auto"/>
            <w:noWrap/>
            <w:vAlign w:val="bottom"/>
            <w:hideMark/>
          </w:tcPr>
          <w:p w14:paraId="18CAE98F"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77DA30A9"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2351DA30"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1.030.020.330.M.100</w:t>
            </w:r>
          </w:p>
        </w:tc>
        <w:tc>
          <w:tcPr>
            <w:tcW w:w="4394" w:type="dxa"/>
            <w:tcBorders>
              <w:top w:val="nil"/>
              <w:left w:val="nil"/>
              <w:bottom w:val="single" w:sz="4" w:space="0" w:color="auto"/>
              <w:right w:val="single" w:sz="4" w:space="0" w:color="auto"/>
            </w:tcBorders>
            <w:shd w:val="clear" w:color="auto" w:fill="auto"/>
            <w:vAlign w:val="center"/>
            <w:hideMark/>
          </w:tcPr>
          <w:p w14:paraId="162C199D"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xml:space="preserve"> Partes relacionadas – Empresarial</w:t>
            </w:r>
          </w:p>
        </w:tc>
        <w:tc>
          <w:tcPr>
            <w:tcW w:w="1893" w:type="dxa"/>
            <w:tcBorders>
              <w:top w:val="nil"/>
              <w:left w:val="nil"/>
              <w:bottom w:val="single" w:sz="4" w:space="0" w:color="auto"/>
              <w:right w:val="single" w:sz="8" w:space="0" w:color="auto"/>
            </w:tcBorders>
            <w:shd w:val="clear" w:color="auto" w:fill="auto"/>
            <w:noWrap/>
            <w:vAlign w:val="bottom"/>
            <w:hideMark/>
          </w:tcPr>
          <w:p w14:paraId="34DF5C06"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573C6AA8"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0889C579"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1.030.020.340.M.100</w:t>
            </w:r>
          </w:p>
        </w:tc>
        <w:tc>
          <w:tcPr>
            <w:tcW w:w="4394" w:type="dxa"/>
            <w:tcBorders>
              <w:top w:val="nil"/>
              <w:left w:val="nil"/>
              <w:bottom w:val="single" w:sz="4" w:space="0" w:color="auto"/>
              <w:right w:val="single" w:sz="4" w:space="0" w:color="auto"/>
            </w:tcBorders>
            <w:shd w:val="clear" w:color="auto" w:fill="auto"/>
            <w:vAlign w:val="center"/>
            <w:hideMark/>
          </w:tcPr>
          <w:p w14:paraId="28697306"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xml:space="preserve"> Partes relacionadas – Corporativo</w:t>
            </w:r>
          </w:p>
        </w:tc>
        <w:tc>
          <w:tcPr>
            <w:tcW w:w="1893" w:type="dxa"/>
            <w:tcBorders>
              <w:top w:val="nil"/>
              <w:left w:val="nil"/>
              <w:bottom w:val="single" w:sz="4" w:space="0" w:color="auto"/>
              <w:right w:val="single" w:sz="8" w:space="0" w:color="auto"/>
            </w:tcBorders>
            <w:shd w:val="clear" w:color="auto" w:fill="auto"/>
            <w:noWrap/>
            <w:vAlign w:val="bottom"/>
            <w:hideMark/>
          </w:tcPr>
          <w:p w14:paraId="706E6C44"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35EDA33D"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43D495E8"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1.030.020.360.M.100</w:t>
            </w:r>
          </w:p>
        </w:tc>
        <w:tc>
          <w:tcPr>
            <w:tcW w:w="4394" w:type="dxa"/>
            <w:tcBorders>
              <w:top w:val="nil"/>
              <w:left w:val="nil"/>
              <w:bottom w:val="single" w:sz="4" w:space="0" w:color="auto"/>
              <w:right w:val="single" w:sz="4" w:space="0" w:color="auto"/>
            </w:tcBorders>
            <w:shd w:val="clear" w:color="auto" w:fill="auto"/>
            <w:vAlign w:val="center"/>
            <w:hideMark/>
          </w:tcPr>
          <w:p w14:paraId="4D87CE2E"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Partes relacionadas – Sector Financiero</w:t>
            </w:r>
          </w:p>
        </w:tc>
        <w:tc>
          <w:tcPr>
            <w:tcW w:w="1893" w:type="dxa"/>
            <w:tcBorders>
              <w:top w:val="nil"/>
              <w:left w:val="nil"/>
              <w:bottom w:val="single" w:sz="4" w:space="0" w:color="auto"/>
              <w:right w:val="single" w:sz="8" w:space="0" w:color="auto"/>
            </w:tcBorders>
            <w:shd w:val="clear" w:color="auto" w:fill="auto"/>
            <w:noWrap/>
            <w:vAlign w:val="bottom"/>
            <w:hideMark/>
          </w:tcPr>
          <w:p w14:paraId="6DFD9FF0"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32622178"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789C281C"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1.030.030.310.M.100</w:t>
            </w:r>
          </w:p>
        </w:tc>
        <w:tc>
          <w:tcPr>
            <w:tcW w:w="4394" w:type="dxa"/>
            <w:tcBorders>
              <w:top w:val="nil"/>
              <w:left w:val="nil"/>
              <w:bottom w:val="single" w:sz="4" w:space="0" w:color="auto"/>
              <w:right w:val="single" w:sz="4" w:space="0" w:color="auto"/>
            </w:tcBorders>
            <w:shd w:val="clear" w:color="auto" w:fill="auto"/>
            <w:vAlign w:val="center"/>
            <w:hideMark/>
          </w:tcPr>
          <w:p w14:paraId="19BBA8EB"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xml:space="preserve"> Partes relacionadas – Personas Físicas</w:t>
            </w:r>
          </w:p>
        </w:tc>
        <w:tc>
          <w:tcPr>
            <w:tcW w:w="1893" w:type="dxa"/>
            <w:tcBorders>
              <w:top w:val="nil"/>
              <w:left w:val="nil"/>
              <w:bottom w:val="single" w:sz="4" w:space="0" w:color="auto"/>
              <w:right w:val="single" w:sz="8" w:space="0" w:color="auto"/>
            </w:tcBorders>
            <w:shd w:val="clear" w:color="auto" w:fill="auto"/>
            <w:noWrap/>
            <w:vAlign w:val="bottom"/>
            <w:hideMark/>
          </w:tcPr>
          <w:p w14:paraId="4F4C04D4"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155FDD73"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79AAB402"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1.030.030.330.M.100</w:t>
            </w:r>
          </w:p>
        </w:tc>
        <w:tc>
          <w:tcPr>
            <w:tcW w:w="4394" w:type="dxa"/>
            <w:tcBorders>
              <w:top w:val="nil"/>
              <w:left w:val="nil"/>
              <w:bottom w:val="single" w:sz="4" w:space="0" w:color="auto"/>
              <w:right w:val="single" w:sz="4" w:space="0" w:color="auto"/>
            </w:tcBorders>
            <w:shd w:val="clear" w:color="auto" w:fill="auto"/>
            <w:vAlign w:val="center"/>
            <w:hideMark/>
          </w:tcPr>
          <w:p w14:paraId="24C8B281"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xml:space="preserve"> Partes relacionadas – Empresarial</w:t>
            </w:r>
          </w:p>
        </w:tc>
        <w:tc>
          <w:tcPr>
            <w:tcW w:w="1893" w:type="dxa"/>
            <w:tcBorders>
              <w:top w:val="nil"/>
              <w:left w:val="nil"/>
              <w:bottom w:val="single" w:sz="4" w:space="0" w:color="auto"/>
              <w:right w:val="single" w:sz="8" w:space="0" w:color="auto"/>
            </w:tcBorders>
            <w:shd w:val="clear" w:color="auto" w:fill="auto"/>
            <w:noWrap/>
            <w:vAlign w:val="bottom"/>
            <w:hideMark/>
          </w:tcPr>
          <w:p w14:paraId="4274C96B"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7F8772BA"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19BF3482"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1.030.030.340.M.100</w:t>
            </w:r>
          </w:p>
        </w:tc>
        <w:tc>
          <w:tcPr>
            <w:tcW w:w="4394" w:type="dxa"/>
            <w:tcBorders>
              <w:top w:val="nil"/>
              <w:left w:val="nil"/>
              <w:bottom w:val="single" w:sz="4" w:space="0" w:color="auto"/>
              <w:right w:val="single" w:sz="4" w:space="0" w:color="auto"/>
            </w:tcBorders>
            <w:shd w:val="clear" w:color="auto" w:fill="auto"/>
            <w:vAlign w:val="center"/>
            <w:hideMark/>
          </w:tcPr>
          <w:p w14:paraId="574E2DC0"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xml:space="preserve"> Partes Relacionadas – Corporativo</w:t>
            </w:r>
          </w:p>
        </w:tc>
        <w:tc>
          <w:tcPr>
            <w:tcW w:w="1893" w:type="dxa"/>
            <w:tcBorders>
              <w:top w:val="nil"/>
              <w:left w:val="nil"/>
              <w:bottom w:val="single" w:sz="4" w:space="0" w:color="auto"/>
              <w:right w:val="single" w:sz="8" w:space="0" w:color="auto"/>
            </w:tcBorders>
            <w:shd w:val="clear" w:color="auto" w:fill="auto"/>
            <w:noWrap/>
            <w:vAlign w:val="bottom"/>
            <w:hideMark/>
          </w:tcPr>
          <w:p w14:paraId="6D3E0660"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4E4B1DE1"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0A495278"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1.030.030.360.M.100</w:t>
            </w:r>
          </w:p>
        </w:tc>
        <w:tc>
          <w:tcPr>
            <w:tcW w:w="4394" w:type="dxa"/>
            <w:tcBorders>
              <w:top w:val="nil"/>
              <w:left w:val="nil"/>
              <w:bottom w:val="single" w:sz="4" w:space="0" w:color="auto"/>
              <w:right w:val="single" w:sz="4" w:space="0" w:color="auto"/>
            </w:tcBorders>
            <w:shd w:val="clear" w:color="auto" w:fill="auto"/>
            <w:vAlign w:val="center"/>
            <w:hideMark/>
          </w:tcPr>
          <w:p w14:paraId="39ED73AD"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xml:space="preserve"> Partes relacionadas – Sector Financiero</w:t>
            </w:r>
          </w:p>
        </w:tc>
        <w:tc>
          <w:tcPr>
            <w:tcW w:w="1893" w:type="dxa"/>
            <w:tcBorders>
              <w:top w:val="nil"/>
              <w:left w:val="nil"/>
              <w:bottom w:val="single" w:sz="4" w:space="0" w:color="auto"/>
              <w:right w:val="single" w:sz="8" w:space="0" w:color="auto"/>
            </w:tcBorders>
            <w:shd w:val="clear" w:color="auto" w:fill="auto"/>
            <w:noWrap/>
            <w:vAlign w:val="bottom"/>
            <w:hideMark/>
          </w:tcPr>
          <w:p w14:paraId="657B8285"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66E67008"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32C61A5B"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1030040 </w:t>
            </w:r>
          </w:p>
        </w:tc>
        <w:tc>
          <w:tcPr>
            <w:tcW w:w="4394" w:type="dxa"/>
            <w:tcBorders>
              <w:top w:val="nil"/>
              <w:left w:val="nil"/>
              <w:bottom w:val="single" w:sz="4" w:space="0" w:color="auto"/>
              <w:right w:val="single" w:sz="4" w:space="0" w:color="auto"/>
            </w:tcBorders>
            <w:shd w:val="clear" w:color="auto" w:fill="auto"/>
            <w:vAlign w:val="center"/>
            <w:hideMark/>
          </w:tcPr>
          <w:p w14:paraId="74EDD1D3"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CRÉDITOS RESTRINGIDOS</w:t>
            </w:r>
          </w:p>
        </w:tc>
        <w:tc>
          <w:tcPr>
            <w:tcW w:w="1893" w:type="dxa"/>
            <w:tcBorders>
              <w:top w:val="nil"/>
              <w:left w:val="nil"/>
              <w:bottom w:val="single" w:sz="4" w:space="0" w:color="auto"/>
              <w:right w:val="single" w:sz="8" w:space="0" w:color="auto"/>
            </w:tcBorders>
            <w:shd w:val="clear" w:color="auto" w:fill="auto"/>
            <w:noWrap/>
            <w:vAlign w:val="bottom"/>
            <w:hideMark/>
          </w:tcPr>
          <w:p w14:paraId="62977167"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5076AF84"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3164C729"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1.030.080.310.M.100</w:t>
            </w:r>
          </w:p>
        </w:tc>
        <w:tc>
          <w:tcPr>
            <w:tcW w:w="4394" w:type="dxa"/>
            <w:tcBorders>
              <w:top w:val="nil"/>
              <w:left w:val="nil"/>
              <w:bottom w:val="single" w:sz="4" w:space="0" w:color="auto"/>
              <w:right w:val="single" w:sz="4" w:space="0" w:color="auto"/>
            </w:tcBorders>
            <w:shd w:val="clear" w:color="auto" w:fill="auto"/>
            <w:vAlign w:val="center"/>
            <w:hideMark/>
          </w:tcPr>
          <w:p w14:paraId="02394B16"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Productos por cobrar asociados a Partes relacionadas – Personas Físicas</w:t>
            </w:r>
          </w:p>
        </w:tc>
        <w:tc>
          <w:tcPr>
            <w:tcW w:w="1893" w:type="dxa"/>
            <w:tcBorders>
              <w:top w:val="nil"/>
              <w:left w:val="nil"/>
              <w:bottom w:val="single" w:sz="4" w:space="0" w:color="auto"/>
              <w:right w:val="single" w:sz="8" w:space="0" w:color="auto"/>
            </w:tcBorders>
            <w:shd w:val="clear" w:color="auto" w:fill="auto"/>
            <w:noWrap/>
            <w:vAlign w:val="bottom"/>
            <w:hideMark/>
          </w:tcPr>
          <w:p w14:paraId="6B0240A3"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29F9ACA3"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743846EC"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1.030.080.340.M.100</w:t>
            </w:r>
          </w:p>
        </w:tc>
        <w:tc>
          <w:tcPr>
            <w:tcW w:w="4394" w:type="dxa"/>
            <w:tcBorders>
              <w:top w:val="nil"/>
              <w:left w:val="nil"/>
              <w:bottom w:val="single" w:sz="4" w:space="0" w:color="auto"/>
              <w:right w:val="single" w:sz="4" w:space="0" w:color="auto"/>
            </w:tcBorders>
            <w:shd w:val="clear" w:color="auto" w:fill="auto"/>
            <w:vAlign w:val="center"/>
            <w:hideMark/>
          </w:tcPr>
          <w:p w14:paraId="2E05C21F"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Productos por cobrar asociados a Préstamos Partes relacionadas - Empresarial</w:t>
            </w:r>
          </w:p>
        </w:tc>
        <w:tc>
          <w:tcPr>
            <w:tcW w:w="1893" w:type="dxa"/>
            <w:tcBorders>
              <w:top w:val="nil"/>
              <w:left w:val="nil"/>
              <w:bottom w:val="single" w:sz="4" w:space="0" w:color="auto"/>
              <w:right w:val="single" w:sz="8" w:space="0" w:color="auto"/>
            </w:tcBorders>
            <w:shd w:val="clear" w:color="auto" w:fill="auto"/>
            <w:noWrap/>
            <w:vAlign w:val="bottom"/>
            <w:hideMark/>
          </w:tcPr>
          <w:p w14:paraId="2DF4F8CD"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18289E74"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6A60ACB9"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1.030.080.350.M.100</w:t>
            </w:r>
          </w:p>
        </w:tc>
        <w:tc>
          <w:tcPr>
            <w:tcW w:w="4394" w:type="dxa"/>
            <w:tcBorders>
              <w:top w:val="nil"/>
              <w:left w:val="nil"/>
              <w:bottom w:val="single" w:sz="4" w:space="0" w:color="auto"/>
              <w:right w:val="single" w:sz="4" w:space="0" w:color="auto"/>
            </w:tcBorders>
            <w:shd w:val="clear" w:color="auto" w:fill="auto"/>
            <w:vAlign w:val="center"/>
            <w:hideMark/>
          </w:tcPr>
          <w:p w14:paraId="19CF284D"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Productos por cobrar asociados a Partes relacionadas - Corporativo</w:t>
            </w:r>
          </w:p>
        </w:tc>
        <w:tc>
          <w:tcPr>
            <w:tcW w:w="1893" w:type="dxa"/>
            <w:tcBorders>
              <w:top w:val="nil"/>
              <w:left w:val="nil"/>
              <w:bottom w:val="single" w:sz="4" w:space="0" w:color="auto"/>
              <w:right w:val="single" w:sz="8" w:space="0" w:color="auto"/>
            </w:tcBorders>
            <w:shd w:val="clear" w:color="auto" w:fill="auto"/>
            <w:noWrap/>
            <w:vAlign w:val="bottom"/>
            <w:hideMark/>
          </w:tcPr>
          <w:p w14:paraId="3B49C573"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54D23478"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69537B2A"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1.030.080.370.M.100</w:t>
            </w:r>
          </w:p>
        </w:tc>
        <w:tc>
          <w:tcPr>
            <w:tcW w:w="4394" w:type="dxa"/>
            <w:tcBorders>
              <w:top w:val="nil"/>
              <w:left w:val="nil"/>
              <w:bottom w:val="single" w:sz="4" w:space="0" w:color="auto"/>
              <w:right w:val="single" w:sz="4" w:space="0" w:color="auto"/>
            </w:tcBorders>
            <w:shd w:val="clear" w:color="auto" w:fill="auto"/>
            <w:vAlign w:val="center"/>
            <w:hideMark/>
          </w:tcPr>
          <w:p w14:paraId="42A8EED9"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Productos por cobrar asociados a Partes relacionadas - Sector Financiero</w:t>
            </w:r>
          </w:p>
        </w:tc>
        <w:tc>
          <w:tcPr>
            <w:tcW w:w="1893" w:type="dxa"/>
            <w:tcBorders>
              <w:top w:val="nil"/>
              <w:left w:val="nil"/>
              <w:bottom w:val="single" w:sz="4" w:space="0" w:color="auto"/>
              <w:right w:val="single" w:sz="8" w:space="0" w:color="auto"/>
            </w:tcBorders>
            <w:shd w:val="clear" w:color="auto" w:fill="auto"/>
            <w:noWrap/>
            <w:vAlign w:val="bottom"/>
            <w:hideMark/>
          </w:tcPr>
          <w:p w14:paraId="65DFC695"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1B9105D5"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1F33C07A"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1.040.020.070</w:t>
            </w:r>
          </w:p>
        </w:tc>
        <w:tc>
          <w:tcPr>
            <w:tcW w:w="4394" w:type="dxa"/>
            <w:tcBorders>
              <w:top w:val="nil"/>
              <w:left w:val="nil"/>
              <w:bottom w:val="single" w:sz="4" w:space="0" w:color="auto"/>
              <w:right w:val="single" w:sz="4" w:space="0" w:color="auto"/>
            </w:tcBorders>
            <w:shd w:val="clear" w:color="auto" w:fill="auto"/>
            <w:vAlign w:val="center"/>
            <w:hideMark/>
          </w:tcPr>
          <w:p w14:paraId="1F6BDCD7"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xml:space="preserve">Comisiones por colocación de seguros  </w:t>
            </w:r>
          </w:p>
        </w:tc>
        <w:tc>
          <w:tcPr>
            <w:tcW w:w="1893" w:type="dxa"/>
            <w:tcBorders>
              <w:top w:val="nil"/>
              <w:left w:val="nil"/>
              <w:bottom w:val="single" w:sz="4" w:space="0" w:color="auto"/>
              <w:right w:val="single" w:sz="8" w:space="0" w:color="auto"/>
            </w:tcBorders>
            <w:shd w:val="clear" w:color="auto" w:fill="auto"/>
            <w:noWrap/>
            <w:vAlign w:val="bottom"/>
            <w:hideMark/>
          </w:tcPr>
          <w:p w14:paraId="0803F9C1"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6DA92348"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25997002"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1040020080 </w:t>
            </w:r>
          </w:p>
        </w:tc>
        <w:tc>
          <w:tcPr>
            <w:tcW w:w="4394" w:type="dxa"/>
            <w:tcBorders>
              <w:top w:val="nil"/>
              <w:left w:val="nil"/>
              <w:bottom w:val="single" w:sz="4" w:space="0" w:color="auto"/>
              <w:right w:val="single" w:sz="4" w:space="0" w:color="auto"/>
            </w:tcBorders>
            <w:shd w:val="clear" w:color="auto" w:fill="auto"/>
            <w:vAlign w:val="center"/>
            <w:hideMark/>
          </w:tcPr>
          <w:p w14:paraId="0A6AB5FA"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Comisiones por operaciones de cambio y arbitraje de divisas</w:t>
            </w:r>
          </w:p>
        </w:tc>
        <w:tc>
          <w:tcPr>
            <w:tcW w:w="1893" w:type="dxa"/>
            <w:tcBorders>
              <w:top w:val="nil"/>
              <w:left w:val="nil"/>
              <w:bottom w:val="single" w:sz="4" w:space="0" w:color="auto"/>
              <w:right w:val="single" w:sz="8" w:space="0" w:color="auto"/>
            </w:tcBorders>
            <w:shd w:val="clear" w:color="auto" w:fill="auto"/>
            <w:noWrap/>
            <w:vAlign w:val="bottom"/>
            <w:hideMark/>
          </w:tcPr>
          <w:p w14:paraId="3AD3E29B"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4DF0B31B"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0CBB6C3B"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1.040.020.100.M.060 </w:t>
            </w:r>
          </w:p>
        </w:tc>
        <w:tc>
          <w:tcPr>
            <w:tcW w:w="4394" w:type="dxa"/>
            <w:tcBorders>
              <w:top w:val="nil"/>
              <w:left w:val="nil"/>
              <w:bottom w:val="single" w:sz="4" w:space="0" w:color="auto"/>
              <w:right w:val="single" w:sz="4" w:space="0" w:color="auto"/>
            </w:tcBorders>
            <w:shd w:val="clear" w:color="auto" w:fill="auto"/>
            <w:vAlign w:val="center"/>
            <w:hideMark/>
          </w:tcPr>
          <w:p w14:paraId="0D33DCA4"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Comisiones por administración de fideicomisos</w:t>
            </w:r>
          </w:p>
        </w:tc>
        <w:tc>
          <w:tcPr>
            <w:tcW w:w="1893" w:type="dxa"/>
            <w:tcBorders>
              <w:top w:val="nil"/>
              <w:left w:val="nil"/>
              <w:bottom w:val="single" w:sz="4" w:space="0" w:color="auto"/>
              <w:right w:val="single" w:sz="8" w:space="0" w:color="auto"/>
            </w:tcBorders>
            <w:shd w:val="clear" w:color="auto" w:fill="auto"/>
            <w:noWrap/>
            <w:vAlign w:val="bottom"/>
            <w:hideMark/>
          </w:tcPr>
          <w:p w14:paraId="19A444D1"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780D71CA"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261400F5"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1040020410 </w:t>
            </w:r>
          </w:p>
        </w:tc>
        <w:tc>
          <w:tcPr>
            <w:tcW w:w="4394" w:type="dxa"/>
            <w:tcBorders>
              <w:top w:val="nil"/>
              <w:left w:val="nil"/>
              <w:bottom w:val="single" w:sz="4" w:space="0" w:color="auto"/>
              <w:right w:val="single" w:sz="4" w:space="0" w:color="auto"/>
            </w:tcBorders>
            <w:shd w:val="clear" w:color="auto" w:fill="auto"/>
            <w:vAlign w:val="center"/>
            <w:hideMark/>
          </w:tcPr>
          <w:p w14:paraId="68756AED"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Comisiones por cobrar por operaciones con instrumentos derivados</w:t>
            </w:r>
          </w:p>
        </w:tc>
        <w:tc>
          <w:tcPr>
            <w:tcW w:w="1893" w:type="dxa"/>
            <w:tcBorders>
              <w:top w:val="nil"/>
              <w:left w:val="nil"/>
              <w:bottom w:val="single" w:sz="4" w:space="0" w:color="auto"/>
              <w:right w:val="single" w:sz="8" w:space="0" w:color="auto"/>
            </w:tcBorders>
            <w:shd w:val="clear" w:color="auto" w:fill="auto"/>
            <w:noWrap/>
            <w:vAlign w:val="bottom"/>
            <w:hideMark/>
          </w:tcPr>
          <w:p w14:paraId="7B940193"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6FC49946"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36D3494B"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1040060 </w:t>
            </w:r>
          </w:p>
        </w:tc>
        <w:tc>
          <w:tcPr>
            <w:tcW w:w="4394" w:type="dxa"/>
            <w:tcBorders>
              <w:top w:val="nil"/>
              <w:left w:val="nil"/>
              <w:bottom w:val="single" w:sz="4" w:space="0" w:color="auto"/>
              <w:right w:val="single" w:sz="4" w:space="0" w:color="auto"/>
            </w:tcBorders>
            <w:shd w:val="clear" w:color="auto" w:fill="auto"/>
            <w:vAlign w:val="center"/>
            <w:hideMark/>
          </w:tcPr>
          <w:p w14:paraId="62AFA646"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CUENTAS POR COBRAR POR OPERACIONES CON PARTES RELACIONADAS</w:t>
            </w:r>
          </w:p>
        </w:tc>
        <w:tc>
          <w:tcPr>
            <w:tcW w:w="1893" w:type="dxa"/>
            <w:tcBorders>
              <w:top w:val="nil"/>
              <w:left w:val="nil"/>
              <w:bottom w:val="single" w:sz="4" w:space="0" w:color="auto"/>
              <w:right w:val="single" w:sz="8" w:space="0" w:color="auto"/>
            </w:tcBorders>
            <w:shd w:val="clear" w:color="auto" w:fill="auto"/>
            <w:noWrap/>
            <w:vAlign w:val="bottom"/>
            <w:hideMark/>
          </w:tcPr>
          <w:p w14:paraId="078AB814"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003F3B8E" w14:textId="77777777" w:rsidTr="00456BED">
        <w:trPr>
          <w:trHeight w:val="375"/>
        </w:trPr>
        <w:tc>
          <w:tcPr>
            <w:tcW w:w="2218" w:type="dxa"/>
            <w:tcBorders>
              <w:top w:val="nil"/>
              <w:left w:val="single" w:sz="8" w:space="0" w:color="auto"/>
              <w:bottom w:val="single" w:sz="4" w:space="0" w:color="auto"/>
              <w:right w:val="single" w:sz="4" w:space="0" w:color="auto"/>
            </w:tcBorders>
            <w:shd w:val="clear" w:color="auto" w:fill="auto"/>
            <w:noWrap/>
            <w:vAlign w:val="bottom"/>
            <w:hideMark/>
          </w:tcPr>
          <w:p w14:paraId="6439139B"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c>
          <w:tcPr>
            <w:tcW w:w="4394" w:type="dxa"/>
            <w:tcBorders>
              <w:top w:val="nil"/>
              <w:left w:val="nil"/>
              <w:bottom w:val="single" w:sz="4" w:space="0" w:color="auto"/>
              <w:right w:val="single" w:sz="4" w:space="0" w:color="auto"/>
            </w:tcBorders>
            <w:shd w:val="clear" w:color="000000" w:fill="FF0000"/>
            <w:vAlign w:val="center"/>
            <w:hideMark/>
          </w:tcPr>
          <w:p w14:paraId="7CB200D7" w14:textId="77777777" w:rsidR="00CB099E" w:rsidRPr="009021BE" w:rsidRDefault="00CB099E" w:rsidP="00456BED">
            <w:pPr>
              <w:jc w:val="right"/>
              <w:rPr>
                <w:rFonts w:ascii="Cambria" w:hAnsi="Cambria" w:cs="Calibri"/>
                <w:b/>
                <w:bCs/>
                <w:i/>
                <w:iCs/>
                <w:color w:val="FFFFFF"/>
                <w:lang w:val="es-CR" w:eastAsia="es-CR"/>
              </w:rPr>
            </w:pPr>
            <w:r w:rsidRPr="009021BE">
              <w:rPr>
                <w:rFonts w:ascii="Cambria" w:hAnsi="Cambria" w:cs="Calibri"/>
                <w:b/>
                <w:bCs/>
                <w:i/>
                <w:iCs/>
                <w:color w:val="FFFFFF"/>
                <w:lang w:val="es-CR" w:eastAsia="es-CR"/>
              </w:rPr>
              <w:t>Restan:</w:t>
            </w:r>
          </w:p>
        </w:tc>
        <w:tc>
          <w:tcPr>
            <w:tcW w:w="1893" w:type="dxa"/>
            <w:tcBorders>
              <w:top w:val="nil"/>
              <w:left w:val="nil"/>
              <w:bottom w:val="single" w:sz="4" w:space="0" w:color="auto"/>
              <w:right w:val="single" w:sz="8" w:space="0" w:color="auto"/>
            </w:tcBorders>
            <w:shd w:val="clear" w:color="000000" w:fill="FF0000"/>
            <w:noWrap/>
            <w:vAlign w:val="bottom"/>
            <w:hideMark/>
          </w:tcPr>
          <w:p w14:paraId="53D728A6" w14:textId="77777777" w:rsidR="00CB099E" w:rsidRPr="009021BE" w:rsidRDefault="00CB099E" w:rsidP="00456BED">
            <w:pPr>
              <w:rPr>
                <w:rFonts w:ascii="Cambria" w:hAnsi="Cambria" w:cs="Calibri"/>
                <w:b/>
                <w:bCs/>
                <w:i/>
                <w:iCs/>
                <w:color w:val="FFFFFF"/>
                <w:lang w:val="es-CR" w:eastAsia="es-CR"/>
              </w:rPr>
            </w:pPr>
            <w:r w:rsidRPr="009021BE">
              <w:rPr>
                <w:rFonts w:ascii="Cambria" w:hAnsi="Cambria" w:cs="Calibri"/>
                <w:b/>
                <w:bCs/>
                <w:i/>
                <w:iCs/>
                <w:color w:val="FFFFFF"/>
                <w:lang w:val="es-CR" w:eastAsia="es-CR"/>
              </w:rPr>
              <w:t xml:space="preserve">                        -   </w:t>
            </w:r>
          </w:p>
        </w:tc>
      </w:tr>
      <w:tr w:rsidR="00CB099E" w:rsidRPr="009021BE" w14:paraId="519358A7"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14DC627F"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10200900500000 </w:t>
            </w:r>
          </w:p>
        </w:tc>
        <w:tc>
          <w:tcPr>
            <w:tcW w:w="4394" w:type="dxa"/>
            <w:tcBorders>
              <w:top w:val="nil"/>
              <w:left w:val="nil"/>
              <w:bottom w:val="single" w:sz="4" w:space="0" w:color="auto"/>
              <w:right w:val="single" w:sz="4" w:space="0" w:color="auto"/>
            </w:tcBorders>
            <w:shd w:val="clear" w:color="auto" w:fill="auto"/>
            <w:vAlign w:val="center"/>
            <w:hideMark/>
          </w:tcPr>
          <w:p w14:paraId="65BB668C"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Estimación inversiones vencidos y restringidos</w:t>
            </w:r>
          </w:p>
        </w:tc>
        <w:tc>
          <w:tcPr>
            <w:tcW w:w="1893" w:type="dxa"/>
            <w:tcBorders>
              <w:top w:val="nil"/>
              <w:left w:val="nil"/>
              <w:bottom w:val="single" w:sz="4" w:space="0" w:color="auto"/>
              <w:right w:val="single" w:sz="8" w:space="0" w:color="auto"/>
            </w:tcBorders>
            <w:shd w:val="clear" w:color="auto" w:fill="auto"/>
            <w:noWrap/>
            <w:vAlign w:val="bottom"/>
            <w:hideMark/>
          </w:tcPr>
          <w:p w14:paraId="6159EAD8"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4BD16AA3"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1CBCE5FF"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1040100020 </w:t>
            </w:r>
          </w:p>
        </w:tc>
        <w:tc>
          <w:tcPr>
            <w:tcW w:w="4394" w:type="dxa"/>
            <w:tcBorders>
              <w:top w:val="nil"/>
              <w:left w:val="nil"/>
              <w:bottom w:val="single" w:sz="4" w:space="0" w:color="auto"/>
              <w:right w:val="single" w:sz="4" w:space="0" w:color="auto"/>
            </w:tcBorders>
            <w:shd w:val="clear" w:color="auto" w:fill="auto"/>
            <w:vAlign w:val="center"/>
            <w:hideMark/>
          </w:tcPr>
          <w:p w14:paraId="15D02D9F"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xml:space="preserve">Estimación de comisiones por cobrar </w:t>
            </w:r>
          </w:p>
        </w:tc>
        <w:tc>
          <w:tcPr>
            <w:tcW w:w="1893" w:type="dxa"/>
            <w:tcBorders>
              <w:top w:val="nil"/>
              <w:left w:val="nil"/>
              <w:bottom w:val="single" w:sz="4" w:space="0" w:color="auto"/>
              <w:right w:val="single" w:sz="8" w:space="0" w:color="auto"/>
            </w:tcBorders>
            <w:shd w:val="clear" w:color="auto" w:fill="auto"/>
            <w:noWrap/>
            <w:vAlign w:val="bottom"/>
            <w:hideMark/>
          </w:tcPr>
          <w:p w14:paraId="6E72F943"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5643A43A" w14:textId="77777777" w:rsidTr="00456BED">
        <w:trPr>
          <w:trHeight w:val="6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3BF4CD40"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10401000500000 </w:t>
            </w:r>
          </w:p>
        </w:tc>
        <w:tc>
          <w:tcPr>
            <w:tcW w:w="4394" w:type="dxa"/>
            <w:tcBorders>
              <w:top w:val="nil"/>
              <w:left w:val="nil"/>
              <w:bottom w:val="single" w:sz="4" w:space="0" w:color="auto"/>
              <w:right w:val="single" w:sz="4" w:space="0" w:color="auto"/>
            </w:tcBorders>
            <w:shd w:val="clear" w:color="auto" w:fill="auto"/>
            <w:vAlign w:val="center"/>
            <w:hideMark/>
          </w:tcPr>
          <w:p w14:paraId="3972E884"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Estimación deterioro comisiones, primas y cuentas por cobrar - operaciones con partes relacionadas-</w:t>
            </w:r>
          </w:p>
        </w:tc>
        <w:tc>
          <w:tcPr>
            <w:tcW w:w="1893" w:type="dxa"/>
            <w:tcBorders>
              <w:top w:val="nil"/>
              <w:left w:val="nil"/>
              <w:bottom w:val="single" w:sz="4" w:space="0" w:color="auto"/>
              <w:right w:val="single" w:sz="8" w:space="0" w:color="auto"/>
            </w:tcBorders>
            <w:shd w:val="clear" w:color="auto" w:fill="auto"/>
            <w:noWrap/>
            <w:vAlign w:val="bottom"/>
            <w:hideMark/>
          </w:tcPr>
          <w:p w14:paraId="084EE8BF"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7F8390FC"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7C0031CA"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10900600200000 </w:t>
            </w:r>
          </w:p>
        </w:tc>
        <w:tc>
          <w:tcPr>
            <w:tcW w:w="4394" w:type="dxa"/>
            <w:tcBorders>
              <w:top w:val="nil"/>
              <w:left w:val="nil"/>
              <w:bottom w:val="single" w:sz="4" w:space="0" w:color="auto"/>
              <w:right w:val="single" w:sz="4" w:space="0" w:color="auto"/>
            </w:tcBorders>
            <w:shd w:val="clear" w:color="auto" w:fill="auto"/>
            <w:vAlign w:val="center"/>
            <w:hideMark/>
          </w:tcPr>
          <w:p w14:paraId="2E8301BA"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Plusvalía comprada</w:t>
            </w:r>
          </w:p>
        </w:tc>
        <w:tc>
          <w:tcPr>
            <w:tcW w:w="1893" w:type="dxa"/>
            <w:tcBorders>
              <w:top w:val="nil"/>
              <w:left w:val="nil"/>
              <w:bottom w:val="single" w:sz="4" w:space="0" w:color="auto"/>
              <w:right w:val="single" w:sz="8" w:space="0" w:color="auto"/>
            </w:tcBorders>
            <w:shd w:val="clear" w:color="auto" w:fill="auto"/>
            <w:noWrap/>
            <w:vAlign w:val="bottom"/>
            <w:hideMark/>
          </w:tcPr>
          <w:p w14:paraId="72E61369"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3E19461F"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755E1ED6"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IA103000000001</w:t>
            </w:r>
          </w:p>
        </w:tc>
        <w:tc>
          <w:tcPr>
            <w:tcW w:w="4394" w:type="dxa"/>
            <w:tcBorders>
              <w:top w:val="nil"/>
              <w:left w:val="nil"/>
              <w:bottom w:val="single" w:sz="4" w:space="0" w:color="auto"/>
              <w:right w:val="single" w:sz="4" w:space="0" w:color="auto"/>
            </w:tcBorders>
            <w:shd w:val="clear" w:color="auto" w:fill="auto"/>
            <w:vAlign w:val="center"/>
            <w:hideMark/>
          </w:tcPr>
          <w:p w14:paraId="36D1EB5C"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Estimación deterioro operaciones de crédito con partes relacionadas</w:t>
            </w:r>
          </w:p>
        </w:tc>
        <w:tc>
          <w:tcPr>
            <w:tcW w:w="1893" w:type="dxa"/>
            <w:tcBorders>
              <w:top w:val="nil"/>
              <w:left w:val="nil"/>
              <w:bottom w:val="single" w:sz="4" w:space="0" w:color="auto"/>
              <w:right w:val="single" w:sz="8" w:space="0" w:color="auto"/>
            </w:tcBorders>
            <w:shd w:val="clear" w:color="auto" w:fill="auto"/>
            <w:noWrap/>
            <w:vAlign w:val="bottom"/>
            <w:hideMark/>
          </w:tcPr>
          <w:p w14:paraId="2E3EE664"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4B4B07D6"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6AA3EB26"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IA103000000002</w:t>
            </w:r>
          </w:p>
        </w:tc>
        <w:tc>
          <w:tcPr>
            <w:tcW w:w="4394" w:type="dxa"/>
            <w:tcBorders>
              <w:top w:val="nil"/>
              <w:left w:val="nil"/>
              <w:bottom w:val="single" w:sz="4" w:space="0" w:color="auto"/>
              <w:right w:val="single" w:sz="4" w:space="0" w:color="auto"/>
            </w:tcBorders>
            <w:shd w:val="clear" w:color="auto" w:fill="auto"/>
            <w:vAlign w:val="center"/>
            <w:hideMark/>
          </w:tcPr>
          <w:p w14:paraId="2D81137B"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Estimación deterioro créditos restringidos</w:t>
            </w:r>
          </w:p>
        </w:tc>
        <w:tc>
          <w:tcPr>
            <w:tcW w:w="1893" w:type="dxa"/>
            <w:tcBorders>
              <w:top w:val="nil"/>
              <w:left w:val="nil"/>
              <w:bottom w:val="single" w:sz="4" w:space="0" w:color="auto"/>
              <w:right w:val="single" w:sz="8" w:space="0" w:color="auto"/>
            </w:tcBorders>
            <w:shd w:val="clear" w:color="auto" w:fill="auto"/>
            <w:noWrap/>
            <w:vAlign w:val="bottom"/>
            <w:hideMark/>
          </w:tcPr>
          <w:p w14:paraId="4BD52721"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46F6168A" w14:textId="77777777" w:rsidTr="00456BED">
        <w:trPr>
          <w:trHeight w:val="6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18787755"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IA104000000001</w:t>
            </w:r>
          </w:p>
        </w:tc>
        <w:tc>
          <w:tcPr>
            <w:tcW w:w="4394" w:type="dxa"/>
            <w:tcBorders>
              <w:top w:val="nil"/>
              <w:left w:val="nil"/>
              <w:bottom w:val="single" w:sz="4" w:space="0" w:color="auto"/>
              <w:right w:val="single" w:sz="4" w:space="0" w:color="auto"/>
            </w:tcBorders>
            <w:shd w:val="clear" w:color="auto" w:fill="auto"/>
            <w:vAlign w:val="center"/>
            <w:hideMark/>
          </w:tcPr>
          <w:p w14:paraId="6086C281"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Cuentas por cobrar a empleados por venta de contratos de seguros neto de estimación</w:t>
            </w:r>
          </w:p>
        </w:tc>
        <w:tc>
          <w:tcPr>
            <w:tcW w:w="1893" w:type="dxa"/>
            <w:tcBorders>
              <w:top w:val="nil"/>
              <w:left w:val="nil"/>
              <w:bottom w:val="single" w:sz="4" w:space="0" w:color="auto"/>
              <w:right w:val="single" w:sz="8" w:space="0" w:color="auto"/>
            </w:tcBorders>
            <w:shd w:val="clear" w:color="auto" w:fill="auto"/>
            <w:noWrap/>
            <w:vAlign w:val="bottom"/>
            <w:hideMark/>
          </w:tcPr>
          <w:p w14:paraId="2CE0CBC5"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1E86A3DD" w14:textId="77777777" w:rsidTr="00456BED">
        <w:trPr>
          <w:trHeight w:val="375"/>
        </w:trPr>
        <w:tc>
          <w:tcPr>
            <w:tcW w:w="2218" w:type="dxa"/>
            <w:tcBorders>
              <w:top w:val="nil"/>
              <w:left w:val="single" w:sz="8" w:space="0" w:color="auto"/>
              <w:bottom w:val="nil"/>
              <w:right w:val="single" w:sz="4" w:space="0" w:color="auto"/>
            </w:tcBorders>
            <w:shd w:val="clear" w:color="auto" w:fill="auto"/>
            <w:noWrap/>
            <w:vAlign w:val="bottom"/>
            <w:hideMark/>
          </w:tcPr>
          <w:p w14:paraId="69CB7B08"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c>
          <w:tcPr>
            <w:tcW w:w="4394" w:type="dxa"/>
            <w:tcBorders>
              <w:top w:val="nil"/>
              <w:left w:val="nil"/>
              <w:bottom w:val="nil"/>
              <w:right w:val="single" w:sz="4" w:space="0" w:color="auto"/>
            </w:tcBorders>
            <w:shd w:val="clear" w:color="000000" w:fill="9BC2E6"/>
            <w:vAlign w:val="center"/>
            <w:hideMark/>
          </w:tcPr>
          <w:p w14:paraId="3E3BC603" w14:textId="77777777" w:rsidR="00CB099E" w:rsidRPr="009021BE" w:rsidRDefault="00CB099E" w:rsidP="00456BED">
            <w:pPr>
              <w:jc w:val="right"/>
              <w:rPr>
                <w:rFonts w:ascii="Cambria" w:hAnsi="Cambria" w:cs="Calibri"/>
                <w:b/>
                <w:bCs/>
                <w:i/>
                <w:iCs/>
                <w:lang w:val="es-CR" w:eastAsia="es-CR"/>
              </w:rPr>
            </w:pPr>
            <w:r w:rsidRPr="009021BE">
              <w:rPr>
                <w:rFonts w:ascii="Cambria" w:hAnsi="Cambria" w:cs="Calibri"/>
                <w:b/>
                <w:bCs/>
                <w:i/>
                <w:iCs/>
                <w:lang w:val="es-CR" w:eastAsia="es-CR"/>
              </w:rPr>
              <w:t>TOTAL DEDUCCIONES</w:t>
            </w:r>
          </w:p>
        </w:tc>
        <w:tc>
          <w:tcPr>
            <w:tcW w:w="1893" w:type="dxa"/>
            <w:tcBorders>
              <w:top w:val="nil"/>
              <w:left w:val="nil"/>
              <w:bottom w:val="nil"/>
              <w:right w:val="single" w:sz="8" w:space="0" w:color="auto"/>
            </w:tcBorders>
            <w:shd w:val="clear" w:color="000000" w:fill="9BC2E6"/>
            <w:noWrap/>
            <w:vAlign w:val="bottom"/>
            <w:hideMark/>
          </w:tcPr>
          <w:p w14:paraId="16282E58" w14:textId="77777777" w:rsidR="00CB099E" w:rsidRPr="009021BE" w:rsidRDefault="00CB099E" w:rsidP="00456BED">
            <w:pPr>
              <w:rPr>
                <w:rFonts w:ascii="Cambria" w:hAnsi="Cambria" w:cs="Calibri"/>
                <w:b/>
                <w:bCs/>
                <w:i/>
                <w:iCs/>
                <w:color w:val="000000"/>
                <w:lang w:val="es-CR" w:eastAsia="es-CR"/>
              </w:rPr>
            </w:pPr>
            <w:r w:rsidRPr="009021BE">
              <w:rPr>
                <w:rFonts w:ascii="Cambria" w:hAnsi="Cambria" w:cs="Calibri"/>
                <w:b/>
                <w:bCs/>
                <w:i/>
                <w:iCs/>
                <w:color w:val="000000"/>
                <w:lang w:val="es-CR" w:eastAsia="es-CR"/>
              </w:rPr>
              <w:t xml:space="preserve">                        -   </w:t>
            </w:r>
          </w:p>
        </w:tc>
      </w:tr>
      <w:tr w:rsidR="00CB099E" w:rsidRPr="009021BE" w14:paraId="6489630E" w14:textId="77777777" w:rsidTr="00456BED">
        <w:trPr>
          <w:trHeight w:val="300"/>
        </w:trPr>
        <w:tc>
          <w:tcPr>
            <w:tcW w:w="2218" w:type="dxa"/>
            <w:tcBorders>
              <w:top w:val="single" w:sz="4" w:space="0" w:color="auto"/>
              <w:left w:val="single" w:sz="4" w:space="0" w:color="auto"/>
              <w:bottom w:val="single" w:sz="4" w:space="0" w:color="auto"/>
              <w:right w:val="nil"/>
            </w:tcBorders>
            <w:shd w:val="clear" w:color="auto" w:fill="auto"/>
            <w:noWrap/>
            <w:vAlign w:val="bottom"/>
            <w:hideMark/>
          </w:tcPr>
          <w:p w14:paraId="2E490A1C"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c>
          <w:tcPr>
            <w:tcW w:w="4394" w:type="dxa"/>
            <w:tcBorders>
              <w:top w:val="single" w:sz="4" w:space="0" w:color="auto"/>
              <w:left w:val="nil"/>
              <w:bottom w:val="single" w:sz="4" w:space="0" w:color="auto"/>
              <w:right w:val="nil"/>
            </w:tcBorders>
            <w:shd w:val="clear" w:color="auto" w:fill="auto"/>
            <w:vAlign w:val="center"/>
            <w:hideMark/>
          </w:tcPr>
          <w:p w14:paraId="4315B02F"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c>
          <w:tcPr>
            <w:tcW w:w="1893" w:type="dxa"/>
            <w:tcBorders>
              <w:top w:val="single" w:sz="4" w:space="0" w:color="auto"/>
              <w:left w:val="nil"/>
              <w:bottom w:val="single" w:sz="4" w:space="0" w:color="auto"/>
              <w:right w:val="single" w:sz="4" w:space="0" w:color="auto"/>
            </w:tcBorders>
            <w:shd w:val="clear" w:color="auto" w:fill="auto"/>
            <w:noWrap/>
            <w:vAlign w:val="bottom"/>
            <w:hideMark/>
          </w:tcPr>
          <w:p w14:paraId="3214D703"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6822F9D9" w14:textId="77777777" w:rsidTr="00456BED">
        <w:trPr>
          <w:trHeight w:val="300"/>
        </w:trPr>
        <w:tc>
          <w:tcPr>
            <w:tcW w:w="8505" w:type="dxa"/>
            <w:gridSpan w:val="3"/>
            <w:tcBorders>
              <w:top w:val="single" w:sz="4" w:space="0" w:color="auto"/>
              <w:left w:val="single" w:sz="8" w:space="0" w:color="auto"/>
              <w:bottom w:val="single" w:sz="4" w:space="0" w:color="auto"/>
              <w:right w:val="single" w:sz="8" w:space="0" w:color="000000"/>
            </w:tcBorders>
            <w:shd w:val="clear" w:color="000000" w:fill="44546A"/>
            <w:vAlign w:val="center"/>
            <w:hideMark/>
          </w:tcPr>
          <w:p w14:paraId="05AA0F8B" w14:textId="77777777" w:rsidR="00CB099E" w:rsidRPr="009021BE" w:rsidRDefault="00CB099E" w:rsidP="00456BED">
            <w:pPr>
              <w:jc w:val="center"/>
              <w:rPr>
                <w:rFonts w:ascii="Cambria" w:hAnsi="Cambria" w:cs="Calibri"/>
                <w:b/>
                <w:bCs/>
                <w:i/>
                <w:iCs/>
                <w:color w:val="FFFFFF"/>
                <w:lang w:val="es-CR" w:eastAsia="es-CR"/>
              </w:rPr>
            </w:pPr>
            <w:r w:rsidRPr="009021BE">
              <w:rPr>
                <w:rFonts w:ascii="Cambria" w:hAnsi="Cambria" w:cs="Calibri"/>
                <w:b/>
                <w:bCs/>
                <w:i/>
                <w:iCs/>
                <w:color w:val="FFFFFF"/>
                <w:lang w:val="es-CR" w:eastAsia="es-CR"/>
              </w:rPr>
              <w:t>OTROS DATOS- VALIDACIONES</w:t>
            </w:r>
          </w:p>
        </w:tc>
      </w:tr>
      <w:tr w:rsidR="00CB099E" w:rsidRPr="009021BE" w14:paraId="0810C474" w14:textId="77777777" w:rsidTr="00456BED">
        <w:trPr>
          <w:trHeight w:val="300"/>
        </w:trPr>
        <w:tc>
          <w:tcPr>
            <w:tcW w:w="2218" w:type="dxa"/>
            <w:tcBorders>
              <w:top w:val="nil"/>
              <w:left w:val="single" w:sz="8" w:space="0" w:color="auto"/>
              <w:bottom w:val="single" w:sz="4" w:space="0" w:color="auto"/>
              <w:right w:val="single" w:sz="4" w:space="0" w:color="auto"/>
            </w:tcBorders>
            <w:shd w:val="clear" w:color="000000" w:fill="44546A"/>
            <w:vAlign w:val="center"/>
            <w:hideMark/>
          </w:tcPr>
          <w:p w14:paraId="20D7D612" w14:textId="77777777" w:rsidR="00CB099E" w:rsidRPr="009021BE" w:rsidRDefault="00CB099E" w:rsidP="00456BED">
            <w:pPr>
              <w:jc w:val="center"/>
              <w:rPr>
                <w:rFonts w:ascii="Cambria" w:hAnsi="Cambria" w:cs="Calibri"/>
                <w:b/>
                <w:bCs/>
                <w:i/>
                <w:iCs/>
                <w:color w:val="FFFFFF"/>
                <w:lang w:val="es-CR" w:eastAsia="es-CR"/>
              </w:rPr>
            </w:pPr>
            <w:r w:rsidRPr="009021BE">
              <w:rPr>
                <w:rFonts w:ascii="Cambria" w:hAnsi="Cambria" w:cs="Calibri"/>
                <w:b/>
                <w:bCs/>
                <w:i/>
                <w:iCs/>
                <w:color w:val="FFFFFF"/>
                <w:lang w:val="es-CR" w:eastAsia="es-CR"/>
              </w:rPr>
              <w:t>CÓDIGO CUENTA</w:t>
            </w:r>
          </w:p>
        </w:tc>
        <w:tc>
          <w:tcPr>
            <w:tcW w:w="4394" w:type="dxa"/>
            <w:tcBorders>
              <w:top w:val="nil"/>
              <w:left w:val="nil"/>
              <w:bottom w:val="single" w:sz="4" w:space="0" w:color="auto"/>
              <w:right w:val="single" w:sz="4" w:space="0" w:color="auto"/>
            </w:tcBorders>
            <w:shd w:val="clear" w:color="000000" w:fill="44546A"/>
            <w:vAlign w:val="center"/>
            <w:hideMark/>
          </w:tcPr>
          <w:p w14:paraId="133C3B05" w14:textId="77777777" w:rsidR="00CB099E" w:rsidRPr="009021BE" w:rsidRDefault="00CB099E" w:rsidP="00456BED">
            <w:pPr>
              <w:jc w:val="center"/>
              <w:rPr>
                <w:rFonts w:ascii="Cambria" w:hAnsi="Cambria" w:cs="Calibri"/>
                <w:b/>
                <w:bCs/>
                <w:i/>
                <w:iCs/>
                <w:color w:val="FFFFFF"/>
                <w:lang w:val="es-CR" w:eastAsia="es-CR"/>
              </w:rPr>
            </w:pPr>
            <w:r w:rsidRPr="009021BE">
              <w:rPr>
                <w:rFonts w:ascii="Cambria" w:hAnsi="Cambria" w:cs="Calibri"/>
                <w:b/>
                <w:bCs/>
                <w:i/>
                <w:iCs/>
                <w:color w:val="FFFFFF"/>
                <w:lang w:val="es-CR" w:eastAsia="es-CR"/>
              </w:rPr>
              <w:t>PARTIDAS</w:t>
            </w:r>
          </w:p>
        </w:tc>
        <w:tc>
          <w:tcPr>
            <w:tcW w:w="1893" w:type="dxa"/>
            <w:tcBorders>
              <w:top w:val="nil"/>
              <w:left w:val="nil"/>
              <w:bottom w:val="single" w:sz="4" w:space="0" w:color="auto"/>
              <w:right w:val="single" w:sz="8" w:space="0" w:color="auto"/>
            </w:tcBorders>
            <w:shd w:val="clear" w:color="000000" w:fill="44546A"/>
            <w:vAlign w:val="center"/>
            <w:hideMark/>
          </w:tcPr>
          <w:p w14:paraId="08B0F76D" w14:textId="77777777" w:rsidR="00CB099E" w:rsidRPr="009021BE" w:rsidRDefault="00CB099E" w:rsidP="00456BED">
            <w:pPr>
              <w:jc w:val="center"/>
              <w:rPr>
                <w:rFonts w:ascii="Cambria" w:hAnsi="Cambria" w:cs="Calibri"/>
                <w:b/>
                <w:bCs/>
                <w:i/>
                <w:iCs/>
                <w:color w:val="FFFFFF"/>
                <w:lang w:val="es-CR" w:eastAsia="es-CR"/>
              </w:rPr>
            </w:pPr>
            <w:r w:rsidRPr="009021BE">
              <w:rPr>
                <w:rFonts w:ascii="Cambria" w:hAnsi="Cambria" w:cs="Calibri"/>
                <w:b/>
                <w:bCs/>
                <w:i/>
                <w:iCs/>
                <w:color w:val="FFFFFF"/>
                <w:lang w:val="es-CR" w:eastAsia="es-CR"/>
              </w:rPr>
              <w:t>MONTOS</w:t>
            </w:r>
          </w:p>
        </w:tc>
      </w:tr>
      <w:tr w:rsidR="00CB099E" w:rsidRPr="009021BE" w14:paraId="69EC3C0D" w14:textId="77777777" w:rsidTr="00456BED">
        <w:trPr>
          <w:trHeight w:val="30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064D3DEE"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30000000000000 </w:t>
            </w:r>
          </w:p>
        </w:tc>
        <w:tc>
          <w:tcPr>
            <w:tcW w:w="4394" w:type="dxa"/>
            <w:tcBorders>
              <w:top w:val="nil"/>
              <w:left w:val="nil"/>
              <w:bottom w:val="single" w:sz="4" w:space="0" w:color="auto"/>
              <w:right w:val="single" w:sz="4" w:space="0" w:color="auto"/>
            </w:tcBorders>
            <w:shd w:val="clear" w:color="auto" w:fill="auto"/>
            <w:vAlign w:val="center"/>
            <w:hideMark/>
          </w:tcPr>
          <w:p w14:paraId="5C4D983E"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TOTAL PATRIMONIO</w:t>
            </w:r>
          </w:p>
        </w:tc>
        <w:tc>
          <w:tcPr>
            <w:tcW w:w="1893" w:type="dxa"/>
            <w:tcBorders>
              <w:top w:val="nil"/>
              <w:left w:val="nil"/>
              <w:bottom w:val="single" w:sz="4" w:space="0" w:color="auto"/>
              <w:right w:val="single" w:sz="8" w:space="0" w:color="auto"/>
            </w:tcBorders>
            <w:shd w:val="clear" w:color="auto" w:fill="auto"/>
            <w:noWrap/>
            <w:vAlign w:val="bottom"/>
            <w:hideMark/>
          </w:tcPr>
          <w:p w14:paraId="27D678FD"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r w:rsidR="00CB099E" w:rsidRPr="009021BE" w14:paraId="17719971" w14:textId="77777777" w:rsidTr="00456BED">
        <w:trPr>
          <w:trHeight w:val="510"/>
        </w:trPr>
        <w:tc>
          <w:tcPr>
            <w:tcW w:w="2218" w:type="dxa"/>
            <w:tcBorders>
              <w:top w:val="nil"/>
              <w:left w:val="single" w:sz="8" w:space="0" w:color="auto"/>
              <w:bottom w:val="single" w:sz="4" w:space="0" w:color="auto"/>
              <w:right w:val="single" w:sz="4" w:space="0" w:color="auto"/>
            </w:tcBorders>
            <w:shd w:val="clear" w:color="auto" w:fill="auto"/>
            <w:noWrap/>
            <w:vAlign w:val="center"/>
            <w:hideMark/>
          </w:tcPr>
          <w:p w14:paraId="26C8BD21" w14:textId="77777777" w:rsidR="00CB099E" w:rsidRPr="009021BE" w:rsidRDefault="00CB099E" w:rsidP="00456BED">
            <w:pPr>
              <w:jc w:val="right"/>
              <w:rPr>
                <w:rFonts w:ascii="Cambria" w:hAnsi="Cambria" w:cs="Calibri"/>
                <w:i/>
                <w:iCs/>
                <w:color w:val="000000"/>
                <w:lang w:val="es-CR" w:eastAsia="es-CR"/>
              </w:rPr>
            </w:pPr>
            <w:r w:rsidRPr="009021BE">
              <w:rPr>
                <w:rFonts w:ascii="Cambria" w:hAnsi="Cambria" w:cs="Calibri"/>
                <w:i/>
                <w:iCs/>
                <w:color w:val="000000"/>
                <w:lang w:val="es-CR" w:eastAsia="es-CR"/>
              </w:rPr>
              <w:t xml:space="preserve">1020050 </w:t>
            </w:r>
          </w:p>
        </w:tc>
        <w:tc>
          <w:tcPr>
            <w:tcW w:w="4394" w:type="dxa"/>
            <w:tcBorders>
              <w:top w:val="nil"/>
              <w:left w:val="nil"/>
              <w:bottom w:val="single" w:sz="4" w:space="0" w:color="auto"/>
              <w:right w:val="single" w:sz="4" w:space="0" w:color="auto"/>
            </w:tcBorders>
            <w:shd w:val="clear" w:color="auto" w:fill="auto"/>
            <w:vAlign w:val="center"/>
            <w:hideMark/>
          </w:tcPr>
          <w:p w14:paraId="7E0C5EDF"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INSTRUMENTOS FINANCIEROS VENCIDOS Y RESTRINGIDOS</w:t>
            </w:r>
          </w:p>
        </w:tc>
        <w:tc>
          <w:tcPr>
            <w:tcW w:w="1893" w:type="dxa"/>
            <w:tcBorders>
              <w:top w:val="nil"/>
              <w:left w:val="nil"/>
              <w:bottom w:val="single" w:sz="4" w:space="0" w:color="auto"/>
              <w:right w:val="single" w:sz="8" w:space="0" w:color="auto"/>
            </w:tcBorders>
            <w:shd w:val="clear" w:color="auto" w:fill="auto"/>
            <w:noWrap/>
            <w:vAlign w:val="bottom"/>
            <w:hideMark/>
          </w:tcPr>
          <w:p w14:paraId="3BA08095" w14:textId="77777777" w:rsidR="00CB099E" w:rsidRPr="009021BE" w:rsidRDefault="00CB099E" w:rsidP="00456BED">
            <w:pPr>
              <w:rPr>
                <w:rFonts w:ascii="Cambria" w:hAnsi="Cambria" w:cs="Calibri"/>
                <w:i/>
                <w:iCs/>
                <w:color w:val="000000"/>
                <w:lang w:val="es-CR" w:eastAsia="es-CR"/>
              </w:rPr>
            </w:pPr>
            <w:r w:rsidRPr="009021BE">
              <w:rPr>
                <w:rFonts w:ascii="Cambria" w:hAnsi="Cambria" w:cs="Calibri"/>
                <w:i/>
                <w:iCs/>
                <w:color w:val="000000"/>
                <w:lang w:val="es-CR" w:eastAsia="es-CR"/>
              </w:rPr>
              <w:t> </w:t>
            </w:r>
          </w:p>
        </w:tc>
      </w:tr>
    </w:tbl>
    <w:p w14:paraId="4830E68D" w14:textId="77777777" w:rsidR="00CB099E" w:rsidRPr="00DA0A18" w:rsidRDefault="00CB099E" w:rsidP="00CB099E">
      <w:pPr>
        <w:jc w:val="both"/>
        <w:rPr>
          <w:rFonts w:ascii="Cambria" w:hAnsi="Cambria"/>
        </w:rPr>
      </w:pPr>
    </w:p>
    <w:p w14:paraId="170989F7" w14:textId="77777777" w:rsidR="00CB099E" w:rsidRPr="0051652C" w:rsidRDefault="00CB099E" w:rsidP="00CB099E">
      <w:pPr>
        <w:pStyle w:val="Ttulo1"/>
        <w:numPr>
          <w:ilvl w:val="0"/>
          <w:numId w:val="7"/>
        </w:numPr>
        <w:tabs>
          <w:tab w:val="num" w:pos="360"/>
        </w:tabs>
        <w:spacing w:before="0" w:beforeAutospacing="0" w:after="0" w:afterAutospacing="0"/>
        <w:ind w:left="851" w:firstLine="0"/>
        <w:jc w:val="both"/>
        <w:rPr>
          <w:rFonts w:ascii="Cambria" w:hAnsi="Cambria" w:cs="Times New Roman"/>
          <w:i/>
          <w:iCs/>
          <w:color w:val="auto"/>
        </w:rPr>
      </w:pPr>
      <w:bookmarkStart w:id="4" w:name="_Toc120536359"/>
      <w:r w:rsidRPr="0051652C">
        <w:rPr>
          <w:rFonts w:ascii="Cambria" w:hAnsi="Cambria" w:cs="Times New Roman"/>
          <w:i/>
          <w:iCs/>
          <w:color w:val="auto"/>
        </w:rPr>
        <w:t>Validaciones entre modelos:</w:t>
      </w:r>
      <w:bookmarkEnd w:id="4"/>
    </w:p>
    <w:p w14:paraId="63FE7AEE" w14:textId="77777777" w:rsidR="00CB099E" w:rsidRPr="00DA0A18" w:rsidRDefault="00CB099E" w:rsidP="00CB099E">
      <w:pPr>
        <w:pStyle w:val="enfasisNegrita"/>
        <w:spacing w:after="0" w:line="240" w:lineRule="auto"/>
        <w:rPr>
          <w:b w:val="0"/>
          <w:bCs/>
        </w:rPr>
      </w:pPr>
    </w:p>
    <w:p w14:paraId="34BEF120" w14:textId="77777777" w:rsidR="00CB099E" w:rsidRPr="0051652C" w:rsidRDefault="00CB099E" w:rsidP="00CB099E">
      <w:pPr>
        <w:pStyle w:val="enfasisNegrita"/>
        <w:spacing w:after="0" w:line="240" w:lineRule="auto"/>
        <w:ind w:left="851"/>
        <w:rPr>
          <w:b w:val="0"/>
          <w:bCs/>
          <w:i/>
          <w:iCs/>
        </w:rPr>
      </w:pPr>
      <w:r w:rsidRPr="0051652C">
        <w:rPr>
          <w:b w:val="0"/>
          <w:bCs/>
          <w:i/>
          <w:iCs/>
        </w:rPr>
        <w:t>El sistema realizará validaciones entre el modelo 1 y el modelo 2 de las siguientes variables:</w:t>
      </w:r>
    </w:p>
    <w:p w14:paraId="1C352B59" w14:textId="77777777" w:rsidR="00CB099E" w:rsidRPr="00DA0A18" w:rsidRDefault="00CB099E" w:rsidP="00CB099E">
      <w:pPr>
        <w:pStyle w:val="enfasisNegrita"/>
        <w:spacing w:after="0" w:line="240" w:lineRule="auto"/>
        <w:rPr>
          <w:b w:val="0"/>
          <w:bCs/>
        </w:rPr>
      </w:pPr>
    </w:p>
    <w:tbl>
      <w:tblPr>
        <w:tblW w:w="8471"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1"/>
        <w:gridCol w:w="5670"/>
      </w:tblGrid>
      <w:tr w:rsidR="00CB099E" w:rsidRPr="0051652C" w14:paraId="65676CA9" w14:textId="77777777" w:rsidTr="00456BED">
        <w:trPr>
          <w:trHeight w:val="300"/>
        </w:trPr>
        <w:tc>
          <w:tcPr>
            <w:tcW w:w="2801" w:type="dxa"/>
            <w:shd w:val="clear" w:color="auto" w:fill="4F81BD" w:themeFill="accent1"/>
            <w:vAlign w:val="center"/>
            <w:hideMark/>
          </w:tcPr>
          <w:p w14:paraId="3ECCBD30" w14:textId="77777777" w:rsidR="00CB099E" w:rsidRPr="009021BE" w:rsidRDefault="00CB099E" w:rsidP="00456BED">
            <w:pPr>
              <w:ind w:left="851"/>
              <w:jc w:val="both"/>
              <w:rPr>
                <w:rFonts w:ascii="Cambria" w:hAnsi="Cambria" w:cs="Calibri"/>
                <w:b/>
                <w:bCs/>
                <w:i/>
                <w:iCs/>
                <w:lang w:val="es-CR" w:eastAsia="es-CR"/>
              </w:rPr>
            </w:pPr>
            <w:r w:rsidRPr="009021BE">
              <w:rPr>
                <w:rFonts w:ascii="Cambria" w:hAnsi="Cambria" w:cs="Calibri"/>
                <w:b/>
                <w:bCs/>
                <w:i/>
                <w:iCs/>
                <w:lang w:val="es-CR" w:eastAsia="es-CR"/>
              </w:rPr>
              <w:t>CÓDIGO CUENTA</w:t>
            </w:r>
          </w:p>
        </w:tc>
        <w:tc>
          <w:tcPr>
            <w:tcW w:w="5670" w:type="dxa"/>
            <w:shd w:val="clear" w:color="auto" w:fill="4F81BD" w:themeFill="accent1"/>
            <w:vAlign w:val="center"/>
            <w:hideMark/>
          </w:tcPr>
          <w:p w14:paraId="4F82BBB2" w14:textId="77777777" w:rsidR="00CB099E" w:rsidRPr="009021BE" w:rsidRDefault="00CB099E" w:rsidP="00456BED">
            <w:pPr>
              <w:ind w:left="851"/>
              <w:jc w:val="both"/>
              <w:rPr>
                <w:rFonts w:ascii="Cambria" w:hAnsi="Cambria" w:cs="Calibri"/>
                <w:b/>
                <w:bCs/>
                <w:i/>
                <w:iCs/>
                <w:lang w:val="es-CR" w:eastAsia="es-CR"/>
              </w:rPr>
            </w:pPr>
            <w:r w:rsidRPr="009021BE">
              <w:rPr>
                <w:rFonts w:ascii="Cambria" w:hAnsi="Cambria" w:cs="Calibri"/>
                <w:b/>
                <w:bCs/>
                <w:i/>
                <w:iCs/>
                <w:lang w:val="es-CR" w:eastAsia="es-CR"/>
              </w:rPr>
              <w:t>PARTIDAS</w:t>
            </w:r>
          </w:p>
        </w:tc>
      </w:tr>
      <w:tr w:rsidR="00CB099E" w:rsidRPr="0051652C" w14:paraId="05255732" w14:textId="77777777" w:rsidTr="00456BED">
        <w:trPr>
          <w:trHeight w:val="300"/>
        </w:trPr>
        <w:tc>
          <w:tcPr>
            <w:tcW w:w="2801" w:type="dxa"/>
            <w:shd w:val="clear" w:color="auto" w:fill="auto"/>
            <w:noWrap/>
            <w:vAlign w:val="center"/>
            <w:hideMark/>
          </w:tcPr>
          <w:p w14:paraId="4BC076CC" w14:textId="77777777" w:rsidR="00CB099E" w:rsidRPr="009021BE" w:rsidRDefault="00CB099E" w:rsidP="00456BED">
            <w:pPr>
              <w:ind w:left="33"/>
              <w:jc w:val="both"/>
              <w:rPr>
                <w:rFonts w:ascii="Cambria" w:hAnsi="Cambria" w:cs="Calibri"/>
                <w:i/>
                <w:iCs/>
                <w:lang w:val="es-CR" w:eastAsia="es-CR"/>
              </w:rPr>
            </w:pPr>
            <w:r w:rsidRPr="009021BE">
              <w:rPr>
                <w:rFonts w:ascii="Cambria" w:hAnsi="Cambria" w:cs="Calibri"/>
                <w:i/>
                <w:iCs/>
                <w:lang w:val="es-CR" w:eastAsia="es-CR"/>
              </w:rPr>
              <w:t>30000000000000</w:t>
            </w:r>
          </w:p>
        </w:tc>
        <w:tc>
          <w:tcPr>
            <w:tcW w:w="5670" w:type="dxa"/>
            <w:shd w:val="clear" w:color="auto" w:fill="auto"/>
            <w:vAlign w:val="center"/>
            <w:hideMark/>
          </w:tcPr>
          <w:p w14:paraId="319A3D10" w14:textId="77777777" w:rsidR="00CB099E" w:rsidRPr="009021BE" w:rsidRDefault="00CB099E" w:rsidP="00456BED">
            <w:pPr>
              <w:ind w:left="125"/>
              <w:jc w:val="both"/>
              <w:rPr>
                <w:rFonts w:ascii="Cambria" w:hAnsi="Cambria" w:cs="Calibri"/>
                <w:i/>
                <w:iCs/>
                <w:lang w:val="es-CR" w:eastAsia="es-CR"/>
              </w:rPr>
            </w:pPr>
            <w:r w:rsidRPr="009021BE">
              <w:rPr>
                <w:rFonts w:ascii="Cambria" w:hAnsi="Cambria" w:cs="Calibri"/>
                <w:i/>
                <w:iCs/>
                <w:lang w:val="es-CR" w:eastAsia="es-CR"/>
              </w:rPr>
              <w:t>Total patrimonio</w:t>
            </w:r>
          </w:p>
        </w:tc>
      </w:tr>
      <w:tr w:rsidR="00CB099E" w:rsidRPr="0051652C" w14:paraId="3EDABF9E" w14:textId="77777777" w:rsidTr="00456BED">
        <w:trPr>
          <w:trHeight w:val="300"/>
        </w:trPr>
        <w:tc>
          <w:tcPr>
            <w:tcW w:w="2801" w:type="dxa"/>
            <w:shd w:val="clear" w:color="auto" w:fill="auto"/>
            <w:noWrap/>
            <w:vAlign w:val="center"/>
            <w:hideMark/>
          </w:tcPr>
          <w:p w14:paraId="048EDE7A" w14:textId="77777777" w:rsidR="00CB099E" w:rsidRPr="009021BE" w:rsidRDefault="00CB099E" w:rsidP="00456BED">
            <w:pPr>
              <w:ind w:left="33"/>
              <w:jc w:val="both"/>
              <w:rPr>
                <w:rFonts w:ascii="Cambria" w:hAnsi="Cambria" w:cs="Calibri"/>
                <w:i/>
                <w:iCs/>
                <w:lang w:val="es-CR" w:eastAsia="es-CR"/>
              </w:rPr>
            </w:pPr>
            <w:r w:rsidRPr="009021BE">
              <w:rPr>
                <w:rFonts w:ascii="Cambria" w:hAnsi="Cambria" w:cs="Calibri"/>
                <w:i/>
                <w:iCs/>
                <w:lang w:val="es-CR" w:eastAsia="es-CR"/>
              </w:rPr>
              <w:t>30100100000000</w:t>
            </w:r>
          </w:p>
        </w:tc>
        <w:tc>
          <w:tcPr>
            <w:tcW w:w="5670" w:type="dxa"/>
            <w:shd w:val="clear" w:color="auto" w:fill="auto"/>
            <w:vAlign w:val="center"/>
            <w:hideMark/>
          </w:tcPr>
          <w:p w14:paraId="77F9A278" w14:textId="77777777" w:rsidR="00CB099E" w:rsidRPr="009021BE" w:rsidRDefault="00CB099E" w:rsidP="00456BED">
            <w:pPr>
              <w:ind w:left="125"/>
              <w:jc w:val="both"/>
              <w:rPr>
                <w:rFonts w:ascii="Cambria" w:hAnsi="Cambria" w:cs="Calibri"/>
                <w:i/>
                <w:iCs/>
                <w:lang w:val="es-CR" w:eastAsia="es-CR"/>
              </w:rPr>
            </w:pPr>
            <w:r w:rsidRPr="009021BE">
              <w:rPr>
                <w:rFonts w:ascii="Cambria" w:hAnsi="Cambria" w:cs="Calibri"/>
                <w:i/>
                <w:iCs/>
                <w:lang w:val="es-CR" w:eastAsia="es-CR"/>
              </w:rPr>
              <w:t xml:space="preserve">Capital Social </w:t>
            </w:r>
          </w:p>
        </w:tc>
      </w:tr>
      <w:tr w:rsidR="00CB099E" w:rsidRPr="0051652C" w14:paraId="6CA87674" w14:textId="77777777" w:rsidTr="00456BED">
        <w:trPr>
          <w:trHeight w:val="300"/>
        </w:trPr>
        <w:tc>
          <w:tcPr>
            <w:tcW w:w="2801" w:type="dxa"/>
            <w:shd w:val="clear" w:color="auto" w:fill="auto"/>
            <w:noWrap/>
            <w:vAlign w:val="center"/>
            <w:hideMark/>
          </w:tcPr>
          <w:p w14:paraId="68F5EB22" w14:textId="77777777" w:rsidR="00CB099E" w:rsidRPr="009021BE" w:rsidRDefault="00CB099E" w:rsidP="00456BED">
            <w:pPr>
              <w:ind w:left="33"/>
              <w:jc w:val="both"/>
              <w:rPr>
                <w:rFonts w:ascii="Cambria" w:hAnsi="Cambria" w:cs="Calibri"/>
                <w:i/>
                <w:iCs/>
                <w:lang w:val="es-CR" w:eastAsia="es-CR"/>
              </w:rPr>
            </w:pPr>
            <w:r w:rsidRPr="009021BE">
              <w:rPr>
                <w:rFonts w:ascii="Cambria" w:hAnsi="Cambria" w:cs="Calibri"/>
                <w:i/>
                <w:iCs/>
                <w:lang w:val="es-CR" w:eastAsia="es-CR"/>
              </w:rPr>
              <w:t>30400100000000</w:t>
            </w:r>
          </w:p>
        </w:tc>
        <w:tc>
          <w:tcPr>
            <w:tcW w:w="5670" w:type="dxa"/>
            <w:shd w:val="clear" w:color="auto" w:fill="auto"/>
            <w:vAlign w:val="center"/>
            <w:hideMark/>
          </w:tcPr>
          <w:p w14:paraId="3D4A7648" w14:textId="77777777" w:rsidR="00CB099E" w:rsidRPr="009021BE" w:rsidRDefault="00CB099E" w:rsidP="00456BED">
            <w:pPr>
              <w:ind w:left="125"/>
              <w:jc w:val="both"/>
              <w:rPr>
                <w:rFonts w:ascii="Cambria" w:hAnsi="Cambria" w:cs="Calibri"/>
                <w:i/>
                <w:iCs/>
                <w:lang w:val="es-CR" w:eastAsia="es-CR"/>
              </w:rPr>
            </w:pPr>
            <w:r w:rsidRPr="009021BE">
              <w:rPr>
                <w:rFonts w:ascii="Cambria" w:hAnsi="Cambria" w:cs="Calibri"/>
                <w:i/>
                <w:iCs/>
                <w:lang w:val="es-CR" w:eastAsia="es-CR"/>
              </w:rPr>
              <w:t xml:space="preserve">Reserva legal </w:t>
            </w:r>
          </w:p>
        </w:tc>
      </w:tr>
      <w:tr w:rsidR="00CB099E" w:rsidRPr="0051652C" w14:paraId="384BBE5B" w14:textId="77777777" w:rsidTr="00456BED">
        <w:trPr>
          <w:trHeight w:val="300"/>
        </w:trPr>
        <w:tc>
          <w:tcPr>
            <w:tcW w:w="2801" w:type="dxa"/>
            <w:shd w:val="clear" w:color="auto" w:fill="auto"/>
            <w:noWrap/>
            <w:vAlign w:val="center"/>
            <w:hideMark/>
          </w:tcPr>
          <w:p w14:paraId="15D5393A" w14:textId="77777777" w:rsidR="00CB099E" w:rsidRPr="009021BE" w:rsidRDefault="00CB099E" w:rsidP="00456BED">
            <w:pPr>
              <w:ind w:left="33"/>
              <w:jc w:val="both"/>
              <w:rPr>
                <w:rFonts w:ascii="Cambria" w:hAnsi="Cambria" w:cs="Calibri"/>
                <w:i/>
                <w:iCs/>
                <w:lang w:val="es-CR" w:eastAsia="es-CR"/>
              </w:rPr>
            </w:pPr>
            <w:r w:rsidRPr="009021BE">
              <w:rPr>
                <w:rFonts w:ascii="Cambria" w:hAnsi="Cambria" w:cs="Calibri"/>
                <w:i/>
                <w:iCs/>
                <w:lang w:val="es-CR" w:eastAsia="es-CR"/>
              </w:rPr>
              <w:t>30200200000000</w:t>
            </w:r>
          </w:p>
        </w:tc>
        <w:tc>
          <w:tcPr>
            <w:tcW w:w="5670" w:type="dxa"/>
            <w:shd w:val="clear" w:color="auto" w:fill="auto"/>
            <w:vAlign w:val="center"/>
            <w:hideMark/>
          </w:tcPr>
          <w:p w14:paraId="30012DEE" w14:textId="77777777" w:rsidR="00CB099E" w:rsidRPr="009021BE" w:rsidRDefault="00CB099E" w:rsidP="00456BED">
            <w:pPr>
              <w:ind w:left="125"/>
              <w:jc w:val="both"/>
              <w:rPr>
                <w:rFonts w:ascii="Cambria" w:hAnsi="Cambria" w:cs="Calibri"/>
                <w:i/>
                <w:iCs/>
                <w:lang w:val="es-CR" w:eastAsia="es-CR"/>
              </w:rPr>
            </w:pPr>
            <w:r w:rsidRPr="009021BE">
              <w:rPr>
                <w:rFonts w:ascii="Cambria" w:hAnsi="Cambria" w:cs="Calibri"/>
                <w:i/>
                <w:iCs/>
                <w:lang w:val="es-CR" w:eastAsia="es-CR"/>
              </w:rPr>
              <w:t>Aportes para incremento de capital</w:t>
            </w:r>
          </w:p>
        </w:tc>
      </w:tr>
      <w:tr w:rsidR="00CB099E" w:rsidRPr="0051652C" w14:paraId="64E6525C" w14:textId="77777777" w:rsidTr="00456BED">
        <w:trPr>
          <w:trHeight w:val="300"/>
        </w:trPr>
        <w:tc>
          <w:tcPr>
            <w:tcW w:w="2801" w:type="dxa"/>
            <w:shd w:val="clear" w:color="auto" w:fill="auto"/>
            <w:noWrap/>
            <w:vAlign w:val="center"/>
            <w:hideMark/>
          </w:tcPr>
          <w:p w14:paraId="4CD27A0E" w14:textId="77777777" w:rsidR="00CB099E" w:rsidRPr="009021BE" w:rsidRDefault="00CB099E" w:rsidP="00456BED">
            <w:pPr>
              <w:ind w:left="33"/>
              <w:jc w:val="both"/>
              <w:rPr>
                <w:rFonts w:ascii="Cambria" w:hAnsi="Cambria" w:cs="Calibri"/>
                <w:i/>
                <w:iCs/>
                <w:lang w:val="es-CR" w:eastAsia="es-CR"/>
              </w:rPr>
            </w:pPr>
            <w:r w:rsidRPr="009021BE">
              <w:rPr>
                <w:rFonts w:ascii="Cambria" w:hAnsi="Cambria" w:cs="Calibri"/>
                <w:i/>
                <w:iCs/>
                <w:lang w:val="es-CR" w:eastAsia="es-CR"/>
              </w:rPr>
              <w:t>30500000000000</w:t>
            </w:r>
          </w:p>
        </w:tc>
        <w:tc>
          <w:tcPr>
            <w:tcW w:w="5670" w:type="dxa"/>
            <w:shd w:val="clear" w:color="auto" w:fill="auto"/>
            <w:vAlign w:val="center"/>
            <w:hideMark/>
          </w:tcPr>
          <w:p w14:paraId="41A1527D" w14:textId="77777777" w:rsidR="00CB099E" w:rsidRPr="009021BE" w:rsidRDefault="00CB099E" w:rsidP="00456BED">
            <w:pPr>
              <w:ind w:left="125"/>
              <w:jc w:val="both"/>
              <w:rPr>
                <w:rFonts w:ascii="Cambria" w:hAnsi="Cambria" w:cs="Calibri"/>
                <w:i/>
                <w:iCs/>
                <w:lang w:val="es-CR" w:eastAsia="es-CR"/>
              </w:rPr>
            </w:pPr>
            <w:r w:rsidRPr="009021BE">
              <w:rPr>
                <w:rFonts w:ascii="Cambria" w:hAnsi="Cambria" w:cs="Calibri"/>
                <w:i/>
                <w:iCs/>
                <w:lang w:val="es-CR" w:eastAsia="es-CR"/>
              </w:rPr>
              <w:t xml:space="preserve">Utilidad periodos anteriores       </w:t>
            </w:r>
          </w:p>
        </w:tc>
      </w:tr>
      <w:tr w:rsidR="00CB099E" w:rsidRPr="0051652C" w14:paraId="1391350D" w14:textId="77777777" w:rsidTr="00456BED">
        <w:trPr>
          <w:trHeight w:val="300"/>
        </w:trPr>
        <w:tc>
          <w:tcPr>
            <w:tcW w:w="2801" w:type="dxa"/>
            <w:shd w:val="clear" w:color="auto" w:fill="auto"/>
            <w:noWrap/>
            <w:vAlign w:val="center"/>
            <w:hideMark/>
          </w:tcPr>
          <w:p w14:paraId="72F2822A" w14:textId="77777777" w:rsidR="00CB099E" w:rsidRPr="009021BE" w:rsidRDefault="00CB099E" w:rsidP="00456BED">
            <w:pPr>
              <w:ind w:left="33"/>
              <w:jc w:val="both"/>
              <w:rPr>
                <w:rFonts w:ascii="Cambria" w:hAnsi="Cambria" w:cs="Calibri"/>
                <w:i/>
                <w:iCs/>
                <w:lang w:val="es-CR" w:eastAsia="es-CR"/>
              </w:rPr>
            </w:pPr>
            <w:r w:rsidRPr="009021BE">
              <w:rPr>
                <w:rFonts w:ascii="Cambria" w:hAnsi="Cambria" w:cs="Calibri"/>
                <w:i/>
                <w:iCs/>
                <w:lang w:val="es-CR" w:eastAsia="es-CR"/>
              </w:rPr>
              <w:t>30600000000000</w:t>
            </w:r>
          </w:p>
        </w:tc>
        <w:tc>
          <w:tcPr>
            <w:tcW w:w="5670" w:type="dxa"/>
            <w:shd w:val="clear" w:color="auto" w:fill="auto"/>
            <w:vAlign w:val="center"/>
            <w:hideMark/>
          </w:tcPr>
          <w:p w14:paraId="5C7870EE" w14:textId="77777777" w:rsidR="00CB099E" w:rsidRPr="009021BE" w:rsidRDefault="00CB099E" w:rsidP="00456BED">
            <w:pPr>
              <w:ind w:left="125"/>
              <w:jc w:val="both"/>
              <w:rPr>
                <w:rFonts w:ascii="Cambria" w:hAnsi="Cambria" w:cs="Calibri"/>
                <w:i/>
                <w:iCs/>
                <w:lang w:val="es-CR" w:eastAsia="es-CR"/>
              </w:rPr>
            </w:pPr>
            <w:r w:rsidRPr="009021BE">
              <w:rPr>
                <w:rFonts w:ascii="Cambria" w:hAnsi="Cambria" w:cs="Calibri"/>
                <w:i/>
                <w:iCs/>
                <w:lang w:val="es-CR" w:eastAsia="es-CR"/>
              </w:rPr>
              <w:t xml:space="preserve">Utilidad del periodo  </w:t>
            </w:r>
          </w:p>
        </w:tc>
      </w:tr>
    </w:tbl>
    <w:p w14:paraId="44ACFE5A" w14:textId="77777777" w:rsidR="00CB099E" w:rsidRPr="00DA0A18" w:rsidRDefault="00CB099E" w:rsidP="00CB099E">
      <w:pPr>
        <w:pStyle w:val="enfasisNegrita"/>
        <w:spacing w:after="0" w:line="240" w:lineRule="auto"/>
        <w:rPr>
          <w:b w:val="0"/>
          <w:bCs/>
        </w:rPr>
      </w:pPr>
    </w:p>
    <w:p w14:paraId="3BA6993D" w14:textId="77777777" w:rsidR="00CB099E" w:rsidRPr="0051652C" w:rsidRDefault="00CB099E" w:rsidP="00CB099E">
      <w:pPr>
        <w:pStyle w:val="enfasisNegrita"/>
        <w:spacing w:after="0" w:line="240" w:lineRule="auto"/>
        <w:ind w:left="851"/>
        <w:rPr>
          <w:b w:val="0"/>
          <w:bCs/>
          <w:i/>
          <w:iCs/>
        </w:rPr>
      </w:pPr>
      <w:r w:rsidRPr="0051652C">
        <w:rPr>
          <w:b w:val="0"/>
          <w:bCs/>
          <w:i/>
          <w:iCs/>
        </w:rPr>
        <w:t>El modelo 1 Datos Contables, información adicional y garantía mínima de funcionamiento será el modelo base para la validación.  Por lo tanto, la recepción del modelo 2 dependerá de la recepción correcta del modelo 1 (cuando esté en estado “Finalizada”) y que los datos entre ambos modelos sean consistentes.</w:t>
      </w:r>
    </w:p>
    <w:p w14:paraId="01518B23" w14:textId="77777777" w:rsidR="00CB099E" w:rsidRPr="00DA0A18" w:rsidRDefault="00CB099E" w:rsidP="00CB099E">
      <w:pPr>
        <w:pStyle w:val="enfasisNegrita"/>
        <w:spacing w:after="0" w:line="240" w:lineRule="auto"/>
        <w:rPr>
          <w:b w:val="0"/>
          <w:bCs/>
        </w:rPr>
      </w:pPr>
    </w:p>
    <w:p w14:paraId="30536641" w14:textId="77777777" w:rsidR="00CB099E" w:rsidRPr="0051652C" w:rsidRDefault="00CB099E" w:rsidP="00CB099E">
      <w:pPr>
        <w:pStyle w:val="enfasisNegrita"/>
        <w:spacing w:after="0" w:line="240" w:lineRule="auto"/>
        <w:ind w:left="851"/>
        <w:rPr>
          <w:b w:val="0"/>
          <w:bCs/>
          <w:i/>
          <w:iCs/>
        </w:rPr>
      </w:pPr>
      <w:r w:rsidRPr="0051652C">
        <w:rPr>
          <w:b w:val="0"/>
          <w:bCs/>
          <w:i/>
          <w:iCs/>
        </w:rPr>
        <w:t>La entidad puede verificar los estados y revisar el resultado de los envíos realizados a través de la opción GES/Importación disponibles en SUGESE En Línea.</w:t>
      </w:r>
      <w:r>
        <w:rPr>
          <w:b w:val="0"/>
          <w:bCs/>
          <w:i/>
          <w:iCs/>
        </w:rPr>
        <w:t>”</w:t>
      </w:r>
    </w:p>
    <w:p w14:paraId="0A86895C" w14:textId="77777777" w:rsidR="00CB099E" w:rsidRDefault="00CB099E" w:rsidP="00CB099E">
      <w:pPr>
        <w:jc w:val="both"/>
        <w:rPr>
          <w:rFonts w:ascii="Cambria" w:hAnsi="Cambria"/>
        </w:rPr>
      </w:pPr>
    </w:p>
    <w:p w14:paraId="665040CF" w14:textId="77777777" w:rsidR="00CB099E" w:rsidRPr="007E0236" w:rsidRDefault="00CB099E" w:rsidP="00CB099E">
      <w:pPr>
        <w:pStyle w:val="Prrafodelista"/>
        <w:numPr>
          <w:ilvl w:val="0"/>
          <w:numId w:val="2"/>
        </w:numPr>
        <w:ind w:left="426"/>
        <w:jc w:val="both"/>
        <w:rPr>
          <w:rFonts w:ascii="Cambria" w:hAnsi="Cambria"/>
        </w:rPr>
      </w:pPr>
      <w:r w:rsidRPr="007E0236">
        <w:rPr>
          <w:rFonts w:ascii="Cambria" w:hAnsi="Cambria" w:cstheme="minorHAnsi"/>
          <w:bCs/>
          <w:lang w:val="es-CR"/>
        </w:rPr>
        <w:t xml:space="preserve">Modificar el Acuerdo de Superintendente SGS-A-0057-2017, </w:t>
      </w:r>
      <w:r w:rsidRPr="007E0236">
        <w:rPr>
          <w:rFonts w:ascii="Cambria" w:hAnsi="Cambria" w:cstheme="minorHAnsi"/>
          <w:bCs/>
          <w:i/>
          <w:iCs/>
          <w:lang w:val="es-CR"/>
        </w:rPr>
        <w:t>Lineamientos Generales para el Uso del Servicio Ejecución de Estudios y Seguimiento (EES)</w:t>
      </w:r>
      <w:r w:rsidRPr="007E0236">
        <w:rPr>
          <w:rFonts w:ascii="Cambria" w:hAnsi="Cambria" w:cstheme="minorHAnsi"/>
          <w:bCs/>
          <w:lang w:val="es-CR"/>
        </w:rPr>
        <w:t>, según se indica a continuación:</w:t>
      </w:r>
    </w:p>
    <w:p w14:paraId="2FD3381A" w14:textId="77777777" w:rsidR="00CB099E" w:rsidRDefault="00CB099E" w:rsidP="00CB099E">
      <w:pPr>
        <w:jc w:val="both"/>
        <w:rPr>
          <w:rFonts w:ascii="Cambria" w:hAnsi="Cambria"/>
        </w:rPr>
      </w:pPr>
    </w:p>
    <w:p w14:paraId="551C1902" w14:textId="77777777" w:rsidR="00CB099E" w:rsidRPr="007E0236" w:rsidRDefault="00CB099E" w:rsidP="00CB099E">
      <w:pPr>
        <w:pStyle w:val="Prrafodelista"/>
        <w:numPr>
          <w:ilvl w:val="0"/>
          <w:numId w:val="4"/>
        </w:numPr>
        <w:ind w:left="851"/>
        <w:jc w:val="both"/>
        <w:rPr>
          <w:rFonts w:ascii="Cambria" w:hAnsi="Cambria"/>
          <w:color w:val="000000"/>
        </w:rPr>
      </w:pPr>
      <w:r w:rsidRPr="007E0236">
        <w:rPr>
          <w:rFonts w:ascii="Cambria" w:hAnsi="Cambria"/>
          <w:color w:val="000000"/>
        </w:rPr>
        <w:t>Incorporar el siguiente texto como último párrafo del artículo 11:</w:t>
      </w:r>
    </w:p>
    <w:p w14:paraId="31F83A38" w14:textId="77777777" w:rsidR="00CB099E" w:rsidRPr="00DA0A18" w:rsidRDefault="00CB099E" w:rsidP="00CB099E">
      <w:pPr>
        <w:jc w:val="both"/>
        <w:rPr>
          <w:rFonts w:ascii="Cambria" w:hAnsi="Cambria"/>
          <w:color w:val="000000"/>
        </w:rPr>
      </w:pPr>
    </w:p>
    <w:p w14:paraId="1ADE3DAE" w14:textId="77777777" w:rsidR="00CB099E" w:rsidRPr="007E0236" w:rsidRDefault="00CB099E" w:rsidP="00CB099E">
      <w:pPr>
        <w:pStyle w:val="Prrafodelista"/>
        <w:ind w:left="851"/>
        <w:jc w:val="both"/>
        <w:rPr>
          <w:rFonts w:ascii="Cambria" w:hAnsi="Cambria"/>
        </w:rPr>
      </w:pPr>
      <w:r w:rsidRPr="007E0236">
        <w:rPr>
          <w:rFonts w:ascii="Cambria" w:hAnsi="Cambria"/>
          <w:color w:val="000000"/>
        </w:rPr>
        <w:t>“</w:t>
      </w:r>
      <w:r w:rsidRPr="007E0236">
        <w:rPr>
          <w:rFonts w:ascii="Cambria" w:hAnsi="Cambria"/>
          <w:i/>
          <w:iCs/>
          <w:color w:val="000000"/>
        </w:rPr>
        <w:t>El plazo máximo definido en el primer párrafo no aplicará para los requerimientos relacionados con la certificación de ingresos brutos y los estados financieros auditados, cuando estos surjan del proceso de cálculo de la contribución final, en el presupuesto del año anterior de la Superintendencia, por parte de los sujetos fiscalizados. En estos casos, la Superintendencia tendrá hasta 30 días hábiles después del último día de febrero del año en curso para pronunciarse, en concordancia con lo establecido en el decreto ejecutivo que rige la materia.</w:t>
      </w:r>
      <w:r w:rsidRPr="007E0236">
        <w:rPr>
          <w:rFonts w:ascii="Cambria" w:hAnsi="Cambria"/>
          <w:color w:val="000000"/>
        </w:rPr>
        <w:t>”</w:t>
      </w:r>
    </w:p>
    <w:p w14:paraId="5AF0ECB0" w14:textId="77777777" w:rsidR="00CB099E" w:rsidRDefault="00CB099E" w:rsidP="00CB099E">
      <w:pPr>
        <w:jc w:val="both"/>
        <w:rPr>
          <w:rFonts w:ascii="Cambria" w:hAnsi="Cambria"/>
        </w:rPr>
      </w:pPr>
    </w:p>
    <w:p w14:paraId="67B509C8" w14:textId="77777777" w:rsidR="00CB099E" w:rsidRPr="007E0236" w:rsidRDefault="00CB099E" w:rsidP="00CB099E">
      <w:pPr>
        <w:pStyle w:val="Prrafodelista"/>
        <w:numPr>
          <w:ilvl w:val="0"/>
          <w:numId w:val="2"/>
        </w:numPr>
        <w:ind w:left="426"/>
        <w:jc w:val="both"/>
        <w:rPr>
          <w:rFonts w:ascii="Cambria" w:hAnsi="Cambria"/>
        </w:rPr>
      </w:pPr>
      <w:r w:rsidRPr="007E0236">
        <w:rPr>
          <w:rFonts w:ascii="Cambria" w:hAnsi="Cambria"/>
          <w:color w:val="000000"/>
        </w:rPr>
        <w:t>Actualizar las versiones publicadas de los Acuerdos: SGS-DES-A-021-2013 (tanto la versión vigente como la que entrará en vigor con la aplicación de NIIF-17) y SGS-A-0057-2017, para incluir las modificaciones señaladas en las disposiciones anteriores.</w:t>
      </w:r>
    </w:p>
    <w:p w14:paraId="27452270" w14:textId="77777777" w:rsidR="00CB099E" w:rsidRDefault="00CB099E" w:rsidP="00CB099E">
      <w:pPr>
        <w:jc w:val="both"/>
        <w:rPr>
          <w:rFonts w:ascii="Cambria" w:hAnsi="Cambria"/>
        </w:rPr>
      </w:pPr>
    </w:p>
    <w:p w14:paraId="2246E1EE" w14:textId="77777777" w:rsidR="00CB099E" w:rsidRPr="006448EC" w:rsidRDefault="00CB099E" w:rsidP="00CB099E">
      <w:pPr>
        <w:jc w:val="both"/>
        <w:rPr>
          <w:rFonts w:ascii="Cambria" w:hAnsi="Cambria"/>
          <w:b/>
          <w:bCs/>
        </w:rPr>
      </w:pPr>
      <w:r w:rsidRPr="009021BE">
        <w:rPr>
          <w:rFonts w:ascii="Cambria" w:hAnsi="Cambria"/>
          <w:b/>
          <w:bCs/>
        </w:rPr>
        <w:t>Rige a partir del 01 de enero de 2023.</w:t>
      </w:r>
    </w:p>
    <w:p w14:paraId="02FF76B4" w14:textId="77777777" w:rsidR="00761D54" w:rsidRPr="006A3734" w:rsidRDefault="005876B5" w:rsidP="007F09F5">
      <w:pPr>
        <w:jc w:val="both"/>
        <w:rPr>
          <w:rFonts w:ascii="Cambria" w:hAnsi="Cambria"/>
        </w:rPr>
      </w:pPr>
      <w:r>
        <w:rPr>
          <w:noProof/>
          <w:lang w:val="es-CR" w:eastAsia="es-CR"/>
        </w:rPr>
        <w:drawing>
          <wp:inline distT="0" distB="0" distL="0" distR="0" wp14:anchorId="1D79833A" wp14:editId="59AC0583">
            <wp:extent cx="2499360" cy="524291"/>
            <wp:effectExtent l="0" t="0" r="0" b="9525"/>
            <wp:docPr id="1" name="0 Imagen"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0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360" cy="524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sectPr w:rsidR="00761D54" w:rsidRPr="006A3734" w:rsidSect="009618C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AE74" w14:textId="77777777" w:rsidR="001A35D6" w:rsidRDefault="001A35D6" w:rsidP="005A1442">
      <w:r>
        <w:separator/>
      </w:r>
    </w:p>
  </w:endnote>
  <w:endnote w:type="continuationSeparator" w:id="0">
    <w:p w14:paraId="12B34A16" w14:textId="77777777" w:rsidR="001A35D6" w:rsidRDefault="001A35D6" w:rsidP="005A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49B6" w14:textId="77777777" w:rsidR="00CB7A44" w:rsidRDefault="00CB7A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A1E8" w14:textId="6579620A" w:rsidR="00843EE4" w:rsidRDefault="001A35D6" w:rsidP="005A1442">
    <w:pPr>
      <w:pStyle w:val="Piedepgina"/>
      <w:pBdr>
        <w:top w:val="single" w:sz="4" w:space="1" w:color="auto"/>
      </w:pBdr>
      <w:rPr>
        <w:sz w:val="16"/>
        <w:szCs w:val="16"/>
      </w:rPr>
    </w:pPr>
    <w:r>
      <w:rPr>
        <w:noProof/>
        <w:sz w:val="16"/>
        <w:szCs w:val="16"/>
      </w:rPr>
      <mc:AlternateContent>
        <mc:Choice Requires="wps">
          <w:drawing>
            <wp:anchor distT="0" distB="0" distL="114300" distR="114300" simplePos="0" relativeHeight="251659264" behindDoc="0" locked="0" layoutInCell="0" allowOverlap="1" wp14:anchorId="7CB30C58" wp14:editId="012DE59D">
              <wp:simplePos x="0" y="0"/>
              <wp:positionH relativeFrom="page">
                <wp:posOffset>0</wp:posOffset>
              </wp:positionH>
              <wp:positionV relativeFrom="page">
                <wp:posOffset>9594215</wp:posOffset>
              </wp:positionV>
              <wp:extent cx="7772400" cy="273050"/>
              <wp:effectExtent l="0" t="0" r="0" b="12700"/>
              <wp:wrapNone/>
              <wp:docPr id="2" name="MSIPCM12d74be089d5eabf2f10a56b"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29C5A4" w14:textId="6DC442CA" w:rsidR="001A35D6" w:rsidRPr="001A35D6" w:rsidRDefault="001A35D6" w:rsidP="001A35D6">
                          <w:pPr>
                            <w:jc w:val="center"/>
                            <w:rPr>
                              <w:rFonts w:ascii="Calibri" w:hAnsi="Calibri" w:cs="Calibri"/>
                              <w:color w:val="000000"/>
                              <w:sz w:val="20"/>
                            </w:rPr>
                          </w:pPr>
                          <w:r w:rsidRPr="001A35D6">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7CB30C58">
              <v:stroke joinstyle="miter"/>
              <v:path gradientshapeok="t" o:connecttype="rect"/>
            </v:shapetype>
            <v:shape id="MSIPCM12d74be089d5eabf2f10a56b"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fill o:detectmouseclick="t"/>
              <v:textbox inset=",0,,0">
                <w:txbxContent>
                  <w:p w:rsidRPr="001A35D6" w:rsidR="001A35D6" w:rsidP="001A35D6" w:rsidRDefault="001A35D6" w14:paraId="6729C5A4" w14:textId="6DC442CA">
                    <w:pPr>
                      <w:jc w:val="center"/>
                      <w:rPr>
                        <w:rFonts w:ascii="Calibri" w:hAnsi="Calibri" w:cs="Calibri"/>
                        <w:color w:val="000000"/>
                        <w:sz w:val="20"/>
                      </w:rPr>
                    </w:pPr>
                    <w:r w:rsidRPr="001A35D6">
                      <w:rPr>
                        <w:rFonts w:ascii="Calibri" w:hAnsi="Calibri" w:cs="Calibri"/>
                        <w:color w:val="000000"/>
                        <w:sz w:val="20"/>
                      </w:rPr>
                      <w:t>Uso Interno</w:t>
                    </w:r>
                  </w:p>
                </w:txbxContent>
              </v:textbox>
              <w10:wrap anchorx="page" anchory="page"/>
            </v:shape>
          </w:pict>
        </mc:Fallback>
      </mc:AlternateContent>
    </w:r>
  </w:p>
  <w:p w14:paraId="2A4EE77F" w14:textId="77777777" w:rsidR="00FD4273" w:rsidRPr="00FD4273" w:rsidRDefault="00FD4273" w:rsidP="00FD4273">
    <w:pPr>
      <w:pStyle w:val="Piedepgina"/>
      <w:tabs>
        <w:tab w:val="clear" w:pos="8838"/>
      </w:tabs>
      <w:jc w:val="right"/>
      <w:rPr>
        <w:rFonts w:ascii="Cambria" w:hAnsi="Cambria"/>
        <w:sz w:val="18"/>
        <w:szCs w:val="18"/>
      </w:rPr>
    </w:pPr>
    <w:r w:rsidRPr="00FD4273">
      <w:rPr>
        <w:rFonts w:ascii="Cambria" w:hAnsi="Cambria"/>
        <w:sz w:val="18"/>
        <w:szCs w:val="18"/>
      </w:rPr>
      <w:t>Teléfonos: 2243-5108, 2243-5103  •  Fax: 2243-5151</w:t>
    </w:r>
  </w:p>
  <w:p w14:paraId="3013BF0A" w14:textId="77777777" w:rsidR="00FD4273" w:rsidRPr="00FD4273" w:rsidRDefault="00FD4273" w:rsidP="00FD4273">
    <w:pPr>
      <w:pStyle w:val="Piedepgina"/>
      <w:jc w:val="right"/>
      <w:rPr>
        <w:rFonts w:ascii="Cambria" w:hAnsi="Cambria"/>
        <w:sz w:val="18"/>
        <w:szCs w:val="18"/>
      </w:rPr>
    </w:pPr>
    <w:r w:rsidRPr="00FD4273">
      <w:rPr>
        <w:rFonts w:ascii="Cambria" w:hAnsi="Cambria"/>
        <w:sz w:val="18"/>
        <w:szCs w:val="18"/>
      </w:rPr>
      <w:t>Dirección: Edificio ODMs, Barrio T</w:t>
    </w:r>
    <w:r w:rsidR="007332B8">
      <w:rPr>
        <w:rFonts w:ascii="Cambria" w:hAnsi="Cambria"/>
        <w:sz w:val="18"/>
        <w:szCs w:val="18"/>
      </w:rPr>
      <w:t>o</w:t>
    </w:r>
    <w:r w:rsidRPr="00FD4273">
      <w:rPr>
        <w:rFonts w:ascii="Cambria" w:hAnsi="Cambria"/>
        <w:sz w:val="18"/>
        <w:szCs w:val="18"/>
      </w:rPr>
      <w:t>urnón, Piso 4</w:t>
    </w:r>
  </w:p>
  <w:p w14:paraId="0094BC8D" w14:textId="77777777" w:rsidR="00843EE4" w:rsidRPr="00FD4273" w:rsidRDefault="00CB7A44" w:rsidP="00FD4273">
    <w:pPr>
      <w:pStyle w:val="Piedepgina"/>
      <w:tabs>
        <w:tab w:val="clear" w:pos="8838"/>
      </w:tabs>
      <w:jc w:val="right"/>
      <w:rPr>
        <w:rFonts w:ascii="Cambria" w:hAnsi="Cambria"/>
        <w:sz w:val="18"/>
        <w:szCs w:val="18"/>
      </w:rPr>
    </w:pPr>
    <w:hyperlink r:id="rId1" w:history="1">
      <w:r w:rsidR="00FD4273" w:rsidRPr="00FD4273">
        <w:rPr>
          <w:rStyle w:val="Hipervnculo"/>
          <w:rFonts w:ascii="Cambria" w:hAnsi="Cambria"/>
          <w:sz w:val="18"/>
          <w:szCs w:val="18"/>
        </w:rPr>
        <w:t>sugese@sugese.fi.cr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F035" w14:textId="038640AE" w:rsidR="00843EE4" w:rsidRDefault="001A35D6" w:rsidP="00A83BA5">
    <w:pPr>
      <w:pStyle w:val="Piedepgina"/>
      <w:pBdr>
        <w:top w:val="single" w:sz="4" w:space="1" w:color="auto"/>
      </w:pBdr>
      <w:rPr>
        <w:sz w:val="16"/>
        <w:szCs w:val="16"/>
      </w:rPr>
    </w:pPr>
    <w:r>
      <w:rPr>
        <w:noProof/>
        <w:sz w:val="16"/>
        <w:szCs w:val="16"/>
      </w:rPr>
      <mc:AlternateContent>
        <mc:Choice Requires="wps">
          <w:drawing>
            <wp:anchor distT="0" distB="0" distL="114300" distR="114300" simplePos="0" relativeHeight="251660288" behindDoc="0" locked="0" layoutInCell="0" allowOverlap="1" wp14:anchorId="506BFA53" wp14:editId="026C3890">
              <wp:simplePos x="0" y="0"/>
              <wp:positionH relativeFrom="page">
                <wp:posOffset>0</wp:posOffset>
              </wp:positionH>
              <wp:positionV relativeFrom="page">
                <wp:posOffset>9594215</wp:posOffset>
              </wp:positionV>
              <wp:extent cx="7772400" cy="273050"/>
              <wp:effectExtent l="0" t="0" r="0" b="12700"/>
              <wp:wrapNone/>
              <wp:docPr id="4" name="MSIPCMbb2e43db944f2cea1f69f109"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632B94" w14:textId="787F40D2" w:rsidR="001A35D6" w:rsidRPr="001A35D6" w:rsidRDefault="001A35D6" w:rsidP="001A35D6">
                          <w:pPr>
                            <w:jc w:val="center"/>
                            <w:rPr>
                              <w:rFonts w:ascii="Calibri" w:hAnsi="Calibri" w:cs="Calibri"/>
                              <w:color w:val="000000"/>
                              <w:sz w:val="20"/>
                            </w:rPr>
                          </w:pPr>
                          <w:r w:rsidRPr="001A35D6">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506BFA53">
              <v:stroke joinstyle="miter"/>
              <v:path gradientshapeok="t" o:connecttype="rect"/>
            </v:shapetype>
            <v:shape id="MSIPCMbb2e43db944f2cea1f69f109"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v:fill o:detectmouseclick="t"/>
              <v:textbox inset=",0,,0">
                <w:txbxContent>
                  <w:p w:rsidRPr="001A35D6" w:rsidR="001A35D6" w:rsidP="001A35D6" w:rsidRDefault="001A35D6" w14:paraId="70632B94" w14:textId="787F40D2">
                    <w:pPr>
                      <w:jc w:val="center"/>
                      <w:rPr>
                        <w:rFonts w:ascii="Calibri" w:hAnsi="Calibri" w:cs="Calibri"/>
                        <w:color w:val="000000"/>
                        <w:sz w:val="20"/>
                      </w:rPr>
                    </w:pPr>
                    <w:r w:rsidRPr="001A35D6">
                      <w:rPr>
                        <w:rFonts w:ascii="Calibri" w:hAnsi="Calibri" w:cs="Calibri"/>
                        <w:color w:val="000000"/>
                        <w:sz w:val="20"/>
                      </w:rPr>
                      <w:t>Uso Interno</w:t>
                    </w:r>
                  </w:p>
                </w:txbxContent>
              </v:textbox>
              <w10:wrap anchorx="page" anchory="page"/>
            </v:shape>
          </w:pict>
        </mc:Fallback>
      </mc:AlternateContent>
    </w:r>
  </w:p>
  <w:p w14:paraId="617BE789" w14:textId="77777777" w:rsidR="00843EE4" w:rsidRPr="00FD4273" w:rsidRDefault="00843EE4" w:rsidP="00A83BA5">
    <w:pPr>
      <w:pStyle w:val="Piedepgina"/>
      <w:tabs>
        <w:tab w:val="clear" w:pos="8838"/>
      </w:tabs>
      <w:jc w:val="right"/>
      <w:rPr>
        <w:rFonts w:ascii="Cambria" w:hAnsi="Cambria"/>
        <w:sz w:val="18"/>
        <w:szCs w:val="18"/>
      </w:rPr>
    </w:pPr>
    <w:r w:rsidRPr="00FD4273">
      <w:rPr>
        <w:rFonts w:ascii="Cambria" w:hAnsi="Cambria"/>
        <w:sz w:val="18"/>
        <w:szCs w:val="18"/>
      </w:rPr>
      <w:t>Teléfonos: 2243-5108, 2243-5103  •  Fax: 2243-5151</w:t>
    </w:r>
  </w:p>
  <w:p w14:paraId="696E5B24" w14:textId="77777777" w:rsidR="00FD4273" w:rsidRPr="00FD4273" w:rsidRDefault="00FD4273" w:rsidP="00FD4273">
    <w:pPr>
      <w:pStyle w:val="Piedepgina"/>
      <w:jc w:val="right"/>
      <w:rPr>
        <w:rFonts w:ascii="Cambria" w:hAnsi="Cambria"/>
        <w:sz w:val="18"/>
        <w:szCs w:val="18"/>
      </w:rPr>
    </w:pPr>
    <w:r w:rsidRPr="00FD4273">
      <w:rPr>
        <w:rFonts w:ascii="Cambria" w:hAnsi="Cambria"/>
        <w:sz w:val="18"/>
        <w:szCs w:val="18"/>
      </w:rPr>
      <w:t>Dirección: Edificio ODMs, Barrio T</w:t>
    </w:r>
    <w:r w:rsidR="007332B8">
      <w:rPr>
        <w:rFonts w:ascii="Cambria" w:hAnsi="Cambria"/>
        <w:sz w:val="18"/>
        <w:szCs w:val="18"/>
      </w:rPr>
      <w:t>o</w:t>
    </w:r>
    <w:r w:rsidRPr="00FD4273">
      <w:rPr>
        <w:rFonts w:ascii="Cambria" w:hAnsi="Cambria"/>
        <w:sz w:val="18"/>
        <w:szCs w:val="18"/>
      </w:rPr>
      <w:t>urnón, Piso 4</w:t>
    </w:r>
  </w:p>
  <w:p w14:paraId="49AB7541" w14:textId="77777777" w:rsidR="00843EE4" w:rsidRPr="00FD4273" w:rsidRDefault="00CB7A44" w:rsidP="00A83BA5">
    <w:pPr>
      <w:pStyle w:val="Piedepgina"/>
      <w:tabs>
        <w:tab w:val="clear" w:pos="8838"/>
      </w:tabs>
      <w:jc w:val="right"/>
      <w:rPr>
        <w:rFonts w:ascii="Cambria" w:hAnsi="Cambria"/>
        <w:sz w:val="18"/>
        <w:szCs w:val="18"/>
      </w:rPr>
    </w:pPr>
    <w:hyperlink r:id="rId1" w:history="1">
      <w:r w:rsidR="00843EE4" w:rsidRPr="00FD4273">
        <w:rPr>
          <w:rStyle w:val="Hipervnculo"/>
          <w:rFonts w:ascii="Cambria" w:hAnsi="Cambria"/>
          <w:sz w:val="18"/>
          <w:szCs w:val="18"/>
        </w:rPr>
        <w:t>sugese@sugese.fi.cr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6156" w14:textId="77777777" w:rsidR="001A35D6" w:rsidRDefault="001A35D6" w:rsidP="005A1442">
      <w:r>
        <w:separator/>
      </w:r>
    </w:p>
  </w:footnote>
  <w:footnote w:type="continuationSeparator" w:id="0">
    <w:p w14:paraId="4C892CBC" w14:textId="77777777" w:rsidR="001A35D6" w:rsidRDefault="001A35D6" w:rsidP="005A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1D8E" w14:textId="77777777" w:rsidR="00CB7A44" w:rsidRDefault="00CB7A4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25AB" w14:textId="77777777" w:rsidR="00373AC0" w:rsidRPr="009618C8" w:rsidRDefault="00373AC0" w:rsidP="00373AC0">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1B96D3A5" wp14:editId="04422548">
          <wp:extent cx="1209580" cy="971550"/>
          <wp:effectExtent l="19050" t="0" r="0" b="0"/>
          <wp:docPr id="3"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461F0110" w14:textId="77777777" w:rsidR="00373AC0" w:rsidRPr="009618C8" w:rsidRDefault="00373AC0" w:rsidP="00373AC0">
    <w:pPr>
      <w:pStyle w:val="Encabezado"/>
      <w:rPr>
        <w:rFonts w:asciiTheme="majorHAnsi" w:hAnsiTheme="majorHAnsi"/>
        <w:sz w:val="16"/>
        <w:szCs w:val="16"/>
      </w:rPr>
    </w:pPr>
  </w:p>
  <w:p w14:paraId="2E78AAE4" w14:textId="72CE9D17" w:rsidR="00761D54" w:rsidRPr="00373AC0" w:rsidRDefault="00373AC0" w:rsidP="00373AC0">
    <w:pPr>
      <w:jc w:val="both"/>
      <w:rPr>
        <w:rFonts w:asciiTheme="majorHAnsi" w:hAnsiTheme="majorHAnsi"/>
        <w:b/>
        <w:i/>
        <w:color w:val="000000"/>
      </w:rPr>
    </w:pPr>
    <w:r w:rsidRPr="00373AC0">
      <w:rPr>
        <w:rFonts w:asciiTheme="majorHAnsi" w:hAnsiTheme="majorHAnsi"/>
        <w:b/>
        <w:bCs/>
        <w:i/>
      </w:rPr>
      <w:t>SGS-A-</w:t>
    </w:r>
    <w:r w:rsidR="00CB7A44">
      <w:rPr>
        <w:rFonts w:asciiTheme="majorHAnsi" w:hAnsiTheme="majorHAnsi"/>
        <w:b/>
        <w:bCs/>
        <w:i/>
      </w:rPr>
      <w:t>0092</w:t>
    </w:r>
    <w:r w:rsidRPr="00373AC0">
      <w:rPr>
        <w:rFonts w:asciiTheme="majorHAnsi" w:hAnsiTheme="majorHAnsi"/>
        <w:b/>
        <w:bCs/>
        <w:i/>
      </w:rPr>
      <w:t>-20</w:t>
    </w:r>
    <w:r w:rsidR="00CB7A44">
      <w:rPr>
        <w:rFonts w:asciiTheme="majorHAnsi" w:hAnsiTheme="majorHAnsi"/>
        <w:b/>
        <w:bCs/>
        <w:i/>
      </w:rPr>
      <w:t>22</w:t>
    </w:r>
  </w:p>
  <w:p w14:paraId="6640ABC4" w14:textId="77777777" w:rsidR="00843EE4" w:rsidRPr="00373AC0" w:rsidRDefault="00843EE4" w:rsidP="00373AC0">
    <w:pPr>
      <w:pStyle w:val="Encabezado"/>
      <w:jc w:val="both"/>
      <w:rPr>
        <w:rFonts w:asciiTheme="majorHAnsi" w:hAnsiTheme="majorHAnsi"/>
        <w:sz w:val="24"/>
        <w:szCs w:val="24"/>
        <w:lang w:val="es-MX"/>
      </w:rPr>
    </w:pPr>
    <w:r w:rsidRPr="00373AC0">
      <w:rPr>
        <w:rFonts w:asciiTheme="majorHAnsi" w:hAnsiTheme="majorHAnsi"/>
        <w:sz w:val="24"/>
        <w:szCs w:val="24"/>
        <w:lang w:val="es-MX"/>
      </w:rPr>
      <w:t xml:space="preserve">Página </w:t>
    </w:r>
    <w:r w:rsidRPr="00373AC0">
      <w:rPr>
        <w:rFonts w:asciiTheme="majorHAnsi" w:hAnsiTheme="majorHAnsi"/>
        <w:sz w:val="24"/>
        <w:szCs w:val="24"/>
        <w:lang w:val="es-MX"/>
      </w:rPr>
      <w:fldChar w:fldCharType="begin"/>
    </w:r>
    <w:r w:rsidRPr="00373AC0">
      <w:rPr>
        <w:rFonts w:asciiTheme="majorHAnsi" w:hAnsiTheme="majorHAnsi"/>
        <w:sz w:val="24"/>
        <w:szCs w:val="24"/>
        <w:lang w:val="es-MX"/>
      </w:rPr>
      <w:instrText xml:space="preserve"> PAGE   \* MERGEFORMAT </w:instrText>
    </w:r>
    <w:r w:rsidRPr="00373AC0">
      <w:rPr>
        <w:rFonts w:asciiTheme="majorHAnsi" w:hAnsiTheme="majorHAnsi"/>
        <w:sz w:val="24"/>
        <w:szCs w:val="24"/>
        <w:lang w:val="es-MX"/>
      </w:rPr>
      <w:fldChar w:fldCharType="separate"/>
    </w:r>
    <w:r w:rsidR="00A606CB">
      <w:rPr>
        <w:rFonts w:asciiTheme="majorHAnsi" w:hAnsiTheme="majorHAnsi"/>
        <w:noProof/>
        <w:sz w:val="24"/>
        <w:szCs w:val="24"/>
        <w:lang w:val="es-MX"/>
      </w:rPr>
      <w:t>2</w:t>
    </w:r>
    <w:r w:rsidRPr="00373AC0">
      <w:rPr>
        <w:rFonts w:asciiTheme="majorHAnsi" w:hAnsiTheme="majorHAnsi"/>
        <w:sz w:val="24"/>
        <w:szCs w:val="24"/>
        <w:lang w:val="es-MX"/>
      </w:rPr>
      <w:fldChar w:fldCharType="end"/>
    </w:r>
  </w:p>
  <w:p w14:paraId="5A0A6E38" w14:textId="77777777" w:rsidR="00843EE4" w:rsidRPr="00373AC0" w:rsidRDefault="00843EE4" w:rsidP="00373AC0">
    <w:pPr>
      <w:pStyle w:val="Encabezado"/>
      <w:jc w:val="both"/>
      <w:rPr>
        <w:rFonts w:asciiTheme="majorHAnsi" w:hAnsiTheme="majorHAnsi"/>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46C6" w14:textId="77777777" w:rsidR="00843EE4" w:rsidRPr="009618C8" w:rsidRDefault="00843EE4" w:rsidP="009618C8">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789CE171" wp14:editId="3581A549">
          <wp:extent cx="1209580" cy="971550"/>
          <wp:effectExtent l="19050" t="0" r="0" b="0"/>
          <wp:docPr id="5"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135ACDA2" w14:textId="77777777" w:rsidR="00843EE4" w:rsidRPr="009618C8" w:rsidRDefault="00843EE4">
    <w:pPr>
      <w:pStyle w:val="Encabezado"/>
      <w:rPr>
        <w:rFonts w:asciiTheme="majorHAnsi" w:hAnsi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944BA"/>
    <w:multiLevelType w:val="hybridMultilevel"/>
    <w:tmpl w:val="93827634"/>
    <w:lvl w:ilvl="0" w:tplc="00306F1E">
      <w:start w:val="4"/>
      <w:numFmt w:val="upperRoman"/>
      <w:lvlText w:val="%1."/>
      <w:lvlJc w:val="left"/>
      <w:pPr>
        <w:ind w:left="1428" w:hanging="720"/>
      </w:pPr>
      <w:rPr>
        <w:rFonts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67015A3"/>
    <w:multiLevelType w:val="hybridMultilevel"/>
    <w:tmpl w:val="B858B4B0"/>
    <w:lvl w:ilvl="0" w:tplc="91726DB2">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 w15:restartNumberingAfterBreak="0">
    <w:nsid w:val="504B0257"/>
    <w:multiLevelType w:val="hybridMultilevel"/>
    <w:tmpl w:val="F150450E"/>
    <w:lvl w:ilvl="0" w:tplc="30F44A02">
      <w:start w:val="6"/>
      <w:numFmt w:val="lowerLetter"/>
      <w:lvlText w:val="%1)"/>
      <w:lvlJc w:val="left"/>
      <w:pPr>
        <w:ind w:left="1068"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68AC55F9"/>
    <w:multiLevelType w:val="hybridMultilevel"/>
    <w:tmpl w:val="86C6BAF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AE51480"/>
    <w:multiLevelType w:val="hybridMultilevel"/>
    <w:tmpl w:val="FF527DFC"/>
    <w:lvl w:ilvl="0" w:tplc="AC722EE6">
      <w:start w:val="1"/>
      <w:numFmt w:val="decimal"/>
      <w:lvlText w:val="%1."/>
      <w:lvlJc w:val="left"/>
      <w:pPr>
        <w:ind w:left="1080" w:hanging="360"/>
      </w:pPr>
      <w:rPr>
        <w:rFonts w:hint="default"/>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15:restartNumberingAfterBreak="0">
    <w:nsid w:val="6D7207DC"/>
    <w:multiLevelType w:val="hybridMultilevel"/>
    <w:tmpl w:val="BCE8BAB6"/>
    <w:lvl w:ilvl="0" w:tplc="81344D06">
      <w:start w:val="1"/>
      <w:numFmt w:val="decimal"/>
      <w:lvlText w:val="%1."/>
      <w:lvlJc w:val="left"/>
      <w:pPr>
        <w:ind w:left="720" w:hanging="360"/>
      </w:pPr>
      <w:rPr>
        <w:rFonts w:hint="default"/>
        <w:b/>
        <w:bCs/>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0151A33"/>
    <w:multiLevelType w:val="multilevel"/>
    <w:tmpl w:val="0C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num w:numId="1">
    <w:abstractNumId w:val="5"/>
  </w:num>
  <w:num w:numId="2">
    <w:abstractNumId w:val="4"/>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D6"/>
    <w:rsid w:val="00003EEF"/>
    <w:rsid w:val="000076D1"/>
    <w:rsid w:val="000105FD"/>
    <w:rsid w:val="00015CC4"/>
    <w:rsid w:val="000230EC"/>
    <w:rsid w:val="00037F14"/>
    <w:rsid w:val="00043989"/>
    <w:rsid w:val="000476C1"/>
    <w:rsid w:val="00055413"/>
    <w:rsid w:val="00067CF6"/>
    <w:rsid w:val="000752F9"/>
    <w:rsid w:val="000760ED"/>
    <w:rsid w:val="00083A78"/>
    <w:rsid w:val="0008604D"/>
    <w:rsid w:val="000A2288"/>
    <w:rsid w:val="000B2E1D"/>
    <w:rsid w:val="000B4150"/>
    <w:rsid w:val="000C7644"/>
    <w:rsid w:val="000D4883"/>
    <w:rsid w:val="000E78B1"/>
    <w:rsid w:val="000F4177"/>
    <w:rsid w:val="00104DC9"/>
    <w:rsid w:val="00107380"/>
    <w:rsid w:val="00112325"/>
    <w:rsid w:val="00133DA2"/>
    <w:rsid w:val="00135FBF"/>
    <w:rsid w:val="00140B90"/>
    <w:rsid w:val="00146B1D"/>
    <w:rsid w:val="001551CB"/>
    <w:rsid w:val="0016515C"/>
    <w:rsid w:val="00167B6E"/>
    <w:rsid w:val="0017138C"/>
    <w:rsid w:val="00180BA2"/>
    <w:rsid w:val="0018143B"/>
    <w:rsid w:val="001A29D3"/>
    <w:rsid w:val="001A35D6"/>
    <w:rsid w:val="001A6FE9"/>
    <w:rsid w:val="001B3C85"/>
    <w:rsid w:val="001B6EE9"/>
    <w:rsid w:val="001C344D"/>
    <w:rsid w:val="001D2BCA"/>
    <w:rsid w:val="001F362F"/>
    <w:rsid w:val="002048C0"/>
    <w:rsid w:val="00221996"/>
    <w:rsid w:val="00222862"/>
    <w:rsid w:val="00234ECC"/>
    <w:rsid w:val="0023647D"/>
    <w:rsid w:val="002440B8"/>
    <w:rsid w:val="00247E9E"/>
    <w:rsid w:val="00267429"/>
    <w:rsid w:val="0028286F"/>
    <w:rsid w:val="00286975"/>
    <w:rsid w:val="002878BA"/>
    <w:rsid w:val="00291CE7"/>
    <w:rsid w:val="002A04A2"/>
    <w:rsid w:val="002C3B80"/>
    <w:rsid w:val="002C3DDE"/>
    <w:rsid w:val="002C572C"/>
    <w:rsid w:val="002C76DF"/>
    <w:rsid w:val="002D7832"/>
    <w:rsid w:val="002E02EC"/>
    <w:rsid w:val="002E6AFE"/>
    <w:rsid w:val="002F22F3"/>
    <w:rsid w:val="002F2345"/>
    <w:rsid w:val="002F51B5"/>
    <w:rsid w:val="00304DCB"/>
    <w:rsid w:val="0030537C"/>
    <w:rsid w:val="00305398"/>
    <w:rsid w:val="00317C1E"/>
    <w:rsid w:val="00333BA8"/>
    <w:rsid w:val="00336659"/>
    <w:rsid w:val="00343523"/>
    <w:rsid w:val="00343D0D"/>
    <w:rsid w:val="003623F7"/>
    <w:rsid w:val="0036475D"/>
    <w:rsid w:val="00366016"/>
    <w:rsid w:val="00373AC0"/>
    <w:rsid w:val="003758F1"/>
    <w:rsid w:val="00376DE7"/>
    <w:rsid w:val="00385D10"/>
    <w:rsid w:val="00391C88"/>
    <w:rsid w:val="003947BB"/>
    <w:rsid w:val="003A39BC"/>
    <w:rsid w:val="003A53B0"/>
    <w:rsid w:val="003B043B"/>
    <w:rsid w:val="003B6304"/>
    <w:rsid w:val="003B721F"/>
    <w:rsid w:val="003B7CC2"/>
    <w:rsid w:val="003D3009"/>
    <w:rsid w:val="003E469F"/>
    <w:rsid w:val="003E62CB"/>
    <w:rsid w:val="003E721F"/>
    <w:rsid w:val="004263F9"/>
    <w:rsid w:val="004277B9"/>
    <w:rsid w:val="00432474"/>
    <w:rsid w:val="00450703"/>
    <w:rsid w:val="00454C55"/>
    <w:rsid w:val="004715C7"/>
    <w:rsid w:val="0047219D"/>
    <w:rsid w:val="004948D8"/>
    <w:rsid w:val="00495470"/>
    <w:rsid w:val="00496C81"/>
    <w:rsid w:val="004A03B7"/>
    <w:rsid w:val="004A495A"/>
    <w:rsid w:val="004B767D"/>
    <w:rsid w:val="004C3B15"/>
    <w:rsid w:val="004C4D3C"/>
    <w:rsid w:val="004D2EB0"/>
    <w:rsid w:val="004D3D77"/>
    <w:rsid w:val="004D7196"/>
    <w:rsid w:val="004E7104"/>
    <w:rsid w:val="004F5023"/>
    <w:rsid w:val="004F6969"/>
    <w:rsid w:val="0050151B"/>
    <w:rsid w:val="0050185B"/>
    <w:rsid w:val="00501E0F"/>
    <w:rsid w:val="005078E4"/>
    <w:rsid w:val="00514940"/>
    <w:rsid w:val="005241EE"/>
    <w:rsid w:val="00524C83"/>
    <w:rsid w:val="0053290C"/>
    <w:rsid w:val="00533746"/>
    <w:rsid w:val="005442FF"/>
    <w:rsid w:val="00545CD6"/>
    <w:rsid w:val="00556620"/>
    <w:rsid w:val="00556BFE"/>
    <w:rsid w:val="00560026"/>
    <w:rsid w:val="0056158A"/>
    <w:rsid w:val="0056224B"/>
    <w:rsid w:val="0056751A"/>
    <w:rsid w:val="00576230"/>
    <w:rsid w:val="005876B5"/>
    <w:rsid w:val="005A1442"/>
    <w:rsid w:val="005B70A7"/>
    <w:rsid w:val="005C5B11"/>
    <w:rsid w:val="005C69FA"/>
    <w:rsid w:val="005C7CD2"/>
    <w:rsid w:val="005D13DD"/>
    <w:rsid w:val="005E7FD4"/>
    <w:rsid w:val="005F395A"/>
    <w:rsid w:val="00602EC0"/>
    <w:rsid w:val="00604DED"/>
    <w:rsid w:val="00621BF4"/>
    <w:rsid w:val="00626ECF"/>
    <w:rsid w:val="00632C9E"/>
    <w:rsid w:val="006428F4"/>
    <w:rsid w:val="00646CD3"/>
    <w:rsid w:val="00650488"/>
    <w:rsid w:val="00650E64"/>
    <w:rsid w:val="00652E5B"/>
    <w:rsid w:val="00663DB8"/>
    <w:rsid w:val="00664692"/>
    <w:rsid w:val="0066556D"/>
    <w:rsid w:val="006655C3"/>
    <w:rsid w:val="006678C2"/>
    <w:rsid w:val="006679E1"/>
    <w:rsid w:val="00671DEB"/>
    <w:rsid w:val="00672C4A"/>
    <w:rsid w:val="00673269"/>
    <w:rsid w:val="00674F4F"/>
    <w:rsid w:val="006772DD"/>
    <w:rsid w:val="006829C1"/>
    <w:rsid w:val="0068417D"/>
    <w:rsid w:val="006848D6"/>
    <w:rsid w:val="006943A2"/>
    <w:rsid w:val="006A1A25"/>
    <w:rsid w:val="006A3734"/>
    <w:rsid w:val="006B0031"/>
    <w:rsid w:val="006B4EA1"/>
    <w:rsid w:val="006C12D6"/>
    <w:rsid w:val="006C624C"/>
    <w:rsid w:val="006C76B1"/>
    <w:rsid w:val="006D0952"/>
    <w:rsid w:val="006E01DB"/>
    <w:rsid w:val="006E1EC2"/>
    <w:rsid w:val="006F4CAF"/>
    <w:rsid w:val="006F4D20"/>
    <w:rsid w:val="006F64FC"/>
    <w:rsid w:val="00706543"/>
    <w:rsid w:val="00712FFB"/>
    <w:rsid w:val="00715BD0"/>
    <w:rsid w:val="007170ED"/>
    <w:rsid w:val="00717F1A"/>
    <w:rsid w:val="00725048"/>
    <w:rsid w:val="00725493"/>
    <w:rsid w:val="00726CEB"/>
    <w:rsid w:val="007272CC"/>
    <w:rsid w:val="007324F8"/>
    <w:rsid w:val="007327C9"/>
    <w:rsid w:val="007332B8"/>
    <w:rsid w:val="0074198B"/>
    <w:rsid w:val="007437E6"/>
    <w:rsid w:val="00744A2C"/>
    <w:rsid w:val="00746E52"/>
    <w:rsid w:val="00761D54"/>
    <w:rsid w:val="007636BD"/>
    <w:rsid w:val="00771580"/>
    <w:rsid w:val="00792726"/>
    <w:rsid w:val="007A0A2A"/>
    <w:rsid w:val="007A1E7F"/>
    <w:rsid w:val="007A22EA"/>
    <w:rsid w:val="007A2A51"/>
    <w:rsid w:val="007B04A5"/>
    <w:rsid w:val="007C19A7"/>
    <w:rsid w:val="007C2114"/>
    <w:rsid w:val="007D2DAF"/>
    <w:rsid w:val="007E41E5"/>
    <w:rsid w:val="007E46F1"/>
    <w:rsid w:val="007E5094"/>
    <w:rsid w:val="007E66C6"/>
    <w:rsid w:val="007F09F5"/>
    <w:rsid w:val="008022A8"/>
    <w:rsid w:val="0080328F"/>
    <w:rsid w:val="00821436"/>
    <w:rsid w:val="008259A0"/>
    <w:rsid w:val="008370FF"/>
    <w:rsid w:val="00843EE4"/>
    <w:rsid w:val="0085586B"/>
    <w:rsid w:val="00857125"/>
    <w:rsid w:val="00857848"/>
    <w:rsid w:val="00857AD8"/>
    <w:rsid w:val="008605C0"/>
    <w:rsid w:val="00866B92"/>
    <w:rsid w:val="008704B7"/>
    <w:rsid w:val="008747C3"/>
    <w:rsid w:val="008778EF"/>
    <w:rsid w:val="00877EB5"/>
    <w:rsid w:val="00895D99"/>
    <w:rsid w:val="008962DC"/>
    <w:rsid w:val="00896B04"/>
    <w:rsid w:val="008974D8"/>
    <w:rsid w:val="008A3070"/>
    <w:rsid w:val="008A591C"/>
    <w:rsid w:val="008D17A9"/>
    <w:rsid w:val="008D2116"/>
    <w:rsid w:val="008D2BC8"/>
    <w:rsid w:val="008F727F"/>
    <w:rsid w:val="00901240"/>
    <w:rsid w:val="00915452"/>
    <w:rsid w:val="00922C3E"/>
    <w:rsid w:val="00947CCD"/>
    <w:rsid w:val="0095414B"/>
    <w:rsid w:val="009565BF"/>
    <w:rsid w:val="009618C8"/>
    <w:rsid w:val="00963CA8"/>
    <w:rsid w:val="00964169"/>
    <w:rsid w:val="00975A49"/>
    <w:rsid w:val="00987B3B"/>
    <w:rsid w:val="009A2106"/>
    <w:rsid w:val="009A6A84"/>
    <w:rsid w:val="009B35A6"/>
    <w:rsid w:val="009D11AB"/>
    <w:rsid w:val="009D5FAF"/>
    <w:rsid w:val="009F37D9"/>
    <w:rsid w:val="00A07AB5"/>
    <w:rsid w:val="00A12AE9"/>
    <w:rsid w:val="00A16168"/>
    <w:rsid w:val="00A2009B"/>
    <w:rsid w:val="00A33527"/>
    <w:rsid w:val="00A46328"/>
    <w:rsid w:val="00A57156"/>
    <w:rsid w:val="00A606CB"/>
    <w:rsid w:val="00A66E6E"/>
    <w:rsid w:val="00A81FF0"/>
    <w:rsid w:val="00A83BA5"/>
    <w:rsid w:val="00A8710B"/>
    <w:rsid w:val="00AA35AB"/>
    <w:rsid w:val="00AA4CA2"/>
    <w:rsid w:val="00AB1CD0"/>
    <w:rsid w:val="00AB33C3"/>
    <w:rsid w:val="00AC0D3F"/>
    <w:rsid w:val="00AD00BB"/>
    <w:rsid w:val="00AE0313"/>
    <w:rsid w:val="00B04011"/>
    <w:rsid w:val="00B12501"/>
    <w:rsid w:val="00B15956"/>
    <w:rsid w:val="00B21C1A"/>
    <w:rsid w:val="00B2475F"/>
    <w:rsid w:val="00B25C9B"/>
    <w:rsid w:val="00B300E9"/>
    <w:rsid w:val="00B32651"/>
    <w:rsid w:val="00B32EEB"/>
    <w:rsid w:val="00B330AC"/>
    <w:rsid w:val="00B40526"/>
    <w:rsid w:val="00B45FD8"/>
    <w:rsid w:val="00B50514"/>
    <w:rsid w:val="00B70578"/>
    <w:rsid w:val="00B73C42"/>
    <w:rsid w:val="00B826E2"/>
    <w:rsid w:val="00B910A3"/>
    <w:rsid w:val="00B95233"/>
    <w:rsid w:val="00B96A9E"/>
    <w:rsid w:val="00BA2A3A"/>
    <w:rsid w:val="00BA4095"/>
    <w:rsid w:val="00BA4EB8"/>
    <w:rsid w:val="00BB64F2"/>
    <w:rsid w:val="00BB759F"/>
    <w:rsid w:val="00BC2F23"/>
    <w:rsid w:val="00BC5BBE"/>
    <w:rsid w:val="00BD18FF"/>
    <w:rsid w:val="00BE08B6"/>
    <w:rsid w:val="00BE61CE"/>
    <w:rsid w:val="00BF28E2"/>
    <w:rsid w:val="00BF581F"/>
    <w:rsid w:val="00BF5BF7"/>
    <w:rsid w:val="00BF67A7"/>
    <w:rsid w:val="00C00485"/>
    <w:rsid w:val="00C05704"/>
    <w:rsid w:val="00C240F2"/>
    <w:rsid w:val="00C276E6"/>
    <w:rsid w:val="00C505F6"/>
    <w:rsid w:val="00C52BC9"/>
    <w:rsid w:val="00C64061"/>
    <w:rsid w:val="00C73E1C"/>
    <w:rsid w:val="00C7547D"/>
    <w:rsid w:val="00C82150"/>
    <w:rsid w:val="00C846AA"/>
    <w:rsid w:val="00C85E4F"/>
    <w:rsid w:val="00CA7870"/>
    <w:rsid w:val="00CA7AE4"/>
    <w:rsid w:val="00CB099E"/>
    <w:rsid w:val="00CB0CC5"/>
    <w:rsid w:val="00CB7A44"/>
    <w:rsid w:val="00CC4427"/>
    <w:rsid w:val="00CC5D7F"/>
    <w:rsid w:val="00CE3032"/>
    <w:rsid w:val="00CF181A"/>
    <w:rsid w:val="00CF516F"/>
    <w:rsid w:val="00D06152"/>
    <w:rsid w:val="00D13047"/>
    <w:rsid w:val="00D15050"/>
    <w:rsid w:val="00D15CCE"/>
    <w:rsid w:val="00D20E5C"/>
    <w:rsid w:val="00D24975"/>
    <w:rsid w:val="00D27227"/>
    <w:rsid w:val="00D332E9"/>
    <w:rsid w:val="00D36B9F"/>
    <w:rsid w:val="00D6484A"/>
    <w:rsid w:val="00D70C14"/>
    <w:rsid w:val="00D74E1D"/>
    <w:rsid w:val="00D84595"/>
    <w:rsid w:val="00D858A4"/>
    <w:rsid w:val="00D92485"/>
    <w:rsid w:val="00D92CD1"/>
    <w:rsid w:val="00DA2D4F"/>
    <w:rsid w:val="00DA5032"/>
    <w:rsid w:val="00DB041E"/>
    <w:rsid w:val="00DB1CE2"/>
    <w:rsid w:val="00DB4D57"/>
    <w:rsid w:val="00DB63A8"/>
    <w:rsid w:val="00DC1346"/>
    <w:rsid w:val="00DC26B0"/>
    <w:rsid w:val="00DC2FD3"/>
    <w:rsid w:val="00DC37EE"/>
    <w:rsid w:val="00DD035E"/>
    <w:rsid w:val="00DD1A0E"/>
    <w:rsid w:val="00DD480F"/>
    <w:rsid w:val="00DD4EE4"/>
    <w:rsid w:val="00DF1CE6"/>
    <w:rsid w:val="00DF2BE9"/>
    <w:rsid w:val="00DF3ABA"/>
    <w:rsid w:val="00E04EAD"/>
    <w:rsid w:val="00E06E7D"/>
    <w:rsid w:val="00E06F9A"/>
    <w:rsid w:val="00E157FF"/>
    <w:rsid w:val="00E20D65"/>
    <w:rsid w:val="00E25B90"/>
    <w:rsid w:val="00E2643F"/>
    <w:rsid w:val="00E320DA"/>
    <w:rsid w:val="00E37A14"/>
    <w:rsid w:val="00E40FF3"/>
    <w:rsid w:val="00E42E5A"/>
    <w:rsid w:val="00E43276"/>
    <w:rsid w:val="00E51B7E"/>
    <w:rsid w:val="00E645D5"/>
    <w:rsid w:val="00E67EDC"/>
    <w:rsid w:val="00E75421"/>
    <w:rsid w:val="00E8166D"/>
    <w:rsid w:val="00E86F7B"/>
    <w:rsid w:val="00E913C9"/>
    <w:rsid w:val="00E93FB0"/>
    <w:rsid w:val="00EA03A0"/>
    <w:rsid w:val="00EA0A06"/>
    <w:rsid w:val="00EA1A46"/>
    <w:rsid w:val="00EB1C88"/>
    <w:rsid w:val="00EB5517"/>
    <w:rsid w:val="00EC0737"/>
    <w:rsid w:val="00EC1421"/>
    <w:rsid w:val="00EE6EF6"/>
    <w:rsid w:val="00EF0B3D"/>
    <w:rsid w:val="00EF5858"/>
    <w:rsid w:val="00F04463"/>
    <w:rsid w:val="00F046DF"/>
    <w:rsid w:val="00F0751F"/>
    <w:rsid w:val="00F14C3C"/>
    <w:rsid w:val="00F17004"/>
    <w:rsid w:val="00F1744F"/>
    <w:rsid w:val="00F178E2"/>
    <w:rsid w:val="00F17E74"/>
    <w:rsid w:val="00F30C6B"/>
    <w:rsid w:val="00F33704"/>
    <w:rsid w:val="00F34196"/>
    <w:rsid w:val="00F36332"/>
    <w:rsid w:val="00F41D5A"/>
    <w:rsid w:val="00F43651"/>
    <w:rsid w:val="00F465B9"/>
    <w:rsid w:val="00F46E76"/>
    <w:rsid w:val="00F47064"/>
    <w:rsid w:val="00F5139D"/>
    <w:rsid w:val="00F5386D"/>
    <w:rsid w:val="00F53C64"/>
    <w:rsid w:val="00F611D6"/>
    <w:rsid w:val="00F615EE"/>
    <w:rsid w:val="00F6508B"/>
    <w:rsid w:val="00F84235"/>
    <w:rsid w:val="00F87AC4"/>
    <w:rsid w:val="00F952FA"/>
    <w:rsid w:val="00FA4D98"/>
    <w:rsid w:val="00FA56C0"/>
    <w:rsid w:val="00FB25AE"/>
    <w:rsid w:val="00FB6C78"/>
    <w:rsid w:val="00FC2DDB"/>
    <w:rsid w:val="00FC5636"/>
    <w:rsid w:val="00FC7C8A"/>
    <w:rsid w:val="00FD0685"/>
    <w:rsid w:val="00FD4273"/>
    <w:rsid w:val="00FE165F"/>
    <w:rsid w:val="00FE1C22"/>
    <w:rsid w:val="00FE3A47"/>
    <w:rsid w:val="00FF04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1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4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CB099E"/>
    <w:pPr>
      <w:numPr>
        <w:numId w:val="6"/>
      </w:numPr>
      <w:spacing w:before="100" w:beforeAutospacing="1" w:after="100" w:afterAutospacing="1"/>
      <w:jc w:val="center"/>
      <w:outlineLvl w:val="0"/>
    </w:pPr>
    <w:rPr>
      <w:rFonts w:ascii="Tahoma" w:eastAsia="Calibri" w:hAnsi="Tahoma" w:cs="Tahoma"/>
      <w:b/>
      <w:bCs/>
      <w:color w:val="000066"/>
      <w:kern w:val="36"/>
    </w:rPr>
  </w:style>
  <w:style w:type="paragraph" w:styleId="Ttulo2">
    <w:name w:val="heading 2"/>
    <w:basedOn w:val="Normal"/>
    <w:next w:val="Normal"/>
    <w:link w:val="Ttulo2Car"/>
    <w:uiPriority w:val="9"/>
    <w:qFormat/>
    <w:rsid w:val="00CB099E"/>
    <w:pPr>
      <w:keepNext/>
      <w:keepLines/>
      <w:numPr>
        <w:ilvl w:val="1"/>
        <w:numId w:val="6"/>
      </w:numPr>
      <w:spacing w:before="200" w:line="276" w:lineRule="auto"/>
      <w:jc w:val="both"/>
      <w:outlineLvl w:val="1"/>
    </w:pPr>
    <w:rPr>
      <w:rFonts w:ascii="Cambria" w:eastAsia="Calibri" w:hAnsi="Cambria"/>
      <w:b/>
      <w:bCs/>
      <w:color w:val="4F81BD"/>
      <w:sz w:val="26"/>
      <w:szCs w:val="26"/>
      <w:lang w:eastAsia="en-US"/>
    </w:rPr>
  </w:style>
  <w:style w:type="paragraph" w:styleId="Ttulo3">
    <w:name w:val="heading 3"/>
    <w:basedOn w:val="Normal"/>
    <w:link w:val="Ttulo3Car"/>
    <w:uiPriority w:val="9"/>
    <w:qFormat/>
    <w:rsid w:val="00CB099E"/>
    <w:pPr>
      <w:numPr>
        <w:ilvl w:val="2"/>
        <w:numId w:val="6"/>
      </w:numPr>
      <w:spacing w:after="240" w:line="312" w:lineRule="atLeast"/>
      <w:jc w:val="both"/>
      <w:outlineLvl w:val="2"/>
    </w:pPr>
    <w:rPr>
      <w:b/>
      <w:bCs/>
      <w:sz w:val="29"/>
      <w:szCs w:val="29"/>
    </w:rPr>
  </w:style>
  <w:style w:type="paragraph" w:styleId="Ttulo4">
    <w:name w:val="heading 4"/>
    <w:basedOn w:val="Normal"/>
    <w:link w:val="Ttulo4Car"/>
    <w:uiPriority w:val="9"/>
    <w:qFormat/>
    <w:rsid w:val="00CB099E"/>
    <w:pPr>
      <w:numPr>
        <w:ilvl w:val="3"/>
        <w:numId w:val="6"/>
      </w:numPr>
      <w:spacing w:line="312" w:lineRule="atLeast"/>
      <w:jc w:val="both"/>
      <w:outlineLvl w:val="3"/>
    </w:pPr>
    <w:rPr>
      <w:b/>
      <w:bCs/>
      <w:sz w:val="29"/>
      <w:szCs w:val="29"/>
    </w:rPr>
  </w:style>
  <w:style w:type="paragraph" w:styleId="Ttulo5">
    <w:name w:val="heading 5"/>
    <w:basedOn w:val="Normal"/>
    <w:next w:val="Normal"/>
    <w:link w:val="Ttulo5Car"/>
    <w:uiPriority w:val="9"/>
    <w:qFormat/>
    <w:rsid w:val="00CB099E"/>
    <w:pPr>
      <w:keepNext/>
      <w:widowControl w:val="0"/>
      <w:numPr>
        <w:ilvl w:val="4"/>
        <w:numId w:val="6"/>
      </w:numPr>
      <w:jc w:val="center"/>
      <w:outlineLvl w:val="4"/>
    </w:pPr>
    <w:rPr>
      <w:b/>
      <w:i/>
      <w:snapToGrid w:val="0"/>
      <w:lang w:val="es-CR" w:eastAsia="en-US"/>
    </w:rPr>
  </w:style>
  <w:style w:type="paragraph" w:styleId="Ttulo6">
    <w:name w:val="heading 6"/>
    <w:basedOn w:val="Normal"/>
    <w:link w:val="Ttulo6Car"/>
    <w:uiPriority w:val="9"/>
    <w:qFormat/>
    <w:rsid w:val="00CB099E"/>
    <w:pPr>
      <w:numPr>
        <w:ilvl w:val="5"/>
        <w:numId w:val="6"/>
      </w:numPr>
      <w:spacing w:after="240" w:line="312" w:lineRule="atLeast"/>
      <w:jc w:val="both"/>
      <w:outlineLvl w:val="5"/>
    </w:pPr>
    <w:rPr>
      <w:i/>
      <w:iCs/>
      <w:sz w:val="29"/>
      <w:szCs w:val="29"/>
    </w:rPr>
  </w:style>
  <w:style w:type="paragraph" w:styleId="Ttulo7">
    <w:name w:val="heading 7"/>
    <w:basedOn w:val="Normal"/>
    <w:next w:val="Normal"/>
    <w:link w:val="Ttulo7Car"/>
    <w:semiHidden/>
    <w:unhideWhenUsed/>
    <w:qFormat/>
    <w:rsid w:val="00CB099E"/>
    <w:pPr>
      <w:keepNext/>
      <w:keepLines/>
      <w:numPr>
        <w:ilvl w:val="6"/>
        <w:numId w:val="6"/>
      </w:numPr>
      <w:spacing w:before="200" w:line="276" w:lineRule="auto"/>
      <w:jc w:val="both"/>
      <w:outlineLvl w:val="6"/>
    </w:pPr>
    <w:rPr>
      <w:rFonts w:asciiTheme="majorHAnsi" w:eastAsiaTheme="majorEastAsia" w:hAnsiTheme="majorHAnsi" w:cstheme="majorBidi"/>
      <w:i/>
      <w:iCs/>
      <w:color w:val="404040" w:themeColor="text1" w:themeTint="BF"/>
      <w:szCs w:val="22"/>
      <w:lang w:eastAsia="en-US"/>
    </w:rPr>
  </w:style>
  <w:style w:type="paragraph" w:styleId="Ttulo8">
    <w:name w:val="heading 8"/>
    <w:basedOn w:val="Normal"/>
    <w:next w:val="Normal"/>
    <w:link w:val="Ttulo8Car"/>
    <w:semiHidden/>
    <w:unhideWhenUsed/>
    <w:qFormat/>
    <w:rsid w:val="00CB099E"/>
    <w:pPr>
      <w:keepNext/>
      <w:keepLines/>
      <w:numPr>
        <w:ilvl w:val="7"/>
        <w:numId w:val="6"/>
      </w:numPr>
      <w:spacing w:before="200" w:line="276" w:lineRule="auto"/>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semiHidden/>
    <w:unhideWhenUsed/>
    <w:qFormat/>
    <w:rsid w:val="00CB099E"/>
    <w:pPr>
      <w:keepNext/>
      <w:keepLines/>
      <w:numPr>
        <w:ilvl w:val="8"/>
        <w:numId w:val="6"/>
      </w:numPr>
      <w:spacing w:before="200" w:line="276" w:lineRule="auto"/>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5A1442"/>
  </w:style>
  <w:style w:type="paragraph" w:styleId="Piedepgina">
    <w:name w:val="footer"/>
    <w:basedOn w:val="Normal"/>
    <w:link w:val="PiedepginaCar"/>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rsid w:val="005A1442"/>
  </w:style>
  <w:style w:type="paragraph" w:styleId="Textodeglobo">
    <w:name w:val="Balloon Text"/>
    <w:basedOn w:val="Normal"/>
    <w:link w:val="TextodegloboCar"/>
    <w:uiPriority w:val="99"/>
    <w:semiHidden/>
    <w:unhideWhenUsed/>
    <w:rsid w:val="005A1442"/>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5A1442"/>
    <w:rPr>
      <w:rFonts w:ascii="Tahoma" w:hAnsi="Tahoma" w:cs="Tahoma"/>
      <w:sz w:val="16"/>
      <w:szCs w:val="16"/>
    </w:rPr>
  </w:style>
  <w:style w:type="character" w:styleId="Hipervnculo">
    <w:name w:val="Hyperlink"/>
    <w:basedOn w:val="Fuentedeprrafopredeter"/>
    <w:uiPriority w:val="99"/>
    <w:rsid w:val="005A1442"/>
    <w:rPr>
      <w:color w:val="0000FF"/>
      <w:u w:val="single"/>
    </w:rPr>
  </w:style>
  <w:style w:type="paragraph" w:styleId="Textonotapie">
    <w:name w:val="footnote text"/>
    <w:basedOn w:val="Normal"/>
    <w:link w:val="TextonotapieCar"/>
    <w:uiPriority w:val="99"/>
    <w:rsid w:val="004C3B15"/>
    <w:rPr>
      <w:sz w:val="20"/>
    </w:rPr>
  </w:style>
  <w:style w:type="character" w:customStyle="1" w:styleId="TextonotapieCar">
    <w:name w:val="Texto nota pie Car"/>
    <w:basedOn w:val="Fuentedeprrafopredeter"/>
    <w:link w:val="Textonotapie"/>
    <w:uiPriority w:val="99"/>
    <w:rsid w:val="004C3B15"/>
    <w:rPr>
      <w:rFonts w:ascii="Times New Roman" w:eastAsia="Times New Roman" w:hAnsi="Times New Roman" w:cs="Times New Roman"/>
      <w:sz w:val="20"/>
      <w:szCs w:val="24"/>
      <w:lang w:val="es-ES" w:eastAsia="es-ES"/>
    </w:rPr>
  </w:style>
  <w:style w:type="character" w:styleId="Refdenotaalpie">
    <w:name w:val="footnote reference"/>
    <w:basedOn w:val="Fuentedeprrafopredeter"/>
    <w:uiPriority w:val="99"/>
    <w:rsid w:val="004C3B15"/>
    <w:rPr>
      <w:vertAlign w:val="superscript"/>
    </w:rPr>
  </w:style>
  <w:style w:type="table" w:styleId="Tablaconcuadrcula">
    <w:name w:val="Table Grid"/>
    <w:basedOn w:val="Tablanormal"/>
    <w:uiPriority w:val="39"/>
    <w:rsid w:val="004C3B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9F5"/>
    <w:pPr>
      <w:autoSpaceDE w:val="0"/>
      <w:autoSpaceDN w:val="0"/>
      <w:adjustRightInd w:val="0"/>
      <w:spacing w:after="0" w:line="240" w:lineRule="auto"/>
    </w:pPr>
    <w:rPr>
      <w:rFonts w:ascii="Calibri" w:eastAsia="Times New Roman" w:hAnsi="Calibri" w:cs="Calibri"/>
      <w:color w:val="000000"/>
      <w:sz w:val="24"/>
      <w:szCs w:val="24"/>
    </w:rPr>
  </w:style>
  <w:style w:type="character" w:styleId="Textodelmarcadordeposicin">
    <w:name w:val="Placeholder Text"/>
    <w:basedOn w:val="Fuentedeprrafopredeter"/>
    <w:uiPriority w:val="99"/>
    <w:semiHidden/>
    <w:rsid w:val="00A606CB"/>
    <w:rPr>
      <w:color w:val="808080"/>
    </w:rPr>
  </w:style>
  <w:style w:type="character" w:customStyle="1" w:styleId="Ttulo1Car">
    <w:name w:val="Título 1 Car"/>
    <w:basedOn w:val="Fuentedeprrafopredeter"/>
    <w:link w:val="Ttulo1"/>
    <w:uiPriority w:val="9"/>
    <w:rsid w:val="00CB099E"/>
    <w:rPr>
      <w:rFonts w:ascii="Tahoma" w:eastAsia="Calibri" w:hAnsi="Tahoma" w:cs="Tahoma"/>
      <w:b/>
      <w:bCs/>
      <w:color w:val="000066"/>
      <w:kern w:val="36"/>
      <w:sz w:val="24"/>
      <w:szCs w:val="24"/>
      <w:lang w:val="es-ES" w:eastAsia="es-ES"/>
    </w:rPr>
  </w:style>
  <w:style w:type="character" w:customStyle="1" w:styleId="Ttulo2Car">
    <w:name w:val="Título 2 Car"/>
    <w:basedOn w:val="Fuentedeprrafopredeter"/>
    <w:link w:val="Ttulo2"/>
    <w:uiPriority w:val="9"/>
    <w:rsid w:val="00CB099E"/>
    <w:rPr>
      <w:rFonts w:ascii="Cambria" w:eastAsia="Calibri" w:hAnsi="Cambria" w:cs="Times New Roman"/>
      <w:b/>
      <w:bCs/>
      <w:color w:val="4F81BD"/>
      <w:sz w:val="26"/>
      <w:szCs w:val="26"/>
      <w:lang w:val="es-ES"/>
    </w:rPr>
  </w:style>
  <w:style w:type="character" w:customStyle="1" w:styleId="Ttulo3Car">
    <w:name w:val="Título 3 Car"/>
    <w:basedOn w:val="Fuentedeprrafopredeter"/>
    <w:link w:val="Ttulo3"/>
    <w:uiPriority w:val="9"/>
    <w:rsid w:val="00CB099E"/>
    <w:rPr>
      <w:rFonts w:ascii="Times New Roman" w:eastAsia="Times New Roman" w:hAnsi="Times New Roman" w:cs="Times New Roman"/>
      <w:b/>
      <w:bCs/>
      <w:sz w:val="29"/>
      <w:szCs w:val="29"/>
      <w:lang w:val="es-ES" w:eastAsia="es-ES"/>
    </w:rPr>
  </w:style>
  <w:style w:type="character" w:customStyle="1" w:styleId="Ttulo4Car">
    <w:name w:val="Título 4 Car"/>
    <w:basedOn w:val="Fuentedeprrafopredeter"/>
    <w:link w:val="Ttulo4"/>
    <w:uiPriority w:val="9"/>
    <w:rsid w:val="00CB099E"/>
    <w:rPr>
      <w:rFonts w:ascii="Times New Roman" w:eastAsia="Times New Roman" w:hAnsi="Times New Roman" w:cs="Times New Roman"/>
      <w:b/>
      <w:bCs/>
      <w:sz w:val="29"/>
      <w:szCs w:val="29"/>
      <w:lang w:val="es-ES" w:eastAsia="es-ES"/>
    </w:rPr>
  </w:style>
  <w:style w:type="character" w:customStyle="1" w:styleId="Ttulo5Car">
    <w:name w:val="Título 5 Car"/>
    <w:basedOn w:val="Fuentedeprrafopredeter"/>
    <w:link w:val="Ttulo5"/>
    <w:uiPriority w:val="9"/>
    <w:rsid w:val="00CB099E"/>
    <w:rPr>
      <w:rFonts w:ascii="Times New Roman" w:eastAsia="Times New Roman" w:hAnsi="Times New Roman" w:cs="Times New Roman"/>
      <w:b/>
      <w:i/>
      <w:snapToGrid w:val="0"/>
      <w:sz w:val="24"/>
      <w:szCs w:val="24"/>
    </w:rPr>
  </w:style>
  <w:style w:type="character" w:customStyle="1" w:styleId="Ttulo6Car">
    <w:name w:val="Título 6 Car"/>
    <w:basedOn w:val="Fuentedeprrafopredeter"/>
    <w:link w:val="Ttulo6"/>
    <w:uiPriority w:val="9"/>
    <w:rsid w:val="00CB099E"/>
    <w:rPr>
      <w:rFonts w:ascii="Times New Roman" w:eastAsia="Times New Roman" w:hAnsi="Times New Roman" w:cs="Times New Roman"/>
      <w:i/>
      <w:iCs/>
      <w:sz w:val="29"/>
      <w:szCs w:val="29"/>
      <w:lang w:val="es-ES" w:eastAsia="es-ES"/>
    </w:rPr>
  </w:style>
  <w:style w:type="character" w:customStyle="1" w:styleId="Ttulo7Car">
    <w:name w:val="Título 7 Car"/>
    <w:basedOn w:val="Fuentedeprrafopredeter"/>
    <w:link w:val="Ttulo7"/>
    <w:semiHidden/>
    <w:rsid w:val="00CB099E"/>
    <w:rPr>
      <w:rFonts w:asciiTheme="majorHAnsi" w:eastAsiaTheme="majorEastAsia" w:hAnsiTheme="majorHAnsi" w:cstheme="majorBidi"/>
      <w:i/>
      <w:iCs/>
      <w:color w:val="404040" w:themeColor="text1" w:themeTint="BF"/>
      <w:sz w:val="24"/>
      <w:lang w:val="es-ES"/>
    </w:rPr>
  </w:style>
  <w:style w:type="character" w:customStyle="1" w:styleId="Ttulo8Car">
    <w:name w:val="Título 8 Car"/>
    <w:basedOn w:val="Fuentedeprrafopredeter"/>
    <w:link w:val="Ttulo8"/>
    <w:semiHidden/>
    <w:rsid w:val="00CB099E"/>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semiHidden/>
    <w:rsid w:val="00CB099E"/>
    <w:rPr>
      <w:rFonts w:asciiTheme="majorHAnsi" w:eastAsiaTheme="majorEastAsia" w:hAnsiTheme="majorHAnsi" w:cstheme="majorBidi"/>
      <w:i/>
      <w:iCs/>
      <w:color w:val="404040" w:themeColor="text1" w:themeTint="BF"/>
      <w:sz w:val="20"/>
      <w:szCs w:val="20"/>
      <w:lang w:val="es-ES"/>
    </w:rPr>
  </w:style>
  <w:style w:type="paragraph" w:styleId="Sinespaciado">
    <w:name w:val="No Spacing"/>
    <w:uiPriority w:val="1"/>
    <w:qFormat/>
    <w:rsid w:val="00CB099E"/>
    <w:pPr>
      <w:spacing w:after="0" w:line="240" w:lineRule="auto"/>
    </w:p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CB099E"/>
    <w:pPr>
      <w:ind w:left="720"/>
      <w:contextualSpacing/>
    </w:p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basedOn w:val="Fuentedeprrafopredeter"/>
    <w:link w:val="Prrafodelista"/>
    <w:uiPriority w:val="34"/>
    <w:locked/>
    <w:rsid w:val="00CB099E"/>
    <w:rPr>
      <w:rFonts w:ascii="Times New Roman" w:eastAsia="Times New Roman" w:hAnsi="Times New Roman" w:cs="Times New Roman"/>
      <w:sz w:val="24"/>
      <w:szCs w:val="24"/>
      <w:lang w:val="es-ES" w:eastAsia="es-ES"/>
    </w:rPr>
  </w:style>
  <w:style w:type="paragraph" w:styleId="Descripcin">
    <w:name w:val="caption"/>
    <w:basedOn w:val="Normal"/>
    <w:next w:val="Normal"/>
    <w:unhideWhenUsed/>
    <w:qFormat/>
    <w:rsid w:val="00CB099E"/>
    <w:pPr>
      <w:spacing w:after="200"/>
      <w:jc w:val="both"/>
    </w:pPr>
    <w:rPr>
      <w:rFonts w:ascii="Cambria" w:hAnsi="Cambria"/>
      <w:b/>
      <w:bCs/>
      <w:color w:val="4F81BD" w:themeColor="accent1"/>
      <w:sz w:val="18"/>
      <w:szCs w:val="18"/>
      <w:lang w:eastAsia="en-US"/>
    </w:rPr>
  </w:style>
  <w:style w:type="paragraph" w:customStyle="1" w:styleId="enfasisNegrita">
    <w:name w:val="enfasisNegrita"/>
    <w:basedOn w:val="Normal"/>
    <w:link w:val="enfasisNegritaCar"/>
    <w:qFormat/>
    <w:rsid w:val="00CB099E"/>
    <w:pPr>
      <w:spacing w:after="200" w:line="276" w:lineRule="auto"/>
      <w:jc w:val="both"/>
    </w:pPr>
    <w:rPr>
      <w:rFonts w:ascii="Cambria" w:hAnsi="Cambria"/>
      <w:b/>
      <w:szCs w:val="22"/>
      <w:lang w:eastAsia="en-US"/>
    </w:rPr>
  </w:style>
  <w:style w:type="character" w:customStyle="1" w:styleId="enfasisNegritaCar">
    <w:name w:val="enfasisNegrita Car"/>
    <w:basedOn w:val="Fuentedeprrafopredeter"/>
    <w:link w:val="enfasisNegrita"/>
    <w:rsid w:val="00CB099E"/>
    <w:rPr>
      <w:rFonts w:ascii="Cambria" w:eastAsia="Times New Roman" w:hAnsi="Cambria" w:cs="Times New Roman"/>
      <w:b/>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285867">
      <w:bodyDiv w:val="1"/>
      <w:marLeft w:val="0"/>
      <w:marRight w:val="0"/>
      <w:marTop w:val="0"/>
      <w:marBottom w:val="0"/>
      <w:divBdr>
        <w:top w:val="none" w:sz="0" w:space="0" w:color="auto"/>
        <w:left w:val="none" w:sz="0" w:space="0" w:color="auto"/>
        <w:bottom w:val="none" w:sz="0" w:space="0" w:color="auto"/>
        <w:right w:val="none" w:sz="0" w:space="0" w:color="auto"/>
      </w:divBdr>
    </w:div>
    <w:div w:id="13273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intranet/sites/gec2020/PlantillasCorrespondenciaExterna/Plantilla-SGS-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0DCEFDA4BF4CA787B2626901DD6926"/>
        <w:category>
          <w:name w:val="General"/>
          <w:gallery w:val="placeholder"/>
        </w:category>
        <w:types>
          <w:type w:val="bbPlcHdr"/>
        </w:types>
        <w:behaviors>
          <w:behavior w:val="content"/>
        </w:behaviors>
        <w:guid w:val="{627FB836-4F7D-4D28-911E-F559BA4128E5}"/>
      </w:docPartPr>
      <w:docPartBody>
        <w:p w:rsidR="00E55374" w:rsidRDefault="00E55374">
          <w:pPr>
            <w:pStyle w:val="9F0DCEFDA4BF4CA787B2626901DD6926"/>
          </w:pPr>
          <w:r w:rsidRPr="0099402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74"/>
    <w:rsid w:val="00E5537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9F0DCEFDA4BF4CA787B2626901DD6926">
    <w:name w:val="9F0DCEFDA4BF4CA787B2626901DD6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qVn6zwvUq7ZBrfkajqzQIXxqkU4wCj+8GZntTAa+0Ss=</DigestValue>
    </Reference>
    <Reference Type="http://www.w3.org/2000/09/xmldsig#Object" URI="#idOfficeObject">
      <DigestMethod Algorithm="http://www.w3.org/2001/04/xmlenc#sha256"/>
      <DigestValue>RN4OIMZdG7GvzSIcLmtKh9h2UUxvXERMvWDDoz9PVi4=</DigestValue>
    </Reference>
    <Reference Type="http://uri.etsi.org/01903#SignedProperties" URI="#idSignedProperties">
      <Transforms>
        <Transform Algorithm="http://www.w3.org/TR/2001/REC-xml-c14n-20010315"/>
      </Transforms>
      <DigestMethod Algorithm="http://www.w3.org/2001/04/xmlenc#sha256"/>
      <DigestValue>TVnkGf10E/Ie45wsXToEpUxd9r2OFIZ6RwwUZ+DKzwQ=</DigestValue>
    </Reference>
  </SignedInfo>
  <SignatureValue>dlOLEMb+LTEjiTqN+K/AmI8NpB6a4XMQUmEcVivvwxQxWqjw6BXuL3cnqD7+G0bU9JsYsNNZyQ0w
2liCZJIPz+IQ6mfIpww/b+MkenKsdbBMB1pCjD97nITYsuTWPrNQvPb4B+R84XTX7WKteU6ac9Lv
ngjqRYoiulYacwg8Z5hDqtH7FQhlu5yNhpLVEKCXvoavo2941jElDHbTmUw4PIICEDZ9NMxwBX6k
Z1TAhjIbHZzkYpmtNqe2+hljMeB4LvdvFrolS67hFPn93Ydn4jglvBMArjtB6bmbJ/mmCGgJxbH0
Sk4ulks0Ei6rDqrn0TbyzHQTCu87GDC1tor4cw==</SignatureValue>
  <KeyInfo>
    <X509Data>
      <X509Certificate>MIIFozCCBIugAwIBAgITFAAJDbMo5hqV+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e0NYLyfxn2LP5SEwMOesiL1MN41hSIjQZnKbJsqjp4ubx+AjkppFZHMMhEQKImBIPs+fcEu/ZaAopKk3684zk2fHqORv/vT/RsT0t9VyHo2Po27Aun4kdCkMK3eq6QRfI3FEjnBqpCPIiyR7qX16TpDiKcpmw7RDauH4jUwMv6dfU39vDOcLf6LV5J80uBBEuqA2IeMe6UZQz6B7+qw/uHmC1wu6Ij1iwfD95k/9p4VGuvxBH3wFRW/E0zdZBayyeH+XMc1eVsU3eJawlcdF6gZ424lKLHJcSbIBqQMQIDAQABo4IB2jCCAdYwHQYDVR0OBBYEFP/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19QBoVo+4KTAzc8PTHwZW0EYRX8tvqFUNDTxzW0He5FnINKNYFAMTc6yxKWSZsNCXBY7alDPDwU6Jik4pb++NxmUmXUwpGYOzm5OVUebUwDSqocVPR8b+RMHaq8D5/7se7l5+z+wxrx6QyGd2Y+2S7OfMRQEkYLQEgHmh5UHuVtVUYeMYkIXUUx3HTbGLmA0IRiUNek3ke8yXnBhyraq/Bq3e6Rscxy3hvtH+nOGfKN2NLAaaPsd+XHXZ3Pxt7NEdd6t7KgLJ4P/I1ojbktIYIL9dOcDnaYT+koML6DiZsbD2uylCWYYE6JSJMJSus4iDgS6E/UNYYh8FNxuhkw3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rRUSRPZBufsHBrOcfFmC72YZfMG4ZExVIUkCe0rhwKQ=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h357fgE2RIDjGghcNEFJh2EBj5Dgmz8v4uvXMOa3vx0=</DigestValue>
      </Reference>
      <Reference URI="/word/document.xml?ContentType=application/vnd.openxmlformats-officedocument.wordprocessingml.document.main+xml">
        <DigestMethod Algorithm="http://www.w3.org/2001/04/xmlenc#sha256"/>
        <DigestValue>C/vSWEKmcsepoDdLxUMZ0ioiceZ4OLwjwg+rquknaxk=</DigestValue>
      </Reference>
      <Reference URI="/word/endnotes.xml?ContentType=application/vnd.openxmlformats-officedocument.wordprocessingml.endnotes+xml">
        <DigestMethod Algorithm="http://www.w3.org/2001/04/xmlenc#sha256"/>
        <DigestValue>XZ570mG7Je7MysFfZAJ+tEIxsb3e3sOBBYswbEFXEBU=</DigestValue>
      </Reference>
      <Reference URI="/word/fontTable.xml?ContentType=application/vnd.openxmlformats-officedocument.wordprocessingml.fontTable+xml">
        <DigestMethod Algorithm="http://www.w3.org/2001/04/xmlenc#sha256"/>
        <DigestValue>jlZf3iPwakph4pLdhyphyywkKFuHHJ3E/yxw7Tp1Q54=</DigestValue>
      </Reference>
      <Reference URI="/word/footer1.xml?ContentType=application/vnd.openxmlformats-officedocument.wordprocessingml.footer+xml">
        <DigestMethod Algorithm="http://www.w3.org/2001/04/xmlenc#sha256"/>
        <DigestValue>Vmn4rhCYOeJqdPG2g+6eQosn1AYkKT8tCXA82zoKlNQ=</DigestValue>
      </Reference>
      <Reference URI="/word/footer2.xml?ContentType=application/vnd.openxmlformats-officedocument.wordprocessingml.footer+xml">
        <DigestMethod Algorithm="http://www.w3.org/2001/04/xmlenc#sha256"/>
        <DigestValue>w2ZTT4ZiNcdNMEoEkAL73LTT+GS2AyK+Zj9gNaadkuk=</DigestValue>
      </Reference>
      <Reference URI="/word/footer3.xml?ContentType=application/vnd.openxmlformats-officedocument.wordprocessingml.footer+xml">
        <DigestMethod Algorithm="http://www.w3.org/2001/04/xmlenc#sha256"/>
        <DigestValue>A+ExMl/k6r0HB5DLdq0qUh2pU+vQIiYr4puHXk37V1k=</DigestValue>
      </Reference>
      <Reference URI="/word/footnotes.xml?ContentType=application/vnd.openxmlformats-officedocument.wordprocessingml.footnotes+xml">
        <DigestMethod Algorithm="http://www.w3.org/2001/04/xmlenc#sha256"/>
        <DigestValue>HA9mx2IHtZPxq/ymmg4fx94pc03VD1xZlYwXc6Vx78M=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O8xnPXERl1wFUFTww3vEGA4wzT4WAzenbS4dOCWy1Wo=</DigestValue>
      </Reference>
      <Reference URI="/word/glossary/fontTable.xml?ContentType=application/vnd.openxmlformats-officedocument.wordprocessingml.fontTable+xml">
        <DigestMethod Algorithm="http://www.w3.org/2001/04/xmlenc#sha256"/>
        <DigestValue>w0sEFgTaWX3W0D6ykHCmc5J22d456Z4UqT8EKXchcYk=</DigestValue>
      </Reference>
      <Reference URI="/word/glossary/settings.xml?ContentType=application/vnd.openxmlformats-officedocument.wordprocessingml.settings+xml">
        <DigestMethod Algorithm="http://www.w3.org/2001/04/xmlenc#sha256"/>
        <DigestValue>lqKc7ZT9citI/87ozsS4evTACghEtoyNltjBEnRAKYU=</DigestValue>
      </Reference>
      <Reference URI="/word/glossary/styles.xml?ContentType=application/vnd.openxmlformats-officedocument.wordprocessingml.styles+xml">
        <DigestMethod Algorithm="http://www.w3.org/2001/04/xmlenc#sha256"/>
        <DigestValue>mFaFwnr5y/fVNxXB8zJIWjM5YBQrt889DtHOkoiVMaU=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YLQYvABVowQHNhF/nIBiIlFBmm29EmV9T0+jWvVlPqs=</DigestValue>
      </Reference>
      <Reference URI="/word/header2.xml?ContentType=application/vnd.openxmlformats-officedocument.wordprocessingml.header+xml">
        <DigestMethod Algorithm="http://www.w3.org/2001/04/xmlenc#sha256"/>
        <DigestValue>E5u4zcA5Bg7Wmr4rLQNaS1FJe/6hs42+WNLDyZ2oHfY=</DigestValue>
      </Reference>
      <Reference URI="/word/header3.xml?ContentType=application/vnd.openxmlformats-officedocument.wordprocessingml.header+xml">
        <DigestMethod Algorithm="http://www.w3.org/2001/04/xmlenc#sha256"/>
        <DigestValue>fRvaNMR78k/ame9deYHfK1kskcQcSrCHL18Yda8kKHY=</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KGoi/VrShY6YD7s5ypHuq/O1xHA2AZr+klKbbEvy9h8=</DigestValue>
      </Reference>
      <Reference URI="/word/numbering.xml?ContentType=application/vnd.openxmlformats-officedocument.wordprocessingml.numbering+xml">
        <DigestMethod Algorithm="http://www.w3.org/2001/04/xmlenc#sha256"/>
        <DigestValue>1oKUaa/VKwJoLwvrwSCiJh2QrCS+gEIppjqGA1nw/Ew=</DigestValue>
      </Reference>
      <Reference URI="/word/settings.xml?ContentType=application/vnd.openxmlformats-officedocument.wordprocessingml.settings+xml">
        <DigestMethod Algorithm="http://www.w3.org/2001/04/xmlenc#sha256"/>
        <DigestValue>Hp2LWz7V/pcRKNskZru+3Zc3+X0uUOscmIny01FvlNo=</DigestValue>
      </Reference>
      <Reference URI="/word/styles.xml?ContentType=application/vnd.openxmlformats-officedocument.wordprocessingml.styles+xml">
        <DigestMethod Algorithm="http://www.w3.org/2001/04/xmlenc#sha256"/>
        <DigestValue>Di59mut6G+Cghnd5569I3BR/DSx6hGAkxox8894Bros=</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hJ+YMK17kLRqPk3yxMFOJR9l8oVOFql/lGwBhwkJIM8=</DigestValue>
      </Reference>
    </Manifest>
    <SignatureProperties>
      <SignatureProperty Id="idSignatureTime" Target="#idPackageSignature">
        <mdssi:SignatureTime xmlns:mdssi="http://schemas.openxmlformats.org/package/2006/digital-signature">
          <mdssi:Format>YYYY-MM-DDThh:mm:ssTZD</mdssi:Format>
          <mdssi:Value>2022-12-23T22:27:49Z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2022-12-23T22:27:49Z</xd:SigningTime>
          <xd:SigningCertificate>
            <xd:Cert>
              <xd:CertDigest>
                <DigestMethod Algorithm="http://www.w3.org/2001/04/xmlenc#sha256"/>
                <DigestValue>eUF/P6XTX1b/NLiXeynP6fxa9IuF3pe6e6Uz59bBAYs=</DigestValue>
              </xd:CertDigest>
              <xd:IssuerSerial>
                <X509IssuerName>CN=CA SINPE - PERSONA FISICA v2, OU=DIVISION SISTEMAS DE PAGO, O=BANCO CENTRAL DE COSTA RICA, C=CR, SERIALNUMBER=CPJ-4-000-004017</X509IssuerName>
                <X509SerialNumber>446017984722129361247966886119738112760942003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y2k5UahEupvvyWDZWboIo4d55TFLCSujMyXGCpNawmICBBImt+wYDzIwMjIxMjIzMjIyNzU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</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JccbqpOEnS77lQrtvAmy9mfGwiE=</xd:ByKey>
                  </xd:ResponderID>
                  <xd:ProducedAt>2022-12-23T22:27:47Z</xd:ProducedAt>
                </xd:OCSPIdentifier>
                <xd:DigestAlgAndValue>
                  <DigestMethod Algorithm="http://www.w3.org/2001/04/xmlenc#sha256"/>
                  <DigestValue>SVIl6T+pQ1rvd4oNQ2ZjvDi/1ZjXNhvxpWlnMezg5EE=</DigestValue>
                </xd:DigestAlgAndValue>
              </xd:OCSPRef>
            </xd:OCSPRefs>
            <xd:CRLRefs>
              <xd:CRLRef>
                <xd:DigestAlgAndValue>
                  <DigestMethod Algorithm="http://www.w3.org/2001/04/xmlenc#sha256"/>
                  <DigestValue>1g1pQWhI5RprjZXHFfJbAIUF1AOzLN7ClUMP8jA33YY=</DigestValue>
                </xd:DigestAlgAndValue>
                <xd:CRLIdentifier>
                  <xd:Issuer>CN=CA POLITICA PERSONA FISICA - COSTA RICA v2, OU=DCFD, O=MICITT, C=CR, SERIALNUMBER=CPJ-2-100-098311</xd:Issuer>
                  <xd:IssueTime>2022-12-09T20:36:02Z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</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Z3zh4qMgOmpD+/BwwupziXQpZLqXBh2TZ2VIUTUpqT4CBBImt+4YDzIwMjIxMjIzMjIyNzU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5259700016054FB9EF02CC18F40A60" ma:contentTypeVersion="6" ma:contentTypeDescription="Crear nuevo documento." ma:contentTypeScope="" ma:versionID="b9c0e0c741e91f52546f6fa1418e81a2">
  <xsd:schema xmlns:xsd="http://www.w3.org/2001/XMLSchema" xmlns:xs="http://www.w3.org/2001/XMLSchema" xmlns:p="http://schemas.microsoft.com/office/2006/metadata/properties" xmlns:ns2="b9fc4df0-8f56-46e7-b005-54afe0044df7" targetNamespace="http://schemas.microsoft.com/office/2006/metadata/properties" ma:root="true" ma:fieldsID="4e86dda2f0fdd5bfa93fc52ff69e4c55" ns2:_="">
    <xsd:import namespace="b9fc4df0-8f56-46e7-b005-54afe0044df7"/>
    <xsd:element name="properties">
      <xsd:complexType>
        <xsd:sequence>
          <xsd:element name="documentManagement">
            <xsd:complexType>
              <xsd:all>
                <xsd:element ref="ns2:NumeroAcuerdo" minOccurs="0"/>
                <xsd:element ref="ns2:ContenidoMultilineaHTML"/>
                <xsd:element ref="ns2:NormativaRelacionada" minOccurs="0"/>
                <xsd:element ref="ns2:FechaPublicacionDocumento" minOccurs="0"/>
                <xsd:element ref="ns2:SharedWithUsers" minOccurs="0"/>
                <xsd:element ref="ns2:TipoConten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Acuerdo" ma:index="8" nillable="true" ma:displayName="Número Acuerdo" ma:description="" ma:internalName="NumeroAcuerdo">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NormativaRelacionada" ma:index="10" nillable="true" ma:displayName="Normativa Relacionada" ma:internalName="NormativaRelacionada">
      <xsd:simpleType>
        <xsd:restriction base="dms:Note">
          <xsd:maxLength value="255"/>
        </xsd:restriction>
      </xsd:simpleType>
    </xsd:element>
    <xsd:element name="FechaPublicacionDocumento" ma:index="11" nillable="true" ma:displayName="FechaPublicacionDocumento" ma:description="" ma:internalName="FechaPublicacionDocumento">
      <xsd:simpleType>
        <xsd:restriction base="dms:DateTime"/>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Contenido" ma:index="13" nillable="true" ma:displayName="TipoContenido" ma:list="{ec55f565-d8ce-4d28-9f5f-877c6e6feccc}" ma:internalName="TipoContenido" ma:showField="Title" ma:web="b9fc4df0-8f56-46e7-b005-54afe0044df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2023-01-03T06:00:00+00:00</FechaPublicacionDocumento>
    <NormativaRelacionada xmlns="b9fc4df0-8f56-46e7-b005-54afe0044df7">&lt;div class="ExternalClass0CA8814DB1C04C8F9081D1B35C9DAFCE"&gt;&lt;p&gt;​&lt;span style="font-size&amp;#58;11pt;font-family&amp;#58;calibri, sans-serif;"&gt;Acuerdo
SGS-DES-A-021-2013 y Acuerdo SGS-DES-A-0057-2017&lt;/span&gt;​&lt;br&gt;&lt;/p&gt;&lt;/div&gt;</NormativaRelacionada>
    <TipoContenido xmlns="b9fc4df0-8f56-46e7-b005-54afe0044df7">6</TipoContenido>
    <ContenidoMultilineaHTML xmlns="b9fc4df0-8f56-46e7-b005-54afe0044df7">&lt;p&gt;​​&lt;span style="font-size&amp;#58;11pt;font-family&amp;#58;calibri, sans-serif;"&gt;Modificaciones de los
acuerdos SGS-DES-A-021-2013 y SGS-DES-A-0057-2017 para normar la remisión de la
certificación de los ingresos brutos totales requerida mediante Decreto
Ejecutivo N° 38292-H y de la información para &amp;#160;cálculo de la suficiencia
patrimonial de intermediarios de seguros pertenecientes a grupos o
conglomerados financieros, según lo los acuerdos CONASSIF 3-16 Y CONASSIF
16-22.&lt;/span&gt;&lt;br&gt;&lt;br&gt;&lt;/p&gt;</ContenidoMultilineaHTML>
    <NumeroAcuerdo xmlns="b9fc4df0-8f56-46e7-b005-54afe0044df7">SGS-A-0092-2022</NumeroAcuerdo>
  </documentManagement>
</p:properties>
</file>

<file path=customXml/item5.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0F4D82EC3D714D40B180419AA41269D4" ma:contentTypeVersion="114" ma:contentTypeDescription="Crear nuevo documento." ma:contentTypeScope="" ma:versionID="1071d2ab14faac70c9270c0aa8ac717a">
  <xsd:schema xmlns:xsd="http://www.w3.org/2001/XMLSchema" xmlns:xs="http://www.w3.org/2001/XMLSchema" xmlns:p="http://schemas.microsoft.com/office/2006/metadata/properties" xmlns:ns1="http://schemas.microsoft.com/sharepoint/v3" xmlns:ns2="b875e23b-67d9-4b2e-bdec-edacbf90b326" xmlns:ns3="233f2551-3930-43c2-a744-679e70430545" targetNamespace="http://schemas.microsoft.com/office/2006/metadata/properties" ma:root="true" ma:fieldsID="0e8d6740e50556d292837d51584ce767" ns1:_="" ns2:_="" ns3:_="">
    <xsd:import namespace="http://schemas.microsoft.com/sharepoint/v3"/>
    <xsd:import namespace="b875e23b-67d9-4b2e-bdec-edacbf90b326"/>
    <xsd:import namespace="233f2551-3930-43c2-a744-679e70430545"/>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32f5b5d94d147d6ae4b36230db37881" minOccurs="0"/>
                <xsd:element ref="ns2:OtraEntidadExterna" minOccurs="0"/>
                <xsd:element ref="ns3:h924ef3e1de042ccb3dddc0bf72d8fc0" minOccurs="0"/>
                <xsd:element ref="ns1:_dlc_Exempt" minOccurs="0"/>
                <xsd:element ref="ns1:_dlc_ExpireDateSaved" minOccurs="0"/>
                <xsd:element ref="ns1:_dlc_ExpireDate" minOccurs="0"/>
                <xsd:element ref="ns2:oe70cbf463ba4d19a6203d9e6cd457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0" nillable="true" ma:displayName="Fecha de expiración original" ma:hidden="true" ma:internalName="_dlc_ExpireDateSaved" ma:readOnly="true">
      <xsd:simpleType>
        <xsd:restriction base="dms:DateTime"/>
      </xsd:simpleType>
    </xsd:element>
    <xsd:element name="_dlc_ExpireDate" ma:index="41"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257;#SUGESE - Acuerdos|a4c1ee5f-324a-443d-88a9-d7759c9d5e33"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2"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3f2551-3930-43c2-a744-679e70430545" elementFormDefault="qualified">
    <xsd:import namespace="http://schemas.microsoft.com/office/2006/documentManagement/types"/>
    <xsd:import namespace="http://schemas.microsoft.com/office/infopath/2007/PartnerControls"/>
    <xsd:element name="h924ef3e1de042ccb3dddc0bf72d8fc0" ma:index="37" nillable="true" ma:taxonomy="true" ma:internalName="h924ef3e1de042ccb3dddc0bf72d8fc0" ma:taxonomyFieldName="Confidencialidad" ma:displayName="ConfidencialidadHistorica" ma:readOnly="false" ma:default="1;#Público|99c2402f-8ec3-4ca8-8024-be52e4e7f629" ma:fieldId="{1924ef3e-1de0-42cc-b3dd-dc0bf72d8fc0}"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4FEC1B93-3B99-43A3-BBEB-2DCFF3EFC589}">
  <ds:schemaRefs>
    <ds:schemaRef ds:uri="Microsoft.SharePoint.Taxonomy.ContentTypeSync"/>
  </ds:schemaRefs>
</ds:datastoreItem>
</file>

<file path=customXml/itemProps2.xml><?xml version="1.0" encoding="utf-8"?>
<ds:datastoreItem xmlns:ds="http://schemas.openxmlformats.org/officeDocument/2006/customXml" ds:itemID="{9CED795A-B80F-4F85-AE1D-F542B429F133}"/>
</file>

<file path=customXml/itemProps3.xml><?xml version="1.0" encoding="utf-8"?>
<ds:datastoreItem xmlns:ds="http://schemas.openxmlformats.org/officeDocument/2006/customXml" ds:itemID="{10DE493E-FD4C-42D8-9E4E-07B2CAA75E4A}"/>
</file>

<file path=customXml/itemProps4.xml><?xml version="1.0" encoding="utf-8"?>
<ds:datastoreItem xmlns:ds="http://schemas.openxmlformats.org/officeDocument/2006/customXml" ds:itemID="{0FDB955C-A54C-403C-8BEB-A28E4A9D9608}">
  <ds:schemaRefs>
    <ds:schemaRef ds:uri="233f2551-3930-43c2-a744-679e70430545"/>
    <ds:schemaRef ds:uri="http://purl.org/dc/terms/"/>
    <ds:schemaRef ds:uri="http://purl.org/dc/dcmitype/"/>
    <ds:schemaRef ds:uri="b875e23b-67d9-4b2e-bdec-edacbf90b326"/>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37F0B3E0-4742-4117-90C3-F01680BCB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233f2551-3930-43c2-a744-679e70430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BBC6E9-777D-480E-8BCF-F602B73B757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Plantilla-SGS-A</Template>
  <TotalTime>0</TotalTime>
  <Pages>14</Pages>
  <Words>3922</Words>
  <Characters>21577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SGS-A-0092-2022</dc:title>
  <dc:creator/>
  <cp:lastModifiedBy/>
  <cp:revision>1</cp:revision>
  <dcterms:created xsi:type="dcterms:W3CDTF">2022-12-23T21:19:00Z</dcterms:created>
  <dcterms:modified xsi:type="dcterms:W3CDTF">2022-12-23T21:29:00Z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gridad">
    <vt:lpwstr>128;#Alta|0fd17ec2-e5d0-4d9f-8e18-466324d0fdd4</vt:lpwstr>
  </property>
  <property fmtid="{D5CDD505-2E9C-101B-9397-08002B2CF9AE}" pid="3" name="_dlc_policyId">
    <vt:lpwstr>0x010100E97154E09FCE6A4E8EAEBD5C54DD1AE4|-1695030217</vt:lpwstr>
  </property>
  <property fmtid="{D5CDD505-2E9C-101B-9397-08002B2CF9AE}" pid="4" name="Tipo Documental">
    <vt:lpwstr>126;#Oficio|417b7e3a-1426-4267-afb3-20be5f4d6412</vt:lpwstr>
  </property>
  <property fmtid="{D5CDD505-2E9C-101B-9397-08002B2CF9AE}" pid="5" name="ContentTypeId">
    <vt:lpwstr>0x0101002C5259700016054FB9EF02CC18F40A60</vt:lpwstr>
  </property>
  <property fmtid="{D5CDD505-2E9C-101B-9397-08002B2CF9AE}" pid="6" name="Dirigido a (entidad externa)">
    <vt:lpwstr/>
  </property>
  <property fmtid="{D5CDD505-2E9C-101B-9397-08002B2CF9AE}" pid="7"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8" name="Unidad de Destino">
    <vt:lpwstr/>
  </property>
  <property fmtid="{D5CDD505-2E9C-101B-9397-08002B2CF9AE}" pid="9" name="Disponibilidad">
    <vt:lpwstr>161;#Alta|7fca731c-4c62-4f1c-9061-e9f164c964b2</vt:lpwstr>
  </property>
  <property fmtid="{D5CDD505-2E9C-101B-9397-08002B2CF9AE}" pid="10" name="Confidencialidad1">
    <vt:lpwstr/>
  </property>
  <property fmtid="{D5CDD505-2E9C-101B-9397-08002B2CF9AE}" pid="11" name="Unidad Remitente">
    <vt:lpwstr>257;#SUGESE - Acuerdos|a4c1ee5f-324a-443d-88a9-d7759c9d5e33</vt:lpwstr>
  </property>
  <property fmtid="{D5CDD505-2E9C-101B-9397-08002B2CF9AE}" pid="12" name="ConfidencialidadNueva">
    <vt:lpwstr>163;#Uso Interno|b84ab4da-351c-48b8-b2fd-466e6594f406</vt:lpwstr>
  </property>
  <property fmtid="{D5CDD505-2E9C-101B-9397-08002B2CF9AE}" pid="13" name="lb0b7da792b243d9bfa96ad7487ad734">
    <vt:lpwstr/>
  </property>
  <property fmtid="{D5CDD505-2E9C-101B-9397-08002B2CF9AE}" pid="14" name="MSIP_Label_b8b4be34-365a-4a68-b9fb-75c1b6874315_Enabled">
    <vt:lpwstr>true</vt:lpwstr>
  </property>
  <property fmtid="{D5CDD505-2E9C-101B-9397-08002B2CF9AE}" pid="15" name="MSIP_Label_b8b4be34-365a-4a68-b9fb-75c1b6874315_SetDate">
    <vt:lpwstr>2022-12-23T21:19:39Z</vt:lpwstr>
  </property>
  <property fmtid="{D5CDD505-2E9C-101B-9397-08002B2CF9AE}" pid="16" name="MSIP_Label_b8b4be34-365a-4a68-b9fb-75c1b6874315_Method">
    <vt:lpwstr>Standard</vt:lpwstr>
  </property>
  <property fmtid="{D5CDD505-2E9C-101B-9397-08002B2CF9AE}" pid="17" name="MSIP_Label_b8b4be34-365a-4a68-b9fb-75c1b6874315_Name">
    <vt:lpwstr>b8b4be34-365a-4a68-b9fb-75c1b6874315</vt:lpwstr>
  </property>
  <property fmtid="{D5CDD505-2E9C-101B-9397-08002B2CF9AE}" pid="18" name="MSIP_Label_b8b4be34-365a-4a68-b9fb-75c1b6874315_SiteId">
    <vt:lpwstr>618d0a45-25a6-4618-9f80-8f70a435ee52</vt:lpwstr>
  </property>
  <property fmtid="{D5CDD505-2E9C-101B-9397-08002B2CF9AE}" pid="19" name="MSIP_Label_b8b4be34-365a-4a68-b9fb-75c1b6874315_ActionId">
    <vt:lpwstr>1f5a7605-e3a1-4732-b430-0000af9e6757</vt:lpwstr>
  </property>
  <property fmtid="{D5CDD505-2E9C-101B-9397-08002B2CF9AE}" pid="20" name="MSIP_Label_b8b4be34-365a-4a68-b9fb-75c1b6874315_ContentBits">
    <vt:lpwstr>2</vt:lpwstr>
  </property>
  <property fmtid="{D5CDD505-2E9C-101B-9397-08002B2CF9AE}" pid="21" name="Confidencialidad">
    <vt:lpwstr>1;#Público|99c2402f-8ec3-4ca8-8024-be52e4e7f629</vt:lpwstr>
  </property>
  <property fmtid="{D5CDD505-2E9C-101B-9397-08002B2CF9AE}" pid="22" name="WorkflowChangePath">
    <vt:lpwstr>a04ecaee-163e-4670-bddd-e0ee954511fc,5;f0cb250b-c1ef-4893-9022-2aaf0b532c25,10;</vt:lpwstr>
  </property>
  <property fmtid="{D5CDD505-2E9C-101B-9397-08002B2CF9AE}" pid="23" name="ecm_ItemDeleteBlockHolders">
    <vt:lpwstr>ecm_InPlaceRecordLock</vt:lpwstr>
  </property>
  <property fmtid="{D5CDD505-2E9C-101B-9397-08002B2CF9AE}" pid="24" name="_vti_ItemDeclaredRecord">
    <vt:filetime>2022-12-23T22:38:16Z</vt:filetime>
  </property>
  <property fmtid="{D5CDD505-2E9C-101B-9397-08002B2CF9AE}" pid="25" name="_vti_ItemHoldRecordStatus">
    <vt:i4>273</vt:i4>
  </property>
  <property fmtid="{D5CDD505-2E9C-101B-9397-08002B2CF9AE}" pid="26" name="IconOverlay">
    <vt:lpwstr>|docx|lockoverlay.png</vt:lpwstr>
  </property>
  <property fmtid="{D5CDD505-2E9C-101B-9397-08002B2CF9AE}" pid="27" name="ecm_RecordRestrictions">
    <vt:lpwstr>BlockDelete, BlockEdit</vt:lpwstr>
  </property>
  <property fmtid="{D5CDD505-2E9C-101B-9397-08002B2CF9AE}" pid="28" name="ecm_ItemLockHolders">
    <vt:lpwstr>ecm_InPlaceRecordLock</vt:lpwstr>
  </property>
</Properties>
</file>