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47C7" w14:textId="77777777" w:rsidR="006A3734" w:rsidRPr="006A3734" w:rsidRDefault="006A3734" w:rsidP="00922ED9">
      <w:pPr>
        <w:ind w:hanging="567"/>
        <w:jc w:val="both"/>
        <w:rPr>
          <w:rFonts w:ascii="Cambria" w:hAnsi="Cambria"/>
          <w:i/>
          <w:color w:val="000000"/>
        </w:rPr>
      </w:pPr>
      <w:r w:rsidRPr="006A3734">
        <w:rPr>
          <w:rFonts w:ascii="Cambria" w:hAnsi="Cambria"/>
          <w:i/>
          <w:color w:val="000000"/>
        </w:rPr>
        <w:t>Tomas Soley Pérez</w:t>
      </w:r>
    </w:p>
    <w:p w14:paraId="75FD8238" w14:textId="77777777" w:rsidR="006A3734" w:rsidRPr="006A3734" w:rsidRDefault="006A3734" w:rsidP="00922ED9">
      <w:pPr>
        <w:ind w:hanging="567"/>
        <w:jc w:val="both"/>
        <w:rPr>
          <w:rFonts w:ascii="Cambria" w:hAnsi="Cambria"/>
          <w:i/>
          <w:color w:val="000000"/>
        </w:rPr>
      </w:pPr>
      <w:r w:rsidRPr="006A3734">
        <w:rPr>
          <w:rFonts w:ascii="Cambria" w:hAnsi="Cambria"/>
          <w:i/>
          <w:color w:val="000000"/>
        </w:rPr>
        <w:t>Superintendente de Seguros</w:t>
      </w:r>
    </w:p>
    <w:p w14:paraId="197991E3" w14:textId="77777777" w:rsidR="00B330AC" w:rsidRDefault="00B330AC" w:rsidP="00922ED9">
      <w:pPr>
        <w:jc w:val="both"/>
        <w:rPr>
          <w:rFonts w:ascii="Cambria" w:hAnsi="Cambria"/>
          <w:color w:val="000000"/>
        </w:rPr>
      </w:pPr>
    </w:p>
    <w:p w14:paraId="7B2EF644" w14:textId="3C3076A9" w:rsidR="00BE60B0" w:rsidRPr="00BE60B0" w:rsidRDefault="00BE60B0" w:rsidP="00BE60B0">
      <w:pPr>
        <w:jc w:val="both"/>
        <w:rPr>
          <w:rFonts w:ascii="Cambria" w:hAnsi="Cambria"/>
          <w:color w:val="000000"/>
        </w:rPr>
      </w:pPr>
    </w:p>
    <w:p w14:paraId="5A5D3D04" w14:textId="77777777" w:rsidR="009618C8" w:rsidRDefault="009618C8" w:rsidP="00922ED9">
      <w:pPr>
        <w:jc w:val="both"/>
        <w:rPr>
          <w:rFonts w:asciiTheme="majorHAnsi" w:hAnsiTheme="majorHAnsi"/>
          <w:b/>
          <w:bCs/>
        </w:rPr>
      </w:pPr>
    </w:p>
    <w:p w14:paraId="45FA95D9" w14:textId="77777777" w:rsidR="00B330AC" w:rsidRPr="004912DC" w:rsidRDefault="00B330AC" w:rsidP="00922ED9">
      <w:pPr>
        <w:jc w:val="center"/>
        <w:rPr>
          <w:rFonts w:asciiTheme="majorHAnsi" w:hAnsiTheme="majorHAnsi"/>
          <w:b/>
          <w:bCs/>
          <w:sz w:val="28"/>
          <w:szCs w:val="28"/>
        </w:rPr>
      </w:pPr>
      <w:r w:rsidRPr="004912DC">
        <w:rPr>
          <w:rFonts w:asciiTheme="majorHAnsi" w:hAnsiTheme="majorHAnsi"/>
          <w:b/>
          <w:bCs/>
          <w:sz w:val="28"/>
          <w:szCs w:val="28"/>
        </w:rPr>
        <w:t>ACUERDO DE SUPERINTENDENTE</w:t>
      </w:r>
    </w:p>
    <w:p w14:paraId="3953860A" w14:textId="515A3E1D" w:rsidR="00B330AC" w:rsidRPr="004912DC" w:rsidRDefault="00B330AC" w:rsidP="00922ED9">
      <w:pPr>
        <w:jc w:val="center"/>
        <w:rPr>
          <w:rFonts w:asciiTheme="majorHAnsi" w:hAnsiTheme="majorHAnsi"/>
          <w:b/>
          <w:bCs/>
          <w:sz w:val="28"/>
          <w:szCs w:val="28"/>
        </w:rPr>
      </w:pPr>
      <w:r w:rsidRPr="004912DC">
        <w:rPr>
          <w:rFonts w:asciiTheme="majorHAnsi" w:hAnsiTheme="majorHAnsi"/>
          <w:b/>
          <w:bCs/>
          <w:sz w:val="28"/>
          <w:szCs w:val="28"/>
        </w:rPr>
        <w:t>SGS-A-</w:t>
      </w:r>
      <w:r w:rsidR="00623065">
        <w:rPr>
          <w:rFonts w:asciiTheme="majorHAnsi" w:hAnsiTheme="majorHAnsi"/>
          <w:b/>
          <w:bCs/>
          <w:sz w:val="28"/>
          <w:szCs w:val="28"/>
        </w:rPr>
        <w:t>0089</w:t>
      </w:r>
      <w:r w:rsidRPr="004912DC">
        <w:rPr>
          <w:rFonts w:asciiTheme="majorHAnsi" w:hAnsiTheme="majorHAnsi"/>
          <w:b/>
          <w:bCs/>
          <w:sz w:val="28"/>
          <w:szCs w:val="28"/>
        </w:rPr>
        <w:t>-20</w:t>
      </w:r>
      <w:r w:rsidR="00623065">
        <w:rPr>
          <w:rFonts w:asciiTheme="majorHAnsi" w:hAnsiTheme="majorHAnsi"/>
          <w:b/>
          <w:bCs/>
          <w:sz w:val="28"/>
          <w:szCs w:val="28"/>
        </w:rPr>
        <w:t>22</w:t>
      </w:r>
    </w:p>
    <w:p w14:paraId="544A102A" w14:textId="77777777" w:rsidR="00744A2C" w:rsidRDefault="00744A2C" w:rsidP="00922ED9">
      <w:pPr>
        <w:jc w:val="both"/>
        <w:rPr>
          <w:rFonts w:ascii="Cambria" w:hAnsi="Cambria"/>
        </w:rPr>
      </w:pPr>
    </w:p>
    <w:p w14:paraId="55687A42" w14:textId="1503C5A1" w:rsidR="004912DC" w:rsidRDefault="004912DC" w:rsidP="00922ED9">
      <w:pPr>
        <w:jc w:val="center"/>
        <w:rPr>
          <w:rFonts w:asciiTheme="majorHAnsi" w:hAnsiTheme="majorHAnsi" w:cstheme="minorHAnsi"/>
          <w:b/>
          <w:bCs/>
          <w:sz w:val="28"/>
          <w:szCs w:val="28"/>
          <w:lang w:val="es-CR"/>
        </w:rPr>
      </w:pPr>
      <w:r w:rsidRPr="00BF6C1A">
        <w:rPr>
          <w:rFonts w:asciiTheme="majorHAnsi" w:hAnsiTheme="majorHAnsi" w:cstheme="minorHAnsi"/>
          <w:b/>
          <w:bCs/>
          <w:sz w:val="28"/>
          <w:szCs w:val="28"/>
          <w:lang w:val="es-CR"/>
        </w:rPr>
        <w:t>CONTRIBUCI</w:t>
      </w:r>
      <w:r w:rsidR="00242EBD">
        <w:rPr>
          <w:rFonts w:asciiTheme="majorHAnsi" w:hAnsiTheme="majorHAnsi" w:cstheme="minorHAnsi"/>
          <w:b/>
          <w:bCs/>
          <w:sz w:val="28"/>
          <w:szCs w:val="28"/>
          <w:lang w:val="es-CR"/>
        </w:rPr>
        <w:t>Ó</w:t>
      </w:r>
      <w:r w:rsidRPr="00BF6C1A">
        <w:rPr>
          <w:rFonts w:asciiTheme="majorHAnsi" w:hAnsiTheme="majorHAnsi" w:cstheme="minorHAnsi"/>
          <w:b/>
          <w:bCs/>
          <w:sz w:val="28"/>
          <w:szCs w:val="28"/>
          <w:lang w:val="es-CR"/>
        </w:rPr>
        <w:t>N DE LAS ENTIDADES SUPERVISADAS AL PRESUPUESTO</w:t>
      </w:r>
    </w:p>
    <w:p w14:paraId="4EF19E7C" w14:textId="43A96A86" w:rsidR="004912DC" w:rsidRPr="00BF6C1A" w:rsidRDefault="004912DC" w:rsidP="00922ED9">
      <w:pPr>
        <w:jc w:val="center"/>
        <w:rPr>
          <w:rFonts w:asciiTheme="majorHAnsi" w:hAnsiTheme="majorHAnsi" w:cstheme="minorHAnsi"/>
          <w:b/>
          <w:bCs/>
          <w:sz w:val="28"/>
          <w:szCs w:val="28"/>
          <w:lang w:val="es-CR"/>
        </w:rPr>
      </w:pPr>
      <w:r w:rsidRPr="00BF6C1A">
        <w:rPr>
          <w:rFonts w:asciiTheme="majorHAnsi" w:hAnsiTheme="majorHAnsi" w:cstheme="minorHAnsi"/>
          <w:b/>
          <w:bCs/>
          <w:sz w:val="28"/>
          <w:szCs w:val="28"/>
          <w:lang w:val="es-CR"/>
        </w:rPr>
        <w:t>DE LA SUPERINTENDENCIA GENERAL DE SEGUROS</w:t>
      </w:r>
    </w:p>
    <w:p w14:paraId="2659EC7D" w14:textId="77777777" w:rsidR="004912DC" w:rsidRPr="004912DC" w:rsidRDefault="004912DC" w:rsidP="00922ED9">
      <w:pPr>
        <w:jc w:val="both"/>
        <w:rPr>
          <w:rFonts w:ascii="Cambria" w:hAnsi="Cambria"/>
          <w:color w:val="000000"/>
        </w:rPr>
      </w:pPr>
    </w:p>
    <w:p w14:paraId="62D25166" w14:textId="77777777" w:rsidR="004912DC" w:rsidRPr="004912DC" w:rsidRDefault="004912DC" w:rsidP="00922ED9">
      <w:pPr>
        <w:jc w:val="both"/>
        <w:rPr>
          <w:rFonts w:ascii="Cambria" w:hAnsi="Cambria"/>
          <w:color w:val="000000"/>
        </w:rPr>
      </w:pPr>
    </w:p>
    <w:p w14:paraId="398995AA" w14:textId="1773CBA7" w:rsidR="004912DC" w:rsidRPr="00BF6C1A" w:rsidRDefault="004912DC" w:rsidP="00922ED9">
      <w:pPr>
        <w:pStyle w:val="Textoindependiente"/>
        <w:spacing w:after="0"/>
        <w:jc w:val="both"/>
        <w:rPr>
          <w:rFonts w:asciiTheme="majorHAnsi" w:hAnsiTheme="majorHAnsi" w:cstheme="minorHAnsi"/>
          <w:lang w:val="es-CR"/>
        </w:rPr>
      </w:pPr>
      <w:r w:rsidRPr="00BF6C1A">
        <w:rPr>
          <w:rFonts w:asciiTheme="majorHAnsi" w:hAnsiTheme="majorHAnsi" w:cstheme="minorHAnsi"/>
          <w:lang w:val="es-CR"/>
        </w:rPr>
        <w:t xml:space="preserve">El Superintendente General de Seguros, a las </w:t>
      </w:r>
      <w:r>
        <w:rPr>
          <w:rFonts w:asciiTheme="majorHAnsi" w:hAnsiTheme="majorHAnsi" w:cstheme="minorHAnsi"/>
          <w:lang w:val="es-CR"/>
        </w:rPr>
        <w:t>once</w:t>
      </w:r>
      <w:r w:rsidRPr="00BF6C1A">
        <w:rPr>
          <w:rFonts w:asciiTheme="majorHAnsi" w:hAnsiTheme="majorHAnsi" w:cstheme="minorHAnsi"/>
          <w:lang w:val="es-CR"/>
        </w:rPr>
        <w:t xml:space="preserve"> horas del </w:t>
      </w:r>
      <w:r w:rsidR="00EE09EB">
        <w:rPr>
          <w:rFonts w:asciiTheme="majorHAnsi" w:hAnsiTheme="majorHAnsi" w:cstheme="minorHAnsi"/>
          <w:lang w:val="es-CR"/>
        </w:rPr>
        <w:t>veinticuatro</w:t>
      </w:r>
      <w:r w:rsidRPr="00BF6C1A">
        <w:rPr>
          <w:rFonts w:asciiTheme="majorHAnsi" w:hAnsiTheme="majorHAnsi" w:cstheme="minorHAnsi"/>
          <w:lang w:val="es-CR"/>
        </w:rPr>
        <w:t xml:space="preserve"> de agosto de dos mil veintidós</w:t>
      </w:r>
      <w:r w:rsidR="00EE09EB">
        <w:rPr>
          <w:rFonts w:asciiTheme="majorHAnsi" w:hAnsiTheme="majorHAnsi" w:cstheme="minorHAnsi"/>
          <w:lang w:val="es-CR"/>
        </w:rPr>
        <w:t>.</w:t>
      </w:r>
    </w:p>
    <w:p w14:paraId="6E3F6BE7" w14:textId="77777777" w:rsidR="004912DC" w:rsidRPr="004912DC" w:rsidRDefault="004912DC" w:rsidP="00922ED9">
      <w:pPr>
        <w:jc w:val="both"/>
        <w:rPr>
          <w:rFonts w:ascii="Cambria" w:hAnsi="Cambria"/>
          <w:color w:val="000000"/>
        </w:rPr>
      </w:pPr>
    </w:p>
    <w:p w14:paraId="121B7242" w14:textId="77777777" w:rsidR="004912DC" w:rsidRPr="004912DC" w:rsidRDefault="004912DC" w:rsidP="00922ED9">
      <w:pPr>
        <w:jc w:val="both"/>
        <w:rPr>
          <w:rFonts w:ascii="Cambria" w:hAnsi="Cambria"/>
          <w:color w:val="000000"/>
        </w:rPr>
      </w:pPr>
    </w:p>
    <w:p w14:paraId="41FB12D6" w14:textId="77777777" w:rsidR="004912DC" w:rsidRPr="004912DC" w:rsidRDefault="004912DC" w:rsidP="00922ED9">
      <w:pPr>
        <w:jc w:val="center"/>
        <w:rPr>
          <w:rFonts w:asciiTheme="majorHAnsi" w:hAnsiTheme="majorHAnsi" w:cstheme="minorHAnsi"/>
          <w:b/>
          <w:bCs/>
          <w:sz w:val="28"/>
          <w:szCs w:val="28"/>
          <w:lang w:val="es-CR"/>
        </w:rPr>
      </w:pPr>
      <w:r w:rsidRPr="004912DC">
        <w:rPr>
          <w:rFonts w:asciiTheme="majorHAnsi" w:hAnsiTheme="majorHAnsi" w:cstheme="minorHAnsi"/>
          <w:b/>
          <w:bCs/>
          <w:sz w:val="28"/>
          <w:szCs w:val="28"/>
          <w:lang w:val="es-CR"/>
        </w:rPr>
        <w:t>Considerando que:</w:t>
      </w:r>
    </w:p>
    <w:p w14:paraId="3D574B96" w14:textId="77777777" w:rsidR="004912DC" w:rsidRPr="004912DC" w:rsidRDefault="004912DC" w:rsidP="00922ED9">
      <w:pPr>
        <w:jc w:val="both"/>
        <w:rPr>
          <w:rFonts w:ascii="Cambria" w:hAnsi="Cambria"/>
          <w:color w:val="000000"/>
        </w:rPr>
      </w:pPr>
    </w:p>
    <w:p w14:paraId="58FB91E8" w14:textId="77777777" w:rsidR="004912DC" w:rsidRPr="00BF6C1A" w:rsidRDefault="004912DC" w:rsidP="00922ED9">
      <w:pPr>
        <w:widowControl w:val="0"/>
        <w:numPr>
          <w:ilvl w:val="0"/>
          <w:numId w:val="1"/>
        </w:numPr>
        <w:pBdr>
          <w:top w:val="nil"/>
          <w:left w:val="nil"/>
          <w:bottom w:val="nil"/>
          <w:right w:val="nil"/>
          <w:between w:val="nil"/>
        </w:pBdr>
        <w:ind w:left="567" w:hanging="567"/>
        <w:jc w:val="both"/>
        <w:rPr>
          <w:rFonts w:asciiTheme="majorHAnsi" w:eastAsia="Verdana" w:hAnsiTheme="majorHAnsi" w:cstheme="minorHAnsi"/>
          <w:color w:val="000000"/>
          <w:lang w:val="es-CR" w:eastAsia="es-CR"/>
        </w:rPr>
      </w:pPr>
      <w:r w:rsidRPr="00BF6C1A">
        <w:rPr>
          <w:rFonts w:asciiTheme="majorHAnsi" w:eastAsia="Verdana" w:hAnsiTheme="majorHAnsi" w:cstheme="minorHAnsi"/>
          <w:color w:val="000000"/>
          <w:lang w:val="es-CR" w:eastAsia="es-CR"/>
        </w:rPr>
        <w:t xml:space="preserve">El 17 de diciembre de 1997 fue aprobada la Ley N° 7732, </w:t>
      </w:r>
      <w:r w:rsidRPr="00BF6C1A">
        <w:rPr>
          <w:rFonts w:asciiTheme="majorHAnsi" w:eastAsia="Verdana" w:hAnsiTheme="majorHAnsi" w:cstheme="minorHAnsi"/>
          <w:i/>
          <w:color w:val="000000"/>
          <w:lang w:val="es-CR" w:eastAsia="es-CR"/>
        </w:rPr>
        <w:t>Ley Reguladora del Mercado de Valores</w:t>
      </w:r>
      <w:r w:rsidRPr="00BF6C1A">
        <w:rPr>
          <w:rFonts w:asciiTheme="majorHAnsi" w:eastAsia="Verdana" w:hAnsiTheme="majorHAnsi" w:cstheme="minorHAnsi"/>
          <w:color w:val="000000"/>
          <w:lang w:val="es-CR" w:eastAsia="es-CR"/>
        </w:rPr>
        <w:t xml:space="preserve">, en vigencia desde el 27 de enero de 1998, que en los artículos 174 y 175 dispone el esquema de financiamiento de la operación de los órganos supervisores del sistema financiero, los cuales fueron reformados por el artículo 1 de la Ley N° 9746 del 17 de setiembre de 2019, </w:t>
      </w:r>
      <w:r w:rsidRPr="00BF6C1A">
        <w:rPr>
          <w:rFonts w:asciiTheme="majorHAnsi" w:eastAsia="Verdana" w:hAnsiTheme="majorHAnsi" w:cstheme="minorHAnsi"/>
          <w:i/>
          <w:color w:val="000000"/>
          <w:lang w:val="es-CR" w:eastAsia="es-CR"/>
        </w:rPr>
        <w:t>Ley Reforma de la Ley N° 7732, Ley Reguladora del Mercado de Valores, de 17 de diciembre de 1997, y otras leyes</w:t>
      </w:r>
      <w:r w:rsidRPr="00BF6C1A">
        <w:rPr>
          <w:rFonts w:asciiTheme="majorHAnsi" w:eastAsia="Verdana" w:hAnsiTheme="majorHAnsi" w:cstheme="minorHAnsi"/>
          <w:color w:val="000000"/>
          <w:lang w:val="es-CR" w:eastAsia="es-CR"/>
        </w:rPr>
        <w:t>, en vigencia desde el 22 de octubre de 2019.</w:t>
      </w:r>
    </w:p>
    <w:p w14:paraId="46195802" w14:textId="77777777" w:rsidR="004912DC" w:rsidRPr="00BF6C1A" w:rsidRDefault="004912DC" w:rsidP="00922ED9">
      <w:pPr>
        <w:widowControl w:val="0"/>
        <w:pBdr>
          <w:top w:val="nil"/>
          <w:left w:val="nil"/>
          <w:bottom w:val="nil"/>
          <w:right w:val="nil"/>
          <w:between w:val="nil"/>
        </w:pBdr>
        <w:ind w:left="567" w:hanging="567"/>
        <w:jc w:val="both"/>
        <w:rPr>
          <w:rFonts w:asciiTheme="majorHAnsi" w:eastAsia="Verdana" w:hAnsiTheme="majorHAnsi" w:cstheme="minorHAnsi"/>
          <w:color w:val="000000"/>
          <w:lang w:val="es-CR" w:eastAsia="es-CR"/>
        </w:rPr>
      </w:pPr>
    </w:p>
    <w:p w14:paraId="55521FB0" w14:textId="77777777" w:rsidR="004912DC" w:rsidRPr="00BF6C1A" w:rsidRDefault="004912DC" w:rsidP="00922ED9">
      <w:pPr>
        <w:widowControl w:val="0"/>
        <w:numPr>
          <w:ilvl w:val="0"/>
          <w:numId w:val="1"/>
        </w:numPr>
        <w:pBdr>
          <w:top w:val="nil"/>
          <w:left w:val="nil"/>
          <w:bottom w:val="nil"/>
          <w:right w:val="nil"/>
          <w:between w:val="nil"/>
        </w:pBdr>
        <w:ind w:left="567" w:hanging="567"/>
        <w:jc w:val="both"/>
        <w:rPr>
          <w:rFonts w:asciiTheme="majorHAnsi" w:eastAsia="Verdana" w:hAnsiTheme="majorHAnsi" w:cstheme="minorHAnsi"/>
          <w:color w:val="000000"/>
          <w:lang w:val="es-CR" w:eastAsia="es-CR"/>
        </w:rPr>
      </w:pPr>
      <w:r w:rsidRPr="00BF6C1A">
        <w:rPr>
          <w:rFonts w:asciiTheme="majorHAnsi" w:eastAsia="Verdana" w:hAnsiTheme="majorHAnsi" w:cstheme="minorHAnsi"/>
          <w:color w:val="000000"/>
          <w:lang w:val="es-CR" w:eastAsia="es-CR"/>
        </w:rPr>
        <w:t>El artículo 174 de la Ley N°7732, reformado mediante el artículo 1 de la Ley N° 9746, incorpora ahora a la Superintendencia General de Seguros (SUGESE) en el esquema de financiamiento del presupuesto de los supervisores del sector financiero y el Transitorio III de la Ley N° 9746 dispuso una gradualidad para la contribución de las entidades supervisadas por SUGESE a su presupuesto.</w:t>
      </w:r>
    </w:p>
    <w:p w14:paraId="4A969068" w14:textId="77777777" w:rsidR="004912DC" w:rsidRPr="00BF6C1A" w:rsidRDefault="004912DC" w:rsidP="00922ED9">
      <w:pPr>
        <w:widowControl w:val="0"/>
        <w:pBdr>
          <w:top w:val="nil"/>
          <w:left w:val="nil"/>
          <w:bottom w:val="nil"/>
          <w:right w:val="nil"/>
          <w:between w:val="nil"/>
        </w:pBdr>
        <w:ind w:left="567" w:hanging="567"/>
        <w:jc w:val="both"/>
        <w:rPr>
          <w:rFonts w:asciiTheme="majorHAnsi" w:eastAsia="Verdana" w:hAnsiTheme="majorHAnsi" w:cstheme="minorHAnsi"/>
          <w:color w:val="000000"/>
          <w:lang w:val="es-CR" w:eastAsia="es-CR"/>
        </w:rPr>
      </w:pPr>
    </w:p>
    <w:p w14:paraId="0D2ECE16" w14:textId="77777777" w:rsidR="004912DC" w:rsidRPr="00BF6C1A" w:rsidRDefault="004912DC" w:rsidP="00922ED9">
      <w:pPr>
        <w:widowControl w:val="0"/>
        <w:numPr>
          <w:ilvl w:val="0"/>
          <w:numId w:val="1"/>
        </w:numPr>
        <w:pBdr>
          <w:top w:val="nil"/>
          <w:left w:val="nil"/>
          <w:bottom w:val="nil"/>
          <w:right w:val="nil"/>
          <w:between w:val="nil"/>
        </w:pBdr>
        <w:ind w:left="567" w:hanging="567"/>
        <w:jc w:val="both"/>
        <w:rPr>
          <w:rFonts w:asciiTheme="majorHAnsi" w:eastAsia="Verdana" w:hAnsiTheme="majorHAnsi" w:cstheme="minorHAnsi"/>
          <w:color w:val="000000"/>
          <w:lang w:val="es-CR" w:eastAsia="es-CR"/>
        </w:rPr>
      </w:pPr>
      <w:r w:rsidRPr="00BF6C1A">
        <w:rPr>
          <w:rFonts w:asciiTheme="majorHAnsi" w:eastAsia="Verdana" w:hAnsiTheme="majorHAnsi" w:cstheme="minorHAnsi"/>
          <w:color w:val="000000"/>
          <w:lang w:val="es-CR" w:eastAsia="es-CR"/>
        </w:rPr>
        <w:t xml:space="preserve">El artículo 175 de la Ley N° 7732, reformado mediante el artículo 1 de la Ley N° 9746, dispone </w:t>
      </w:r>
      <w:r w:rsidRPr="00BF6C1A">
        <w:rPr>
          <w:rFonts w:asciiTheme="majorHAnsi" w:hAnsiTheme="majorHAnsi" w:cstheme="minorHAnsi"/>
          <w:lang w:val="es-CR"/>
        </w:rPr>
        <w:t>que las contribuciones regulares al financiamiento de la Superintendencia General de Seguros dependerán de sus ingresos brutos anuales, exceptuando de ellos, únicamente, los ingresos que provengan de reaseguradoras para el caso de entidades de seguros y reaseguros, al señalar en l</w:t>
      </w:r>
      <w:r w:rsidRPr="00BF6C1A">
        <w:rPr>
          <w:rFonts w:asciiTheme="majorHAnsi" w:eastAsia="Verdana" w:hAnsiTheme="majorHAnsi" w:cstheme="minorHAnsi"/>
          <w:color w:val="000000"/>
          <w:lang w:val="es-CR" w:eastAsia="es-CR"/>
        </w:rPr>
        <w:t>o conducente:</w:t>
      </w:r>
    </w:p>
    <w:p w14:paraId="68B8389C" w14:textId="77777777" w:rsidR="004912DC" w:rsidRPr="00BF6C1A" w:rsidRDefault="004912DC" w:rsidP="00922ED9">
      <w:pPr>
        <w:rPr>
          <w:rFonts w:asciiTheme="majorHAnsi" w:eastAsia="Verdana" w:hAnsiTheme="majorHAnsi" w:cstheme="minorHAnsi"/>
          <w:i/>
          <w:color w:val="000000"/>
          <w:sz w:val="20"/>
          <w:szCs w:val="20"/>
          <w:lang w:val="es-CR" w:eastAsia="es-CR"/>
        </w:rPr>
      </w:pPr>
      <w:r w:rsidRPr="00BF6C1A">
        <w:rPr>
          <w:rFonts w:asciiTheme="majorHAnsi" w:eastAsia="Verdana" w:hAnsiTheme="majorHAnsi" w:cstheme="minorHAnsi"/>
          <w:i/>
          <w:color w:val="000000"/>
          <w:sz w:val="20"/>
          <w:szCs w:val="20"/>
          <w:lang w:val="es-CR" w:eastAsia="es-CR"/>
        </w:rPr>
        <w:br w:type="page"/>
      </w:r>
    </w:p>
    <w:p w14:paraId="7E60A8D6" w14:textId="77777777" w:rsidR="004912DC" w:rsidRPr="00BF6C1A" w:rsidRDefault="004912DC" w:rsidP="00922ED9">
      <w:pPr>
        <w:autoSpaceDE w:val="0"/>
        <w:autoSpaceDN w:val="0"/>
        <w:adjustRightInd w:val="0"/>
        <w:ind w:left="1134" w:right="616" w:hanging="1"/>
        <w:jc w:val="both"/>
        <w:rPr>
          <w:rFonts w:asciiTheme="majorHAnsi" w:eastAsia="Verdana" w:hAnsiTheme="majorHAnsi" w:cstheme="minorHAnsi"/>
          <w:i/>
          <w:color w:val="000000"/>
          <w:sz w:val="20"/>
          <w:szCs w:val="20"/>
          <w:lang w:val="es-CR" w:eastAsia="es-CR"/>
        </w:rPr>
      </w:pPr>
      <w:r w:rsidRPr="00BF6C1A">
        <w:rPr>
          <w:rFonts w:asciiTheme="majorHAnsi" w:eastAsia="Verdana" w:hAnsiTheme="majorHAnsi" w:cstheme="minorHAnsi"/>
          <w:i/>
          <w:color w:val="000000"/>
          <w:sz w:val="20"/>
          <w:szCs w:val="20"/>
          <w:lang w:val="es-CR" w:eastAsia="es-CR"/>
        </w:rPr>
        <w:lastRenderedPageBreak/>
        <w:t>“Artículo 175- Contribución de cada sujeto fiscalizado al financiamiento de los gastos de las superintendencias</w:t>
      </w:r>
    </w:p>
    <w:p w14:paraId="5D3A16B9" w14:textId="77777777" w:rsidR="004912DC" w:rsidRPr="00922ED9" w:rsidRDefault="004912DC" w:rsidP="00922ED9">
      <w:pPr>
        <w:widowControl w:val="0"/>
        <w:pBdr>
          <w:top w:val="nil"/>
          <w:left w:val="nil"/>
          <w:bottom w:val="nil"/>
          <w:right w:val="nil"/>
          <w:between w:val="nil"/>
        </w:pBdr>
        <w:jc w:val="both"/>
        <w:rPr>
          <w:rFonts w:asciiTheme="majorHAnsi" w:eastAsia="Verdana" w:hAnsiTheme="majorHAnsi" w:cstheme="minorHAnsi"/>
          <w:color w:val="000000"/>
          <w:lang w:val="es-CR" w:eastAsia="es-CR"/>
        </w:rPr>
      </w:pPr>
    </w:p>
    <w:p w14:paraId="18869026" w14:textId="77777777" w:rsidR="004912DC" w:rsidRPr="00BF6C1A" w:rsidRDefault="004912DC" w:rsidP="00922ED9">
      <w:pPr>
        <w:autoSpaceDE w:val="0"/>
        <w:autoSpaceDN w:val="0"/>
        <w:adjustRightInd w:val="0"/>
        <w:ind w:left="1134" w:right="616" w:hanging="1"/>
        <w:jc w:val="both"/>
        <w:rPr>
          <w:rFonts w:asciiTheme="majorHAnsi" w:eastAsia="Verdana" w:hAnsiTheme="majorHAnsi" w:cstheme="minorHAnsi"/>
          <w:i/>
          <w:color w:val="000000"/>
          <w:sz w:val="20"/>
          <w:szCs w:val="20"/>
          <w:lang w:val="es-CR" w:eastAsia="es-CR"/>
        </w:rPr>
      </w:pPr>
      <w:r w:rsidRPr="00BF6C1A">
        <w:rPr>
          <w:rFonts w:asciiTheme="majorHAnsi" w:eastAsia="Verdana" w:hAnsiTheme="majorHAnsi" w:cstheme="minorHAnsi"/>
          <w:i/>
          <w:color w:val="000000"/>
          <w:sz w:val="20"/>
          <w:szCs w:val="20"/>
          <w:lang w:val="es-CR" w:eastAsia="es-CR"/>
        </w:rPr>
        <w:t>Cada sujeto supervisado por la Superintendencia General de Entidades Financieras (Sugef), la Superintendencia General de Valores (Sugeval) y la Superintendencia General de Seguros (Sugese) contribuirá, hasta con un máximo del dos por ciento (2%) de sus ingresos brutos anuales, al financiamiento de los gastos efectivos de la respectiva superintendencia. Para las entidades aseguradoras y reaseguradoras supervisadas por la Superintendencia General de Seguros no se tomarán en cuenta, para los efectos de este artículo, los ingresos provenientes de las reaseguradoras.</w:t>
      </w:r>
    </w:p>
    <w:p w14:paraId="7D54CC94" w14:textId="77777777" w:rsidR="004912DC" w:rsidRPr="00922ED9" w:rsidRDefault="004912DC" w:rsidP="00922ED9">
      <w:pPr>
        <w:widowControl w:val="0"/>
        <w:pBdr>
          <w:top w:val="nil"/>
          <w:left w:val="nil"/>
          <w:bottom w:val="nil"/>
          <w:right w:val="nil"/>
          <w:between w:val="nil"/>
        </w:pBdr>
        <w:jc w:val="both"/>
        <w:rPr>
          <w:rFonts w:asciiTheme="majorHAnsi" w:eastAsia="Verdana" w:hAnsiTheme="majorHAnsi" w:cstheme="minorHAnsi"/>
          <w:color w:val="000000"/>
          <w:lang w:val="es-CR" w:eastAsia="es-CR"/>
        </w:rPr>
      </w:pPr>
    </w:p>
    <w:p w14:paraId="3939549C" w14:textId="77777777" w:rsidR="004912DC" w:rsidRPr="00BF6C1A" w:rsidRDefault="004912DC" w:rsidP="00922ED9">
      <w:pPr>
        <w:autoSpaceDE w:val="0"/>
        <w:autoSpaceDN w:val="0"/>
        <w:adjustRightInd w:val="0"/>
        <w:ind w:left="1134" w:right="616" w:hanging="1"/>
        <w:jc w:val="both"/>
        <w:rPr>
          <w:rFonts w:asciiTheme="majorHAnsi" w:eastAsia="Verdana" w:hAnsiTheme="majorHAnsi" w:cstheme="minorHAnsi"/>
          <w:i/>
          <w:color w:val="000000"/>
          <w:sz w:val="20"/>
          <w:szCs w:val="20"/>
          <w:lang w:val="es-CR" w:eastAsia="es-CR"/>
        </w:rPr>
      </w:pPr>
      <w:r w:rsidRPr="00BF6C1A">
        <w:rPr>
          <w:rFonts w:asciiTheme="majorHAnsi" w:eastAsia="Verdana" w:hAnsiTheme="majorHAnsi" w:cstheme="minorHAnsi"/>
          <w:i/>
          <w:color w:val="000000"/>
          <w:sz w:val="20"/>
          <w:szCs w:val="20"/>
          <w:lang w:val="es-CR" w:eastAsia="es-CR"/>
        </w:rPr>
        <w:t>…”</w:t>
      </w:r>
    </w:p>
    <w:p w14:paraId="676FAE79" w14:textId="77777777" w:rsidR="004912DC" w:rsidRPr="00922ED9" w:rsidRDefault="004912DC" w:rsidP="00922ED9">
      <w:pPr>
        <w:widowControl w:val="0"/>
        <w:pBdr>
          <w:top w:val="nil"/>
          <w:left w:val="nil"/>
          <w:bottom w:val="nil"/>
          <w:right w:val="nil"/>
          <w:between w:val="nil"/>
        </w:pBdr>
        <w:jc w:val="both"/>
        <w:rPr>
          <w:rFonts w:asciiTheme="majorHAnsi" w:eastAsia="Verdana" w:hAnsiTheme="majorHAnsi" w:cstheme="minorHAnsi"/>
          <w:color w:val="000000"/>
          <w:lang w:val="es-CR" w:eastAsia="es-CR"/>
        </w:rPr>
      </w:pPr>
    </w:p>
    <w:p w14:paraId="428554F0" w14:textId="77777777" w:rsidR="004912DC" w:rsidRPr="00BF6C1A" w:rsidRDefault="004912DC" w:rsidP="00922ED9">
      <w:pPr>
        <w:widowControl w:val="0"/>
        <w:pBdr>
          <w:top w:val="nil"/>
          <w:left w:val="nil"/>
          <w:bottom w:val="nil"/>
          <w:right w:val="nil"/>
          <w:between w:val="nil"/>
        </w:pBdr>
        <w:ind w:left="567"/>
        <w:jc w:val="both"/>
        <w:rPr>
          <w:rFonts w:asciiTheme="majorHAnsi" w:eastAsia="Verdana" w:hAnsiTheme="majorHAnsi" w:cstheme="minorHAnsi"/>
          <w:color w:val="000000"/>
          <w:lang w:val="es-CR" w:eastAsia="es-CR"/>
        </w:rPr>
      </w:pPr>
      <w:r w:rsidRPr="00BF6C1A">
        <w:rPr>
          <w:rFonts w:asciiTheme="majorHAnsi" w:eastAsia="Verdana" w:hAnsiTheme="majorHAnsi" w:cstheme="minorHAnsi"/>
          <w:color w:val="000000"/>
          <w:lang w:val="es-CR" w:eastAsia="es-CR"/>
        </w:rPr>
        <w:t>Lo que obliga, por lo tanto, para el caso de aseguradoras y reaseguradoras, a normar lo relativo a los ingresos a excluir por cumplir con la excepción dispuesta en el artículo citado.</w:t>
      </w:r>
    </w:p>
    <w:p w14:paraId="10185421" w14:textId="77777777" w:rsidR="004912DC" w:rsidRPr="00BF6C1A" w:rsidRDefault="004912DC" w:rsidP="00922ED9">
      <w:pPr>
        <w:widowControl w:val="0"/>
        <w:pBdr>
          <w:top w:val="nil"/>
          <w:left w:val="nil"/>
          <w:bottom w:val="nil"/>
          <w:right w:val="nil"/>
          <w:between w:val="nil"/>
        </w:pBdr>
        <w:jc w:val="both"/>
        <w:rPr>
          <w:rFonts w:asciiTheme="majorHAnsi" w:eastAsia="Verdana" w:hAnsiTheme="majorHAnsi" w:cstheme="minorHAnsi"/>
          <w:color w:val="000000"/>
          <w:lang w:val="es-CR" w:eastAsia="es-CR"/>
        </w:rPr>
      </w:pPr>
    </w:p>
    <w:p w14:paraId="106040C5" w14:textId="77777777" w:rsidR="004912DC" w:rsidRPr="00BF6C1A" w:rsidRDefault="004912DC" w:rsidP="00922ED9">
      <w:pPr>
        <w:widowControl w:val="0"/>
        <w:numPr>
          <w:ilvl w:val="0"/>
          <w:numId w:val="1"/>
        </w:numPr>
        <w:pBdr>
          <w:top w:val="nil"/>
          <w:left w:val="nil"/>
          <w:bottom w:val="nil"/>
          <w:right w:val="nil"/>
          <w:between w:val="nil"/>
        </w:pBdr>
        <w:ind w:left="567" w:hanging="567"/>
        <w:jc w:val="both"/>
        <w:rPr>
          <w:rFonts w:asciiTheme="majorHAnsi" w:hAnsiTheme="majorHAnsi" w:cstheme="minorHAnsi"/>
          <w:lang w:val="es-CR"/>
        </w:rPr>
      </w:pPr>
      <w:r w:rsidRPr="00BF6C1A">
        <w:rPr>
          <w:rFonts w:asciiTheme="majorHAnsi" w:eastAsia="Verdana" w:hAnsiTheme="majorHAnsi" w:cstheme="minorHAnsi"/>
          <w:color w:val="000000"/>
          <w:lang w:val="es-CR" w:eastAsia="es-CR"/>
        </w:rPr>
        <w:t>E</w:t>
      </w:r>
      <w:r w:rsidRPr="00BF6C1A">
        <w:rPr>
          <w:rFonts w:asciiTheme="majorHAnsi" w:hAnsiTheme="majorHAnsi" w:cstheme="minorHAnsi"/>
          <w:lang w:val="es-CR"/>
        </w:rPr>
        <w:t xml:space="preserve">l 20 de diciembre de 2013 fue aprobado el Decreto Ejecutivo N° 38292-H, </w:t>
      </w:r>
      <w:r w:rsidRPr="00BF6C1A">
        <w:rPr>
          <w:rFonts w:asciiTheme="majorHAnsi" w:eastAsia="Verdana" w:hAnsiTheme="majorHAnsi" w:cstheme="minorHAnsi"/>
          <w:i/>
          <w:color w:val="000000"/>
          <w:lang w:val="es-CR"/>
        </w:rPr>
        <w:t>Reglamento para regular la participación de los sujetos fiscalizados en el financiamiento del presupuesto de las superintendencias</w:t>
      </w:r>
      <w:r w:rsidRPr="00BF6C1A">
        <w:rPr>
          <w:rFonts w:asciiTheme="majorHAnsi" w:hAnsiTheme="majorHAnsi" w:cstheme="minorHAnsi"/>
          <w:lang w:val="es-CR"/>
        </w:rPr>
        <w:t xml:space="preserve">, en vigor desde el 01 de enero de 2015, el cual norma lo dispuesto en los artículos 174 y 175 de la Ley N° 7732 y fue reformado consecuentemente a partir de la reforma dispuesta en la </w:t>
      </w:r>
      <w:r w:rsidRPr="00BF6C1A">
        <w:rPr>
          <w:rFonts w:asciiTheme="majorHAnsi" w:eastAsia="Verdana" w:hAnsiTheme="majorHAnsi" w:cstheme="minorHAnsi"/>
          <w:color w:val="000000"/>
          <w:lang w:val="es-CR" w:eastAsia="es-CR"/>
        </w:rPr>
        <w:t xml:space="preserve">Ley N° 9746, mediante Decreto Ejecutivo N° 43628-H, </w:t>
      </w:r>
      <w:r w:rsidRPr="00BF6C1A">
        <w:rPr>
          <w:rFonts w:asciiTheme="majorHAnsi" w:hAnsiTheme="majorHAnsi" w:cstheme="minorHAnsi"/>
          <w:i/>
          <w:iCs/>
          <w:lang w:val="es-CR"/>
        </w:rPr>
        <w:t>“Reforma al Decreto Ejecutivo N°38292-H, Reglamento para Regular la Participación de los Sujetos Fiscalizados en el Financiamiento del Presupuesto de las Superintendencias, para incorporar a la Superintendencia General de Seguros”</w:t>
      </w:r>
      <w:r w:rsidRPr="00BF6C1A">
        <w:rPr>
          <w:rFonts w:asciiTheme="majorHAnsi" w:eastAsia="Verdana" w:hAnsiTheme="majorHAnsi" w:cstheme="minorHAnsi"/>
          <w:color w:val="000000"/>
          <w:lang w:val="es-CR" w:eastAsia="es-CR"/>
        </w:rPr>
        <w:t>, emitido el día 13 de junio de 2022 y publicado en el Alcancel N°178 al Diario Oficial La Gaceta N° 158 del 22 de agosto de 2022.</w:t>
      </w:r>
    </w:p>
    <w:p w14:paraId="57A183AE" w14:textId="77777777" w:rsidR="004912DC" w:rsidRPr="00BF6C1A" w:rsidRDefault="004912DC" w:rsidP="00922ED9">
      <w:pPr>
        <w:ind w:left="567" w:hanging="567"/>
        <w:jc w:val="both"/>
        <w:rPr>
          <w:rFonts w:asciiTheme="majorHAnsi" w:hAnsiTheme="majorHAnsi" w:cstheme="minorHAnsi"/>
          <w:lang w:val="es-CR"/>
        </w:rPr>
      </w:pPr>
    </w:p>
    <w:p w14:paraId="6A459A4D" w14:textId="77777777" w:rsidR="004912DC" w:rsidRPr="00BF6C1A" w:rsidRDefault="004912DC" w:rsidP="00922ED9">
      <w:pPr>
        <w:widowControl w:val="0"/>
        <w:numPr>
          <w:ilvl w:val="0"/>
          <w:numId w:val="1"/>
        </w:numPr>
        <w:pBdr>
          <w:top w:val="nil"/>
          <w:left w:val="nil"/>
          <w:bottom w:val="nil"/>
          <w:right w:val="nil"/>
          <w:between w:val="nil"/>
        </w:pBdr>
        <w:ind w:left="567" w:hanging="567"/>
        <w:jc w:val="both"/>
        <w:rPr>
          <w:rFonts w:asciiTheme="majorHAnsi" w:hAnsiTheme="majorHAnsi" w:cstheme="minorHAnsi"/>
          <w:lang w:val="es-CR"/>
        </w:rPr>
      </w:pPr>
      <w:r w:rsidRPr="00BF6C1A">
        <w:rPr>
          <w:rFonts w:asciiTheme="majorHAnsi" w:hAnsiTheme="majorHAnsi" w:cstheme="minorHAnsi"/>
          <w:lang w:val="es-CR"/>
        </w:rPr>
        <w:t xml:space="preserve">El Decreto Ejecutivo N° 38292-H, </w:t>
      </w:r>
      <w:r w:rsidRPr="00BF6C1A">
        <w:rPr>
          <w:rFonts w:asciiTheme="majorHAnsi" w:hAnsiTheme="majorHAnsi" w:cstheme="minorHAnsi"/>
          <w:i/>
          <w:iCs/>
          <w:lang w:val="es-CR"/>
        </w:rPr>
        <w:t>Reglamento para regular la participación de los sujetos fiscalizados en el financiamiento del presupuesto de las superintendencias</w:t>
      </w:r>
      <w:r w:rsidRPr="00BF6C1A">
        <w:rPr>
          <w:rFonts w:asciiTheme="majorHAnsi" w:hAnsiTheme="majorHAnsi" w:cstheme="minorHAnsi"/>
          <w:lang w:val="es-CR"/>
        </w:rPr>
        <w:t xml:space="preserve">, en su artículo 23, dispone que </w:t>
      </w:r>
      <w:r w:rsidRPr="00BF6C1A">
        <w:rPr>
          <w:rFonts w:asciiTheme="majorHAnsi" w:hAnsiTheme="majorHAnsi" w:cstheme="minorHAnsi"/>
          <w:i/>
          <w:iCs/>
          <w:lang w:val="es-CR"/>
        </w:rPr>
        <w:t>“Las Superintendencias están facultadas para emitir los lineamientos e instrucciones que sean necesarias y pertinentes para la correcta aplicación del presente reglamento”</w:t>
      </w:r>
      <w:r w:rsidRPr="00BF6C1A">
        <w:rPr>
          <w:rFonts w:asciiTheme="majorHAnsi" w:hAnsiTheme="majorHAnsi" w:cstheme="minorHAnsi"/>
          <w:lang w:val="es-CR"/>
        </w:rPr>
        <w:t xml:space="preserve">. Adicionalmente, el Artículo 29, inciso j, de la </w:t>
      </w:r>
      <w:r w:rsidRPr="00BF6C1A">
        <w:rPr>
          <w:rFonts w:asciiTheme="majorHAnsi" w:hAnsiTheme="majorHAnsi" w:cstheme="minorHAnsi"/>
          <w:i/>
          <w:iCs/>
          <w:lang w:val="es-CR"/>
        </w:rPr>
        <w:t>Ley Reguladora del Mercado de Seguros</w:t>
      </w:r>
      <w:r w:rsidRPr="00BF6C1A">
        <w:rPr>
          <w:rFonts w:asciiTheme="majorHAnsi" w:hAnsiTheme="majorHAnsi" w:cstheme="minorHAnsi"/>
          <w:lang w:val="es-CR"/>
        </w:rPr>
        <w:t>, Ley N° 8653, faculta a la SUGESE para dictar las normas y directrices de carácter técnico u operativo que se requieran.</w:t>
      </w:r>
    </w:p>
    <w:p w14:paraId="0B3D71FD" w14:textId="77777777" w:rsidR="004912DC" w:rsidRPr="00BF6C1A" w:rsidRDefault="004912DC" w:rsidP="00922ED9">
      <w:pPr>
        <w:widowControl w:val="0"/>
        <w:pBdr>
          <w:top w:val="nil"/>
          <w:left w:val="nil"/>
          <w:bottom w:val="nil"/>
          <w:right w:val="nil"/>
          <w:between w:val="nil"/>
        </w:pBdr>
        <w:ind w:left="567" w:hanging="567"/>
        <w:jc w:val="both"/>
        <w:rPr>
          <w:rFonts w:asciiTheme="majorHAnsi" w:hAnsiTheme="majorHAnsi" w:cstheme="minorHAnsi"/>
          <w:lang w:val="es-CR"/>
        </w:rPr>
      </w:pPr>
    </w:p>
    <w:p w14:paraId="4F4AAD9B" w14:textId="77777777" w:rsidR="004912DC" w:rsidRPr="00BF6C1A" w:rsidRDefault="004912DC" w:rsidP="00922ED9">
      <w:pPr>
        <w:widowControl w:val="0"/>
        <w:numPr>
          <w:ilvl w:val="0"/>
          <w:numId w:val="1"/>
        </w:numPr>
        <w:pBdr>
          <w:top w:val="nil"/>
          <w:left w:val="nil"/>
          <w:bottom w:val="nil"/>
          <w:right w:val="nil"/>
          <w:between w:val="nil"/>
        </w:pBdr>
        <w:ind w:left="567" w:hanging="567"/>
        <w:jc w:val="both"/>
        <w:rPr>
          <w:rFonts w:asciiTheme="majorHAnsi" w:hAnsiTheme="majorHAnsi" w:cstheme="minorHAnsi"/>
          <w:lang w:val="es-CR"/>
        </w:rPr>
      </w:pPr>
      <w:r w:rsidRPr="00BF6C1A">
        <w:rPr>
          <w:rFonts w:asciiTheme="majorHAnsi" w:hAnsiTheme="majorHAnsi" w:cstheme="minorHAnsi"/>
          <w:lang w:val="es-CR"/>
        </w:rPr>
        <w:t xml:space="preserve">El Decreto Ejecutivo N° 38292-H, en el inciso e del artículo 2, dispone un plazo de veinte (20) días hábiles en enero de cada año, para la definición y notificación a los sujetos supervisados de los pagos parciales de enero a noviembre que les corresponde. </w:t>
      </w:r>
    </w:p>
    <w:p w14:paraId="6FB6213B" w14:textId="77777777" w:rsidR="00922ED9" w:rsidRDefault="00922ED9" w:rsidP="00922ED9">
      <w:pPr>
        <w:rPr>
          <w:rFonts w:asciiTheme="majorHAnsi" w:hAnsiTheme="majorHAnsi" w:cstheme="minorHAnsi"/>
          <w:lang w:val="es-CR"/>
        </w:rPr>
      </w:pPr>
      <w:r>
        <w:rPr>
          <w:rFonts w:asciiTheme="majorHAnsi" w:hAnsiTheme="majorHAnsi" w:cstheme="minorHAnsi"/>
          <w:lang w:val="es-CR"/>
        </w:rPr>
        <w:br w:type="page"/>
      </w:r>
    </w:p>
    <w:p w14:paraId="4BF034E7" w14:textId="28F23A5F" w:rsidR="004912DC" w:rsidRPr="00BF6C1A" w:rsidRDefault="004912DC" w:rsidP="00922ED9">
      <w:pPr>
        <w:widowControl w:val="0"/>
        <w:pBdr>
          <w:top w:val="nil"/>
          <w:left w:val="nil"/>
          <w:bottom w:val="nil"/>
          <w:right w:val="nil"/>
          <w:between w:val="nil"/>
        </w:pBdr>
        <w:ind w:left="567"/>
        <w:jc w:val="both"/>
        <w:rPr>
          <w:rFonts w:asciiTheme="majorHAnsi" w:hAnsiTheme="majorHAnsi" w:cstheme="minorHAnsi"/>
          <w:lang w:val="es-CR"/>
        </w:rPr>
      </w:pPr>
      <w:r w:rsidRPr="00BF6C1A">
        <w:rPr>
          <w:rFonts w:asciiTheme="majorHAnsi" w:hAnsiTheme="majorHAnsi" w:cstheme="minorHAnsi"/>
          <w:lang w:val="es-CR"/>
        </w:rPr>
        <w:lastRenderedPageBreak/>
        <w:t xml:space="preserve">Por su parte, el Artículo 3 del </w:t>
      </w:r>
      <w:r w:rsidRPr="00BF6C1A">
        <w:rPr>
          <w:rFonts w:asciiTheme="majorHAnsi" w:hAnsiTheme="majorHAnsi" w:cstheme="minorHAnsi"/>
          <w:bCs/>
          <w:lang w:val="es-CR"/>
        </w:rPr>
        <w:t xml:space="preserve">acuerdo de Superintendente SGS-DES-A-021-2013, </w:t>
      </w:r>
      <w:r w:rsidRPr="00BF6C1A">
        <w:rPr>
          <w:rFonts w:asciiTheme="majorHAnsi" w:hAnsiTheme="majorHAnsi" w:cstheme="minorHAnsi"/>
          <w:bCs/>
          <w:i/>
          <w:iCs/>
          <w:lang w:val="es-CR"/>
        </w:rPr>
        <w:t>Disposiciones para la Remisión de la Información Contable y Estadística a la Superintendencia General de Seguros por parte de las Entidades Supervisadas</w:t>
      </w:r>
      <w:r w:rsidRPr="00BF6C1A">
        <w:rPr>
          <w:rFonts w:asciiTheme="majorHAnsi" w:hAnsiTheme="majorHAnsi" w:cstheme="minorHAnsi"/>
          <w:bCs/>
          <w:lang w:val="es-CR"/>
        </w:rPr>
        <w:t xml:space="preserve">, del 23 de mayo de 2013, fija un plazo de quince (15) días hábiles para la aportación de la información contable de los intermediarios de seguros de diciembre de cada año, lo cual debe ser modificado para poder cumplir el plazo establecido en el </w:t>
      </w:r>
      <w:r w:rsidRPr="00BF6C1A">
        <w:rPr>
          <w:rFonts w:asciiTheme="majorHAnsi" w:hAnsiTheme="majorHAnsi" w:cstheme="minorHAnsi"/>
          <w:lang w:val="es-CR"/>
        </w:rPr>
        <w:t>Decreto Ejecutivo N° 38292-H. Adicionalmente, para realizar los cálculos y definir los pagos parciales, de conformidad con la metodología, es necesario contar con la información de todos los sujetos bajo su alcance.</w:t>
      </w:r>
    </w:p>
    <w:p w14:paraId="592A6040" w14:textId="77777777" w:rsidR="004912DC" w:rsidRPr="00922ED9" w:rsidRDefault="004912DC" w:rsidP="00922ED9">
      <w:pPr>
        <w:widowControl w:val="0"/>
        <w:pBdr>
          <w:top w:val="nil"/>
          <w:left w:val="nil"/>
          <w:bottom w:val="nil"/>
          <w:right w:val="nil"/>
          <w:between w:val="nil"/>
        </w:pBdr>
        <w:jc w:val="both"/>
        <w:rPr>
          <w:rFonts w:asciiTheme="majorHAnsi" w:eastAsia="Verdana" w:hAnsiTheme="majorHAnsi" w:cstheme="minorHAnsi"/>
          <w:color w:val="000000"/>
          <w:lang w:val="es-CR" w:eastAsia="es-CR"/>
        </w:rPr>
      </w:pPr>
    </w:p>
    <w:p w14:paraId="49BB6B63" w14:textId="77777777" w:rsidR="004912DC" w:rsidRPr="00BF6C1A" w:rsidRDefault="004912DC" w:rsidP="00922ED9">
      <w:pPr>
        <w:ind w:left="567"/>
        <w:jc w:val="both"/>
        <w:rPr>
          <w:rFonts w:asciiTheme="majorHAnsi" w:hAnsiTheme="majorHAnsi" w:cstheme="minorHAnsi"/>
          <w:lang w:val="es-CR"/>
        </w:rPr>
      </w:pPr>
      <w:r w:rsidRPr="00BF6C1A">
        <w:rPr>
          <w:rFonts w:asciiTheme="majorHAnsi" w:hAnsiTheme="majorHAnsi" w:cstheme="minorHAnsi"/>
          <w:lang w:val="es-CR"/>
        </w:rPr>
        <w:t>Por tanto, es necesario uniformar, a cinco días hábiles, el plazo de entrega de la información contable de diciembre de cada año de los intermediarios de seguros con el de las entidades de seguros</w:t>
      </w:r>
      <w:r w:rsidRPr="00BF6C1A">
        <w:rPr>
          <w:rFonts w:asciiTheme="majorHAnsi" w:hAnsiTheme="majorHAnsi" w:cstheme="minorHAnsi"/>
          <w:bCs/>
          <w:lang w:val="es-CR"/>
        </w:rPr>
        <w:t>.</w:t>
      </w:r>
    </w:p>
    <w:p w14:paraId="3613A3A3" w14:textId="77777777" w:rsidR="004912DC" w:rsidRPr="00BF6C1A" w:rsidRDefault="004912DC" w:rsidP="00922ED9">
      <w:pPr>
        <w:jc w:val="both"/>
        <w:rPr>
          <w:rFonts w:asciiTheme="majorHAnsi" w:hAnsiTheme="majorHAnsi" w:cstheme="minorHAnsi"/>
          <w:b/>
          <w:bCs/>
          <w:lang w:val="es-CR"/>
        </w:rPr>
      </w:pPr>
    </w:p>
    <w:p w14:paraId="2A79628F" w14:textId="77777777" w:rsidR="004912DC" w:rsidRPr="00BF6C1A" w:rsidRDefault="004912DC" w:rsidP="00922ED9">
      <w:pPr>
        <w:widowControl w:val="0"/>
        <w:numPr>
          <w:ilvl w:val="0"/>
          <w:numId w:val="1"/>
        </w:numPr>
        <w:pBdr>
          <w:top w:val="nil"/>
          <w:left w:val="nil"/>
          <w:bottom w:val="nil"/>
          <w:right w:val="nil"/>
          <w:between w:val="nil"/>
        </w:pBdr>
        <w:ind w:left="567" w:hanging="567"/>
        <w:jc w:val="both"/>
        <w:rPr>
          <w:rFonts w:asciiTheme="majorHAnsi" w:hAnsiTheme="majorHAnsi" w:cstheme="minorHAnsi"/>
          <w:bCs/>
          <w:lang w:val="es-CR"/>
        </w:rPr>
      </w:pPr>
      <w:r w:rsidRPr="00BF6C1A">
        <w:rPr>
          <w:rFonts w:asciiTheme="majorHAnsi" w:hAnsiTheme="majorHAnsi" w:cstheme="minorHAnsi"/>
          <w:bCs/>
          <w:lang w:val="es-CR"/>
        </w:rPr>
        <w:t xml:space="preserve">El acuerdo de Superintendente SGS-DES-A-021-2013 define el formato en que aportan la información periódica los intermediarios de seguros a SUGESE, en el Anexo 8, denominado </w:t>
      </w:r>
      <w:r w:rsidRPr="00BF6C1A">
        <w:rPr>
          <w:rFonts w:asciiTheme="majorHAnsi" w:hAnsiTheme="majorHAnsi" w:cstheme="minorHAnsi"/>
          <w:bCs/>
          <w:i/>
          <w:iCs/>
          <w:lang w:val="es-CR"/>
        </w:rPr>
        <w:t>Estándar de Negocio para Intermediarios de Seguros</w:t>
      </w:r>
      <w:r w:rsidRPr="00BF6C1A">
        <w:rPr>
          <w:rFonts w:asciiTheme="majorHAnsi" w:hAnsiTheme="majorHAnsi" w:cstheme="minorHAnsi"/>
          <w:bCs/>
          <w:lang w:val="es-CR"/>
        </w:rPr>
        <w:t xml:space="preserve">, el cual debe ser ajustado para contar con la información de brutos anuales según lo dispone el artículo 175 de la Ley N° 7732, sin excluir la cuenta 5.080 </w:t>
      </w:r>
      <w:r w:rsidRPr="00BF6C1A">
        <w:rPr>
          <w:rFonts w:asciiTheme="majorHAnsi" w:hAnsiTheme="majorHAnsi" w:cstheme="minorHAnsi"/>
          <w:bCs/>
          <w:i/>
          <w:iCs/>
          <w:color w:val="000000"/>
          <w:shd w:val="clear" w:color="auto" w:fill="FFFFFF"/>
          <w:lang w:val="es-CR"/>
        </w:rPr>
        <w:t>Disminución de Impuesto y Participaciones sobre la Utilidad</w:t>
      </w:r>
      <w:r w:rsidRPr="00BF6C1A">
        <w:rPr>
          <w:rFonts w:asciiTheme="majorHAnsi" w:hAnsiTheme="majorHAnsi" w:cstheme="minorHAnsi"/>
          <w:bCs/>
          <w:color w:val="000000"/>
          <w:shd w:val="clear" w:color="auto" w:fill="FFFFFF"/>
          <w:lang w:val="es-CR"/>
        </w:rPr>
        <w:t xml:space="preserve">. </w:t>
      </w:r>
    </w:p>
    <w:p w14:paraId="0DC6C039" w14:textId="77777777" w:rsidR="004912DC" w:rsidRPr="00BF6C1A" w:rsidRDefault="004912DC" w:rsidP="00922ED9">
      <w:pPr>
        <w:widowControl w:val="0"/>
        <w:pBdr>
          <w:top w:val="nil"/>
          <w:left w:val="nil"/>
          <w:bottom w:val="nil"/>
          <w:right w:val="nil"/>
          <w:between w:val="nil"/>
        </w:pBdr>
        <w:jc w:val="both"/>
        <w:rPr>
          <w:rFonts w:asciiTheme="majorHAnsi" w:hAnsiTheme="majorHAnsi" w:cstheme="minorHAnsi"/>
          <w:bCs/>
          <w:lang w:val="es-CR"/>
        </w:rPr>
      </w:pPr>
    </w:p>
    <w:p w14:paraId="1CC90DFF" w14:textId="77777777" w:rsidR="004912DC" w:rsidRPr="00BF6C1A" w:rsidRDefault="004912DC" w:rsidP="00922ED9">
      <w:pPr>
        <w:widowControl w:val="0"/>
        <w:numPr>
          <w:ilvl w:val="0"/>
          <w:numId w:val="1"/>
        </w:numPr>
        <w:pBdr>
          <w:top w:val="nil"/>
          <w:left w:val="nil"/>
          <w:bottom w:val="nil"/>
          <w:right w:val="nil"/>
          <w:between w:val="nil"/>
        </w:pBdr>
        <w:ind w:left="567" w:hanging="567"/>
        <w:jc w:val="both"/>
        <w:rPr>
          <w:rFonts w:asciiTheme="majorHAnsi" w:hAnsiTheme="majorHAnsi" w:cstheme="minorHAnsi"/>
          <w:bCs/>
          <w:lang w:val="es-CR"/>
        </w:rPr>
      </w:pPr>
      <w:r w:rsidRPr="00BF6C1A">
        <w:rPr>
          <w:rFonts w:asciiTheme="majorHAnsi" w:hAnsiTheme="majorHAnsi" w:cstheme="minorHAnsi"/>
          <w:bCs/>
          <w:lang w:val="es-CR"/>
        </w:rPr>
        <w:t xml:space="preserve">Que mediante oficio SGS-0412-2021 del 19 de mayo de 2021, la Superintendencia General de Seguros remitió en consulta, en acatamiento de lo estipulado en el numeral 2, del artículo 361, de la Ley General de la Administración Pública, Ley 6227, a las entidades aseguradoras, sociedades agencia de seguros y sociedades corredoras de seguros, la propuesta de Acuerdo de Superintendente denominado </w:t>
      </w:r>
      <w:r w:rsidRPr="00BF6C1A">
        <w:rPr>
          <w:rFonts w:asciiTheme="majorHAnsi" w:hAnsiTheme="majorHAnsi" w:cstheme="minorHAnsi"/>
          <w:bCs/>
          <w:i/>
          <w:iCs/>
          <w:lang w:val="es-CR"/>
        </w:rPr>
        <w:t>“Contribución de las Entidades Supervisadas al Presupuesto de la Superintendencia General De Seguros”</w:t>
      </w:r>
      <w:r w:rsidRPr="00BF6C1A">
        <w:rPr>
          <w:rFonts w:asciiTheme="majorHAnsi" w:hAnsiTheme="majorHAnsi" w:cstheme="minorHAnsi"/>
          <w:bCs/>
          <w:lang w:val="es-CR"/>
        </w:rPr>
        <w:t>, por diez días hábiles, contados a partir de la comunicación del oficio en cita.</w:t>
      </w:r>
    </w:p>
    <w:p w14:paraId="682AA775" w14:textId="77777777" w:rsidR="004912DC" w:rsidRPr="00BF6C1A" w:rsidRDefault="004912DC" w:rsidP="00922ED9">
      <w:pPr>
        <w:widowControl w:val="0"/>
        <w:pBdr>
          <w:top w:val="nil"/>
          <w:left w:val="nil"/>
          <w:bottom w:val="nil"/>
          <w:right w:val="nil"/>
          <w:between w:val="nil"/>
        </w:pBdr>
        <w:jc w:val="both"/>
        <w:rPr>
          <w:rFonts w:asciiTheme="majorHAnsi" w:hAnsiTheme="majorHAnsi" w:cstheme="minorHAnsi"/>
          <w:bCs/>
          <w:lang w:val="es-CR"/>
        </w:rPr>
      </w:pPr>
    </w:p>
    <w:p w14:paraId="7D54EFC6" w14:textId="642ECBA5" w:rsidR="004912DC" w:rsidRPr="00922ED9" w:rsidRDefault="004912DC" w:rsidP="00922ED9">
      <w:pPr>
        <w:widowControl w:val="0"/>
        <w:numPr>
          <w:ilvl w:val="0"/>
          <w:numId w:val="1"/>
        </w:numPr>
        <w:pBdr>
          <w:top w:val="nil"/>
          <w:left w:val="nil"/>
          <w:bottom w:val="nil"/>
          <w:right w:val="nil"/>
          <w:between w:val="nil"/>
        </w:pBdr>
        <w:ind w:left="567" w:hanging="567"/>
        <w:jc w:val="both"/>
        <w:rPr>
          <w:rFonts w:asciiTheme="majorHAnsi" w:hAnsiTheme="majorHAnsi" w:cstheme="minorHAnsi"/>
          <w:b/>
          <w:bCs/>
          <w:lang w:val="es-CR"/>
        </w:rPr>
      </w:pPr>
      <w:r w:rsidRPr="00922ED9">
        <w:rPr>
          <w:rFonts w:asciiTheme="majorHAnsi" w:hAnsiTheme="majorHAnsi" w:cstheme="minorHAnsi"/>
          <w:bCs/>
          <w:lang w:val="es-CR"/>
        </w:rPr>
        <w:t>Que el plazo de la consulta pública finalizó el 03 de junio de 2021 y se recibieron comentarios de Correduría de Seguros Metropolitanos S.A., Mutual Seguros Sociedad Corredora de Seguros S.A., Asociación de Aseguradoras Privadas de Costa Rica, Assa Compañía de Seguros, Coopeservidores Corredora de Seguros, Innova Corredora de Seguros S.A., Cámara de Intermediario de Seguros e Instituto Nacional de Seguros, los cuales fueron valorados por la Superintendencia, por lo cual lo que procede ahora es la aprobación de la versión definitiva por parte del Superintendente. De conformidad con el proceso estipulado de atención de una consulta externa, la Superintendencia General de Seguros publicó en su página web la matriz de respuesta a las observaciones realizadas y notificó de ello a las entidades participantes.</w:t>
      </w:r>
    </w:p>
    <w:p w14:paraId="3E7F6B6D" w14:textId="77777777" w:rsidR="004912DC" w:rsidRPr="00922ED9" w:rsidRDefault="004912DC" w:rsidP="00922ED9">
      <w:pPr>
        <w:jc w:val="center"/>
        <w:rPr>
          <w:rFonts w:asciiTheme="majorHAnsi" w:hAnsiTheme="majorHAnsi" w:cstheme="minorHAnsi"/>
          <w:b/>
          <w:bCs/>
          <w:sz w:val="28"/>
          <w:szCs w:val="28"/>
          <w:lang w:val="es-CR"/>
        </w:rPr>
      </w:pPr>
      <w:r w:rsidRPr="00922ED9">
        <w:rPr>
          <w:rFonts w:asciiTheme="majorHAnsi" w:hAnsiTheme="majorHAnsi" w:cstheme="minorHAnsi"/>
          <w:b/>
          <w:bCs/>
          <w:sz w:val="28"/>
          <w:szCs w:val="28"/>
          <w:lang w:val="es-CR"/>
        </w:rPr>
        <w:lastRenderedPageBreak/>
        <w:t>Dispone:</w:t>
      </w:r>
    </w:p>
    <w:p w14:paraId="42D2AF53" w14:textId="77777777" w:rsidR="004912DC" w:rsidRPr="00BF6C1A" w:rsidRDefault="004912DC" w:rsidP="00922ED9">
      <w:pPr>
        <w:jc w:val="both"/>
        <w:rPr>
          <w:rFonts w:asciiTheme="majorHAnsi" w:hAnsiTheme="majorHAnsi" w:cstheme="minorHAnsi"/>
          <w:lang w:val="es-CR"/>
        </w:rPr>
      </w:pPr>
    </w:p>
    <w:p w14:paraId="279CE1F0" w14:textId="77777777" w:rsidR="004912DC" w:rsidRPr="00BF6C1A" w:rsidRDefault="004912DC" w:rsidP="00922ED9">
      <w:pPr>
        <w:pStyle w:val="Prrafodelista"/>
        <w:numPr>
          <w:ilvl w:val="0"/>
          <w:numId w:val="4"/>
        </w:numPr>
        <w:ind w:left="567" w:hanging="567"/>
        <w:jc w:val="both"/>
        <w:rPr>
          <w:rFonts w:asciiTheme="majorHAnsi" w:hAnsiTheme="majorHAnsi" w:cstheme="minorHAnsi"/>
          <w:lang w:val="es-CR"/>
        </w:rPr>
      </w:pPr>
      <w:r w:rsidRPr="00BF6C1A">
        <w:rPr>
          <w:rFonts w:asciiTheme="majorHAnsi" w:hAnsiTheme="majorHAnsi" w:cstheme="minorHAnsi"/>
          <w:lang w:val="es-CR"/>
        </w:rPr>
        <w:t>Los pagos parciales de todas las entidades supervisadas los definirá la Superintendencia a partir del total de la partida 5.000 INGRESOS, del plan de cuentas contables del mercado asegurador.</w:t>
      </w:r>
    </w:p>
    <w:p w14:paraId="48948569" w14:textId="77777777" w:rsidR="004912DC" w:rsidRPr="00BF6C1A" w:rsidRDefault="004912DC" w:rsidP="00922ED9">
      <w:pPr>
        <w:ind w:left="567" w:hanging="567"/>
        <w:jc w:val="both"/>
        <w:rPr>
          <w:rFonts w:asciiTheme="majorHAnsi" w:hAnsiTheme="majorHAnsi" w:cstheme="minorHAnsi"/>
          <w:lang w:val="es-CR"/>
        </w:rPr>
      </w:pPr>
    </w:p>
    <w:p w14:paraId="04CEE317" w14:textId="77777777" w:rsidR="004912DC" w:rsidRPr="00BF6C1A" w:rsidRDefault="004912DC" w:rsidP="00922ED9">
      <w:pPr>
        <w:ind w:left="567"/>
        <w:jc w:val="both"/>
        <w:rPr>
          <w:rFonts w:asciiTheme="majorHAnsi" w:hAnsiTheme="majorHAnsi" w:cstheme="minorHAnsi"/>
          <w:lang w:val="es-CR"/>
        </w:rPr>
      </w:pPr>
      <w:r w:rsidRPr="00BF6C1A">
        <w:rPr>
          <w:rFonts w:asciiTheme="majorHAnsi" w:hAnsiTheme="majorHAnsi" w:cstheme="minorHAnsi"/>
          <w:lang w:val="es-CR"/>
        </w:rPr>
        <w:t>Para las aseguradoras y reaseguradoras, del total de la partida 5.000, se excluyen las siguientes subpartidas:</w:t>
      </w:r>
    </w:p>
    <w:p w14:paraId="0FEAA9F2" w14:textId="77777777" w:rsidR="004912DC" w:rsidRPr="00BF6C1A" w:rsidRDefault="004912DC" w:rsidP="00922ED9">
      <w:pPr>
        <w:ind w:left="567" w:hanging="567"/>
        <w:jc w:val="both"/>
        <w:rPr>
          <w:rFonts w:asciiTheme="majorHAnsi" w:hAnsiTheme="majorHAnsi" w:cstheme="minorHAnsi"/>
          <w:lang w:val="es-CR"/>
        </w:rPr>
      </w:pPr>
    </w:p>
    <w:p w14:paraId="3886726B" w14:textId="77777777" w:rsidR="004912DC" w:rsidRPr="00BF6C1A" w:rsidRDefault="004912DC" w:rsidP="00922ED9">
      <w:pPr>
        <w:numPr>
          <w:ilvl w:val="0"/>
          <w:numId w:val="2"/>
        </w:numPr>
        <w:tabs>
          <w:tab w:val="clear" w:pos="720"/>
          <w:tab w:val="num" w:pos="851"/>
        </w:tabs>
        <w:ind w:left="851" w:hanging="284"/>
        <w:jc w:val="both"/>
        <w:rPr>
          <w:rFonts w:asciiTheme="majorHAnsi" w:hAnsiTheme="majorHAnsi" w:cstheme="minorHAnsi"/>
          <w:lang w:val="es-CR"/>
        </w:rPr>
      </w:pPr>
      <w:r w:rsidRPr="00BF6C1A">
        <w:rPr>
          <w:rFonts w:asciiTheme="majorHAnsi" w:hAnsiTheme="majorHAnsi" w:cstheme="minorHAnsi"/>
          <w:lang w:val="es-CR"/>
        </w:rPr>
        <w:t>5.030: Ingresos por Comisiones y Participaciones (5.030.010 Comisiones y participaciones, reaseguro cedido y 5.030.020 Comisiones y participaciones, reaseguro retrocedido).</w:t>
      </w:r>
    </w:p>
    <w:p w14:paraId="18E053FB" w14:textId="77777777" w:rsidR="004912DC" w:rsidRPr="00BF6C1A" w:rsidRDefault="004912DC" w:rsidP="00922ED9">
      <w:pPr>
        <w:numPr>
          <w:ilvl w:val="0"/>
          <w:numId w:val="2"/>
        </w:numPr>
        <w:tabs>
          <w:tab w:val="clear" w:pos="720"/>
          <w:tab w:val="num" w:pos="851"/>
        </w:tabs>
        <w:ind w:left="851" w:hanging="284"/>
        <w:jc w:val="both"/>
        <w:rPr>
          <w:rFonts w:asciiTheme="majorHAnsi" w:hAnsiTheme="majorHAnsi" w:cstheme="minorHAnsi"/>
          <w:lang w:val="es-CR"/>
        </w:rPr>
      </w:pPr>
      <w:r w:rsidRPr="00BF6C1A">
        <w:rPr>
          <w:rFonts w:asciiTheme="majorHAnsi" w:hAnsiTheme="majorHAnsi" w:cstheme="minorHAnsi"/>
          <w:lang w:val="es-CR"/>
        </w:rPr>
        <w:t>5.040: Ingresos por Siniestros y Gastos Recuperados por Reaseguro Cedido y Retrocedido.</w:t>
      </w:r>
    </w:p>
    <w:p w14:paraId="7102873E" w14:textId="77777777" w:rsidR="004912DC" w:rsidRPr="00922ED9" w:rsidRDefault="004912DC" w:rsidP="00922ED9">
      <w:pPr>
        <w:widowControl w:val="0"/>
        <w:pBdr>
          <w:top w:val="nil"/>
          <w:left w:val="nil"/>
          <w:bottom w:val="nil"/>
          <w:right w:val="nil"/>
          <w:between w:val="nil"/>
        </w:pBdr>
        <w:jc w:val="both"/>
        <w:rPr>
          <w:rFonts w:asciiTheme="majorHAnsi" w:eastAsia="Verdana" w:hAnsiTheme="majorHAnsi" w:cstheme="minorHAnsi"/>
          <w:color w:val="000000"/>
          <w:lang w:val="es-CR" w:eastAsia="es-CR"/>
        </w:rPr>
      </w:pPr>
    </w:p>
    <w:p w14:paraId="090B452C" w14:textId="77777777" w:rsidR="004912DC" w:rsidRPr="00BF6C1A" w:rsidRDefault="004912DC" w:rsidP="00922ED9">
      <w:pPr>
        <w:pStyle w:val="Prrafodelista"/>
        <w:numPr>
          <w:ilvl w:val="0"/>
          <w:numId w:val="4"/>
        </w:numPr>
        <w:ind w:left="567" w:hanging="567"/>
        <w:jc w:val="both"/>
        <w:rPr>
          <w:rFonts w:asciiTheme="majorHAnsi" w:hAnsiTheme="majorHAnsi" w:cstheme="minorHAnsi"/>
          <w:lang w:val="es-CR"/>
        </w:rPr>
      </w:pPr>
      <w:r w:rsidRPr="00BF6C1A">
        <w:rPr>
          <w:rFonts w:asciiTheme="majorHAnsi" w:hAnsiTheme="majorHAnsi" w:cstheme="minorHAnsi"/>
        </w:rPr>
        <w:t xml:space="preserve">El pago final o de liquidación se calculará con base en la certificación de los ingresos brutos del auditor externo, que requiere el artículo 3 del </w:t>
      </w:r>
      <w:r w:rsidRPr="00BF6C1A">
        <w:rPr>
          <w:rFonts w:asciiTheme="majorHAnsi" w:hAnsiTheme="majorHAnsi" w:cstheme="minorHAnsi"/>
          <w:i/>
          <w:iCs/>
          <w:lang w:val="es-CR"/>
        </w:rPr>
        <w:t>Reglamento para regular la participación de los sujetos fiscalizados en el financiamiento del presupuesto de las superintendencias</w:t>
      </w:r>
      <w:r w:rsidRPr="00BF6C1A">
        <w:rPr>
          <w:rFonts w:asciiTheme="majorHAnsi" w:hAnsiTheme="majorHAnsi" w:cstheme="minorHAnsi"/>
        </w:rPr>
        <w:t xml:space="preserve"> (Decreto Ejecuto N°38292-H), consistente con lo señalado en apartado previo para los pagos parciales. La certificación debe contener el detalle de ingresos por cuenta, como mínimo, a cuatro dígitos de desagregación.</w:t>
      </w:r>
    </w:p>
    <w:p w14:paraId="10694EFA" w14:textId="77777777" w:rsidR="004912DC" w:rsidRPr="00BF6C1A" w:rsidRDefault="004912DC" w:rsidP="00922ED9">
      <w:pPr>
        <w:jc w:val="both"/>
        <w:rPr>
          <w:rFonts w:asciiTheme="majorHAnsi" w:hAnsiTheme="majorHAnsi" w:cstheme="minorHAnsi"/>
          <w:lang w:val="es-CR"/>
        </w:rPr>
      </w:pPr>
    </w:p>
    <w:p w14:paraId="330783D2" w14:textId="77777777" w:rsidR="004912DC" w:rsidRPr="00BF6C1A" w:rsidRDefault="004912DC" w:rsidP="00922ED9">
      <w:pPr>
        <w:pStyle w:val="Prrafodelista"/>
        <w:numPr>
          <w:ilvl w:val="0"/>
          <w:numId w:val="4"/>
        </w:numPr>
        <w:ind w:left="567" w:hanging="567"/>
        <w:jc w:val="both"/>
        <w:rPr>
          <w:rFonts w:asciiTheme="majorHAnsi" w:hAnsiTheme="majorHAnsi" w:cstheme="minorHAnsi"/>
          <w:bCs/>
          <w:lang w:val="es-CR"/>
        </w:rPr>
      </w:pPr>
      <w:r w:rsidRPr="00BF6C1A">
        <w:rPr>
          <w:rFonts w:asciiTheme="majorHAnsi" w:hAnsiTheme="majorHAnsi" w:cstheme="minorHAnsi"/>
          <w:bCs/>
          <w:lang w:val="es-CR"/>
        </w:rPr>
        <w:t xml:space="preserve">Modificar el Acuerdo de Superintendente SGS-DES-A-021-2013, </w:t>
      </w:r>
      <w:r w:rsidRPr="00BF6C1A">
        <w:rPr>
          <w:rFonts w:asciiTheme="majorHAnsi" w:hAnsiTheme="majorHAnsi" w:cstheme="minorHAnsi"/>
          <w:bCs/>
          <w:i/>
          <w:iCs/>
          <w:lang w:val="es-CR"/>
        </w:rPr>
        <w:t>Disposiciones para la Remisión de la Información Contable y Estadística a la Superintendencia General de Seguros por parte de las Entidades Supervisadas</w:t>
      </w:r>
      <w:r w:rsidRPr="00BF6C1A">
        <w:rPr>
          <w:rFonts w:asciiTheme="majorHAnsi" w:hAnsiTheme="majorHAnsi" w:cstheme="minorHAnsi"/>
          <w:bCs/>
          <w:lang w:val="es-CR"/>
        </w:rPr>
        <w:t>, según se indica a continuación:</w:t>
      </w:r>
    </w:p>
    <w:p w14:paraId="4258CF34" w14:textId="77777777" w:rsidR="004912DC" w:rsidRPr="00922ED9" w:rsidRDefault="004912DC" w:rsidP="00922ED9">
      <w:pPr>
        <w:widowControl w:val="0"/>
        <w:pBdr>
          <w:top w:val="nil"/>
          <w:left w:val="nil"/>
          <w:bottom w:val="nil"/>
          <w:right w:val="nil"/>
          <w:between w:val="nil"/>
        </w:pBdr>
        <w:jc w:val="both"/>
        <w:rPr>
          <w:rFonts w:asciiTheme="majorHAnsi" w:eastAsia="Verdana" w:hAnsiTheme="majorHAnsi" w:cstheme="minorHAnsi"/>
          <w:color w:val="000000"/>
          <w:lang w:val="es-CR" w:eastAsia="es-CR"/>
        </w:rPr>
      </w:pPr>
    </w:p>
    <w:p w14:paraId="6411D568" w14:textId="77777777" w:rsidR="004912DC" w:rsidRPr="00BF6C1A" w:rsidRDefault="004912DC" w:rsidP="00922ED9">
      <w:pPr>
        <w:pStyle w:val="Textoindependiente3"/>
        <w:numPr>
          <w:ilvl w:val="0"/>
          <w:numId w:val="3"/>
        </w:numPr>
        <w:tabs>
          <w:tab w:val="left" w:pos="857"/>
          <w:tab w:val="left" w:pos="1168"/>
        </w:tabs>
        <w:spacing w:after="0"/>
        <w:ind w:left="851" w:hanging="284"/>
        <w:jc w:val="both"/>
        <w:rPr>
          <w:rFonts w:asciiTheme="majorHAnsi" w:hAnsiTheme="majorHAnsi" w:cstheme="minorHAnsi"/>
          <w:bCs/>
          <w:sz w:val="24"/>
          <w:szCs w:val="24"/>
          <w:lang w:val="es-CR"/>
        </w:rPr>
      </w:pPr>
      <w:r w:rsidRPr="00BF6C1A">
        <w:rPr>
          <w:rFonts w:asciiTheme="majorHAnsi" w:hAnsiTheme="majorHAnsi" w:cstheme="minorHAnsi"/>
          <w:bCs/>
          <w:sz w:val="24"/>
          <w:szCs w:val="24"/>
          <w:lang w:val="es-CR"/>
        </w:rPr>
        <w:t xml:space="preserve">La primera fila de la tabla del </w:t>
      </w:r>
      <w:r w:rsidRPr="00BF6C1A">
        <w:rPr>
          <w:rFonts w:asciiTheme="majorHAnsi" w:hAnsiTheme="majorHAnsi" w:cstheme="minorHAnsi"/>
          <w:bCs/>
          <w:i/>
          <w:iCs/>
          <w:sz w:val="24"/>
          <w:szCs w:val="24"/>
          <w:lang w:val="es-CR"/>
        </w:rPr>
        <w:t>Artículo 3. Información que deben enviar los Intermediarios de Seguros, Periodicidad, Plazo y Medio de Remisión</w:t>
      </w:r>
      <w:r w:rsidRPr="00BF6C1A">
        <w:rPr>
          <w:rFonts w:asciiTheme="majorHAnsi" w:hAnsiTheme="majorHAnsi" w:cstheme="minorHAnsi"/>
          <w:bCs/>
          <w:sz w:val="24"/>
          <w:szCs w:val="24"/>
          <w:lang w:val="es-CR"/>
        </w:rPr>
        <w:t xml:space="preserve">, para que en adelante se lea: </w:t>
      </w:r>
    </w:p>
    <w:p w14:paraId="1B34D69E" w14:textId="77777777" w:rsidR="004912DC" w:rsidRPr="00922ED9" w:rsidRDefault="004912DC" w:rsidP="00922ED9">
      <w:pPr>
        <w:widowControl w:val="0"/>
        <w:pBdr>
          <w:top w:val="nil"/>
          <w:left w:val="nil"/>
          <w:bottom w:val="nil"/>
          <w:right w:val="nil"/>
          <w:between w:val="nil"/>
        </w:pBdr>
        <w:jc w:val="both"/>
        <w:rPr>
          <w:rFonts w:asciiTheme="majorHAnsi" w:eastAsia="Verdana" w:hAnsiTheme="majorHAnsi" w:cstheme="minorHAnsi"/>
          <w:color w:val="000000"/>
          <w:lang w:val="es-CR" w:eastAsia="es-CR"/>
        </w:rPr>
      </w:pPr>
    </w:p>
    <w:tbl>
      <w:tblPr>
        <w:tblStyle w:val="Tablaconcuadrcula"/>
        <w:tblW w:w="9368" w:type="dxa"/>
        <w:jc w:val="center"/>
        <w:tblLayout w:type="fixed"/>
        <w:tblLook w:val="04A0" w:firstRow="1" w:lastRow="0" w:firstColumn="1" w:lastColumn="0" w:noHBand="0" w:noVBand="1"/>
      </w:tblPr>
      <w:tblGrid>
        <w:gridCol w:w="2263"/>
        <w:gridCol w:w="2405"/>
        <w:gridCol w:w="2273"/>
        <w:gridCol w:w="2427"/>
      </w:tblGrid>
      <w:tr w:rsidR="004912DC" w:rsidRPr="00BF6C1A" w14:paraId="217CC4B9" w14:textId="77777777" w:rsidTr="00922ED9">
        <w:trPr>
          <w:cantSplit/>
          <w:tblHeader/>
          <w:jc w:val="center"/>
        </w:trPr>
        <w:tc>
          <w:tcPr>
            <w:tcW w:w="2263" w:type="dxa"/>
            <w:shd w:val="clear" w:color="auto" w:fill="B8CCE4" w:themeFill="accent1" w:themeFillTint="66"/>
            <w:vAlign w:val="center"/>
          </w:tcPr>
          <w:p w14:paraId="551A2B16" w14:textId="77777777" w:rsidR="004912DC" w:rsidRPr="00BF6C1A" w:rsidRDefault="004912DC" w:rsidP="00922ED9">
            <w:pPr>
              <w:widowControl w:val="0"/>
              <w:jc w:val="center"/>
              <w:rPr>
                <w:rFonts w:asciiTheme="majorHAnsi" w:hAnsiTheme="majorHAnsi" w:cstheme="minorHAnsi"/>
                <w:b/>
                <w:bCs/>
                <w:iCs/>
                <w:snapToGrid w:val="0"/>
                <w:sz w:val="20"/>
                <w:szCs w:val="20"/>
                <w:lang w:val="es-CR"/>
              </w:rPr>
            </w:pPr>
            <w:r w:rsidRPr="00BF6C1A">
              <w:rPr>
                <w:rFonts w:asciiTheme="majorHAnsi" w:hAnsiTheme="majorHAnsi" w:cstheme="minorHAnsi"/>
                <w:b/>
                <w:bCs/>
                <w:iCs/>
                <w:snapToGrid w:val="0"/>
                <w:sz w:val="20"/>
                <w:szCs w:val="20"/>
                <w:lang w:val="es-CR"/>
              </w:rPr>
              <w:lastRenderedPageBreak/>
              <w:t>Información</w:t>
            </w:r>
          </w:p>
        </w:tc>
        <w:tc>
          <w:tcPr>
            <w:tcW w:w="2405" w:type="dxa"/>
            <w:shd w:val="clear" w:color="auto" w:fill="B8CCE4" w:themeFill="accent1" w:themeFillTint="66"/>
            <w:vAlign w:val="center"/>
          </w:tcPr>
          <w:p w14:paraId="67F3D3F7" w14:textId="77777777" w:rsidR="004912DC" w:rsidRPr="00BF6C1A" w:rsidRDefault="004912DC" w:rsidP="00922ED9">
            <w:pPr>
              <w:pStyle w:val="Ttulo5"/>
              <w:outlineLvl w:val="4"/>
              <w:rPr>
                <w:rFonts w:asciiTheme="majorHAnsi" w:hAnsiTheme="majorHAnsi" w:cstheme="minorHAnsi"/>
                <w:b w:val="0"/>
                <w:bCs/>
                <w:iCs/>
                <w:sz w:val="20"/>
                <w:szCs w:val="20"/>
              </w:rPr>
            </w:pPr>
            <w:r w:rsidRPr="00BF6C1A">
              <w:rPr>
                <w:rFonts w:asciiTheme="majorHAnsi" w:hAnsiTheme="majorHAnsi" w:cstheme="minorHAnsi"/>
                <w:bCs/>
                <w:iCs/>
                <w:sz w:val="20"/>
                <w:szCs w:val="20"/>
              </w:rPr>
              <w:t>Periodicidad</w:t>
            </w:r>
          </w:p>
        </w:tc>
        <w:tc>
          <w:tcPr>
            <w:tcW w:w="2273" w:type="dxa"/>
            <w:shd w:val="clear" w:color="auto" w:fill="B8CCE4" w:themeFill="accent1" w:themeFillTint="66"/>
            <w:vAlign w:val="center"/>
          </w:tcPr>
          <w:p w14:paraId="101796EE" w14:textId="77777777" w:rsidR="004912DC" w:rsidRPr="00BF6C1A" w:rsidRDefault="004912DC" w:rsidP="00922ED9">
            <w:pPr>
              <w:widowControl w:val="0"/>
              <w:jc w:val="center"/>
              <w:rPr>
                <w:rFonts w:asciiTheme="majorHAnsi" w:hAnsiTheme="majorHAnsi" w:cstheme="minorHAnsi"/>
                <w:b/>
                <w:bCs/>
                <w:iCs/>
                <w:snapToGrid w:val="0"/>
                <w:sz w:val="20"/>
                <w:szCs w:val="20"/>
                <w:lang w:val="es-CR"/>
              </w:rPr>
            </w:pPr>
            <w:r w:rsidRPr="00BF6C1A">
              <w:rPr>
                <w:rFonts w:asciiTheme="majorHAnsi" w:hAnsiTheme="majorHAnsi" w:cstheme="minorHAnsi"/>
                <w:b/>
                <w:bCs/>
                <w:iCs/>
                <w:snapToGrid w:val="0"/>
                <w:sz w:val="20"/>
                <w:szCs w:val="20"/>
                <w:lang w:val="es-CR"/>
              </w:rPr>
              <w:t>Plazo de entrega</w:t>
            </w:r>
          </w:p>
        </w:tc>
        <w:tc>
          <w:tcPr>
            <w:tcW w:w="2427" w:type="dxa"/>
            <w:shd w:val="clear" w:color="auto" w:fill="B8CCE4" w:themeFill="accent1" w:themeFillTint="66"/>
            <w:vAlign w:val="center"/>
          </w:tcPr>
          <w:p w14:paraId="7405E706" w14:textId="77777777" w:rsidR="004912DC" w:rsidRPr="00BF6C1A" w:rsidRDefault="004912DC" w:rsidP="00922ED9">
            <w:pPr>
              <w:widowControl w:val="0"/>
              <w:jc w:val="center"/>
              <w:rPr>
                <w:rFonts w:asciiTheme="majorHAnsi" w:hAnsiTheme="majorHAnsi" w:cstheme="minorHAnsi"/>
                <w:b/>
                <w:bCs/>
                <w:iCs/>
                <w:snapToGrid w:val="0"/>
                <w:sz w:val="20"/>
                <w:szCs w:val="20"/>
                <w:lang w:val="es-CR"/>
              </w:rPr>
            </w:pPr>
            <w:r w:rsidRPr="00BF6C1A">
              <w:rPr>
                <w:rFonts w:asciiTheme="majorHAnsi" w:hAnsiTheme="majorHAnsi" w:cstheme="minorHAnsi"/>
                <w:b/>
                <w:bCs/>
                <w:iCs/>
                <w:snapToGrid w:val="0"/>
                <w:sz w:val="20"/>
                <w:szCs w:val="20"/>
                <w:lang w:val="es-CR"/>
              </w:rPr>
              <w:t>Medio</w:t>
            </w:r>
          </w:p>
        </w:tc>
      </w:tr>
      <w:tr w:rsidR="004912DC" w:rsidRPr="00BF6C1A" w14:paraId="6045648F" w14:textId="77777777" w:rsidTr="00922ED9">
        <w:trPr>
          <w:cantSplit/>
          <w:jc w:val="center"/>
        </w:trPr>
        <w:tc>
          <w:tcPr>
            <w:tcW w:w="2263" w:type="dxa"/>
          </w:tcPr>
          <w:p w14:paraId="4A93A447" w14:textId="77777777" w:rsidR="004912DC" w:rsidRPr="00BF6C1A" w:rsidRDefault="004912DC" w:rsidP="00922ED9">
            <w:pPr>
              <w:widowControl w:val="0"/>
              <w:rPr>
                <w:rFonts w:asciiTheme="majorHAnsi" w:hAnsiTheme="majorHAnsi" w:cstheme="minorHAnsi"/>
                <w:b/>
                <w:bCs/>
                <w:sz w:val="20"/>
                <w:szCs w:val="20"/>
                <w:lang w:val="es-CR"/>
              </w:rPr>
            </w:pPr>
            <w:r w:rsidRPr="00BF6C1A">
              <w:rPr>
                <w:rFonts w:asciiTheme="majorHAnsi" w:hAnsiTheme="majorHAnsi" w:cstheme="minorHAnsi"/>
                <w:b/>
                <w:bCs/>
                <w:sz w:val="20"/>
                <w:szCs w:val="20"/>
                <w:lang w:val="es-CR"/>
              </w:rPr>
              <w:t>Modelo 1: Datos Contables, Información Adicional y Garantía Mínima de Funcionamiento</w:t>
            </w:r>
          </w:p>
        </w:tc>
        <w:tc>
          <w:tcPr>
            <w:tcW w:w="2405" w:type="dxa"/>
          </w:tcPr>
          <w:p w14:paraId="1D12250A" w14:textId="77777777" w:rsidR="004912DC" w:rsidRPr="00BF6C1A" w:rsidRDefault="004912DC" w:rsidP="00922ED9">
            <w:pPr>
              <w:widowControl w:val="0"/>
              <w:rPr>
                <w:rFonts w:asciiTheme="majorHAnsi" w:hAnsiTheme="majorHAnsi" w:cstheme="minorHAnsi"/>
                <w:snapToGrid w:val="0"/>
                <w:sz w:val="20"/>
                <w:szCs w:val="20"/>
                <w:lang w:val="es-CR"/>
              </w:rPr>
            </w:pPr>
            <w:r w:rsidRPr="00BF6C1A">
              <w:rPr>
                <w:rFonts w:asciiTheme="majorHAnsi" w:hAnsiTheme="majorHAnsi" w:cstheme="minorHAnsi"/>
                <w:snapToGrid w:val="0"/>
                <w:sz w:val="20"/>
                <w:szCs w:val="20"/>
                <w:u w:val="single"/>
                <w:lang w:val="es-CR"/>
              </w:rPr>
              <w:t>Sociedades Agencia:</w:t>
            </w:r>
            <w:r w:rsidRPr="00BF6C1A">
              <w:rPr>
                <w:rFonts w:asciiTheme="majorHAnsi" w:hAnsiTheme="majorHAnsi" w:cstheme="minorHAnsi"/>
                <w:snapToGrid w:val="0"/>
                <w:sz w:val="20"/>
                <w:szCs w:val="20"/>
                <w:lang w:val="es-CR"/>
              </w:rPr>
              <w:t xml:space="preserve"> </w:t>
            </w:r>
            <w:r w:rsidRPr="00BF6C1A">
              <w:rPr>
                <w:rFonts w:asciiTheme="majorHAnsi" w:hAnsiTheme="majorHAnsi" w:cstheme="minorHAnsi"/>
                <w:b/>
                <w:bCs/>
                <w:snapToGrid w:val="0"/>
                <w:sz w:val="20"/>
                <w:szCs w:val="20"/>
                <w:lang w:val="es-CR"/>
              </w:rPr>
              <w:t>Semestral</w:t>
            </w:r>
          </w:p>
          <w:p w14:paraId="5C23C407" w14:textId="77777777" w:rsidR="004912DC" w:rsidRPr="00BF6C1A" w:rsidRDefault="004912DC" w:rsidP="00922ED9">
            <w:pPr>
              <w:widowControl w:val="0"/>
              <w:rPr>
                <w:rFonts w:asciiTheme="majorHAnsi" w:hAnsiTheme="majorHAnsi" w:cstheme="minorHAnsi"/>
                <w:snapToGrid w:val="0"/>
                <w:sz w:val="20"/>
                <w:szCs w:val="20"/>
                <w:u w:val="single"/>
                <w:lang w:val="es-CR"/>
              </w:rPr>
            </w:pPr>
          </w:p>
          <w:p w14:paraId="632420C0" w14:textId="77777777" w:rsidR="004912DC" w:rsidRPr="00BF6C1A" w:rsidRDefault="004912DC" w:rsidP="00922ED9">
            <w:pPr>
              <w:widowControl w:val="0"/>
              <w:rPr>
                <w:rFonts w:asciiTheme="majorHAnsi" w:hAnsiTheme="majorHAnsi" w:cstheme="minorHAnsi"/>
                <w:strike/>
                <w:snapToGrid w:val="0"/>
                <w:sz w:val="20"/>
                <w:szCs w:val="20"/>
                <w:lang w:val="es-CR"/>
              </w:rPr>
            </w:pPr>
            <w:r w:rsidRPr="00BF6C1A">
              <w:rPr>
                <w:rFonts w:asciiTheme="majorHAnsi" w:hAnsiTheme="majorHAnsi" w:cstheme="minorHAnsi"/>
                <w:snapToGrid w:val="0"/>
                <w:sz w:val="20"/>
                <w:szCs w:val="20"/>
                <w:u w:val="single"/>
                <w:lang w:val="es-CR"/>
              </w:rPr>
              <w:t>Sociedades Corredoras y Sociedades Agencias pertenecientes a grupos o conglomerados financieros:</w:t>
            </w:r>
            <w:r w:rsidRPr="00BF6C1A">
              <w:rPr>
                <w:rFonts w:asciiTheme="majorHAnsi" w:hAnsiTheme="majorHAnsi" w:cstheme="minorHAnsi"/>
                <w:snapToGrid w:val="0"/>
                <w:sz w:val="20"/>
                <w:szCs w:val="20"/>
                <w:lang w:val="es-CR"/>
              </w:rPr>
              <w:t xml:space="preserve"> </w:t>
            </w:r>
            <w:r w:rsidRPr="00BF6C1A">
              <w:rPr>
                <w:rFonts w:asciiTheme="majorHAnsi" w:hAnsiTheme="majorHAnsi" w:cstheme="minorHAnsi"/>
                <w:b/>
                <w:bCs/>
                <w:snapToGrid w:val="0"/>
                <w:sz w:val="20"/>
                <w:szCs w:val="20"/>
                <w:lang w:val="es-CR"/>
              </w:rPr>
              <w:t>Trimestral</w:t>
            </w:r>
          </w:p>
        </w:tc>
        <w:tc>
          <w:tcPr>
            <w:tcW w:w="2273" w:type="dxa"/>
          </w:tcPr>
          <w:p w14:paraId="7C094847" w14:textId="77777777" w:rsidR="004912DC" w:rsidRPr="00BF6C1A" w:rsidRDefault="004912DC" w:rsidP="00922ED9">
            <w:pPr>
              <w:widowControl w:val="0"/>
              <w:rPr>
                <w:rFonts w:asciiTheme="majorHAnsi" w:hAnsiTheme="majorHAnsi" w:cstheme="minorHAnsi"/>
                <w:sz w:val="20"/>
                <w:szCs w:val="20"/>
                <w:lang w:val="es-CR"/>
              </w:rPr>
            </w:pPr>
            <w:r w:rsidRPr="00BF6C1A">
              <w:rPr>
                <w:rFonts w:asciiTheme="majorHAnsi" w:hAnsiTheme="majorHAnsi" w:cstheme="minorHAnsi"/>
                <w:sz w:val="20"/>
                <w:szCs w:val="20"/>
                <w:lang w:val="es-CR"/>
              </w:rPr>
              <w:t>15 días hábiles después del cierre de los meses de marzo, junio y setiembre, según la periodicidad establecida para cada tipo de intermediario.</w:t>
            </w:r>
          </w:p>
          <w:p w14:paraId="0B26C687" w14:textId="77777777" w:rsidR="004912DC" w:rsidRPr="00BF6C1A" w:rsidRDefault="004912DC" w:rsidP="00922ED9">
            <w:pPr>
              <w:widowControl w:val="0"/>
              <w:rPr>
                <w:rFonts w:asciiTheme="majorHAnsi" w:hAnsiTheme="majorHAnsi" w:cstheme="minorHAnsi"/>
                <w:sz w:val="20"/>
                <w:szCs w:val="20"/>
                <w:lang w:val="es-CR"/>
              </w:rPr>
            </w:pPr>
          </w:p>
          <w:p w14:paraId="699AF0E6" w14:textId="77777777" w:rsidR="004912DC" w:rsidRPr="00BF6C1A" w:rsidRDefault="004912DC" w:rsidP="00922ED9">
            <w:pPr>
              <w:widowControl w:val="0"/>
              <w:rPr>
                <w:rFonts w:asciiTheme="majorHAnsi" w:hAnsiTheme="majorHAnsi" w:cstheme="minorHAnsi"/>
                <w:sz w:val="20"/>
                <w:szCs w:val="20"/>
                <w:lang w:val="es-CR"/>
              </w:rPr>
            </w:pPr>
            <w:r w:rsidRPr="00BF6C1A">
              <w:rPr>
                <w:rFonts w:asciiTheme="majorHAnsi" w:hAnsiTheme="majorHAnsi" w:cstheme="minorHAnsi"/>
                <w:sz w:val="20"/>
                <w:szCs w:val="20"/>
                <w:lang w:val="es-CR"/>
              </w:rPr>
              <w:t>Para el caso del mes de diciembre, 5 días hábiles después del cierre de ese mes.</w:t>
            </w:r>
          </w:p>
        </w:tc>
        <w:tc>
          <w:tcPr>
            <w:tcW w:w="2427" w:type="dxa"/>
          </w:tcPr>
          <w:p w14:paraId="781888CF" w14:textId="77777777" w:rsidR="004912DC" w:rsidRPr="00BF6C1A" w:rsidRDefault="004912DC" w:rsidP="00922ED9">
            <w:pPr>
              <w:widowControl w:val="0"/>
              <w:rPr>
                <w:rFonts w:asciiTheme="majorHAnsi" w:hAnsiTheme="majorHAnsi" w:cstheme="minorHAnsi"/>
                <w:strike/>
                <w:snapToGrid w:val="0"/>
                <w:sz w:val="20"/>
                <w:szCs w:val="20"/>
                <w:lang w:val="es-CR"/>
              </w:rPr>
            </w:pPr>
            <w:r w:rsidRPr="00BF6C1A">
              <w:rPr>
                <w:rFonts w:asciiTheme="majorHAnsi" w:hAnsiTheme="majorHAnsi" w:cstheme="minorHAnsi"/>
                <w:sz w:val="20"/>
                <w:szCs w:val="20"/>
                <w:lang w:val="es-CR"/>
              </w:rPr>
              <w:t xml:space="preserve">Formularios web dispuestos en la plataforma </w:t>
            </w:r>
            <w:r w:rsidRPr="00BF6C1A">
              <w:rPr>
                <w:rFonts w:asciiTheme="majorHAnsi" w:hAnsiTheme="majorHAnsi" w:cstheme="minorHAnsi"/>
                <w:i/>
                <w:sz w:val="20"/>
                <w:szCs w:val="20"/>
                <w:lang w:val="es-CR"/>
              </w:rPr>
              <w:t>SUGESE en línea</w:t>
            </w:r>
            <w:r w:rsidRPr="00BF6C1A">
              <w:rPr>
                <w:rFonts w:asciiTheme="majorHAnsi" w:hAnsiTheme="majorHAnsi" w:cstheme="minorHAnsi"/>
                <w:sz w:val="20"/>
                <w:szCs w:val="20"/>
                <w:lang w:val="es-CR"/>
              </w:rPr>
              <w:t xml:space="preserve">, disponible en el sitio web de SUGESE, de conformidad con el Estándar de Negocio para Intermediarios de Seguros, incluido en el </w:t>
            </w:r>
            <w:r w:rsidRPr="00BF6C1A">
              <w:rPr>
                <w:rFonts w:asciiTheme="majorHAnsi" w:hAnsiTheme="majorHAnsi" w:cstheme="minorHAnsi"/>
                <w:b/>
                <w:bCs/>
                <w:sz w:val="20"/>
                <w:szCs w:val="20"/>
                <w:lang w:val="es-CR"/>
              </w:rPr>
              <w:t>Anexo 8</w:t>
            </w:r>
          </w:p>
        </w:tc>
      </w:tr>
    </w:tbl>
    <w:p w14:paraId="612FA96C" w14:textId="77777777" w:rsidR="004912DC" w:rsidRPr="00922ED9" w:rsidRDefault="004912DC" w:rsidP="00922ED9">
      <w:pPr>
        <w:widowControl w:val="0"/>
        <w:pBdr>
          <w:top w:val="nil"/>
          <w:left w:val="nil"/>
          <w:bottom w:val="nil"/>
          <w:right w:val="nil"/>
          <w:between w:val="nil"/>
        </w:pBdr>
        <w:jc w:val="both"/>
        <w:rPr>
          <w:rFonts w:asciiTheme="majorHAnsi" w:eastAsia="Verdana" w:hAnsiTheme="majorHAnsi" w:cstheme="minorHAnsi"/>
          <w:color w:val="000000"/>
          <w:lang w:val="es-CR" w:eastAsia="es-CR"/>
        </w:rPr>
      </w:pPr>
    </w:p>
    <w:p w14:paraId="7C838E84" w14:textId="77777777" w:rsidR="004912DC" w:rsidRPr="00BF6C1A" w:rsidRDefault="004912DC" w:rsidP="00922ED9">
      <w:pPr>
        <w:pStyle w:val="Textoindependiente3"/>
        <w:numPr>
          <w:ilvl w:val="0"/>
          <w:numId w:val="3"/>
        </w:numPr>
        <w:tabs>
          <w:tab w:val="left" w:pos="857"/>
          <w:tab w:val="left" w:pos="1168"/>
        </w:tabs>
        <w:spacing w:after="0"/>
        <w:ind w:left="851" w:hanging="284"/>
        <w:jc w:val="both"/>
        <w:rPr>
          <w:rFonts w:asciiTheme="majorHAnsi" w:hAnsiTheme="majorHAnsi" w:cstheme="minorHAnsi"/>
          <w:bCs/>
          <w:sz w:val="24"/>
          <w:szCs w:val="24"/>
          <w:lang w:val="es-CR"/>
        </w:rPr>
      </w:pPr>
      <w:r w:rsidRPr="00BF6C1A">
        <w:rPr>
          <w:rFonts w:asciiTheme="majorHAnsi" w:hAnsiTheme="majorHAnsi" w:cstheme="minorHAnsi"/>
          <w:bCs/>
          <w:sz w:val="24"/>
          <w:szCs w:val="24"/>
          <w:lang w:val="es-CR"/>
        </w:rPr>
        <w:t xml:space="preserve">El Modelo 1 que aparece en la Sección III del Estándar de Negocio para Intermediarios de Seguros del Anexo 8, para que se lea: </w:t>
      </w:r>
    </w:p>
    <w:p w14:paraId="5DFF4893" w14:textId="77777777" w:rsidR="004912DC" w:rsidRPr="00922ED9" w:rsidRDefault="004912DC" w:rsidP="00922ED9">
      <w:pPr>
        <w:widowControl w:val="0"/>
        <w:pBdr>
          <w:top w:val="nil"/>
          <w:left w:val="nil"/>
          <w:bottom w:val="nil"/>
          <w:right w:val="nil"/>
          <w:between w:val="nil"/>
        </w:pBdr>
        <w:jc w:val="both"/>
        <w:rPr>
          <w:rFonts w:asciiTheme="majorHAnsi" w:eastAsia="Verdana" w:hAnsiTheme="majorHAnsi" w:cstheme="minorHAnsi"/>
          <w:color w:val="000000"/>
          <w:lang w:val="es-CR" w:eastAsia="es-CR"/>
        </w:rPr>
      </w:pPr>
    </w:p>
    <w:p w14:paraId="25901B87" w14:textId="77777777" w:rsidR="004912DC" w:rsidRPr="00BF6C1A" w:rsidRDefault="004912DC" w:rsidP="00922ED9">
      <w:pPr>
        <w:jc w:val="center"/>
        <w:rPr>
          <w:rFonts w:asciiTheme="majorHAnsi" w:hAnsiTheme="majorHAnsi" w:cstheme="minorHAnsi"/>
          <w:b/>
          <w:bCs/>
          <w:lang w:val="es-CR"/>
        </w:rPr>
      </w:pPr>
      <w:r w:rsidRPr="00BF6C1A">
        <w:rPr>
          <w:rFonts w:asciiTheme="majorHAnsi" w:hAnsiTheme="majorHAnsi" w:cstheme="minorHAnsi"/>
          <w:b/>
          <w:bCs/>
          <w:lang w:val="es-CR"/>
        </w:rPr>
        <w:t>“Modelo 1</w:t>
      </w:r>
    </w:p>
    <w:p w14:paraId="247CC1A4" w14:textId="77777777" w:rsidR="004912DC" w:rsidRPr="00BF6C1A" w:rsidRDefault="004912DC" w:rsidP="00922ED9">
      <w:pPr>
        <w:jc w:val="center"/>
        <w:rPr>
          <w:rFonts w:asciiTheme="majorHAnsi" w:hAnsiTheme="majorHAnsi" w:cstheme="minorHAnsi"/>
          <w:b/>
          <w:lang w:val="es-CR"/>
        </w:rPr>
      </w:pPr>
      <w:r w:rsidRPr="00BF6C1A">
        <w:rPr>
          <w:rFonts w:asciiTheme="majorHAnsi" w:hAnsiTheme="majorHAnsi" w:cstheme="minorHAnsi"/>
          <w:b/>
          <w:lang w:val="es-CR"/>
        </w:rPr>
        <w:t xml:space="preserve">Datos Contables, información adicional y garantía mínima de funcionamiento: </w:t>
      </w:r>
    </w:p>
    <w:p w14:paraId="611D81E0" w14:textId="77777777" w:rsidR="004912DC" w:rsidRPr="00BF6C1A" w:rsidRDefault="004912DC" w:rsidP="00922ED9">
      <w:pPr>
        <w:jc w:val="center"/>
        <w:rPr>
          <w:rFonts w:asciiTheme="majorHAnsi" w:hAnsiTheme="majorHAnsi" w:cstheme="minorHAnsi"/>
          <w:i/>
          <w:lang w:val="es-CR"/>
        </w:rPr>
      </w:pPr>
      <w:r w:rsidRPr="00BF6C1A">
        <w:rPr>
          <w:rFonts w:asciiTheme="majorHAnsi" w:hAnsiTheme="majorHAnsi" w:cstheme="minorHAnsi"/>
          <w:i/>
          <w:lang w:val="es-CR"/>
        </w:rPr>
        <w:t xml:space="preserve">Cifras en colones </w:t>
      </w:r>
    </w:p>
    <w:p w14:paraId="440C4B49" w14:textId="77777777" w:rsidR="004912DC" w:rsidRPr="00BF6C1A" w:rsidRDefault="004912DC" w:rsidP="00922ED9">
      <w:pPr>
        <w:rPr>
          <w:rFonts w:asciiTheme="majorHAnsi" w:hAnsiTheme="majorHAnsi" w:cstheme="minorHAnsi"/>
          <w:lang w:val="es-CR"/>
        </w:rPr>
      </w:pPr>
      <w:r w:rsidRPr="00BF6C1A">
        <w:rPr>
          <w:rFonts w:asciiTheme="majorHAnsi" w:hAnsiTheme="majorHAnsi" w:cstheme="minorHAnsi"/>
          <w:lang w:val="es-CR"/>
        </w:rPr>
        <w:t>Número de Licencia de la entidad: _________</w:t>
      </w:r>
    </w:p>
    <w:p w14:paraId="26B1125A" w14:textId="77777777" w:rsidR="004912DC" w:rsidRPr="00BF6C1A" w:rsidRDefault="004912DC" w:rsidP="00922ED9">
      <w:pPr>
        <w:rPr>
          <w:rFonts w:asciiTheme="majorHAnsi" w:hAnsiTheme="majorHAnsi" w:cstheme="minorHAnsi"/>
          <w:lang w:val="es-CR"/>
        </w:rPr>
      </w:pPr>
      <w:r w:rsidRPr="00BF6C1A">
        <w:rPr>
          <w:rFonts w:asciiTheme="majorHAnsi" w:hAnsiTheme="majorHAnsi" w:cstheme="minorHAnsi"/>
          <w:lang w:val="es-CR"/>
        </w:rPr>
        <w:t xml:space="preserve">Periodo: </w:t>
      </w:r>
    </w:p>
    <w:p w14:paraId="7219D092" w14:textId="77777777" w:rsidR="004912DC" w:rsidRPr="00922ED9" w:rsidRDefault="004912DC" w:rsidP="00922ED9">
      <w:pPr>
        <w:widowControl w:val="0"/>
        <w:pBdr>
          <w:top w:val="nil"/>
          <w:left w:val="nil"/>
          <w:bottom w:val="nil"/>
          <w:right w:val="nil"/>
          <w:between w:val="nil"/>
        </w:pBdr>
        <w:jc w:val="both"/>
        <w:rPr>
          <w:rFonts w:asciiTheme="majorHAnsi" w:eastAsia="Verdana" w:hAnsiTheme="majorHAnsi" w:cstheme="minorHAnsi"/>
          <w:color w:val="000000"/>
          <w:lang w:val="es-CR" w:eastAsia="es-CR"/>
        </w:rPr>
      </w:pPr>
    </w:p>
    <w:tbl>
      <w:tblPr>
        <w:tblStyle w:val="Tablaconcuadrcula"/>
        <w:tblW w:w="0" w:type="auto"/>
        <w:jc w:val="center"/>
        <w:tblLook w:val="04A0" w:firstRow="1" w:lastRow="0" w:firstColumn="1" w:lastColumn="0" w:noHBand="0" w:noVBand="1"/>
      </w:tblPr>
      <w:tblGrid>
        <w:gridCol w:w="3681"/>
        <w:gridCol w:w="4252"/>
        <w:gridCol w:w="1417"/>
      </w:tblGrid>
      <w:tr w:rsidR="004912DC" w:rsidRPr="00BF6C1A" w14:paraId="0688CAF6" w14:textId="77777777" w:rsidTr="00922ED9">
        <w:trPr>
          <w:jc w:val="center"/>
        </w:trPr>
        <w:tc>
          <w:tcPr>
            <w:tcW w:w="3681" w:type="dxa"/>
          </w:tcPr>
          <w:p w14:paraId="636374FC" w14:textId="77777777" w:rsidR="004912DC" w:rsidRPr="00BF6C1A" w:rsidRDefault="004912DC" w:rsidP="00922ED9">
            <w:pPr>
              <w:jc w:val="both"/>
              <w:rPr>
                <w:rFonts w:asciiTheme="majorHAnsi" w:hAnsiTheme="majorHAnsi" w:cstheme="minorHAnsi"/>
                <w:b/>
                <w:bCs/>
                <w:sz w:val="16"/>
                <w:szCs w:val="16"/>
                <w:lang w:val="es-CR"/>
              </w:rPr>
            </w:pPr>
          </w:p>
        </w:tc>
        <w:tc>
          <w:tcPr>
            <w:tcW w:w="5669" w:type="dxa"/>
            <w:gridSpan w:val="2"/>
          </w:tcPr>
          <w:p w14:paraId="798BE2CD" w14:textId="77777777" w:rsidR="004912DC" w:rsidRPr="00BF6C1A" w:rsidRDefault="004912DC" w:rsidP="00922ED9">
            <w:pPr>
              <w:pStyle w:val="Prrafodelista"/>
              <w:numPr>
                <w:ilvl w:val="0"/>
                <w:numId w:val="6"/>
              </w:numPr>
              <w:jc w:val="both"/>
              <w:rPr>
                <w:rFonts w:asciiTheme="majorHAnsi" w:hAnsiTheme="majorHAnsi" w:cstheme="minorHAnsi"/>
                <w:sz w:val="16"/>
                <w:szCs w:val="16"/>
                <w:lang w:val="es-CR"/>
              </w:rPr>
            </w:pPr>
            <w:r w:rsidRPr="00BF6C1A">
              <w:rPr>
                <w:rFonts w:asciiTheme="majorHAnsi" w:hAnsiTheme="majorHAnsi" w:cstheme="minorHAnsi"/>
                <w:b/>
                <w:bCs/>
                <w:sz w:val="16"/>
                <w:szCs w:val="16"/>
                <w:lang w:val="es-CR"/>
              </w:rPr>
              <w:t>Información contable relevante</w:t>
            </w:r>
          </w:p>
        </w:tc>
      </w:tr>
      <w:tr w:rsidR="004912DC" w:rsidRPr="00BF6C1A" w14:paraId="48533C18" w14:textId="77777777" w:rsidTr="00922ED9">
        <w:trPr>
          <w:jc w:val="center"/>
        </w:trPr>
        <w:tc>
          <w:tcPr>
            <w:tcW w:w="3681" w:type="dxa"/>
          </w:tcPr>
          <w:p w14:paraId="48DEF5D7" w14:textId="77777777" w:rsidR="004912DC" w:rsidRPr="00BF6C1A" w:rsidRDefault="004912DC" w:rsidP="00922ED9">
            <w:pPr>
              <w:jc w:val="both"/>
              <w:rPr>
                <w:rFonts w:asciiTheme="majorHAnsi" w:hAnsiTheme="majorHAnsi" w:cstheme="minorHAnsi"/>
                <w:b/>
                <w:bCs/>
                <w:strike/>
                <w:sz w:val="16"/>
                <w:szCs w:val="16"/>
                <w:lang w:val="es-CR"/>
              </w:rPr>
            </w:pPr>
          </w:p>
        </w:tc>
        <w:tc>
          <w:tcPr>
            <w:tcW w:w="5669" w:type="dxa"/>
            <w:gridSpan w:val="2"/>
          </w:tcPr>
          <w:p w14:paraId="2C8A14F8" w14:textId="77777777" w:rsidR="004912DC" w:rsidRPr="00BF6C1A" w:rsidRDefault="004912DC" w:rsidP="00922ED9">
            <w:pPr>
              <w:pStyle w:val="Prrafodelista"/>
              <w:numPr>
                <w:ilvl w:val="0"/>
                <w:numId w:val="5"/>
              </w:numPr>
              <w:jc w:val="both"/>
              <w:rPr>
                <w:rFonts w:asciiTheme="majorHAnsi" w:hAnsiTheme="majorHAnsi" w:cstheme="minorHAnsi"/>
                <w:b/>
                <w:bCs/>
                <w:sz w:val="16"/>
                <w:szCs w:val="16"/>
                <w:lang w:val="es-CR"/>
              </w:rPr>
            </w:pPr>
            <w:r w:rsidRPr="00BF6C1A">
              <w:rPr>
                <w:rFonts w:asciiTheme="majorHAnsi" w:hAnsiTheme="majorHAnsi" w:cstheme="minorHAnsi"/>
                <w:b/>
                <w:bCs/>
                <w:sz w:val="16"/>
                <w:szCs w:val="16"/>
                <w:lang w:val="es-CR"/>
              </w:rPr>
              <w:t>Ingresos de la Actividad</w:t>
            </w:r>
          </w:p>
        </w:tc>
      </w:tr>
      <w:tr w:rsidR="004912DC" w:rsidRPr="00BF6C1A" w14:paraId="745E4584" w14:textId="77777777" w:rsidTr="00922ED9">
        <w:trPr>
          <w:jc w:val="center"/>
        </w:trPr>
        <w:tc>
          <w:tcPr>
            <w:tcW w:w="3681" w:type="dxa"/>
          </w:tcPr>
          <w:p w14:paraId="3C3541EE" w14:textId="77777777" w:rsidR="004912DC" w:rsidRPr="00BF6C1A" w:rsidRDefault="004912DC" w:rsidP="00922ED9">
            <w:pPr>
              <w:jc w:val="both"/>
              <w:rPr>
                <w:rFonts w:asciiTheme="majorHAnsi" w:hAnsiTheme="majorHAnsi" w:cstheme="minorHAnsi"/>
                <w:b/>
                <w:bCs/>
                <w:sz w:val="16"/>
                <w:szCs w:val="16"/>
                <w:lang w:val="es-CR"/>
              </w:rPr>
            </w:pPr>
            <w:r w:rsidRPr="00BF6C1A">
              <w:rPr>
                <w:rFonts w:asciiTheme="majorHAnsi" w:hAnsiTheme="majorHAnsi" w:cstheme="minorHAnsi"/>
                <w:b/>
                <w:bCs/>
                <w:sz w:val="16"/>
                <w:szCs w:val="16"/>
                <w:lang w:val="es-CR"/>
              </w:rPr>
              <w:t>Código Contable</w:t>
            </w:r>
          </w:p>
        </w:tc>
        <w:tc>
          <w:tcPr>
            <w:tcW w:w="4252" w:type="dxa"/>
          </w:tcPr>
          <w:p w14:paraId="622F1FCD"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b/>
                <w:bCs/>
                <w:sz w:val="16"/>
                <w:szCs w:val="16"/>
                <w:lang w:val="es-CR"/>
              </w:rPr>
              <w:t>Conceptos</w:t>
            </w:r>
          </w:p>
        </w:tc>
        <w:tc>
          <w:tcPr>
            <w:tcW w:w="1417" w:type="dxa"/>
          </w:tcPr>
          <w:p w14:paraId="44E3DB3B" w14:textId="77777777" w:rsidR="004912DC" w:rsidRPr="00BF6C1A" w:rsidRDefault="004912DC" w:rsidP="00922ED9">
            <w:pPr>
              <w:jc w:val="both"/>
              <w:rPr>
                <w:rFonts w:asciiTheme="majorHAnsi" w:hAnsiTheme="majorHAnsi" w:cstheme="minorHAnsi"/>
                <w:b/>
                <w:bCs/>
                <w:sz w:val="16"/>
                <w:szCs w:val="16"/>
                <w:lang w:val="es-CR"/>
              </w:rPr>
            </w:pPr>
            <w:r w:rsidRPr="00BF6C1A">
              <w:rPr>
                <w:rFonts w:asciiTheme="majorHAnsi" w:hAnsiTheme="majorHAnsi" w:cstheme="minorHAnsi"/>
                <w:b/>
                <w:bCs/>
                <w:sz w:val="16"/>
                <w:szCs w:val="16"/>
                <w:lang w:val="es-CR"/>
              </w:rPr>
              <w:t>Dato</w:t>
            </w:r>
          </w:p>
        </w:tc>
      </w:tr>
      <w:tr w:rsidR="004912DC" w:rsidRPr="00BF6C1A" w14:paraId="18DDD5AE" w14:textId="77777777" w:rsidTr="00922ED9">
        <w:trPr>
          <w:jc w:val="center"/>
        </w:trPr>
        <w:tc>
          <w:tcPr>
            <w:tcW w:w="3681" w:type="dxa"/>
          </w:tcPr>
          <w:p w14:paraId="5F9DC60C"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50600102000000</w:t>
            </w:r>
          </w:p>
        </w:tc>
        <w:tc>
          <w:tcPr>
            <w:tcW w:w="4252" w:type="dxa"/>
          </w:tcPr>
          <w:p w14:paraId="42C3A62E"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Comisiones por colocación de seguros</w:t>
            </w:r>
          </w:p>
        </w:tc>
        <w:tc>
          <w:tcPr>
            <w:tcW w:w="1417" w:type="dxa"/>
          </w:tcPr>
          <w:p w14:paraId="66CB1B29"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1F491673" w14:textId="77777777" w:rsidTr="00922ED9">
        <w:trPr>
          <w:jc w:val="center"/>
        </w:trPr>
        <w:tc>
          <w:tcPr>
            <w:tcW w:w="3681" w:type="dxa"/>
          </w:tcPr>
          <w:p w14:paraId="115B2943"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50600900200000</w:t>
            </w:r>
          </w:p>
        </w:tc>
        <w:tc>
          <w:tcPr>
            <w:tcW w:w="4252" w:type="dxa"/>
          </w:tcPr>
          <w:p w14:paraId="714AB9E4"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 xml:space="preserve">Honorarios profesionales </w:t>
            </w:r>
            <w:r w:rsidRPr="00BF6C1A">
              <w:rPr>
                <w:rFonts w:asciiTheme="majorHAnsi" w:hAnsiTheme="majorHAnsi" w:cstheme="minorHAnsi"/>
                <w:sz w:val="16"/>
                <w:szCs w:val="16"/>
                <w:vertAlign w:val="superscript"/>
                <w:lang w:val="es-CR"/>
              </w:rPr>
              <w:t>1/</w:t>
            </w:r>
          </w:p>
        </w:tc>
        <w:tc>
          <w:tcPr>
            <w:tcW w:w="1417" w:type="dxa"/>
          </w:tcPr>
          <w:p w14:paraId="5ACA55C4"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25349CF8" w14:textId="77777777" w:rsidTr="00922ED9">
        <w:trPr>
          <w:jc w:val="center"/>
        </w:trPr>
        <w:tc>
          <w:tcPr>
            <w:tcW w:w="3681" w:type="dxa"/>
          </w:tcPr>
          <w:p w14:paraId="51EEEFE0"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50100000000000</w:t>
            </w:r>
          </w:p>
        </w:tc>
        <w:tc>
          <w:tcPr>
            <w:tcW w:w="4252" w:type="dxa"/>
          </w:tcPr>
          <w:p w14:paraId="567543C2"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Ingresos financieros</w:t>
            </w:r>
          </w:p>
        </w:tc>
        <w:tc>
          <w:tcPr>
            <w:tcW w:w="1417" w:type="dxa"/>
          </w:tcPr>
          <w:p w14:paraId="6BB54C14"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5E3D9D5D" w14:textId="77777777" w:rsidTr="00922ED9">
        <w:trPr>
          <w:jc w:val="center"/>
        </w:trPr>
        <w:tc>
          <w:tcPr>
            <w:tcW w:w="3681" w:type="dxa"/>
          </w:tcPr>
          <w:p w14:paraId="6E7699C0"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50000000000000 (-) 50600102000000 (-)</w:t>
            </w:r>
          </w:p>
          <w:p w14:paraId="56F55BC7"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50600900200000 (-) 50100000000000 (-)</w:t>
            </w:r>
          </w:p>
          <w:p w14:paraId="1DCEB30B"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50800000000000</w:t>
            </w:r>
          </w:p>
        </w:tc>
        <w:tc>
          <w:tcPr>
            <w:tcW w:w="4252" w:type="dxa"/>
          </w:tcPr>
          <w:p w14:paraId="1DB766FE"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Otros ingresos</w:t>
            </w:r>
          </w:p>
        </w:tc>
        <w:tc>
          <w:tcPr>
            <w:tcW w:w="1417" w:type="dxa"/>
          </w:tcPr>
          <w:p w14:paraId="1FF6E861"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700DD13D" w14:textId="77777777" w:rsidTr="00922ED9">
        <w:trPr>
          <w:jc w:val="center"/>
        </w:trPr>
        <w:tc>
          <w:tcPr>
            <w:tcW w:w="3681" w:type="dxa"/>
          </w:tcPr>
          <w:p w14:paraId="7CCAE79A" w14:textId="77777777" w:rsidR="004912DC" w:rsidRPr="00BF6C1A" w:rsidRDefault="004912DC" w:rsidP="00922ED9">
            <w:pPr>
              <w:jc w:val="both"/>
              <w:rPr>
                <w:rFonts w:asciiTheme="majorHAnsi" w:hAnsiTheme="majorHAnsi" w:cstheme="minorHAnsi"/>
                <w:b/>
                <w:bCs/>
                <w:sz w:val="16"/>
                <w:szCs w:val="16"/>
                <w:lang w:val="es-CR"/>
              </w:rPr>
            </w:pPr>
            <w:r w:rsidRPr="00BF6C1A">
              <w:rPr>
                <w:rFonts w:asciiTheme="majorHAnsi" w:hAnsiTheme="majorHAnsi" w:cstheme="minorHAnsi"/>
                <w:sz w:val="16"/>
                <w:szCs w:val="16"/>
                <w:lang w:val="es-CR"/>
              </w:rPr>
              <w:t>50000000000000 (-) 50800000000000</w:t>
            </w:r>
          </w:p>
        </w:tc>
        <w:tc>
          <w:tcPr>
            <w:tcW w:w="4252" w:type="dxa"/>
          </w:tcPr>
          <w:p w14:paraId="0F23F197" w14:textId="77777777" w:rsidR="004912DC" w:rsidRPr="00BF6C1A" w:rsidRDefault="004912DC" w:rsidP="00922ED9">
            <w:pPr>
              <w:jc w:val="both"/>
              <w:rPr>
                <w:rFonts w:asciiTheme="majorHAnsi" w:hAnsiTheme="majorHAnsi" w:cstheme="minorHAnsi"/>
                <w:b/>
                <w:bCs/>
                <w:sz w:val="16"/>
                <w:szCs w:val="16"/>
                <w:lang w:val="es-CR"/>
              </w:rPr>
            </w:pPr>
            <w:r w:rsidRPr="00BF6C1A">
              <w:rPr>
                <w:rFonts w:asciiTheme="majorHAnsi" w:hAnsiTheme="majorHAnsi" w:cstheme="minorHAnsi"/>
                <w:b/>
                <w:bCs/>
                <w:sz w:val="16"/>
                <w:szCs w:val="16"/>
                <w:lang w:val="es-CR"/>
              </w:rPr>
              <w:t>Total de ingresos</w:t>
            </w:r>
          </w:p>
        </w:tc>
        <w:tc>
          <w:tcPr>
            <w:tcW w:w="1417" w:type="dxa"/>
          </w:tcPr>
          <w:p w14:paraId="70F7DE08" w14:textId="77777777" w:rsidR="004912DC" w:rsidRPr="00BF6C1A" w:rsidRDefault="004912DC" w:rsidP="00922ED9">
            <w:pPr>
              <w:jc w:val="both"/>
              <w:rPr>
                <w:rFonts w:asciiTheme="majorHAnsi" w:hAnsiTheme="majorHAnsi" w:cstheme="minorHAnsi"/>
                <w:b/>
                <w:bCs/>
                <w:sz w:val="16"/>
                <w:szCs w:val="16"/>
                <w:lang w:val="es-CR"/>
              </w:rPr>
            </w:pPr>
          </w:p>
        </w:tc>
      </w:tr>
      <w:tr w:rsidR="004912DC" w:rsidRPr="00BF6C1A" w14:paraId="1C672783" w14:textId="77777777" w:rsidTr="00922ED9">
        <w:trPr>
          <w:jc w:val="center"/>
        </w:trPr>
        <w:tc>
          <w:tcPr>
            <w:tcW w:w="3681" w:type="dxa"/>
          </w:tcPr>
          <w:p w14:paraId="5D210692" w14:textId="77777777" w:rsidR="004912DC" w:rsidRPr="00BF6C1A" w:rsidRDefault="004912DC" w:rsidP="00922ED9">
            <w:pPr>
              <w:jc w:val="both"/>
              <w:rPr>
                <w:rFonts w:asciiTheme="majorHAnsi" w:hAnsiTheme="majorHAnsi" w:cstheme="minorHAnsi"/>
                <w:b/>
                <w:bCs/>
                <w:sz w:val="16"/>
                <w:szCs w:val="16"/>
                <w:lang w:val="es-CR"/>
              </w:rPr>
            </w:pPr>
          </w:p>
        </w:tc>
        <w:tc>
          <w:tcPr>
            <w:tcW w:w="5669" w:type="dxa"/>
            <w:gridSpan w:val="2"/>
          </w:tcPr>
          <w:p w14:paraId="57060127" w14:textId="77777777" w:rsidR="004912DC" w:rsidRPr="00BF6C1A" w:rsidRDefault="004912DC" w:rsidP="00922ED9">
            <w:pPr>
              <w:pStyle w:val="Prrafodelista"/>
              <w:numPr>
                <w:ilvl w:val="0"/>
                <w:numId w:val="5"/>
              </w:numPr>
              <w:jc w:val="both"/>
              <w:rPr>
                <w:rFonts w:asciiTheme="majorHAnsi" w:hAnsiTheme="majorHAnsi" w:cstheme="minorHAnsi"/>
                <w:b/>
                <w:bCs/>
                <w:sz w:val="16"/>
                <w:szCs w:val="16"/>
                <w:lang w:val="es-CR"/>
              </w:rPr>
            </w:pPr>
            <w:r w:rsidRPr="00BF6C1A">
              <w:rPr>
                <w:rFonts w:asciiTheme="majorHAnsi" w:hAnsiTheme="majorHAnsi" w:cstheme="minorHAnsi"/>
                <w:b/>
                <w:bCs/>
                <w:sz w:val="16"/>
                <w:szCs w:val="16"/>
                <w:lang w:val="es-CR"/>
              </w:rPr>
              <w:t>Gastos de la Actividad</w:t>
            </w:r>
          </w:p>
        </w:tc>
      </w:tr>
      <w:tr w:rsidR="004912DC" w:rsidRPr="00BF6C1A" w14:paraId="503476FE" w14:textId="77777777" w:rsidTr="00922ED9">
        <w:trPr>
          <w:jc w:val="center"/>
        </w:trPr>
        <w:tc>
          <w:tcPr>
            <w:tcW w:w="3681" w:type="dxa"/>
          </w:tcPr>
          <w:p w14:paraId="3C63871C"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40700000000000</w:t>
            </w:r>
          </w:p>
        </w:tc>
        <w:tc>
          <w:tcPr>
            <w:tcW w:w="4252" w:type="dxa"/>
          </w:tcPr>
          <w:p w14:paraId="514311B1"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Gastos de la administración</w:t>
            </w:r>
          </w:p>
        </w:tc>
        <w:tc>
          <w:tcPr>
            <w:tcW w:w="1417" w:type="dxa"/>
          </w:tcPr>
          <w:p w14:paraId="150A88F2"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53E06C92" w14:textId="77777777" w:rsidTr="00922ED9">
        <w:trPr>
          <w:jc w:val="center"/>
        </w:trPr>
        <w:tc>
          <w:tcPr>
            <w:tcW w:w="3681" w:type="dxa"/>
          </w:tcPr>
          <w:p w14:paraId="07C5C844"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40600101000000</w:t>
            </w:r>
          </w:p>
        </w:tc>
        <w:tc>
          <w:tcPr>
            <w:tcW w:w="4252" w:type="dxa"/>
          </w:tcPr>
          <w:p w14:paraId="49A091F3"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Comisiones por colocación de seguros</w:t>
            </w:r>
          </w:p>
        </w:tc>
        <w:tc>
          <w:tcPr>
            <w:tcW w:w="1417" w:type="dxa"/>
          </w:tcPr>
          <w:p w14:paraId="300BE86D"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4F89E4A1" w14:textId="77777777" w:rsidTr="00922ED9">
        <w:trPr>
          <w:jc w:val="center"/>
        </w:trPr>
        <w:tc>
          <w:tcPr>
            <w:tcW w:w="3681" w:type="dxa"/>
          </w:tcPr>
          <w:p w14:paraId="63B2081C"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40100000000000</w:t>
            </w:r>
          </w:p>
        </w:tc>
        <w:tc>
          <w:tcPr>
            <w:tcW w:w="4252" w:type="dxa"/>
          </w:tcPr>
          <w:p w14:paraId="3FEE09AA"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Gastos financieros</w:t>
            </w:r>
          </w:p>
        </w:tc>
        <w:tc>
          <w:tcPr>
            <w:tcW w:w="1417" w:type="dxa"/>
          </w:tcPr>
          <w:p w14:paraId="29F5A363"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1B7E2DE3" w14:textId="77777777" w:rsidTr="00922ED9">
        <w:trPr>
          <w:jc w:val="center"/>
        </w:trPr>
        <w:tc>
          <w:tcPr>
            <w:tcW w:w="3681" w:type="dxa"/>
          </w:tcPr>
          <w:p w14:paraId="7814E241"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40000000000000 (-) 40700000000000 (-)</w:t>
            </w:r>
          </w:p>
          <w:p w14:paraId="5438DBC9"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40600101000000 (-) 40100000000000 (-)</w:t>
            </w:r>
          </w:p>
          <w:p w14:paraId="245497BF"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40901000000000</w:t>
            </w:r>
          </w:p>
        </w:tc>
        <w:tc>
          <w:tcPr>
            <w:tcW w:w="4252" w:type="dxa"/>
          </w:tcPr>
          <w:p w14:paraId="5C4E392D"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Otros gastos</w:t>
            </w:r>
          </w:p>
        </w:tc>
        <w:tc>
          <w:tcPr>
            <w:tcW w:w="1417" w:type="dxa"/>
          </w:tcPr>
          <w:p w14:paraId="3FF4556E"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3DC76A27" w14:textId="77777777" w:rsidTr="00922ED9">
        <w:trPr>
          <w:jc w:val="center"/>
        </w:trPr>
        <w:tc>
          <w:tcPr>
            <w:tcW w:w="3681" w:type="dxa"/>
          </w:tcPr>
          <w:p w14:paraId="52B31789"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40000000000000 (-) 40901000000000</w:t>
            </w:r>
          </w:p>
        </w:tc>
        <w:tc>
          <w:tcPr>
            <w:tcW w:w="4252" w:type="dxa"/>
          </w:tcPr>
          <w:p w14:paraId="3B9AB3D8" w14:textId="77777777" w:rsidR="004912DC" w:rsidRPr="00BF6C1A" w:rsidRDefault="004912DC" w:rsidP="00922ED9">
            <w:pPr>
              <w:jc w:val="both"/>
              <w:rPr>
                <w:rFonts w:asciiTheme="majorHAnsi" w:hAnsiTheme="majorHAnsi" w:cstheme="minorHAnsi"/>
                <w:b/>
                <w:bCs/>
                <w:sz w:val="16"/>
                <w:szCs w:val="16"/>
                <w:lang w:val="es-CR"/>
              </w:rPr>
            </w:pPr>
            <w:r w:rsidRPr="00BF6C1A">
              <w:rPr>
                <w:rFonts w:asciiTheme="majorHAnsi" w:hAnsiTheme="majorHAnsi" w:cstheme="minorHAnsi"/>
                <w:b/>
                <w:bCs/>
                <w:sz w:val="16"/>
                <w:szCs w:val="16"/>
                <w:lang w:val="es-CR"/>
              </w:rPr>
              <w:t>Total gastos</w:t>
            </w:r>
          </w:p>
        </w:tc>
        <w:tc>
          <w:tcPr>
            <w:tcW w:w="1417" w:type="dxa"/>
          </w:tcPr>
          <w:p w14:paraId="38F22D7A"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43BE6169" w14:textId="77777777" w:rsidTr="00922ED9">
        <w:trPr>
          <w:jc w:val="center"/>
        </w:trPr>
        <w:tc>
          <w:tcPr>
            <w:tcW w:w="3681" w:type="dxa"/>
          </w:tcPr>
          <w:p w14:paraId="264022ED"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Total Ingresos – Total gastos</w:t>
            </w:r>
          </w:p>
        </w:tc>
        <w:tc>
          <w:tcPr>
            <w:tcW w:w="4252" w:type="dxa"/>
          </w:tcPr>
          <w:p w14:paraId="05889FE3" w14:textId="77777777" w:rsidR="004912DC" w:rsidRPr="00BF6C1A" w:rsidRDefault="004912DC" w:rsidP="00922ED9">
            <w:pPr>
              <w:pStyle w:val="Prrafodelista"/>
              <w:numPr>
                <w:ilvl w:val="0"/>
                <w:numId w:val="5"/>
              </w:numPr>
              <w:jc w:val="both"/>
              <w:rPr>
                <w:rFonts w:asciiTheme="majorHAnsi" w:hAnsiTheme="majorHAnsi" w:cstheme="minorHAnsi"/>
                <w:b/>
                <w:bCs/>
                <w:sz w:val="16"/>
                <w:szCs w:val="16"/>
                <w:lang w:val="es-CR"/>
              </w:rPr>
            </w:pPr>
            <w:r w:rsidRPr="00BF6C1A">
              <w:rPr>
                <w:rFonts w:asciiTheme="majorHAnsi" w:hAnsiTheme="majorHAnsi" w:cstheme="minorHAnsi"/>
                <w:b/>
                <w:bCs/>
                <w:sz w:val="16"/>
                <w:szCs w:val="16"/>
                <w:lang w:val="es-CR"/>
              </w:rPr>
              <w:t>Utilidad/Pérdida bruta</w:t>
            </w:r>
          </w:p>
        </w:tc>
        <w:tc>
          <w:tcPr>
            <w:tcW w:w="1417" w:type="dxa"/>
            <w:shd w:val="clear" w:color="auto" w:fill="auto"/>
          </w:tcPr>
          <w:p w14:paraId="656A8D5F"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4650CCD8" w14:textId="77777777" w:rsidTr="00922ED9">
        <w:trPr>
          <w:jc w:val="center"/>
        </w:trPr>
        <w:tc>
          <w:tcPr>
            <w:tcW w:w="3681" w:type="dxa"/>
          </w:tcPr>
          <w:p w14:paraId="79ABC232" w14:textId="77777777" w:rsidR="004912DC" w:rsidRPr="00BF6C1A" w:rsidRDefault="004912DC" w:rsidP="00922ED9">
            <w:pPr>
              <w:rPr>
                <w:rFonts w:asciiTheme="majorHAnsi" w:hAnsiTheme="majorHAnsi" w:cstheme="minorHAnsi"/>
                <w:sz w:val="16"/>
                <w:szCs w:val="16"/>
                <w:lang w:val="es-CR"/>
              </w:rPr>
            </w:pPr>
            <w:r w:rsidRPr="00BF6C1A">
              <w:rPr>
                <w:rFonts w:asciiTheme="majorHAnsi" w:hAnsiTheme="majorHAnsi" w:cstheme="minorHAnsi"/>
                <w:sz w:val="16"/>
                <w:szCs w:val="16"/>
                <w:lang w:val="es-CR"/>
              </w:rPr>
              <w:t>40901000000000</w:t>
            </w:r>
          </w:p>
        </w:tc>
        <w:tc>
          <w:tcPr>
            <w:tcW w:w="4252" w:type="dxa"/>
          </w:tcPr>
          <w:p w14:paraId="4D45FC30"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Impuesto sobre la renta</w:t>
            </w:r>
          </w:p>
        </w:tc>
        <w:tc>
          <w:tcPr>
            <w:tcW w:w="1417" w:type="dxa"/>
          </w:tcPr>
          <w:p w14:paraId="10E89961"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1839771E" w14:textId="77777777" w:rsidTr="00922ED9">
        <w:trPr>
          <w:jc w:val="center"/>
        </w:trPr>
        <w:tc>
          <w:tcPr>
            <w:tcW w:w="3681" w:type="dxa"/>
          </w:tcPr>
          <w:p w14:paraId="24CF538F"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50800000000000</w:t>
            </w:r>
          </w:p>
        </w:tc>
        <w:tc>
          <w:tcPr>
            <w:tcW w:w="4252" w:type="dxa"/>
          </w:tcPr>
          <w:p w14:paraId="40C56DAA"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Disminución de impuesto y participaciones sobre la utilidad</w:t>
            </w:r>
          </w:p>
        </w:tc>
        <w:tc>
          <w:tcPr>
            <w:tcW w:w="1417" w:type="dxa"/>
          </w:tcPr>
          <w:p w14:paraId="710CEEFE"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5A35FAA6" w14:textId="77777777" w:rsidTr="00922ED9">
        <w:trPr>
          <w:jc w:val="center"/>
        </w:trPr>
        <w:tc>
          <w:tcPr>
            <w:tcW w:w="3681" w:type="dxa"/>
          </w:tcPr>
          <w:p w14:paraId="6F9B82A7"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40900100000000 (-)</w:t>
            </w:r>
          </w:p>
          <w:p w14:paraId="3BF028D2"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50800000000000</w:t>
            </w:r>
          </w:p>
        </w:tc>
        <w:tc>
          <w:tcPr>
            <w:tcW w:w="4252" w:type="dxa"/>
          </w:tcPr>
          <w:p w14:paraId="075AC65A"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Total impuesto y participaciones sobre la utilidad</w:t>
            </w:r>
          </w:p>
        </w:tc>
        <w:tc>
          <w:tcPr>
            <w:tcW w:w="1417" w:type="dxa"/>
          </w:tcPr>
          <w:p w14:paraId="407817CD"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6AE5D08D" w14:textId="77777777" w:rsidTr="00922ED9">
        <w:trPr>
          <w:jc w:val="center"/>
        </w:trPr>
        <w:tc>
          <w:tcPr>
            <w:tcW w:w="3681" w:type="dxa"/>
          </w:tcPr>
          <w:p w14:paraId="63DD90B6"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 xml:space="preserve">30600000000000 = </w:t>
            </w:r>
          </w:p>
          <w:p w14:paraId="46059139"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 xml:space="preserve">3. Utilidad/pérdida bruta (-) </w:t>
            </w:r>
          </w:p>
          <w:p w14:paraId="5EA12241"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Total impuestos y participaciones sobre la utilidad</w:t>
            </w:r>
          </w:p>
        </w:tc>
        <w:tc>
          <w:tcPr>
            <w:tcW w:w="4252" w:type="dxa"/>
          </w:tcPr>
          <w:p w14:paraId="66ABFCB1" w14:textId="77777777" w:rsidR="004912DC" w:rsidRPr="00BF6C1A" w:rsidRDefault="004912DC" w:rsidP="00922ED9">
            <w:pPr>
              <w:pStyle w:val="Prrafodelista"/>
              <w:numPr>
                <w:ilvl w:val="0"/>
                <w:numId w:val="5"/>
              </w:numPr>
              <w:jc w:val="both"/>
              <w:rPr>
                <w:rFonts w:asciiTheme="majorHAnsi" w:hAnsiTheme="majorHAnsi" w:cstheme="minorHAnsi"/>
                <w:b/>
                <w:bCs/>
                <w:sz w:val="16"/>
                <w:szCs w:val="16"/>
                <w:lang w:val="es-CR"/>
              </w:rPr>
            </w:pPr>
            <w:r w:rsidRPr="00BF6C1A">
              <w:rPr>
                <w:rFonts w:asciiTheme="majorHAnsi" w:hAnsiTheme="majorHAnsi" w:cstheme="minorHAnsi"/>
                <w:b/>
                <w:bCs/>
                <w:sz w:val="16"/>
                <w:szCs w:val="16"/>
                <w:lang w:val="es-CR"/>
              </w:rPr>
              <w:t>Utilidad/Pérdida neta</w:t>
            </w:r>
          </w:p>
        </w:tc>
        <w:tc>
          <w:tcPr>
            <w:tcW w:w="1417" w:type="dxa"/>
            <w:shd w:val="clear" w:color="auto" w:fill="auto"/>
          </w:tcPr>
          <w:p w14:paraId="6F09ED69"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57CB2DD6" w14:textId="77777777" w:rsidTr="00922ED9">
        <w:trPr>
          <w:jc w:val="center"/>
        </w:trPr>
        <w:tc>
          <w:tcPr>
            <w:tcW w:w="3681" w:type="dxa"/>
          </w:tcPr>
          <w:p w14:paraId="0D7E915C"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lastRenderedPageBreak/>
              <w:t>30000000000000</w:t>
            </w:r>
          </w:p>
        </w:tc>
        <w:tc>
          <w:tcPr>
            <w:tcW w:w="4252" w:type="dxa"/>
          </w:tcPr>
          <w:p w14:paraId="4B9B2BB2" w14:textId="77777777" w:rsidR="004912DC" w:rsidRPr="00BF6C1A" w:rsidRDefault="004912DC" w:rsidP="00922ED9">
            <w:pPr>
              <w:pStyle w:val="Prrafodelista"/>
              <w:numPr>
                <w:ilvl w:val="0"/>
                <w:numId w:val="5"/>
              </w:numPr>
              <w:jc w:val="both"/>
              <w:rPr>
                <w:rFonts w:asciiTheme="majorHAnsi" w:hAnsiTheme="majorHAnsi" w:cstheme="minorHAnsi"/>
                <w:b/>
                <w:bCs/>
                <w:sz w:val="16"/>
                <w:szCs w:val="16"/>
                <w:lang w:val="es-CR"/>
              </w:rPr>
            </w:pPr>
            <w:r w:rsidRPr="00BF6C1A">
              <w:rPr>
                <w:rFonts w:asciiTheme="majorHAnsi" w:hAnsiTheme="majorHAnsi" w:cstheme="minorHAnsi"/>
                <w:b/>
                <w:bCs/>
                <w:sz w:val="16"/>
                <w:szCs w:val="16"/>
                <w:lang w:val="es-CR"/>
              </w:rPr>
              <w:t>Patrimonio</w:t>
            </w:r>
          </w:p>
        </w:tc>
        <w:tc>
          <w:tcPr>
            <w:tcW w:w="1417" w:type="dxa"/>
          </w:tcPr>
          <w:p w14:paraId="1AE82B20"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3675036A" w14:textId="77777777" w:rsidTr="00922ED9">
        <w:trPr>
          <w:jc w:val="center"/>
        </w:trPr>
        <w:tc>
          <w:tcPr>
            <w:tcW w:w="3681" w:type="dxa"/>
          </w:tcPr>
          <w:p w14:paraId="28AA41F6"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30100100000000</w:t>
            </w:r>
          </w:p>
        </w:tc>
        <w:tc>
          <w:tcPr>
            <w:tcW w:w="4252" w:type="dxa"/>
          </w:tcPr>
          <w:p w14:paraId="26B13E54"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Capital social</w:t>
            </w:r>
          </w:p>
        </w:tc>
        <w:tc>
          <w:tcPr>
            <w:tcW w:w="1417" w:type="dxa"/>
          </w:tcPr>
          <w:p w14:paraId="78B0ECB0"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22B97486" w14:textId="77777777" w:rsidTr="00922ED9">
        <w:trPr>
          <w:jc w:val="center"/>
        </w:trPr>
        <w:tc>
          <w:tcPr>
            <w:tcW w:w="3681" w:type="dxa"/>
          </w:tcPr>
          <w:p w14:paraId="4210CD81"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30400100000000</w:t>
            </w:r>
          </w:p>
        </w:tc>
        <w:tc>
          <w:tcPr>
            <w:tcW w:w="4252" w:type="dxa"/>
          </w:tcPr>
          <w:p w14:paraId="19A89918"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Reserva legal</w:t>
            </w:r>
          </w:p>
        </w:tc>
        <w:tc>
          <w:tcPr>
            <w:tcW w:w="1417" w:type="dxa"/>
          </w:tcPr>
          <w:p w14:paraId="7405EF47"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0BDBEB1D" w14:textId="77777777" w:rsidTr="00922ED9">
        <w:trPr>
          <w:jc w:val="center"/>
        </w:trPr>
        <w:tc>
          <w:tcPr>
            <w:tcW w:w="3681" w:type="dxa"/>
          </w:tcPr>
          <w:p w14:paraId="3FB80ABA"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30200200000000</w:t>
            </w:r>
          </w:p>
        </w:tc>
        <w:tc>
          <w:tcPr>
            <w:tcW w:w="4252" w:type="dxa"/>
          </w:tcPr>
          <w:p w14:paraId="12805771"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Aportes patrimoniales no capitalizados</w:t>
            </w:r>
          </w:p>
        </w:tc>
        <w:tc>
          <w:tcPr>
            <w:tcW w:w="1417" w:type="dxa"/>
          </w:tcPr>
          <w:p w14:paraId="60A743AB"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72E27D63" w14:textId="77777777" w:rsidTr="00922ED9">
        <w:trPr>
          <w:jc w:val="center"/>
        </w:trPr>
        <w:tc>
          <w:tcPr>
            <w:tcW w:w="3681" w:type="dxa"/>
          </w:tcPr>
          <w:p w14:paraId="0ED771E8"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30300000000000</w:t>
            </w:r>
          </w:p>
        </w:tc>
        <w:tc>
          <w:tcPr>
            <w:tcW w:w="4252" w:type="dxa"/>
          </w:tcPr>
          <w:p w14:paraId="7A3997DC"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Ajustes al patrimonio</w:t>
            </w:r>
          </w:p>
        </w:tc>
        <w:tc>
          <w:tcPr>
            <w:tcW w:w="1417" w:type="dxa"/>
          </w:tcPr>
          <w:p w14:paraId="0E83D72C"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0867BDD2" w14:textId="77777777" w:rsidTr="00922ED9">
        <w:trPr>
          <w:jc w:val="center"/>
        </w:trPr>
        <w:tc>
          <w:tcPr>
            <w:tcW w:w="3681" w:type="dxa"/>
          </w:tcPr>
          <w:p w14:paraId="75F126F6"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30500000000000</w:t>
            </w:r>
          </w:p>
        </w:tc>
        <w:tc>
          <w:tcPr>
            <w:tcW w:w="4252" w:type="dxa"/>
          </w:tcPr>
          <w:p w14:paraId="3F70B011"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Utilidad periodos anteriores</w:t>
            </w:r>
          </w:p>
        </w:tc>
        <w:tc>
          <w:tcPr>
            <w:tcW w:w="1417" w:type="dxa"/>
          </w:tcPr>
          <w:p w14:paraId="611F4A06"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0557B5AE" w14:textId="77777777" w:rsidTr="00922ED9">
        <w:trPr>
          <w:jc w:val="center"/>
        </w:trPr>
        <w:tc>
          <w:tcPr>
            <w:tcW w:w="3681" w:type="dxa"/>
          </w:tcPr>
          <w:p w14:paraId="0EE9DB83"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30600000000000</w:t>
            </w:r>
          </w:p>
        </w:tc>
        <w:tc>
          <w:tcPr>
            <w:tcW w:w="4252" w:type="dxa"/>
          </w:tcPr>
          <w:p w14:paraId="3C96E93C"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Utilidad del periodo</w:t>
            </w:r>
          </w:p>
        </w:tc>
        <w:tc>
          <w:tcPr>
            <w:tcW w:w="1417" w:type="dxa"/>
          </w:tcPr>
          <w:p w14:paraId="047E88EE"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1CA79D4A" w14:textId="77777777" w:rsidTr="00922ED9">
        <w:trPr>
          <w:trHeight w:val="121"/>
          <w:jc w:val="center"/>
        </w:trPr>
        <w:tc>
          <w:tcPr>
            <w:tcW w:w="3681" w:type="dxa"/>
            <w:shd w:val="clear" w:color="auto" w:fill="0F243E" w:themeFill="text2" w:themeFillShade="80"/>
          </w:tcPr>
          <w:p w14:paraId="10E195ED" w14:textId="77777777" w:rsidR="004912DC" w:rsidRPr="00BF6C1A" w:rsidRDefault="004912DC" w:rsidP="00922ED9">
            <w:pPr>
              <w:jc w:val="both"/>
              <w:rPr>
                <w:rFonts w:asciiTheme="majorHAnsi" w:hAnsiTheme="majorHAnsi" w:cstheme="minorHAnsi"/>
                <w:sz w:val="16"/>
                <w:szCs w:val="16"/>
                <w:lang w:val="es-CR"/>
              </w:rPr>
            </w:pPr>
          </w:p>
        </w:tc>
        <w:tc>
          <w:tcPr>
            <w:tcW w:w="5669" w:type="dxa"/>
            <w:gridSpan w:val="2"/>
            <w:shd w:val="clear" w:color="auto" w:fill="0F243E" w:themeFill="text2" w:themeFillShade="80"/>
          </w:tcPr>
          <w:p w14:paraId="3941640A" w14:textId="77777777" w:rsidR="004912DC" w:rsidRPr="00BF6C1A" w:rsidRDefault="004912DC" w:rsidP="00922ED9">
            <w:pPr>
              <w:pStyle w:val="Prrafodelista"/>
              <w:ind w:left="360"/>
              <w:jc w:val="both"/>
              <w:rPr>
                <w:rFonts w:asciiTheme="majorHAnsi" w:hAnsiTheme="majorHAnsi" w:cstheme="minorHAnsi"/>
                <w:b/>
                <w:bCs/>
                <w:sz w:val="16"/>
                <w:szCs w:val="16"/>
                <w:lang w:val="es-CR"/>
              </w:rPr>
            </w:pPr>
          </w:p>
        </w:tc>
      </w:tr>
      <w:tr w:rsidR="004912DC" w:rsidRPr="00BF6C1A" w14:paraId="43517B2A" w14:textId="77777777" w:rsidTr="00922ED9">
        <w:trPr>
          <w:trHeight w:val="121"/>
          <w:jc w:val="center"/>
        </w:trPr>
        <w:tc>
          <w:tcPr>
            <w:tcW w:w="3681" w:type="dxa"/>
          </w:tcPr>
          <w:p w14:paraId="6549E890" w14:textId="77777777" w:rsidR="004912DC" w:rsidRPr="00BF6C1A" w:rsidRDefault="004912DC" w:rsidP="00922ED9">
            <w:pPr>
              <w:jc w:val="both"/>
              <w:rPr>
                <w:rFonts w:asciiTheme="majorHAnsi" w:hAnsiTheme="majorHAnsi" w:cstheme="minorHAnsi"/>
                <w:sz w:val="16"/>
                <w:szCs w:val="16"/>
                <w:lang w:val="es-CR"/>
              </w:rPr>
            </w:pPr>
          </w:p>
        </w:tc>
        <w:tc>
          <w:tcPr>
            <w:tcW w:w="5669" w:type="dxa"/>
            <w:gridSpan w:val="2"/>
          </w:tcPr>
          <w:p w14:paraId="5F6BBD7E" w14:textId="77777777" w:rsidR="004912DC" w:rsidRPr="00BF6C1A" w:rsidRDefault="004912DC" w:rsidP="00922ED9">
            <w:pPr>
              <w:pStyle w:val="Prrafodelista"/>
              <w:numPr>
                <w:ilvl w:val="0"/>
                <w:numId w:val="6"/>
              </w:numPr>
              <w:jc w:val="both"/>
              <w:rPr>
                <w:rFonts w:asciiTheme="majorHAnsi" w:hAnsiTheme="majorHAnsi" w:cstheme="minorHAnsi"/>
                <w:sz w:val="16"/>
                <w:szCs w:val="16"/>
                <w:lang w:val="es-CR"/>
              </w:rPr>
            </w:pPr>
            <w:r w:rsidRPr="00BF6C1A">
              <w:rPr>
                <w:rFonts w:asciiTheme="majorHAnsi" w:hAnsiTheme="majorHAnsi" w:cstheme="minorHAnsi"/>
                <w:b/>
                <w:bCs/>
                <w:sz w:val="16"/>
                <w:szCs w:val="16"/>
                <w:lang w:val="es-CR"/>
              </w:rPr>
              <w:t>Información adicional</w:t>
            </w:r>
          </w:p>
        </w:tc>
      </w:tr>
      <w:tr w:rsidR="004912DC" w:rsidRPr="00BF6C1A" w14:paraId="3A7FD7F1" w14:textId="77777777" w:rsidTr="00922ED9">
        <w:trPr>
          <w:jc w:val="center"/>
        </w:trPr>
        <w:tc>
          <w:tcPr>
            <w:tcW w:w="3681" w:type="dxa"/>
          </w:tcPr>
          <w:p w14:paraId="27EEE5C8"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n.d.</w:t>
            </w:r>
          </w:p>
        </w:tc>
        <w:tc>
          <w:tcPr>
            <w:tcW w:w="4252" w:type="dxa"/>
          </w:tcPr>
          <w:p w14:paraId="12F1F63C"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 xml:space="preserve">Primas comercializadas </w:t>
            </w:r>
            <w:r w:rsidRPr="00BF6C1A">
              <w:rPr>
                <w:rFonts w:asciiTheme="majorHAnsi" w:hAnsiTheme="majorHAnsi" w:cstheme="minorHAnsi"/>
                <w:sz w:val="16"/>
                <w:szCs w:val="16"/>
                <w:vertAlign w:val="superscript"/>
                <w:lang w:val="es-CR"/>
              </w:rPr>
              <w:t>1/</w:t>
            </w:r>
          </w:p>
        </w:tc>
        <w:tc>
          <w:tcPr>
            <w:tcW w:w="1417" w:type="dxa"/>
          </w:tcPr>
          <w:p w14:paraId="678027B2"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32983324" w14:textId="77777777" w:rsidTr="00922ED9">
        <w:trPr>
          <w:jc w:val="center"/>
        </w:trPr>
        <w:tc>
          <w:tcPr>
            <w:tcW w:w="3681" w:type="dxa"/>
            <w:shd w:val="clear" w:color="auto" w:fill="0F243E" w:themeFill="text2" w:themeFillShade="80"/>
          </w:tcPr>
          <w:p w14:paraId="558C1131" w14:textId="77777777" w:rsidR="004912DC" w:rsidRPr="00BF6C1A" w:rsidRDefault="004912DC" w:rsidP="00922ED9">
            <w:pPr>
              <w:jc w:val="both"/>
              <w:rPr>
                <w:rFonts w:asciiTheme="majorHAnsi" w:hAnsiTheme="majorHAnsi" w:cstheme="minorHAnsi"/>
                <w:sz w:val="16"/>
                <w:szCs w:val="16"/>
                <w:lang w:val="es-CR"/>
              </w:rPr>
            </w:pPr>
          </w:p>
        </w:tc>
        <w:tc>
          <w:tcPr>
            <w:tcW w:w="5669" w:type="dxa"/>
            <w:gridSpan w:val="2"/>
            <w:shd w:val="clear" w:color="auto" w:fill="0F243E" w:themeFill="text2" w:themeFillShade="80"/>
          </w:tcPr>
          <w:p w14:paraId="797C5A11" w14:textId="77777777" w:rsidR="004912DC" w:rsidRPr="00BF6C1A" w:rsidRDefault="004912DC" w:rsidP="00922ED9">
            <w:pPr>
              <w:jc w:val="both"/>
              <w:rPr>
                <w:rFonts w:asciiTheme="majorHAnsi" w:hAnsiTheme="majorHAnsi" w:cstheme="minorHAnsi"/>
                <w:b/>
                <w:bCs/>
                <w:sz w:val="16"/>
                <w:szCs w:val="16"/>
                <w:lang w:val="es-CR"/>
              </w:rPr>
            </w:pPr>
          </w:p>
        </w:tc>
      </w:tr>
      <w:tr w:rsidR="004912DC" w:rsidRPr="00BF6C1A" w14:paraId="3964A6F9" w14:textId="77777777" w:rsidTr="00922ED9">
        <w:trPr>
          <w:jc w:val="center"/>
        </w:trPr>
        <w:tc>
          <w:tcPr>
            <w:tcW w:w="3681" w:type="dxa"/>
          </w:tcPr>
          <w:p w14:paraId="13EEB463" w14:textId="77777777" w:rsidR="004912DC" w:rsidRPr="00BF6C1A" w:rsidRDefault="004912DC" w:rsidP="00922ED9">
            <w:pPr>
              <w:jc w:val="both"/>
              <w:rPr>
                <w:rFonts w:asciiTheme="majorHAnsi" w:hAnsiTheme="majorHAnsi" w:cstheme="minorHAnsi"/>
                <w:sz w:val="16"/>
                <w:szCs w:val="16"/>
                <w:lang w:val="es-CR"/>
              </w:rPr>
            </w:pPr>
          </w:p>
        </w:tc>
        <w:tc>
          <w:tcPr>
            <w:tcW w:w="5669" w:type="dxa"/>
            <w:gridSpan w:val="2"/>
          </w:tcPr>
          <w:p w14:paraId="478AF84E" w14:textId="77777777" w:rsidR="004912DC" w:rsidRPr="00BF6C1A" w:rsidRDefault="004912DC" w:rsidP="00922ED9">
            <w:pPr>
              <w:pStyle w:val="Prrafodelista"/>
              <w:numPr>
                <w:ilvl w:val="0"/>
                <w:numId w:val="6"/>
              </w:numPr>
              <w:jc w:val="both"/>
              <w:rPr>
                <w:rFonts w:asciiTheme="majorHAnsi" w:hAnsiTheme="majorHAnsi" w:cstheme="minorHAnsi"/>
                <w:b/>
                <w:bCs/>
                <w:sz w:val="16"/>
                <w:szCs w:val="16"/>
                <w:lang w:val="es-CR"/>
              </w:rPr>
            </w:pPr>
            <w:r w:rsidRPr="00BF6C1A">
              <w:rPr>
                <w:rFonts w:asciiTheme="majorHAnsi" w:hAnsiTheme="majorHAnsi" w:cstheme="minorHAnsi"/>
                <w:b/>
                <w:bCs/>
                <w:sz w:val="16"/>
                <w:szCs w:val="16"/>
                <w:lang w:val="es-CR"/>
              </w:rPr>
              <w:t xml:space="preserve">Garantía Mínima </w:t>
            </w:r>
            <w:r w:rsidRPr="00BF6C1A">
              <w:rPr>
                <w:rFonts w:asciiTheme="majorHAnsi" w:hAnsiTheme="majorHAnsi" w:cstheme="minorHAnsi"/>
                <w:b/>
                <w:bCs/>
                <w:sz w:val="16"/>
                <w:szCs w:val="16"/>
                <w:vertAlign w:val="superscript"/>
                <w:lang w:val="es-CR"/>
              </w:rPr>
              <w:t>1/</w:t>
            </w:r>
          </w:p>
        </w:tc>
      </w:tr>
      <w:tr w:rsidR="004912DC" w:rsidRPr="00BF6C1A" w14:paraId="3512A80E" w14:textId="77777777" w:rsidTr="00922ED9">
        <w:trPr>
          <w:jc w:val="center"/>
        </w:trPr>
        <w:tc>
          <w:tcPr>
            <w:tcW w:w="3681" w:type="dxa"/>
          </w:tcPr>
          <w:p w14:paraId="656661BE" w14:textId="77777777" w:rsidR="004912DC" w:rsidRPr="00BF6C1A" w:rsidRDefault="004912DC" w:rsidP="00922ED9">
            <w:pPr>
              <w:jc w:val="both"/>
              <w:rPr>
                <w:rFonts w:asciiTheme="majorHAnsi" w:hAnsiTheme="majorHAnsi" w:cstheme="minorHAnsi"/>
                <w:sz w:val="16"/>
                <w:szCs w:val="16"/>
                <w:lang w:val="es-CR"/>
              </w:rPr>
            </w:pPr>
          </w:p>
        </w:tc>
        <w:tc>
          <w:tcPr>
            <w:tcW w:w="4252" w:type="dxa"/>
          </w:tcPr>
          <w:p w14:paraId="23C09436" w14:textId="77777777" w:rsidR="004912DC" w:rsidRPr="00BF6C1A" w:rsidRDefault="004912DC" w:rsidP="00922ED9">
            <w:pPr>
              <w:pStyle w:val="Prrafodelista"/>
              <w:numPr>
                <w:ilvl w:val="0"/>
                <w:numId w:val="7"/>
              </w:numPr>
              <w:ind w:left="312" w:hanging="312"/>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Depósito en el Banco Central de Costa Rica</w:t>
            </w:r>
          </w:p>
        </w:tc>
        <w:tc>
          <w:tcPr>
            <w:tcW w:w="1417" w:type="dxa"/>
          </w:tcPr>
          <w:p w14:paraId="2E029B75"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5B092DC9" w14:textId="77777777" w:rsidTr="00922ED9">
        <w:trPr>
          <w:jc w:val="center"/>
        </w:trPr>
        <w:tc>
          <w:tcPr>
            <w:tcW w:w="3681" w:type="dxa"/>
          </w:tcPr>
          <w:p w14:paraId="27C5DEAE" w14:textId="77777777" w:rsidR="004912DC" w:rsidRPr="00BF6C1A" w:rsidRDefault="004912DC" w:rsidP="00922ED9">
            <w:pPr>
              <w:jc w:val="both"/>
              <w:rPr>
                <w:rFonts w:asciiTheme="majorHAnsi" w:hAnsiTheme="majorHAnsi" w:cstheme="minorHAnsi"/>
                <w:sz w:val="16"/>
                <w:szCs w:val="16"/>
                <w:lang w:val="es-CR"/>
              </w:rPr>
            </w:pPr>
          </w:p>
        </w:tc>
        <w:tc>
          <w:tcPr>
            <w:tcW w:w="4252" w:type="dxa"/>
          </w:tcPr>
          <w:p w14:paraId="6CFC7886" w14:textId="77777777" w:rsidR="004912DC" w:rsidRPr="00BF6C1A" w:rsidRDefault="004912DC" w:rsidP="00922ED9">
            <w:pPr>
              <w:pStyle w:val="Prrafodelista"/>
              <w:numPr>
                <w:ilvl w:val="0"/>
                <w:numId w:val="7"/>
              </w:numPr>
              <w:ind w:left="312" w:hanging="312"/>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Garantía bancaria emitida por un banco de primer orden o entidad supervisada por SUGEF</w:t>
            </w:r>
          </w:p>
        </w:tc>
        <w:tc>
          <w:tcPr>
            <w:tcW w:w="1417" w:type="dxa"/>
          </w:tcPr>
          <w:p w14:paraId="2CA8992D"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17073DD7" w14:textId="77777777" w:rsidTr="00922ED9">
        <w:trPr>
          <w:jc w:val="center"/>
        </w:trPr>
        <w:tc>
          <w:tcPr>
            <w:tcW w:w="3681" w:type="dxa"/>
          </w:tcPr>
          <w:p w14:paraId="0A2E5B14" w14:textId="77777777" w:rsidR="004912DC" w:rsidRPr="00BF6C1A" w:rsidRDefault="004912DC" w:rsidP="00922ED9">
            <w:pPr>
              <w:jc w:val="both"/>
              <w:rPr>
                <w:rFonts w:asciiTheme="majorHAnsi" w:hAnsiTheme="majorHAnsi" w:cstheme="minorHAnsi"/>
                <w:sz w:val="16"/>
                <w:szCs w:val="16"/>
                <w:lang w:val="es-CR"/>
              </w:rPr>
            </w:pPr>
          </w:p>
        </w:tc>
        <w:tc>
          <w:tcPr>
            <w:tcW w:w="4252" w:type="dxa"/>
          </w:tcPr>
          <w:p w14:paraId="2F68C6B0" w14:textId="77777777" w:rsidR="004912DC" w:rsidRPr="00BF6C1A" w:rsidRDefault="004912DC" w:rsidP="00922ED9">
            <w:pPr>
              <w:ind w:left="708"/>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Fecha de emisión de la Garantía</w:t>
            </w:r>
          </w:p>
        </w:tc>
        <w:tc>
          <w:tcPr>
            <w:tcW w:w="1417" w:type="dxa"/>
          </w:tcPr>
          <w:p w14:paraId="619B1F28"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3587DDFF" w14:textId="77777777" w:rsidTr="00922ED9">
        <w:trPr>
          <w:jc w:val="center"/>
        </w:trPr>
        <w:tc>
          <w:tcPr>
            <w:tcW w:w="3681" w:type="dxa"/>
          </w:tcPr>
          <w:p w14:paraId="0BDC21B2" w14:textId="77777777" w:rsidR="004912DC" w:rsidRPr="00BF6C1A" w:rsidRDefault="004912DC" w:rsidP="00922ED9">
            <w:pPr>
              <w:jc w:val="both"/>
              <w:rPr>
                <w:rFonts w:asciiTheme="majorHAnsi" w:hAnsiTheme="majorHAnsi" w:cstheme="minorHAnsi"/>
                <w:sz w:val="16"/>
                <w:szCs w:val="16"/>
                <w:lang w:val="es-CR"/>
              </w:rPr>
            </w:pPr>
          </w:p>
        </w:tc>
        <w:tc>
          <w:tcPr>
            <w:tcW w:w="4252" w:type="dxa"/>
          </w:tcPr>
          <w:p w14:paraId="1705732C" w14:textId="77777777" w:rsidR="004912DC" w:rsidRPr="00BF6C1A" w:rsidRDefault="004912DC" w:rsidP="00922ED9">
            <w:pPr>
              <w:ind w:left="708"/>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Fecha de vencimiento de la Garantía</w:t>
            </w:r>
          </w:p>
        </w:tc>
        <w:tc>
          <w:tcPr>
            <w:tcW w:w="1417" w:type="dxa"/>
          </w:tcPr>
          <w:p w14:paraId="472019BA"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348F0E2C" w14:textId="77777777" w:rsidTr="00922ED9">
        <w:trPr>
          <w:jc w:val="center"/>
        </w:trPr>
        <w:tc>
          <w:tcPr>
            <w:tcW w:w="3681" w:type="dxa"/>
          </w:tcPr>
          <w:p w14:paraId="385C48EB" w14:textId="77777777" w:rsidR="004912DC" w:rsidRPr="00BF6C1A" w:rsidRDefault="004912DC" w:rsidP="00922ED9">
            <w:pPr>
              <w:jc w:val="both"/>
              <w:rPr>
                <w:rFonts w:asciiTheme="majorHAnsi" w:hAnsiTheme="majorHAnsi" w:cstheme="minorHAnsi"/>
                <w:sz w:val="16"/>
                <w:szCs w:val="16"/>
                <w:lang w:val="es-CR"/>
              </w:rPr>
            </w:pPr>
          </w:p>
        </w:tc>
        <w:tc>
          <w:tcPr>
            <w:tcW w:w="4252" w:type="dxa"/>
          </w:tcPr>
          <w:p w14:paraId="47662B93" w14:textId="77777777" w:rsidR="004912DC" w:rsidRPr="00BF6C1A" w:rsidRDefault="004912DC" w:rsidP="00922ED9">
            <w:pPr>
              <w:ind w:left="708"/>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Nombre del emisor de la Garantía</w:t>
            </w:r>
          </w:p>
        </w:tc>
        <w:tc>
          <w:tcPr>
            <w:tcW w:w="1417" w:type="dxa"/>
          </w:tcPr>
          <w:p w14:paraId="35A275D4"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739AC247" w14:textId="77777777" w:rsidTr="00922ED9">
        <w:trPr>
          <w:jc w:val="center"/>
        </w:trPr>
        <w:tc>
          <w:tcPr>
            <w:tcW w:w="3681" w:type="dxa"/>
          </w:tcPr>
          <w:p w14:paraId="6F1F84C0" w14:textId="77777777" w:rsidR="004912DC" w:rsidRPr="00BF6C1A" w:rsidRDefault="004912DC" w:rsidP="00922ED9">
            <w:pPr>
              <w:jc w:val="both"/>
              <w:rPr>
                <w:rFonts w:asciiTheme="majorHAnsi" w:hAnsiTheme="majorHAnsi" w:cstheme="minorHAnsi"/>
                <w:sz w:val="16"/>
                <w:szCs w:val="16"/>
                <w:lang w:val="es-CR"/>
              </w:rPr>
            </w:pPr>
          </w:p>
        </w:tc>
        <w:tc>
          <w:tcPr>
            <w:tcW w:w="4252" w:type="dxa"/>
          </w:tcPr>
          <w:p w14:paraId="2734A0A1" w14:textId="77777777" w:rsidR="004912DC" w:rsidRPr="00BF6C1A" w:rsidRDefault="004912DC" w:rsidP="00922ED9">
            <w:pPr>
              <w:pStyle w:val="Prrafodelista"/>
              <w:numPr>
                <w:ilvl w:val="0"/>
                <w:numId w:val="7"/>
              </w:numPr>
              <w:ind w:left="312" w:hanging="312"/>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Póliza de Responsabilidad (suma asegurada en colones)</w:t>
            </w:r>
          </w:p>
        </w:tc>
        <w:tc>
          <w:tcPr>
            <w:tcW w:w="1417" w:type="dxa"/>
          </w:tcPr>
          <w:p w14:paraId="2903031A"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181A69AB" w14:textId="77777777" w:rsidTr="00922ED9">
        <w:trPr>
          <w:jc w:val="center"/>
        </w:trPr>
        <w:tc>
          <w:tcPr>
            <w:tcW w:w="3681" w:type="dxa"/>
          </w:tcPr>
          <w:p w14:paraId="131C02B9" w14:textId="77777777" w:rsidR="004912DC" w:rsidRPr="00BF6C1A" w:rsidRDefault="004912DC" w:rsidP="00922ED9">
            <w:pPr>
              <w:jc w:val="both"/>
              <w:rPr>
                <w:rFonts w:asciiTheme="majorHAnsi" w:hAnsiTheme="majorHAnsi" w:cstheme="minorHAnsi"/>
                <w:sz w:val="16"/>
                <w:szCs w:val="16"/>
                <w:lang w:val="es-CR"/>
              </w:rPr>
            </w:pPr>
          </w:p>
        </w:tc>
        <w:tc>
          <w:tcPr>
            <w:tcW w:w="4252" w:type="dxa"/>
          </w:tcPr>
          <w:p w14:paraId="34A14076" w14:textId="77777777" w:rsidR="004912DC" w:rsidRPr="00BF6C1A" w:rsidRDefault="004912DC" w:rsidP="00922ED9">
            <w:pPr>
              <w:ind w:left="708"/>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Fecha de emisión de la Póliza</w:t>
            </w:r>
          </w:p>
        </w:tc>
        <w:tc>
          <w:tcPr>
            <w:tcW w:w="1417" w:type="dxa"/>
          </w:tcPr>
          <w:p w14:paraId="2932ACC2"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2FCB349F" w14:textId="77777777" w:rsidTr="00922ED9">
        <w:trPr>
          <w:jc w:val="center"/>
        </w:trPr>
        <w:tc>
          <w:tcPr>
            <w:tcW w:w="3681" w:type="dxa"/>
          </w:tcPr>
          <w:p w14:paraId="48547AC5" w14:textId="77777777" w:rsidR="004912DC" w:rsidRPr="00BF6C1A" w:rsidRDefault="004912DC" w:rsidP="00922ED9">
            <w:pPr>
              <w:jc w:val="both"/>
              <w:rPr>
                <w:rFonts w:asciiTheme="majorHAnsi" w:hAnsiTheme="majorHAnsi" w:cstheme="minorHAnsi"/>
                <w:sz w:val="16"/>
                <w:szCs w:val="16"/>
                <w:lang w:val="es-CR"/>
              </w:rPr>
            </w:pPr>
          </w:p>
        </w:tc>
        <w:tc>
          <w:tcPr>
            <w:tcW w:w="4252" w:type="dxa"/>
          </w:tcPr>
          <w:p w14:paraId="6BF6B380" w14:textId="77777777" w:rsidR="004912DC" w:rsidRPr="00BF6C1A" w:rsidRDefault="004912DC" w:rsidP="00922ED9">
            <w:pPr>
              <w:ind w:left="708"/>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Fecha de vencimiento de la Póliza</w:t>
            </w:r>
          </w:p>
        </w:tc>
        <w:tc>
          <w:tcPr>
            <w:tcW w:w="1417" w:type="dxa"/>
          </w:tcPr>
          <w:p w14:paraId="725130D4" w14:textId="77777777" w:rsidR="004912DC" w:rsidRPr="00BF6C1A" w:rsidRDefault="004912DC" w:rsidP="00922ED9">
            <w:pPr>
              <w:jc w:val="both"/>
              <w:rPr>
                <w:rFonts w:asciiTheme="majorHAnsi" w:hAnsiTheme="majorHAnsi" w:cstheme="minorHAnsi"/>
                <w:sz w:val="16"/>
                <w:szCs w:val="16"/>
                <w:lang w:val="es-CR"/>
              </w:rPr>
            </w:pPr>
          </w:p>
        </w:tc>
      </w:tr>
      <w:tr w:rsidR="004912DC" w:rsidRPr="00BF6C1A" w14:paraId="38E9DEAB" w14:textId="77777777" w:rsidTr="00922ED9">
        <w:trPr>
          <w:jc w:val="center"/>
        </w:trPr>
        <w:tc>
          <w:tcPr>
            <w:tcW w:w="3681" w:type="dxa"/>
          </w:tcPr>
          <w:p w14:paraId="21AE7821" w14:textId="77777777" w:rsidR="004912DC" w:rsidRPr="00BF6C1A" w:rsidRDefault="004912DC" w:rsidP="00922ED9">
            <w:pPr>
              <w:jc w:val="both"/>
              <w:rPr>
                <w:rFonts w:asciiTheme="majorHAnsi" w:hAnsiTheme="majorHAnsi" w:cstheme="minorHAnsi"/>
                <w:sz w:val="16"/>
                <w:szCs w:val="16"/>
                <w:lang w:val="es-CR"/>
              </w:rPr>
            </w:pPr>
          </w:p>
        </w:tc>
        <w:tc>
          <w:tcPr>
            <w:tcW w:w="4252" w:type="dxa"/>
          </w:tcPr>
          <w:p w14:paraId="3D433E97" w14:textId="77777777" w:rsidR="004912DC" w:rsidRPr="00BF6C1A" w:rsidRDefault="004912DC" w:rsidP="00922ED9">
            <w:pPr>
              <w:ind w:left="708"/>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Nombre de la Aseguradora que expide la póliza</w:t>
            </w:r>
          </w:p>
        </w:tc>
        <w:tc>
          <w:tcPr>
            <w:tcW w:w="1417" w:type="dxa"/>
          </w:tcPr>
          <w:p w14:paraId="57C4EDF6" w14:textId="77777777" w:rsidR="004912DC" w:rsidRPr="00BF6C1A" w:rsidRDefault="004912DC" w:rsidP="00922ED9">
            <w:pPr>
              <w:jc w:val="both"/>
              <w:rPr>
                <w:rFonts w:asciiTheme="majorHAnsi" w:hAnsiTheme="majorHAnsi" w:cstheme="minorHAnsi"/>
                <w:sz w:val="16"/>
                <w:szCs w:val="16"/>
                <w:lang w:val="es-CR"/>
              </w:rPr>
            </w:pPr>
          </w:p>
        </w:tc>
      </w:tr>
    </w:tbl>
    <w:p w14:paraId="7F1019F6" w14:textId="77777777" w:rsidR="004912DC" w:rsidRPr="00BF6C1A" w:rsidRDefault="004912DC" w:rsidP="00922ED9">
      <w:pPr>
        <w:jc w:val="both"/>
        <w:rPr>
          <w:rFonts w:asciiTheme="majorHAnsi" w:hAnsiTheme="majorHAnsi" w:cstheme="minorHAnsi"/>
          <w:sz w:val="16"/>
          <w:szCs w:val="16"/>
          <w:lang w:val="es-CR"/>
        </w:rPr>
      </w:pPr>
      <w:r w:rsidRPr="00BF6C1A">
        <w:rPr>
          <w:rFonts w:asciiTheme="majorHAnsi" w:hAnsiTheme="majorHAnsi" w:cstheme="minorHAnsi"/>
          <w:sz w:val="16"/>
          <w:szCs w:val="16"/>
          <w:lang w:val="es-CR"/>
        </w:rPr>
        <w:t>1/ Aplica solo para las Sociedades Corredoras.</w:t>
      </w:r>
    </w:p>
    <w:p w14:paraId="27C0FC63" w14:textId="77777777" w:rsidR="004912DC" w:rsidRPr="00BF6C1A" w:rsidRDefault="004912DC" w:rsidP="00922ED9">
      <w:pPr>
        <w:widowControl w:val="0"/>
        <w:jc w:val="both"/>
        <w:rPr>
          <w:rFonts w:asciiTheme="majorHAnsi" w:hAnsiTheme="majorHAnsi" w:cstheme="minorHAnsi"/>
          <w:lang w:val="es-CR"/>
        </w:rPr>
      </w:pPr>
    </w:p>
    <w:p w14:paraId="319F2BEC" w14:textId="77777777" w:rsidR="004912DC" w:rsidRPr="00BF6C1A" w:rsidRDefault="004912DC" w:rsidP="00922ED9">
      <w:pPr>
        <w:pStyle w:val="Prrafodelista"/>
        <w:numPr>
          <w:ilvl w:val="0"/>
          <w:numId w:val="4"/>
        </w:numPr>
        <w:ind w:left="567" w:hanging="567"/>
        <w:jc w:val="both"/>
        <w:rPr>
          <w:rFonts w:asciiTheme="majorHAnsi" w:hAnsiTheme="majorHAnsi" w:cstheme="minorHAnsi"/>
          <w:bCs/>
          <w:lang w:val="es-CR"/>
        </w:rPr>
      </w:pPr>
      <w:r w:rsidRPr="00BF6C1A">
        <w:rPr>
          <w:rFonts w:asciiTheme="majorHAnsi" w:hAnsiTheme="majorHAnsi" w:cstheme="minorHAnsi"/>
          <w:bCs/>
          <w:lang w:val="es-CR"/>
        </w:rPr>
        <w:t>Actualizar la versión publicada del Acuerdo SGS-DES-A-021-2013, para incluir las modificaciones señaladas en la disposición 2 anterior.</w:t>
      </w:r>
    </w:p>
    <w:p w14:paraId="4264BAED" w14:textId="77777777" w:rsidR="004912DC" w:rsidRPr="00BF6C1A" w:rsidRDefault="004912DC" w:rsidP="00922ED9">
      <w:pPr>
        <w:pStyle w:val="Textoindependiente3"/>
        <w:tabs>
          <w:tab w:val="left" w:pos="857"/>
          <w:tab w:val="left" w:pos="1168"/>
        </w:tabs>
        <w:spacing w:after="0"/>
        <w:jc w:val="both"/>
        <w:rPr>
          <w:rFonts w:asciiTheme="majorHAnsi" w:hAnsiTheme="majorHAnsi" w:cstheme="minorHAnsi"/>
          <w:bCs/>
          <w:sz w:val="24"/>
          <w:szCs w:val="24"/>
          <w:lang w:val="es-CR"/>
        </w:rPr>
      </w:pPr>
    </w:p>
    <w:p w14:paraId="2D63E6CC" w14:textId="77777777" w:rsidR="004912DC" w:rsidRPr="00BF6C1A" w:rsidRDefault="004912DC" w:rsidP="00922ED9">
      <w:pPr>
        <w:widowControl w:val="0"/>
        <w:jc w:val="both"/>
        <w:rPr>
          <w:rFonts w:asciiTheme="majorHAnsi" w:hAnsiTheme="majorHAnsi" w:cstheme="minorHAnsi"/>
          <w:lang w:val="es-CR"/>
        </w:rPr>
      </w:pPr>
      <w:r w:rsidRPr="00BF6C1A">
        <w:rPr>
          <w:rFonts w:asciiTheme="majorHAnsi" w:hAnsiTheme="majorHAnsi" w:cstheme="minorHAnsi"/>
          <w:b/>
          <w:bCs/>
          <w:lang w:val="es-CR"/>
        </w:rPr>
        <w:t>Rige a partir de su notificación.</w:t>
      </w:r>
    </w:p>
    <w:p w14:paraId="622B23E6" w14:textId="77777777" w:rsidR="00373AC0" w:rsidRPr="004912DC" w:rsidRDefault="00373AC0" w:rsidP="00922ED9">
      <w:pPr>
        <w:jc w:val="both"/>
        <w:rPr>
          <w:rFonts w:ascii="Cambria" w:hAnsi="Cambria"/>
          <w:lang w:val="es-CR"/>
        </w:rPr>
      </w:pPr>
    </w:p>
    <w:p w14:paraId="3665FAAE" w14:textId="77777777" w:rsidR="00373AC0" w:rsidRDefault="00373AC0" w:rsidP="00922ED9">
      <w:pPr>
        <w:jc w:val="both"/>
        <w:rPr>
          <w:rFonts w:ascii="Cambria" w:hAnsi="Cambria"/>
        </w:rPr>
      </w:pPr>
    </w:p>
    <w:p w14:paraId="014EB577" w14:textId="77777777" w:rsidR="005876B5" w:rsidRDefault="005876B5" w:rsidP="00922ED9">
      <w:pPr>
        <w:jc w:val="both"/>
        <w:rPr>
          <w:rFonts w:ascii="Cambria" w:hAnsi="Cambria"/>
        </w:rPr>
      </w:pPr>
    </w:p>
    <w:p w14:paraId="439437F3" w14:textId="77777777" w:rsidR="00761D54" w:rsidRPr="006A3734" w:rsidRDefault="005876B5" w:rsidP="00922ED9">
      <w:pPr>
        <w:jc w:val="both"/>
        <w:rPr>
          <w:rFonts w:ascii="Cambria" w:hAnsi="Cambria"/>
        </w:rPr>
      </w:pPr>
      <w:r>
        <w:rPr>
          <w:noProof/>
          <w:lang w:val="es-CR" w:eastAsia="es-CR"/>
        </w:rPr>
        <w:drawing>
          <wp:inline distT="0" distB="0" distL="0" distR="0" wp14:anchorId="28333514" wp14:editId="4F88105D">
            <wp:extent cx="2499360" cy="524291"/>
            <wp:effectExtent l="0" t="0" r="0" b="9525"/>
            <wp:docPr id="1"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60" cy="52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761D54" w:rsidRPr="006A3734" w:rsidSect="009618C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FA2A" w14:textId="77777777" w:rsidR="004912DC" w:rsidRDefault="004912DC" w:rsidP="005A1442">
      <w:r>
        <w:separator/>
      </w:r>
    </w:p>
  </w:endnote>
  <w:endnote w:type="continuationSeparator" w:id="0">
    <w:p w14:paraId="22B2D69F" w14:textId="77777777" w:rsidR="004912DC" w:rsidRDefault="004912DC"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48FB" w14:textId="77777777" w:rsidR="00C25F41" w:rsidRDefault="00C25F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67A5" w14:textId="77777777" w:rsidR="00922ED9" w:rsidRDefault="00922ED9" w:rsidP="00922ED9">
    <w:pPr>
      <w:pStyle w:val="Piedepgina"/>
      <w:pBdr>
        <w:top w:val="single" w:sz="4" w:space="1" w:color="auto"/>
      </w:pBdr>
      <w:rPr>
        <w:sz w:val="16"/>
        <w:szCs w:val="16"/>
      </w:rPr>
    </w:pPr>
  </w:p>
  <w:p w14:paraId="48F5F8C9" w14:textId="77777777" w:rsidR="00922ED9" w:rsidRPr="00F8332E" w:rsidRDefault="00922ED9" w:rsidP="00922ED9">
    <w:pPr>
      <w:pStyle w:val="Piedepgina"/>
      <w:tabs>
        <w:tab w:val="clear" w:pos="8838"/>
      </w:tabs>
      <w:jc w:val="right"/>
      <w:rPr>
        <w:rFonts w:asciiTheme="majorHAnsi" w:hAnsiTheme="majorHAnsi"/>
        <w:sz w:val="18"/>
        <w:szCs w:val="18"/>
      </w:rPr>
    </w:pPr>
    <w:r w:rsidRPr="00F8332E">
      <w:rPr>
        <w:rFonts w:asciiTheme="majorHAnsi" w:hAnsiTheme="majorHAnsi"/>
        <w:sz w:val="18"/>
        <w:szCs w:val="18"/>
      </w:rPr>
      <w:t>Teléfonos: 2243-5108, 2243-5103  •  Fax: 2243-5151</w:t>
    </w:r>
  </w:p>
  <w:p w14:paraId="1F561AAD" w14:textId="77777777" w:rsidR="00922ED9" w:rsidRDefault="00922ED9" w:rsidP="00922ED9">
    <w:pPr>
      <w:pStyle w:val="Piedepgina"/>
      <w:tabs>
        <w:tab w:val="clear" w:pos="8838"/>
      </w:tabs>
      <w:jc w:val="right"/>
      <w:rPr>
        <w:rFonts w:ascii="Baskerville Old Face" w:hAnsi="Baskerville Old Face"/>
        <w:sz w:val="18"/>
        <w:szCs w:val="18"/>
      </w:rPr>
    </w:pPr>
    <w:r w:rsidRPr="00F8332E">
      <w:rPr>
        <w:rFonts w:asciiTheme="majorHAnsi" w:hAnsiTheme="majorHAnsi"/>
        <w:sz w:val="18"/>
        <w:szCs w:val="18"/>
      </w:rPr>
      <w:t>Dirección:</w:t>
    </w:r>
    <w:r w:rsidRPr="00121F8C">
      <w:rPr>
        <w:rFonts w:ascii="Baskerville Old Face" w:hAnsi="Baskerville Old Face"/>
        <w:sz w:val="18"/>
        <w:szCs w:val="18"/>
      </w:rPr>
      <w:t xml:space="preserve"> </w:t>
    </w:r>
    <w:r w:rsidRPr="009E7017">
      <w:rPr>
        <w:rFonts w:asciiTheme="majorHAnsi" w:hAnsiTheme="majorHAnsi"/>
        <w:sz w:val="18"/>
        <w:szCs w:val="18"/>
      </w:rPr>
      <w:t>Edificio ODMs, Barrio T</w:t>
    </w:r>
    <w:r>
      <w:rPr>
        <w:rFonts w:asciiTheme="majorHAnsi" w:hAnsiTheme="majorHAnsi"/>
        <w:sz w:val="18"/>
        <w:szCs w:val="18"/>
      </w:rPr>
      <w:t>o</w:t>
    </w:r>
    <w:r w:rsidRPr="009E7017">
      <w:rPr>
        <w:rFonts w:asciiTheme="majorHAnsi" w:hAnsiTheme="majorHAnsi"/>
        <w:sz w:val="18"/>
        <w:szCs w:val="18"/>
      </w:rPr>
      <w:t>urnón, Piso 4</w:t>
    </w:r>
  </w:p>
  <w:p w14:paraId="3E038472" w14:textId="49066549" w:rsidR="00F8332E" w:rsidRPr="00922ED9" w:rsidRDefault="00E2366F" w:rsidP="00922ED9">
    <w:pPr>
      <w:pStyle w:val="Piedepgina"/>
      <w:tabs>
        <w:tab w:val="clear" w:pos="8838"/>
      </w:tabs>
      <w:jc w:val="right"/>
    </w:pPr>
    <w:hyperlink r:id="rId1" w:history="1">
      <w:r w:rsidR="00922ED9" w:rsidRPr="00121F8C">
        <w:rPr>
          <w:rStyle w:val="Hipervnculo"/>
          <w:rFonts w:ascii="Baskerville Old Face" w:hAnsi="Baskerville Old Face"/>
          <w:sz w:val="18"/>
          <w:szCs w:val="18"/>
        </w:rPr>
        <w:t>sugese@sugese.fi.cr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1972" w14:textId="77777777" w:rsidR="00843EE4" w:rsidRDefault="00843EE4" w:rsidP="00A83BA5">
    <w:pPr>
      <w:pStyle w:val="Piedepgina"/>
      <w:pBdr>
        <w:top w:val="single" w:sz="4" w:space="1" w:color="auto"/>
      </w:pBdr>
      <w:rPr>
        <w:sz w:val="16"/>
        <w:szCs w:val="16"/>
      </w:rPr>
    </w:pPr>
  </w:p>
  <w:p w14:paraId="2240DA85" w14:textId="77777777" w:rsidR="00843EE4" w:rsidRPr="00F8332E" w:rsidRDefault="00843EE4" w:rsidP="00A83BA5">
    <w:pPr>
      <w:pStyle w:val="Piedepgina"/>
      <w:tabs>
        <w:tab w:val="clear" w:pos="8838"/>
      </w:tabs>
      <w:jc w:val="right"/>
      <w:rPr>
        <w:rFonts w:asciiTheme="majorHAnsi" w:hAnsiTheme="majorHAnsi"/>
        <w:sz w:val="18"/>
        <w:szCs w:val="18"/>
      </w:rPr>
    </w:pPr>
    <w:r w:rsidRPr="00F8332E">
      <w:rPr>
        <w:rFonts w:asciiTheme="majorHAnsi" w:hAnsiTheme="majorHAnsi"/>
        <w:sz w:val="18"/>
        <w:szCs w:val="18"/>
      </w:rPr>
      <w:t>Teléfonos: 2243-5108, 2243-5103  •  Fax: 2243-5151</w:t>
    </w:r>
  </w:p>
  <w:p w14:paraId="2D0BEB52" w14:textId="77777777" w:rsidR="00843EE4" w:rsidRDefault="00843EE4" w:rsidP="00A83BA5">
    <w:pPr>
      <w:pStyle w:val="Piedepgina"/>
      <w:tabs>
        <w:tab w:val="clear" w:pos="8838"/>
      </w:tabs>
      <w:jc w:val="right"/>
      <w:rPr>
        <w:rFonts w:ascii="Baskerville Old Face" w:hAnsi="Baskerville Old Face"/>
        <w:sz w:val="18"/>
        <w:szCs w:val="18"/>
      </w:rPr>
    </w:pPr>
    <w:r w:rsidRPr="00F8332E">
      <w:rPr>
        <w:rFonts w:asciiTheme="majorHAnsi" w:hAnsiTheme="majorHAnsi"/>
        <w:sz w:val="18"/>
        <w:szCs w:val="18"/>
      </w:rPr>
      <w:t>Dirección:</w:t>
    </w:r>
    <w:r w:rsidRPr="00121F8C">
      <w:rPr>
        <w:rFonts w:ascii="Baskerville Old Face" w:hAnsi="Baskerville Old Face"/>
        <w:sz w:val="18"/>
        <w:szCs w:val="18"/>
      </w:rPr>
      <w:t xml:space="preserve"> </w:t>
    </w:r>
    <w:r w:rsidR="00F8332E" w:rsidRPr="009E7017">
      <w:rPr>
        <w:rFonts w:asciiTheme="majorHAnsi" w:hAnsiTheme="majorHAnsi"/>
        <w:sz w:val="18"/>
        <w:szCs w:val="18"/>
      </w:rPr>
      <w:t>Edificio ODMs, Barrio T</w:t>
    </w:r>
    <w:r w:rsidR="00F8332E">
      <w:rPr>
        <w:rFonts w:asciiTheme="majorHAnsi" w:hAnsiTheme="majorHAnsi"/>
        <w:sz w:val="18"/>
        <w:szCs w:val="18"/>
      </w:rPr>
      <w:t>o</w:t>
    </w:r>
    <w:r w:rsidR="00F8332E" w:rsidRPr="009E7017">
      <w:rPr>
        <w:rFonts w:asciiTheme="majorHAnsi" w:hAnsiTheme="majorHAnsi"/>
        <w:sz w:val="18"/>
        <w:szCs w:val="18"/>
      </w:rPr>
      <w:t>urnón, Piso 4</w:t>
    </w:r>
  </w:p>
  <w:p w14:paraId="3D4F7BCF" w14:textId="77777777" w:rsidR="00843EE4" w:rsidRPr="00A83BA5" w:rsidRDefault="00E2366F" w:rsidP="00A83BA5">
    <w:pPr>
      <w:pStyle w:val="Piedepgina"/>
      <w:tabs>
        <w:tab w:val="clear" w:pos="8838"/>
      </w:tabs>
      <w:jc w:val="right"/>
      <w:rPr>
        <w:rFonts w:ascii="Baskerville Old Face" w:hAnsi="Baskerville Old Face"/>
        <w:sz w:val="18"/>
        <w:szCs w:val="18"/>
      </w:rPr>
    </w:pPr>
    <w:hyperlink r:id="rId1" w:history="1">
      <w:r w:rsidR="00843EE4" w:rsidRPr="00121F8C">
        <w:rPr>
          <w:rStyle w:val="Hipervnculo"/>
          <w:rFonts w:ascii="Baskerville Old Face" w:hAnsi="Baskerville Old Face"/>
          <w:sz w:val="18"/>
          <w:szCs w:val="18"/>
        </w:rPr>
        <w:t>sugese@sugese.fi.cr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A04B" w14:textId="77777777" w:rsidR="004912DC" w:rsidRDefault="004912DC" w:rsidP="005A1442">
      <w:r>
        <w:separator/>
      </w:r>
    </w:p>
  </w:footnote>
  <w:footnote w:type="continuationSeparator" w:id="0">
    <w:p w14:paraId="53BB1BC4" w14:textId="77777777" w:rsidR="004912DC" w:rsidRDefault="004912DC" w:rsidP="005A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43CC" w14:textId="77777777" w:rsidR="00C25F41" w:rsidRDefault="00C25F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1F02" w14:textId="77777777" w:rsidR="00373AC0" w:rsidRPr="009618C8" w:rsidRDefault="00373AC0" w:rsidP="00373AC0">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315B0E4B" wp14:editId="0D402C90">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4A2D6CB6" w14:textId="77777777" w:rsidR="00373AC0" w:rsidRPr="009618C8" w:rsidRDefault="00373AC0" w:rsidP="00373AC0">
    <w:pPr>
      <w:pStyle w:val="Encabezado"/>
      <w:rPr>
        <w:rFonts w:asciiTheme="majorHAnsi" w:hAnsiTheme="majorHAnsi"/>
        <w:sz w:val="16"/>
        <w:szCs w:val="16"/>
      </w:rPr>
    </w:pPr>
  </w:p>
  <w:p w14:paraId="4BB06BEA" w14:textId="0288D36C" w:rsidR="00761D54" w:rsidRPr="00373AC0" w:rsidRDefault="00373AC0" w:rsidP="00373AC0">
    <w:pPr>
      <w:jc w:val="both"/>
      <w:rPr>
        <w:rFonts w:asciiTheme="majorHAnsi" w:hAnsiTheme="majorHAnsi"/>
        <w:b/>
        <w:i/>
        <w:color w:val="000000"/>
      </w:rPr>
    </w:pPr>
    <w:r w:rsidRPr="00373AC0">
      <w:rPr>
        <w:rFonts w:asciiTheme="majorHAnsi" w:hAnsiTheme="majorHAnsi"/>
        <w:b/>
        <w:bCs/>
        <w:i/>
      </w:rPr>
      <w:t>SGS-A-</w:t>
    </w:r>
    <w:r w:rsidR="00E2366F">
      <w:rPr>
        <w:rFonts w:asciiTheme="majorHAnsi" w:hAnsiTheme="majorHAnsi"/>
        <w:b/>
        <w:bCs/>
        <w:i/>
      </w:rPr>
      <w:t>0089</w:t>
    </w:r>
    <w:r w:rsidRPr="00373AC0">
      <w:rPr>
        <w:rFonts w:asciiTheme="majorHAnsi" w:hAnsiTheme="majorHAnsi"/>
        <w:b/>
        <w:bCs/>
        <w:i/>
      </w:rPr>
      <w:t>-20</w:t>
    </w:r>
    <w:r w:rsidR="00E2366F">
      <w:rPr>
        <w:rFonts w:asciiTheme="majorHAnsi" w:hAnsiTheme="majorHAnsi"/>
        <w:b/>
        <w:bCs/>
        <w:i/>
      </w:rPr>
      <w:t>22</w:t>
    </w:r>
  </w:p>
  <w:p w14:paraId="4A28DC21" w14:textId="77777777" w:rsidR="00843EE4" w:rsidRPr="00373AC0" w:rsidRDefault="00843EE4" w:rsidP="00373AC0">
    <w:pPr>
      <w:pStyle w:val="Encabezado"/>
      <w:jc w:val="both"/>
      <w:rPr>
        <w:rFonts w:asciiTheme="majorHAnsi" w:hAnsiTheme="majorHAnsi"/>
        <w:sz w:val="24"/>
        <w:szCs w:val="24"/>
        <w:lang w:val="es-MX"/>
      </w:rPr>
    </w:pPr>
    <w:r w:rsidRPr="00373AC0">
      <w:rPr>
        <w:rFonts w:asciiTheme="majorHAnsi" w:hAnsiTheme="majorHAnsi"/>
        <w:sz w:val="24"/>
        <w:szCs w:val="24"/>
        <w:lang w:val="es-MX"/>
      </w:rPr>
      <w:t xml:space="preserve">Página </w:t>
    </w:r>
    <w:r w:rsidRPr="00373AC0">
      <w:rPr>
        <w:rFonts w:asciiTheme="majorHAnsi" w:hAnsiTheme="majorHAnsi"/>
        <w:sz w:val="24"/>
        <w:szCs w:val="24"/>
        <w:lang w:val="es-MX"/>
      </w:rPr>
      <w:fldChar w:fldCharType="begin"/>
    </w:r>
    <w:r w:rsidRPr="00373AC0">
      <w:rPr>
        <w:rFonts w:asciiTheme="majorHAnsi" w:hAnsiTheme="majorHAnsi"/>
        <w:sz w:val="24"/>
        <w:szCs w:val="24"/>
        <w:lang w:val="es-MX"/>
      </w:rPr>
      <w:instrText xml:space="preserve"> PAGE   \* MERGEFORMAT </w:instrText>
    </w:r>
    <w:r w:rsidRPr="00373AC0">
      <w:rPr>
        <w:rFonts w:asciiTheme="majorHAnsi" w:hAnsiTheme="majorHAnsi"/>
        <w:sz w:val="24"/>
        <w:szCs w:val="24"/>
        <w:lang w:val="es-MX"/>
      </w:rPr>
      <w:fldChar w:fldCharType="separate"/>
    </w:r>
    <w:r w:rsidR="00F8332E">
      <w:rPr>
        <w:rFonts w:asciiTheme="majorHAnsi" w:hAnsiTheme="majorHAnsi"/>
        <w:noProof/>
        <w:sz w:val="24"/>
        <w:szCs w:val="24"/>
        <w:lang w:val="es-MX"/>
      </w:rPr>
      <w:t>2</w:t>
    </w:r>
    <w:r w:rsidRPr="00373AC0">
      <w:rPr>
        <w:rFonts w:asciiTheme="majorHAnsi" w:hAnsiTheme="majorHAnsi"/>
        <w:sz w:val="24"/>
        <w:szCs w:val="24"/>
        <w:lang w:val="es-MX"/>
      </w:rPr>
      <w:fldChar w:fldCharType="end"/>
    </w:r>
  </w:p>
  <w:p w14:paraId="1C91BBF3" w14:textId="77777777" w:rsidR="00843EE4" w:rsidRPr="00373AC0" w:rsidRDefault="00843EE4" w:rsidP="00373AC0">
    <w:pPr>
      <w:pStyle w:val="Encabezado"/>
      <w:jc w:val="both"/>
      <w:rPr>
        <w:rFonts w:asciiTheme="majorHAnsi" w:hAnsiTheme="majorHAnsi"/>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9FA2" w14:textId="77777777" w:rsidR="00843EE4" w:rsidRPr="009618C8" w:rsidRDefault="00843EE4" w:rsidP="009618C8">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71FA5791" wp14:editId="2BFE4BEA">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53BFE557" w14:textId="77777777" w:rsidR="00843EE4" w:rsidRPr="009618C8" w:rsidRDefault="00843EE4">
    <w:pPr>
      <w:pStyle w:val="Encabezado"/>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701C"/>
    <w:multiLevelType w:val="multilevel"/>
    <w:tmpl w:val="7AD4821C"/>
    <w:lvl w:ilvl="0">
      <w:start w:val="1"/>
      <w:numFmt w:val="decimal"/>
      <w:lvlText w:val="%1."/>
      <w:lvlJc w:val="left"/>
      <w:pPr>
        <w:ind w:left="36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4C47A9"/>
    <w:multiLevelType w:val="hybridMultilevel"/>
    <w:tmpl w:val="965A7A34"/>
    <w:lvl w:ilvl="0" w:tplc="D3E24746">
      <w:start w:val="1"/>
      <w:numFmt w:val="lowerRoman"/>
      <w:lvlText w:val="%1)"/>
      <w:lvlJc w:val="left"/>
      <w:pPr>
        <w:ind w:left="-180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720" w:hanging="180"/>
      </w:pPr>
    </w:lvl>
    <w:lvl w:ilvl="3" w:tplc="140A000F" w:tentative="1">
      <w:start w:val="1"/>
      <w:numFmt w:val="decimal"/>
      <w:lvlText w:val="%4."/>
      <w:lvlJc w:val="left"/>
      <w:pPr>
        <w:ind w:left="0" w:hanging="360"/>
      </w:pPr>
    </w:lvl>
    <w:lvl w:ilvl="4" w:tplc="140A0019" w:tentative="1">
      <w:start w:val="1"/>
      <w:numFmt w:val="lowerLetter"/>
      <w:lvlText w:val="%5."/>
      <w:lvlJc w:val="left"/>
      <w:pPr>
        <w:ind w:left="720" w:hanging="360"/>
      </w:pPr>
    </w:lvl>
    <w:lvl w:ilvl="5" w:tplc="140A001B" w:tentative="1">
      <w:start w:val="1"/>
      <w:numFmt w:val="lowerRoman"/>
      <w:lvlText w:val="%6."/>
      <w:lvlJc w:val="right"/>
      <w:pPr>
        <w:ind w:left="1440" w:hanging="180"/>
      </w:pPr>
    </w:lvl>
    <w:lvl w:ilvl="6" w:tplc="140A000F" w:tentative="1">
      <w:start w:val="1"/>
      <w:numFmt w:val="decimal"/>
      <w:lvlText w:val="%7."/>
      <w:lvlJc w:val="left"/>
      <w:pPr>
        <w:ind w:left="2160" w:hanging="360"/>
      </w:pPr>
    </w:lvl>
    <w:lvl w:ilvl="7" w:tplc="140A0019" w:tentative="1">
      <w:start w:val="1"/>
      <w:numFmt w:val="lowerLetter"/>
      <w:lvlText w:val="%8."/>
      <w:lvlJc w:val="left"/>
      <w:pPr>
        <w:ind w:left="2880" w:hanging="360"/>
      </w:pPr>
    </w:lvl>
    <w:lvl w:ilvl="8" w:tplc="140A001B" w:tentative="1">
      <w:start w:val="1"/>
      <w:numFmt w:val="lowerRoman"/>
      <w:lvlText w:val="%9."/>
      <w:lvlJc w:val="right"/>
      <w:pPr>
        <w:ind w:left="3600" w:hanging="180"/>
      </w:pPr>
    </w:lvl>
  </w:abstractNum>
  <w:abstractNum w:abstractNumId="2" w15:restartNumberingAfterBreak="0">
    <w:nsid w:val="311357EF"/>
    <w:multiLevelType w:val="hybridMultilevel"/>
    <w:tmpl w:val="813C5C6C"/>
    <w:lvl w:ilvl="0" w:tplc="140A0017">
      <w:start w:val="1"/>
      <w:numFmt w:val="lowerLetter"/>
      <w:lvlText w:val="%1)"/>
      <w:lvlJc w:val="left"/>
      <w:pPr>
        <w:tabs>
          <w:tab w:val="num" w:pos="720"/>
        </w:tabs>
        <w:ind w:left="720" w:hanging="360"/>
      </w:pPr>
      <w:rPr>
        <w:rFonts w:hint="default"/>
      </w:rPr>
    </w:lvl>
    <w:lvl w:ilvl="1" w:tplc="43B03C9C">
      <w:start w:val="1"/>
      <w:numFmt w:val="bullet"/>
      <w:lvlText w:val="•"/>
      <w:lvlJc w:val="left"/>
      <w:pPr>
        <w:tabs>
          <w:tab w:val="num" w:pos="1440"/>
        </w:tabs>
        <w:ind w:left="1440" w:hanging="360"/>
      </w:pPr>
      <w:rPr>
        <w:rFonts w:ascii="Times New Roman" w:hAnsi="Times New Roman" w:hint="default"/>
      </w:rPr>
    </w:lvl>
    <w:lvl w:ilvl="2" w:tplc="B6DEFF10" w:tentative="1">
      <w:start w:val="1"/>
      <w:numFmt w:val="bullet"/>
      <w:lvlText w:val="•"/>
      <w:lvlJc w:val="left"/>
      <w:pPr>
        <w:tabs>
          <w:tab w:val="num" w:pos="2160"/>
        </w:tabs>
        <w:ind w:left="2160" w:hanging="360"/>
      </w:pPr>
      <w:rPr>
        <w:rFonts w:ascii="Times New Roman" w:hAnsi="Times New Roman" w:hint="default"/>
      </w:rPr>
    </w:lvl>
    <w:lvl w:ilvl="3" w:tplc="C1243892" w:tentative="1">
      <w:start w:val="1"/>
      <w:numFmt w:val="bullet"/>
      <w:lvlText w:val="•"/>
      <w:lvlJc w:val="left"/>
      <w:pPr>
        <w:tabs>
          <w:tab w:val="num" w:pos="2880"/>
        </w:tabs>
        <w:ind w:left="2880" w:hanging="360"/>
      </w:pPr>
      <w:rPr>
        <w:rFonts w:ascii="Times New Roman" w:hAnsi="Times New Roman" w:hint="default"/>
      </w:rPr>
    </w:lvl>
    <w:lvl w:ilvl="4" w:tplc="B1081F60" w:tentative="1">
      <w:start w:val="1"/>
      <w:numFmt w:val="bullet"/>
      <w:lvlText w:val="•"/>
      <w:lvlJc w:val="left"/>
      <w:pPr>
        <w:tabs>
          <w:tab w:val="num" w:pos="3600"/>
        </w:tabs>
        <w:ind w:left="3600" w:hanging="360"/>
      </w:pPr>
      <w:rPr>
        <w:rFonts w:ascii="Times New Roman" w:hAnsi="Times New Roman" w:hint="default"/>
      </w:rPr>
    </w:lvl>
    <w:lvl w:ilvl="5" w:tplc="2E4C63D2" w:tentative="1">
      <w:start w:val="1"/>
      <w:numFmt w:val="bullet"/>
      <w:lvlText w:val="•"/>
      <w:lvlJc w:val="left"/>
      <w:pPr>
        <w:tabs>
          <w:tab w:val="num" w:pos="4320"/>
        </w:tabs>
        <w:ind w:left="4320" w:hanging="360"/>
      </w:pPr>
      <w:rPr>
        <w:rFonts w:ascii="Times New Roman" w:hAnsi="Times New Roman" w:hint="default"/>
      </w:rPr>
    </w:lvl>
    <w:lvl w:ilvl="6" w:tplc="F0044A22" w:tentative="1">
      <w:start w:val="1"/>
      <w:numFmt w:val="bullet"/>
      <w:lvlText w:val="•"/>
      <w:lvlJc w:val="left"/>
      <w:pPr>
        <w:tabs>
          <w:tab w:val="num" w:pos="5040"/>
        </w:tabs>
        <w:ind w:left="5040" w:hanging="360"/>
      </w:pPr>
      <w:rPr>
        <w:rFonts w:ascii="Times New Roman" w:hAnsi="Times New Roman" w:hint="default"/>
      </w:rPr>
    </w:lvl>
    <w:lvl w:ilvl="7" w:tplc="5EB48CD4" w:tentative="1">
      <w:start w:val="1"/>
      <w:numFmt w:val="bullet"/>
      <w:lvlText w:val="•"/>
      <w:lvlJc w:val="left"/>
      <w:pPr>
        <w:tabs>
          <w:tab w:val="num" w:pos="5760"/>
        </w:tabs>
        <w:ind w:left="5760" w:hanging="360"/>
      </w:pPr>
      <w:rPr>
        <w:rFonts w:ascii="Times New Roman" w:hAnsi="Times New Roman" w:hint="default"/>
      </w:rPr>
    </w:lvl>
    <w:lvl w:ilvl="8" w:tplc="4854186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36D7332"/>
    <w:multiLevelType w:val="hybridMultilevel"/>
    <w:tmpl w:val="2C04FF16"/>
    <w:lvl w:ilvl="0" w:tplc="140A0017">
      <w:start w:val="1"/>
      <w:numFmt w:val="lowerLetter"/>
      <w:lvlText w:val="%1)"/>
      <w:lvlJc w:val="left"/>
      <w:pPr>
        <w:ind w:left="1143" w:hanging="360"/>
      </w:pPr>
    </w:lvl>
    <w:lvl w:ilvl="1" w:tplc="140A0019" w:tentative="1">
      <w:start w:val="1"/>
      <w:numFmt w:val="lowerLetter"/>
      <w:lvlText w:val="%2."/>
      <w:lvlJc w:val="left"/>
      <w:pPr>
        <w:ind w:left="1863" w:hanging="360"/>
      </w:pPr>
    </w:lvl>
    <w:lvl w:ilvl="2" w:tplc="140A001B" w:tentative="1">
      <w:start w:val="1"/>
      <w:numFmt w:val="lowerRoman"/>
      <w:lvlText w:val="%3."/>
      <w:lvlJc w:val="right"/>
      <w:pPr>
        <w:ind w:left="2583" w:hanging="180"/>
      </w:pPr>
    </w:lvl>
    <w:lvl w:ilvl="3" w:tplc="140A000F" w:tentative="1">
      <w:start w:val="1"/>
      <w:numFmt w:val="decimal"/>
      <w:lvlText w:val="%4."/>
      <w:lvlJc w:val="left"/>
      <w:pPr>
        <w:ind w:left="3303" w:hanging="360"/>
      </w:pPr>
    </w:lvl>
    <w:lvl w:ilvl="4" w:tplc="140A0019" w:tentative="1">
      <w:start w:val="1"/>
      <w:numFmt w:val="lowerLetter"/>
      <w:lvlText w:val="%5."/>
      <w:lvlJc w:val="left"/>
      <w:pPr>
        <w:ind w:left="4023" w:hanging="360"/>
      </w:pPr>
    </w:lvl>
    <w:lvl w:ilvl="5" w:tplc="140A001B" w:tentative="1">
      <w:start w:val="1"/>
      <w:numFmt w:val="lowerRoman"/>
      <w:lvlText w:val="%6."/>
      <w:lvlJc w:val="right"/>
      <w:pPr>
        <w:ind w:left="4743" w:hanging="180"/>
      </w:pPr>
    </w:lvl>
    <w:lvl w:ilvl="6" w:tplc="140A000F" w:tentative="1">
      <w:start w:val="1"/>
      <w:numFmt w:val="decimal"/>
      <w:lvlText w:val="%7."/>
      <w:lvlJc w:val="left"/>
      <w:pPr>
        <w:ind w:left="5463" w:hanging="360"/>
      </w:pPr>
    </w:lvl>
    <w:lvl w:ilvl="7" w:tplc="140A0019" w:tentative="1">
      <w:start w:val="1"/>
      <w:numFmt w:val="lowerLetter"/>
      <w:lvlText w:val="%8."/>
      <w:lvlJc w:val="left"/>
      <w:pPr>
        <w:ind w:left="6183" w:hanging="360"/>
      </w:pPr>
    </w:lvl>
    <w:lvl w:ilvl="8" w:tplc="140A001B" w:tentative="1">
      <w:start w:val="1"/>
      <w:numFmt w:val="lowerRoman"/>
      <w:lvlText w:val="%9."/>
      <w:lvlJc w:val="right"/>
      <w:pPr>
        <w:ind w:left="6903" w:hanging="180"/>
      </w:pPr>
    </w:lvl>
  </w:abstractNum>
  <w:abstractNum w:abstractNumId="4" w15:restartNumberingAfterBreak="0">
    <w:nsid w:val="4B6F3557"/>
    <w:multiLevelType w:val="multilevel"/>
    <w:tmpl w:val="7A7C67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D180D"/>
    <w:multiLevelType w:val="hybridMultilevel"/>
    <w:tmpl w:val="1674A9BE"/>
    <w:lvl w:ilvl="0" w:tplc="8422B632">
      <w:start w:val="1"/>
      <w:numFmt w:val="decimal"/>
      <w:lvlText w:val="%1."/>
      <w:lvlJc w:val="left"/>
      <w:pPr>
        <w:ind w:left="360" w:hanging="360"/>
      </w:pPr>
      <w:rPr>
        <w:b/>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70B46B51"/>
    <w:multiLevelType w:val="hybridMultilevel"/>
    <w:tmpl w:val="5E622CC2"/>
    <w:lvl w:ilvl="0" w:tplc="1EFAA200">
      <w:start w:val="1"/>
      <w:numFmt w:val="upperLetter"/>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DC"/>
    <w:rsid w:val="00003EEF"/>
    <w:rsid w:val="000076D1"/>
    <w:rsid w:val="000105FD"/>
    <w:rsid w:val="00015CC4"/>
    <w:rsid w:val="000230EC"/>
    <w:rsid w:val="00037F14"/>
    <w:rsid w:val="00043989"/>
    <w:rsid w:val="000476C1"/>
    <w:rsid w:val="00055413"/>
    <w:rsid w:val="00067CF6"/>
    <w:rsid w:val="000752F9"/>
    <w:rsid w:val="000760ED"/>
    <w:rsid w:val="00083A78"/>
    <w:rsid w:val="0008604D"/>
    <w:rsid w:val="000A2288"/>
    <w:rsid w:val="000B2E1D"/>
    <w:rsid w:val="000B4150"/>
    <w:rsid w:val="000C7644"/>
    <w:rsid w:val="000D4883"/>
    <w:rsid w:val="000E78B1"/>
    <w:rsid w:val="000F4177"/>
    <w:rsid w:val="00104DC9"/>
    <w:rsid w:val="00107380"/>
    <w:rsid w:val="00112325"/>
    <w:rsid w:val="00133DA2"/>
    <w:rsid w:val="00135FBF"/>
    <w:rsid w:val="00140B90"/>
    <w:rsid w:val="00146B1D"/>
    <w:rsid w:val="001551CB"/>
    <w:rsid w:val="0016515C"/>
    <w:rsid w:val="00167B6E"/>
    <w:rsid w:val="0017138C"/>
    <w:rsid w:val="00180BA2"/>
    <w:rsid w:val="0018143B"/>
    <w:rsid w:val="001A29D3"/>
    <w:rsid w:val="001A6FE9"/>
    <w:rsid w:val="001B3C85"/>
    <w:rsid w:val="001B6EE9"/>
    <w:rsid w:val="001C344D"/>
    <w:rsid w:val="001D2BCA"/>
    <w:rsid w:val="001F362F"/>
    <w:rsid w:val="002048C0"/>
    <w:rsid w:val="00221996"/>
    <w:rsid w:val="00222862"/>
    <w:rsid w:val="00234ECC"/>
    <w:rsid w:val="0023647D"/>
    <w:rsid w:val="00242EBD"/>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7C1E"/>
    <w:rsid w:val="00333BA8"/>
    <w:rsid w:val="00336659"/>
    <w:rsid w:val="00343523"/>
    <w:rsid w:val="00343D0D"/>
    <w:rsid w:val="003623F7"/>
    <w:rsid w:val="0036475D"/>
    <w:rsid w:val="00366016"/>
    <w:rsid w:val="00373AC0"/>
    <w:rsid w:val="003758F1"/>
    <w:rsid w:val="00376DE7"/>
    <w:rsid w:val="00385D10"/>
    <w:rsid w:val="00391C88"/>
    <w:rsid w:val="003947BB"/>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2F59"/>
    <w:rsid w:val="00454C55"/>
    <w:rsid w:val="004715C7"/>
    <w:rsid w:val="0047219D"/>
    <w:rsid w:val="004856D2"/>
    <w:rsid w:val="004912DC"/>
    <w:rsid w:val="004948D8"/>
    <w:rsid w:val="00495470"/>
    <w:rsid w:val="00496C81"/>
    <w:rsid w:val="004A03B7"/>
    <w:rsid w:val="004A495A"/>
    <w:rsid w:val="004B767D"/>
    <w:rsid w:val="004C3B15"/>
    <w:rsid w:val="004C4D3C"/>
    <w:rsid w:val="004D2EB0"/>
    <w:rsid w:val="004D3D77"/>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60026"/>
    <w:rsid w:val="0056158A"/>
    <w:rsid w:val="0056224B"/>
    <w:rsid w:val="0056751A"/>
    <w:rsid w:val="00576230"/>
    <w:rsid w:val="005876B5"/>
    <w:rsid w:val="005A1442"/>
    <w:rsid w:val="005B70A7"/>
    <w:rsid w:val="005C5B11"/>
    <w:rsid w:val="005C69FA"/>
    <w:rsid w:val="005C7CD2"/>
    <w:rsid w:val="005D13DD"/>
    <w:rsid w:val="005E7FD4"/>
    <w:rsid w:val="005F395A"/>
    <w:rsid w:val="00602EC0"/>
    <w:rsid w:val="00604DED"/>
    <w:rsid w:val="00621BF4"/>
    <w:rsid w:val="00623065"/>
    <w:rsid w:val="00626ECF"/>
    <w:rsid w:val="00632C9E"/>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0031"/>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4198B"/>
    <w:rsid w:val="007437E6"/>
    <w:rsid w:val="00744A2C"/>
    <w:rsid w:val="00746E52"/>
    <w:rsid w:val="00761D54"/>
    <w:rsid w:val="007636BD"/>
    <w:rsid w:val="00771580"/>
    <w:rsid w:val="00792726"/>
    <w:rsid w:val="007A0A2A"/>
    <w:rsid w:val="007A1E7F"/>
    <w:rsid w:val="007A22EA"/>
    <w:rsid w:val="007A2A51"/>
    <w:rsid w:val="007B04A5"/>
    <w:rsid w:val="007C19A7"/>
    <w:rsid w:val="007C2114"/>
    <w:rsid w:val="007D2DAF"/>
    <w:rsid w:val="007E41E5"/>
    <w:rsid w:val="007E46F1"/>
    <w:rsid w:val="007E5094"/>
    <w:rsid w:val="007E66C6"/>
    <w:rsid w:val="007F09F5"/>
    <w:rsid w:val="008022A8"/>
    <w:rsid w:val="0080328F"/>
    <w:rsid w:val="00821436"/>
    <w:rsid w:val="008259A0"/>
    <w:rsid w:val="008370FF"/>
    <w:rsid w:val="00843EE4"/>
    <w:rsid w:val="0085586B"/>
    <w:rsid w:val="00857125"/>
    <w:rsid w:val="00857848"/>
    <w:rsid w:val="00857AD8"/>
    <w:rsid w:val="008605C0"/>
    <w:rsid w:val="00866B92"/>
    <w:rsid w:val="008704B7"/>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22ED9"/>
    <w:rsid w:val="00947CCD"/>
    <w:rsid w:val="0095414B"/>
    <w:rsid w:val="009565BF"/>
    <w:rsid w:val="009618C8"/>
    <w:rsid w:val="00963CA8"/>
    <w:rsid w:val="00964169"/>
    <w:rsid w:val="00975A49"/>
    <w:rsid w:val="00987B3B"/>
    <w:rsid w:val="009A2106"/>
    <w:rsid w:val="009A6A84"/>
    <w:rsid w:val="009B35A6"/>
    <w:rsid w:val="009D11AB"/>
    <w:rsid w:val="009D5FAF"/>
    <w:rsid w:val="009F37D9"/>
    <w:rsid w:val="00A07AB5"/>
    <w:rsid w:val="00A12AE9"/>
    <w:rsid w:val="00A16168"/>
    <w:rsid w:val="00A2009B"/>
    <w:rsid w:val="00A33527"/>
    <w:rsid w:val="00A46328"/>
    <w:rsid w:val="00A57156"/>
    <w:rsid w:val="00A66E6E"/>
    <w:rsid w:val="00A81FF0"/>
    <w:rsid w:val="00A83BA5"/>
    <w:rsid w:val="00A8710B"/>
    <w:rsid w:val="00AA35AB"/>
    <w:rsid w:val="00AA4CA2"/>
    <w:rsid w:val="00AB1CD0"/>
    <w:rsid w:val="00AB33C3"/>
    <w:rsid w:val="00AC0D3F"/>
    <w:rsid w:val="00AD00BB"/>
    <w:rsid w:val="00AE0313"/>
    <w:rsid w:val="00B04011"/>
    <w:rsid w:val="00B12501"/>
    <w:rsid w:val="00B15956"/>
    <w:rsid w:val="00B21C1A"/>
    <w:rsid w:val="00B2475F"/>
    <w:rsid w:val="00B25C9B"/>
    <w:rsid w:val="00B300E9"/>
    <w:rsid w:val="00B32651"/>
    <w:rsid w:val="00B32EEB"/>
    <w:rsid w:val="00B330AC"/>
    <w:rsid w:val="00B40526"/>
    <w:rsid w:val="00B45FD8"/>
    <w:rsid w:val="00B50514"/>
    <w:rsid w:val="00B70578"/>
    <w:rsid w:val="00B73C42"/>
    <w:rsid w:val="00B826E2"/>
    <w:rsid w:val="00B910A3"/>
    <w:rsid w:val="00B95233"/>
    <w:rsid w:val="00B96A9E"/>
    <w:rsid w:val="00BA2A3A"/>
    <w:rsid w:val="00BA4095"/>
    <w:rsid w:val="00BA4EB8"/>
    <w:rsid w:val="00BB64F2"/>
    <w:rsid w:val="00BB759F"/>
    <w:rsid w:val="00BC2F23"/>
    <w:rsid w:val="00BC5BBE"/>
    <w:rsid w:val="00BD18FF"/>
    <w:rsid w:val="00BE08B6"/>
    <w:rsid w:val="00BE60B0"/>
    <w:rsid w:val="00BE61CE"/>
    <w:rsid w:val="00BF28E2"/>
    <w:rsid w:val="00BF581F"/>
    <w:rsid w:val="00BF5BF7"/>
    <w:rsid w:val="00BF67A7"/>
    <w:rsid w:val="00C00485"/>
    <w:rsid w:val="00C05704"/>
    <w:rsid w:val="00C240F2"/>
    <w:rsid w:val="00C25F41"/>
    <w:rsid w:val="00C276E6"/>
    <w:rsid w:val="00C505F6"/>
    <w:rsid w:val="00C52BC9"/>
    <w:rsid w:val="00C64061"/>
    <w:rsid w:val="00C73E1C"/>
    <w:rsid w:val="00C7547D"/>
    <w:rsid w:val="00C82150"/>
    <w:rsid w:val="00C846AA"/>
    <w:rsid w:val="00C85E4F"/>
    <w:rsid w:val="00CA7870"/>
    <w:rsid w:val="00CA7AE4"/>
    <w:rsid w:val="00CB0CC5"/>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4E1D"/>
    <w:rsid w:val="00D84595"/>
    <w:rsid w:val="00D858A4"/>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E7D"/>
    <w:rsid w:val="00E06F9A"/>
    <w:rsid w:val="00E157FF"/>
    <w:rsid w:val="00E20D65"/>
    <w:rsid w:val="00E2366F"/>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E09EB"/>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53C64"/>
    <w:rsid w:val="00F611D6"/>
    <w:rsid w:val="00F615EE"/>
    <w:rsid w:val="00F6508B"/>
    <w:rsid w:val="00F8332E"/>
    <w:rsid w:val="00F84235"/>
    <w:rsid w:val="00F87AC4"/>
    <w:rsid w:val="00F952FA"/>
    <w:rsid w:val="00FA4D98"/>
    <w:rsid w:val="00FA56C0"/>
    <w:rsid w:val="00FB25AE"/>
    <w:rsid w:val="00FB6C78"/>
    <w:rsid w:val="00FC2DDB"/>
    <w:rsid w:val="00FC5636"/>
    <w:rsid w:val="00FC7C8A"/>
    <w:rsid w:val="00FD0685"/>
    <w:rsid w:val="00FE165F"/>
    <w:rsid w:val="00FE1C22"/>
    <w:rsid w:val="00FE3A47"/>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C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uiPriority w:val="9"/>
    <w:qFormat/>
    <w:rsid w:val="004912DC"/>
    <w:pPr>
      <w:keepNext/>
      <w:widowControl w:val="0"/>
      <w:jc w:val="center"/>
      <w:outlineLvl w:val="4"/>
    </w:pPr>
    <w:rPr>
      <w:b/>
      <w:i/>
      <w:snapToGrid w:val="0"/>
      <w:sz w:val="22"/>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3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tulo5Car">
    <w:name w:val="Título 5 Car"/>
    <w:basedOn w:val="Fuentedeprrafopredeter"/>
    <w:link w:val="Ttulo5"/>
    <w:uiPriority w:val="9"/>
    <w:rsid w:val="004912DC"/>
    <w:rPr>
      <w:rFonts w:ascii="Times New Roman" w:eastAsia="Times New Roman" w:hAnsi="Times New Roman" w:cs="Times New Roman"/>
      <w:b/>
      <w:i/>
      <w:snapToGrid w:val="0"/>
      <w:szCs w:val="24"/>
      <w:lang w:eastAsia="es-CR"/>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4912DC"/>
    <w:pPr>
      <w:ind w:left="720"/>
      <w:contextualSpacing/>
    </w:p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basedOn w:val="Fuentedeprrafopredeter"/>
    <w:link w:val="Prrafodelista"/>
    <w:uiPriority w:val="34"/>
    <w:qFormat/>
    <w:locked/>
    <w:rsid w:val="004912DC"/>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4912DC"/>
    <w:pPr>
      <w:spacing w:after="120"/>
    </w:pPr>
  </w:style>
  <w:style w:type="character" w:customStyle="1" w:styleId="TextoindependienteCar">
    <w:name w:val="Texto independiente Car"/>
    <w:basedOn w:val="Fuentedeprrafopredeter"/>
    <w:link w:val="Textoindependiente"/>
    <w:rsid w:val="004912D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4912DC"/>
    <w:pPr>
      <w:spacing w:after="120"/>
    </w:pPr>
    <w:rPr>
      <w:sz w:val="16"/>
      <w:szCs w:val="16"/>
    </w:rPr>
  </w:style>
  <w:style w:type="character" w:customStyle="1" w:styleId="Textoindependiente3Car">
    <w:name w:val="Texto independiente 3 Car"/>
    <w:basedOn w:val="Fuentedeprrafopredeter"/>
    <w:link w:val="Textoindependiente3"/>
    <w:uiPriority w:val="99"/>
    <w:rsid w:val="004912DC"/>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2020/PlantillasCorrespondenciaExterna/Plantilla-SGS-A-13.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yzS+DLrM+loyZc84NTsvRkDPQe4trjQYSf87pcz8cQ4=</DigestValue>
    </Reference>
    <Reference Type="http://www.w3.org/2000/09/xmldsig#Object" URI="#idOfficeObject">
      <DigestMethod Algorithm="http://www.w3.org/2001/04/xmlenc#sha256"/>
      <DigestValue>a9NATRrVn0A+MpQk4Gxdwa1M2lW167QQPmEGPA8eVmo=</DigestValue>
    </Reference>
    <Reference Type="http://uri.etsi.org/01903#SignedProperties" URI="#idSignedProperties">
      <Transforms>
        <Transform Algorithm="http://www.w3.org/TR/2001/REC-xml-c14n-20010315"/>
      </Transforms>
      <DigestMethod Algorithm="http://www.w3.org/2001/04/xmlenc#sha256"/>
      <DigestValue>SvMmEka+98jvA9lGYL+f1WQjXYq7B6ZWDVRZNFNvxHE=</DigestValue>
    </Reference>
  </SignedInfo>
  <SignatureValue>k+Kudy5Of/Y77BjILuywu+EuRCa1cmtQzo9neUvnRm7zf8vR1kPKMlvkEhSlmwM5vZqYS4UsDFQj
Um4tOknNfw/0uoaVy8B5EhZG5LUpLPgdvSqt4yrpf22MgZCDnqFeP4UdPgFn5CWmoSCUxZc+UYH0
zJPjbCZrv3DhOtkVgUSb3f6yH6hf8FPId/WFyX/+m8vNCwqQq+tcfTlcSIkRt3DH+Esj1q8ZFmsd
LpvUZploSrrUaUpfp01zDT9VYErREoccdam9GysMcMrM+Yx7GnEJVmWxGposqaiqZEK5M/kQdjUQ
leA1tJ538363IlKW2XHZ8T5wBBrQK+QX4sQwjw==</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0lA80QtfeFeBfQxPyGsbzoXmrRamSwjubbAtb7N3cfs=</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+2aCAS4Zy5DWm3v3vSXKxN1SgkFmrmMk9h7JtWSp+lU=</DigestValue>
      </Reference>
      <Reference URI="/word/document.xml?ContentType=application/vnd.openxmlformats-officedocument.wordprocessingml.document.main+xml">
        <DigestMethod Algorithm="http://www.w3.org/2001/04/xmlenc#sha256"/>
        <DigestValue>neDa4hqF6JAp0PvYGjt+zGFSFWpC6e0mEZ59EOGMHfs=</DigestValue>
      </Reference>
      <Reference URI="/word/endnotes.xml?ContentType=application/vnd.openxmlformats-officedocument.wordprocessingml.endnotes+xml">
        <DigestMethod Algorithm="http://www.w3.org/2001/04/xmlenc#sha256"/>
        <DigestValue>ePCf6T2v0mofPb2Gu6njlfEfSdyqO6/pLFGFv60H8AM=</DigestValue>
      </Reference>
      <Reference URI="/word/fontTable.xml?ContentType=application/vnd.openxmlformats-officedocument.wordprocessingml.fontTable+xml">
        <DigestMethod Algorithm="http://www.w3.org/2001/04/xmlenc#sha256"/>
        <DigestValue>2LJZzZFVUcww6CRWaljlv2GO4ejHud+YGgsoo1a+E/Y=</DigestValue>
      </Reference>
      <Reference URI="/word/footer1.xml?ContentType=application/vnd.openxmlformats-officedocument.wordprocessingml.footer+xml">
        <DigestMethod Algorithm="http://www.w3.org/2001/04/xmlenc#sha256"/>
        <DigestValue>/+09SVT2XS+O2nw08eLZClzpfXFyywJ9xVZb0KhLgjg=</DigestValue>
      </Reference>
      <Reference URI="/word/footer2.xml?ContentType=application/vnd.openxmlformats-officedocument.wordprocessingml.footer+xml">
        <DigestMethod Algorithm="http://www.w3.org/2001/04/xmlenc#sha256"/>
        <DigestValue>23DgmPgOyLfXKhRHvx+JZu9QkTgulzlGWx4GzUYkXXI=</DigestValue>
      </Reference>
      <Reference URI="/word/footer3.xml?ContentType=application/vnd.openxmlformats-officedocument.wordprocessingml.footer+xml">
        <DigestMethod Algorithm="http://www.w3.org/2001/04/xmlenc#sha256"/>
        <DigestValue>3gkliC4u1aQD8GEgRc1dReHiqjRI2lBosZ5CELpDM2c=</DigestValue>
      </Reference>
      <Reference URI="/word/footnotes.xml?ContentType=application/vnd.openxmlformats-officedocument.wordprocessingml.footnotes+xml">
        <DigestMethod Algorithm="http://www.w3.org/2001/04/xmlenc#sha256"/>
        <DigestValue>8TrBbqdH2qiVoKFUSBXtRjxJDIMueOJ2YfmOUU3G6VA=</DigestValue>
      </Reference>
      <Reference URI="/word/header1.xml?ContentType=application/vnd.openxmlformats-officedocument.wordprocessingml.header+xml">
        <DigestMethod Algorithm="http://www.w3.org/2001/04/xmlenc#sha256"/>
        <DigestValue>TJoRJn4CNmBXDaqxWC6ViVMk8avW+abcIvmSoGn1O4M=</DigestValue>
      </Reference>
      <Reference URI="/word/header2.xml?ContentType=application/vnd.openxmlformats-officedocument.wordprocessingml.header+xml">
        <DigestMethod Algorithm="http://www.w3.org/2001/04/xmlenc#sha256"/>
        <DigestValue>8ZU0+OzQyA7rJW8rAE1ev5bKZhTG5wYT0IWc3NBGxCk=</DigestValue>
      </Reference>
      <Reference URI="/word/header3.xml?ContentType=application/vnd.openxmlformats-officedocument.wordprocessingml.header+xml">
        <DigestMethod Algorithm="http://www.w3.org/2001/04/xmlenc#sha256"/>
        <DigestValue>axFEsMCq1Eg0+XVEyNSlPS9AwHK+1KPsc/lDbi/clhI=</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cZlHTsxJkzy5z51iSzyCxWp67HZXTPC1py3iKekGGSg=</DigestValue>
      </Reference>
      <Reference URI="/word/settings.xml?ContentType=application/vnd.openxmlformats-officedocument.wordprocessingml.settings+xml">
        <DigestMethod Algorithm="http://www.w3.org/2001/04/xmlenc#sha256"/>
        <DigestValue>1lpmDWoUmEGdb1NVlNsYnNikswqBPhC/JtWiO1q4Vhs=</DigestValue>
      </Reference>
      <Reference URI="/word/styles.xml?ContentType=application/vnd.openxmlformats-officedocument.wordprocessingml.styles+xml">
        <DigestMethod Algorithm="http://www.w3.org/2001/04/xmlenc#sha256"/>
        <DigestValue>eyzW4K2NdZsyTzJj7sdT1QVxpfhe0uVF/TLpKs1/XQk=</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4Brf6R7juEwJMMeP3Hg0LNotkhq9ghnSwyju0L4dFx0=</DigestValue>
      </Reference>
    </Manifest>
    <SignatureProperties>
      <SignatureProperty Id="idSignatureTime" Target="#idPackageSignature">
        <mdssi:SignatureTime xmlns:mdssi="http://schemas.openxmlformats.org/package/2006/digital-signature">
          <mdssi:Format>YYYY-MM-DDThh:mm:ssTZD</mdssi:Format>
          <mdssi:Value>2022-08-24T23:02:13Z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2022-08-24T23:02:13Z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8QMQ+ehYZGQvBHDClg6sF+3wgxbR1XvuupGuwnioo8CBBBlgGUYDzIwMjIwODI0MjMwMTQ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</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75l0jHhuPyhVZOl9OVkeQcQ7Wac=</xd:ByKey>
                  </xd:ResponderID>
                  <xd:ProducedAt>2022-08-24T23:00:05Z</xd:ProducedAt>
                </xd:OCSPIdentifier>
                <xd:DigestAlgAndValue>
                  <DigestMethod Algorithm="http://www.w3.org/2001/04/xmlenc#sha256"/>
                  <DigestValue>C74bPKWUF+HGHx4kXefng8D0Nvt6kUjKqRAbbJeIPHY=</DigestValue>
                </xd:DigestAlgAndValue>
              </xd:OCSPRef>
            </xd:OCSPRefs>
            <xd:CRLRefs>
              <xd:CRLRef>
                <xd:DigestAlgAndValue>
                  <DigestMethod Algorithm="http://www.w3.org/2001/04/xmlenc#sha256"/>
                  <DigestValue>ThXardh4wejDGAEsH/8aqyxStCzzjW0IOJqwzNPTh0U=</DigestValue>
                </xd:DigestAlgAndValue>
                <xd:CRLIdentifier>
                  <xd:Issuer>CN=CA POLITICA PERSONA FISICA - COSTA RICA v2, OU=DCFD, O=MICITT, C=CR, SERIALNUMBER=CPJ-2-100-098311</xd:Issuer>
                  <xd:IssueTime>2022-07-15T19:49:25Z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</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</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Ucl2ocxkcp+KCtkRUl7UaFbuxmZnqvlsFedKsAwj2TsCBBBlgGYYDzIwMjIwODI0MjMwMTQ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2022-08-31T06:00:00+00:00</FechaPublicacionDocumento>
    <NormativaRelacionada xmlns="b9fc4df0-8f56-46e7-b005-54afe0044df7">&lt;div class="ExternalClassBC1BEA0C5B974A889D0F96448A2CCA14"&gt;&lt;p&gt;Decreto Ejecutivo N° 38292-H, Reglamento
para regular la participación de los sujetos fiscalizados en el financiamiento
del presupuesto de las superintendencias​&lt;br&gt;&lt;/p&gt;&lt;/div&gt;</NormativaRelacionada>
    <TipoContenido xmlns="b9fc4df0-8f56-46e7-b005-54afe0044df7">6</TipoContenido>
    <ContenidoMultilineaHTML xmlns="b9fc4df0-8f56-46e7-b005-54afe0044df7">&lt;p style="text-align&amp;#58;justify;"&gt;​Presenta el acuerdo con las disposiciones específicas relacionadas con la contribución de las entidades supervisadas al presupuesto de la Superintendencia General de Seguros,​ que deben realizar de conformidad con lo dispuestos en&amp;#160;el Decreto Ejecutivo N° 38292-H, &lt;em&gt;Reglamento
para regular la participación de los sujetos fiscalizados en el financiamiento
del presupuesto de las superintendencias&lt;/em&gt;​&lt;br&gt;&lt;/p&gt;&lt;p&gt;&lt;br&gt;&lt;br&gt;&lt;/p&gt;</ContenidoMultilineaHTML>
    <NumeroAcuerdo xmlns="b9fc4df0-8f56-46e7-b005-54afe0044df7">SGS-A-0089-2022</NumeroAcuerdo>
  </documentManagement>
</p:properties>
</file>

<file path=customXml/item6.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0F4D82EC3D714D40B180419AA41269D4" ma:contentTypeVersion="111" ma:contentTypeDescription="Crear nuevo documento." ma:contentTypeScope="" ma:versionID="5c292fc58fd5a7880877b79aa014b3b8">
  <xsd:schema xmlns:xsd="http://www.w3.org/2001/XMLSchema" xmlns:xs="http://www.w3.org/2001/XMLSchema" xmlns:p="http://schemas.microsoft.com/office/2006/metadata/properties" xmlns:ns1="http://schemas.microsoft.com/sharepoint/v3" xmlns:ns2="b875e23b-67d9-4b2e-bdec-edacbf90b326" xmlns:ns3="233f2551-3930-43c2-a744-679e70430545" targetNamespace="http://schemas.microsoft.com/office/2006/metadata/properties" ma:root="true" ma:fieldsID="0e8d6740e50556d292837d51584ce767" ns1:_="" ns2:_="" ns3:_="">
    <xsd:import namespace="http://schemas.microsoft.com/sharepoint/v3"/>
    <xsd:import namespace="b875e23b-67d9-4b2e-bdec-edacbf90b326"/>
    <xsd:import namespace="233f2551-3930-43c2-a744-679e70430545"/>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32f5b5d94d147d6ae4b36230db37881" minOccurs="0"/>
                <xsd:element ref="ns2:OtraEntidadExterna" minOccurs="0"/>
                <xsd:element ref="ns3:h924ef3e1de042ccb3dddc0bf72d8fc0" minOccurs="0"/>
                <xsd:element ref="ns1:_dlc_Exempt" minOccurs="0"/>
                <xsd:element ref="ns1:_dlc_ExpireDateSaved" minOccurs="0"/>
                <xsd:element ref="ns1:_dlc_ExpireDate" minOccurs="0"/>
                <xsd:element ref="ns2:oe70cbf463ba4d19a6203d9e6cd457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0" nillable="true" ma:displayName="Fecha de expiración original" ma:hidden="true" ma:internalName="_dlc_ExpireDateSaved" ma:readOnly="true">
      <xsd:simpleType>
        <xsd:restriction base="dms:DateTime"/>
      </xsd:simpleType>
    </xsd:element>
    <xsd:element name="_dlc_ExpireDate" ma:index="41"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257;#SUGESE - Acuerdos|a4c1ee5f-324a-443d-88a9-d7759c9d5e33"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2"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3f2551-3930-43c2-a744-679e70430545" elementFormDefault="qualified">
    <xsd:import namespace="http://schemas.microsoft.com/office/2006/documentManagement/types"/>
    <xsd:import namespace="http://schemas.microsoft.com/office/infopath/2007/PartnerControls"/>
    <xsd:element name="h924ef3e1de042ccb3dddc0bf72d8fc0" ma:index="37" nillable="true" ma:taxonomy="true" ma:internalName="h924ef3e1de042ccb3dddc0bf72d8fc0" ma:taxonomyFieldName="Confidencialidad" ma:displayName="ConfidencialidadHistorica" ma:readOnly="false" ma:default="1;#Público|99c2402f-8ec3-4ca8-8024-be52e4e7f629" ma:fieldId="{1924ef3e-1de0-42cc-b3dd-dc0bf72d8fc0}"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3DE95-5581-4BD5-B7FC-1EF6E009C2A3}">
  <ds:schemaRefs>
    <ds:schemaRef ds:uri="http://schemas.microsoft.com/sharepoint/events"/>
  </ds:schemaRefs>
</ds:datastoreItem>
</file>

<file path=customXml/itemProps2.xml><?xml version="1.0" encoding="utf-8"?>
<ds:datastoreItem xmlns:ds="http://schemas.openxmlformats.org/officeDocument/2006/customXml" ds:itemID="{487E9C2A-49EC-43E9-80D6-1F9A0E60CA9A}"/>
</file>

<file path=customXml/itemProps3.xml><?xml version="1.0" encoding="utf-8"?>
<ds:datastoreItem xmlns:ds="http://schemas.openxmlformats.org/officeDocument/2006/customXml" ds:itemID="{08E39F15-32E2-4974-852C-47C2BD72FC5A}"/>
</file>

<file path=customXml/itemProps4.xml><?xml version="1.0" encoding="utf-8"?>
<ds:datastoreItem xmlns:ds="http://schemas.openxmlformats.org/officeDocument/2006/customXml" ds:itemID="{13D722A3-4C67-46AF-8C9A-7D0E13644C71}">
  <ds:schemaRefs>
    <ds:schemaRef ds:uri="office.server.policy"/>
  </ds:schemaRefs>
</ds:datastoreItem>
</file>

<file path=customXml/itemProps5.xml><?xml version="1.0" encoding="utf-8"?>
<ds:datastoreItem xmlns:ds="http://schemas.openxmlformats.org/officeDocument/2006/customXml" ds:itemID="{A464F4DF-72CE-4A40-9D1C-3D5035855E0E}">
  <ds:schemaRefs>
    <ds:schemaRef ds:uri="http://schemas.microsoft.com/sharepoint/v3"/>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b875e23b-67d9-4b2e-bdec-edacbf90b326"/>
    <ds:schemaRef ds:uri="233f2551-3930-43c2-a744-679e70430545"/>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B081F09D-C25D-44B5-99AD-DD200FBBF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233f2551-3930-43c2-a744-679e70430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Plantilla-SGS-A-13</Template>
  <TotalTime>0</TotalTime>
  <Pages>6</Pages>
  <Words>1759</Words>
  <Characters>9678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SGS-A-0089-2022</dc:title>
  <dc:creator/>
  <cp:lastModifiedBy/>
  <cp:revision>1</cp:revision>
  <dcterms:created xsi:type="dcterms:W3CDTF">2022-08-24T16:03:00Z</dcterms:created>
  <dcterms:modified xsi:type="dcterms:W3CDTF">2022-08-24T16:43:00Z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gridad">
    <vt:lpwstr>128;#Alta|0fd17ec2-e5d0-4d9f-8e18-466324d0fdd4</vt:lpwstr>
  </property>
  <property fmtid="{D5CDD505-2E9C-101B-9397-08002B2CF9AE}" pid="3" name="_dlc_policyId">
    <vt:lpwstr>0x010100E97154E09FCE6A4E8EAEBD5C54DD1AE4|-1695030217</vt:lpwstr>
  </property>
  <property fmtid="{D5CDD505-2E9C-101B-9397-08002B2CF9AE}" pid="4" name="Tipo Documental">
    <vt:lpwstr>126;#Oficio|417b7e3a-1426-4267-afb3-20be5f4d6412</vt:lpwstr>
  </property>
  <property fmtid="{D5CDD505-2E9C-101B-9397-08002B2CF9AE}" pid="5" name="ContentTypeId">
    <vt:lpwstr>0x0101002C5259700016054FB9EF02CC18F40A60</vt:lpwstr>
  </property>
  <property fmtid="{D5CDD505-2E9C-101B-9397-08002B2CF9AE}" pid="6" name="Dirigido a (entidad externa)">
    <vt:lpwstr>446;#Aseguradoras, Sociedades Agencia de Seguros y Corredoras|35c820cc-2e74-4907-8439-32dfa8037acb</vt:lpwstr>
  </property>
  <property fmtid="{D5CDD505-2E9C-101B-9397-08002B2CF9AE}" pid="7"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8" name="Unidad de Destino">
    <vt:lpwstr/>
  </property>
  <property fmtid="{D5CDD505-2E9C-101B-9397-08002B2CF9AE}" pid="9" name="Disponibilidad">
    <vt:lpwstr>161;#Alta|7fca731c-4c62-4f1c-9061-e9f164c964b2</vt:lpwstr>
  </property>
  <property fmtid="{D5CDD505-2E9C-101B-9397-08002B2CF9AE}" pid="10" name="Confidencialidad1">
    <vt:lpwstr/>
  </property>
  <property fmtid="{D5CDD505-2E9C-101B-9397-08002B2CF9AE}" pid="11" name="Unidad Remitente">
    <vt:lpwstr>257;#SUGESE - Acuerdos|a4c1ee5f-324a-443d-88a9-d7759c9d5e33</vt:lpwstr>
  </property>
  <property fmtid="{D5CDD505-2E9C-101B-9397-08002B2CF9AE}" pid="12" name="lb0b7da792b243d9bfa96ad7487ad734">
    <vt:lpwstr/>
  </property>
  <property fmtid="{D5CDD505-2E9C-101B-9397-08002B2CF9AE}" pid="13" name="ConfidencialidadNueva">
    <vt:lpwstr>163;#Uso Interno|b84ab4da-351c-48b8-b2fd-466e6594f406</vt:lpwstr>
  </property>
  <property fmtid="{D5CDD505-2E9C-101B-9397-08002B2CF9AE}" pid="14" name="Confidencialidad">
    <vt:lpwstr>1;#Público|99c2402f-8ec3-4ca8-8024-be52e4e7f629</vt:lpwstr>
  </property>
  <property fmtid="{D5CDD505-2E9C-101B-9397-08002B2CF9AE}" pid="15" name="WorkflowChangePath">
    <vt:lpwstr>a04ecaee-163e-4670-bddd-e0ee954511fc,10;1aa28896-1dd1-4078-8dfd-4097646820ff,14;f0cb250b-c1ef-4893-9022-2aaf0b532c25,15;</vt:lpwstr>
  </property>
  <property fmtid="{D5CDD505-2E9C-101B-9397-08002B2CF9AE}" pid="16" name="ecm_ItemDeleteBlockHolders">
    <vt:lpwstr>ecm_InPlaceRecordLock</vt:lpwstr>
  </property>
  <property fmtid="{D5CDD505-2E9C-101B-9397-08002B2CF9AE}" pid="17" name="_vti_ItemDeclaredRecord">
    <vt:filetime>2022-08-25T14:37:14Z</vt:filetime>
  </property>
  <property fmtid="{D5CDD505-2E9C-101B-9397-08002B2CF9AE}" pid="18" name="_vti_ItemHoldRecordStatus">
    <vt:i4>273</vt:i4>
  </property>
  <property fmtid="{D5CDD505-2E9C-101B-9397-08002B2CF9AE}" pid="19" name="IconOverlay">
    <vt:lpwstr>|docx|lockoverlay.png</vt:lpwstr>
  </property>
  <property fmtid="{D5CDD505-2E9C-101B-9397-08002B2CF9AE}" pid="20" name="ecm_RecordRestrictions">
    <vt:lpwstr>BlockDelete, BlockEdit</vt:lpwstr>
  </property>
  <property fmtid="{D5CDD505-2E9C-101B-9397-08002B2CF9AE}" pid="21" name="ecm_ItemLockHolders">
    <vt:lpwstr>ecm_InPlaceRecordLock</vt:lpwstr>
  </property>
</Properties>
</file>