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5D95" w14:textId="77777777" w:rsidR="006A3734" w:rsidRPr="006A3734" w:rsidRDefault="006A3734" w:rsidP="006A3734">
      <w:pPr>
        <w:ind w:hanging="567"/>
        <w:jc w:val="both"/>
        <w:rPr>
          <w:rFonts w:ascii="Cambria" w:hAnsi="Cambria"/>
          <w:i/>
          <w:color w:val="000000"/>
        </w:rPr>
      </w:pPr>
      <w:bookmarkStart w:id="0" w:name="_GoBack"/>
      <w:bookmarkEnd w:id="0"/>
      <w:r w:rsidRPr="006A3734">
        <w:rPr>
          <w:rFonts w:ascii="Cambria" w:hAnsi="Cambria"/>
          <w:i/>
          <w:color w:val="000000"/>
        </w:rPr>
        <w:t>Tomas Soley Pérez</w:t>
      </w:r>
    </w:p>
    <w:p w14:paraId="6F18DEFD" w14:textId="77777777" w:rsidR="006A3734" w:rsidRPr="006A3734" w:rsidRDefault="006A3734" w:rsidP="006A3734">
      <w:pPr>
        <w:ind w:hanging="567"/>
        <w:jc w:val="both"/>
        <w:rPr>
          <w:rFonts w:ascii="Cambria" w:hAnsi="Cambria"/>
          <w:i/>
          <w:color w:val="000000"/>
        </w:rPr>
      </w:pPr>
      <w:r w:rsidRPr="006A3734">
        <w:rPr>
          <w:rFonts w:ascii="Cambria" w:hAnsi="Cambria"/>
          <w:i/>
          <w:color w:val="000000"/>
        </w:rPr>
        <w:t>Superintendente de Seguros</w:t>
      </w:r>
    </w:p>
    <w:p w14:paraId="282F8327" w14:textId="77777777" w:rsidR="00B330AC" w:rsidRDefault="00B330AC" w:rsidP="009618C8">
      <w:pPr>
        <w:jc w:val="both"/>
        <w:rPr>
          <w:rFonts w:ascii="Cambria" w:hAnsi="Cambria"/>
          <w:color w:val="000000"/>
        </w:rPr>
      </w:pPr>
    </w:p>
    <w:p w14:paraId="41C730BB" w14:textId="77777777" w:rsidR="009618C8" w:rsidRDefault="009618C8" w:rsidP="009618C8">
      <w:pPr>
        <w:jc w:val="both"/>
        <w:rPr>
          <w:rFonts w:ascii="Cambria" w:hAnsi="Cambria"/>
          <w:color w:val="000000"/>
        </w:rPr>
      </w:pPr>
    </w:p>
    <w:p w14:paraId="11A54D4E" w14:textId="77777777" w:rsidR="009618C8" w:rsidRDefault="009618C8" w:rsidP="009618C8">
      <w:pPr>
        <w:jc w:val="both"/>
        <w:rPr>
          <w:rFonts w:asciiTheme="majorHAnsi" w:hAnsiTheme="majorHAnsi"/>
          <w:b/>
          <w:bCs/>
        </w:rPr>
      </w:pPr>
    </w:p>
    <w:p w14:paraId="50F0FDFF" w14:textId="55B3DBD8" w:rsidR="00302089" w:rsidRPr="0038368F" w:rsidRDefault="00302089" w:rsidP="00302089">
      <w:pPr>
        <w:jc w:val="center"/>
        <w:rPr>
          <w:rFonts w:asciiTheme="majorHAnsi" w:hAnsiTheme="majorHAnsi"/>
          <w:b/>
          <w:bCs/>
          <w:lang w:val="es-CR"/>
        </w:rPr>
      </w:pPr>
      <w:r w:rsidRPr="0038368F">
        <w:rPr>
          <w:rFonts w:asciiTheme="majorHAnsi" w:hAnsiTheme="majorHAnsi"/>
          <w:b/>
          <w:bCs/>
          <w:lang w:val="es-CR"/>
        </w:rPr>
        <w:t>SGS-A-00</w:t>
      </w:r>
      <w:r w:rsidR="000B0C36">
        <w:rPr>
          <w:rFonts w:asciiTheme="majorHAnsi" w:hAnsiTheme="majorHAnsi"/>
          <w:b/>
          <w:bCs/>
          <w:lang w:val="es-CR"/>
        </w:rPr>
        <w:t>82</w:t>
      </w:r>
      <w:r w:rsidRPr="0038368F">
        <w:rPr>
          <w:rFonts w:asciiTheme="majorHAnsi" w:hAnsiTheme="majorHAnsi"/>
          <w:b/>
          <w:bCs/>
          <w:lang w:val="es-CR"/>
        </w:rPr>
        <w:t>-2021</w:t>
      </w:r>
    </w:p>
    <w:p w14:paraId="484D0F5B" w14:textId="77777777" w:rsidR="00302089" w:rsidRPr="0038368F" w:rsidRDefault="00302089" w:rsidP="00302089">
      <w:pPr>
        <w:ind w:left="-567"/>
        <w:jc w:val="both"/>
        <w:rPr>
          <w:rFonts w:asciiTheme="majorHAnsi" w:hAnsiTheme="majorHAnsi"/>
          <w:i/>
          <w:color w:val="000000"/>
          <w:lang w:val="es-CR"/>
        </w:rPr>
      </w:pPr>
    </w:p>
    <w:p w14:paraId="4F52E93A" w14:textId="77777777" w:rsidR="00302089" w:rsidRPr="0038368F" w:rsidRDefault="00302089" w:rsidP="00302089">
      <w:pPr>
        <w:jc w:val="center"/>
        <w:rPr>
          <w:rFonts w:asciiTheme="majorHAnsi" w:hAnsiTheme="majorHAnsi"/>
          <w:b/>
          <w:bCs/>
          <w:lang w:val="es-CR"/>
        </w:rPr>
      </w:pPr>
      <w:r w:rsidRPr="0038368F">
        <w:rPr>
          <w:rFonts w:asciiTheme="majorHAnsi" w:hAnsiTheme="majorHAnsi"/>
          <w:b/>
          <w:bCs/>
          <w:lang w:val="es-CR"/>
        </w:rPr>
        <w:t>ACUERDO DE SUPERINTENDENTE</w:t>
      </w:r>
    </w:p>
    <w:p w14:paraId="3ACA47BD" w14:textId="77777777" w:rsidR="00302089" w:rsidRPr="0038368F" w:rsidRDefault="00302089" w:rsidP="00302089">
      <w:pPr>
        <w:jc w:val="both"/>
        <w:rPr>
          <w:rFonts w:asciiTheme="majorHAnsi" w:hAnsiTheme="majorHAnsi"/>
          <w:lang w:val="es-CR"/>
        </w:rPr>
      </w:pPr>
    </w:p>
    <w:p w14:paraId="7D2EE630" w14:textId="77777777" w:rsidR="00302089" w:rsidRPr="0038368F" w:rsidRDefault="00302089" w:rsidP="00302089">
      <w:pPr>
        <w:jc w:val="center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b/>
          <w:bCs/>
          <w:lang w:val="es-CR"/>
        </w:rPr>
        <w:t xml:space="preserve">MODIFICACIÓN DEL ACUERDO SGS-A-077-2021 DENOMINADO </w:t>
      </w:r>
      <w:r>
        <w:rPr>
          <w:rFonts w:asciiTheme="majorHAnsi" w:hAnsiTheme="majorHAnsi"/>
          <w:b/>
          <w:bCs/>
          <w:lang w:val="es-CR"/>
        </w:rPr>
        <w:t>“</w:t>
      </w:r>
      <w:r w:rsidRPr="00D0287D">
        <w:rPr>
          <w:rFonts w:asciiTheme="majorHAnsi" w:hAnsiTheme="majorHAnsi"/>
          <w:b/>
          <w:bCs/>
          <w:i/>
          <w:iCs/>
          <w:lang w:val="es-CR"/>
        </w:rPr>
        <w:t>LINEAMIENTOS SOBRE LA REVELACIÓN DE INFORMACIÓN DE CARGOS O ROLES RELEVANTES POR PARTE DE ENTIDADES DE SEGUROS E INTERMEDIAROS DE SEGUROS A LA SUPERINTENDENCIA GENERAL DE SEGUROS Y EL FUNCIONAMIENTO DEL SERVICIO DE ROLES</w:t>
      </w:r>
      <w:r>
        <w:rPr>
          <w:rFonts w:asciiTheme="majorHAnsi" w:hAnsiTheme="majorHAnsi"/>
          <w:b/>
          <w:bCs/>
          <w:lang w:val="es-CR"/>
        </w:rPr>
        <w:t>”</w:t>
      </w:r>
      <w:r w:rsidRPr="0038368F">
        <w:rPr>
          <w:rFonts w:asciiTheme="majorHAnsi" w:hAnsiTheme="majorHAnsi"/>
          <w:b/>
          <w:bCs/>
          <w:lang w:val="es-CR"/>
        </w:rPr>
        <w:t>, CON EL FIN DE AMPLIAR EL PLAZO ESTABLECIDO EN EL TRANSITORIO I PARA ACTUALIZAR LA VIGENCIA DE ROLES</w:t>
      </w:r>
    </w:p>
    <w:p w14:paraId="0B41B90D" w14:textId="77777777" w:rsidR="00302089" w:rsidRPr="0038368F" w:rsidRDefault="00302089" w:rsidP="00302089">
      <w:pPr>
        <w:jc w:val="both"/>
        <w:rPr>
          <w:rFonts w:asciiTheme="majorHAnsi" w:hAnsiTheme="majorHAnsi"/>
          <w:lang w:val="es-CR"/>
        </w:rPr>
      </w:pPr>
    </w:p>
    <w:p w14:paraId="7364D3B4" w14:textId="62B597A6" w:rsidR="00302089" w:rsidRPr="0038368F" w:rsidRDefault="00302089" w:rsidP="00302089">
      <w:pPr>
        <w:jc w:val="both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lang w:val="es-CR"/>
        </w:rPr>
        <w:t xml:space="preserve">El Superintendente General de Seguros, a las </w:t>
      </w:r>
      <w:r>
        <w:rPr>
          <w:rFonts w:asciiTheme="majorHAnsi" w:hAnsiTheme="majorHAnsi"/>
          <w:lang w:val="es-CR"/>
        </w:rPr>
        <w:t>diez</w:t>
      </w:r>
      <w:r w:rsidRPr="0038368F">
        <w:rPr>
          <w:rFonts w:asciiTheme="majorHAnsi" w:hAnsiTheme="majorHAnsi"/>
          <w:lang w:val="es-CR"/>
        </w:rPr>
        <w:t xml:space="preserve"> horas </w:t>
      </w:r>
      <w:r>
        <w:rPr>
          <w:rFonts w:asciiTheme="majorHAnsi" w:hAnsiTheme="majorHAnsi"/>
          <w:lang w:val="es-CR"/>
        </w:rPr>
        <w:t xml:space="preserve">y treinta minutos </w:t>
      </w:r>
      <w:r w:rsidRPr="0038368F">
        <w:rPr>
          <w:rFonts w:asciiTheme="majorHAnsi" w:hAnsiTheme="majorHAnsi"/>
          <w:lang w:val="es-CR"/>
        </w:rPr>
        <w:t xml:space="preserve">del </w:t>
      </w:r>
      <w:r>
        <w:rPr>
          <w:rFonts w:asciiTheme="majorHAnsi" w:hAnsiTheme="majorHAnsi"/>
          <w:lang w:val="es-CR"/>
        </w:rPr>
        <w:t>dos</w:t>
      </w:r>
      <w:r w:rsidRPr="0038368F">
        <w:rPr>
          <w:rFonts w:asciiTheme="majorHAnsi" w:hAnsiTheme="majorHAnsi"/>
          <w:lang w:val="es-CR"/>
        </w:rPr>
        <w:t xml:space="preserve"> de </w:t>
      </w:r>
      <w:r>
        <w:rPr>
          <w:rFonts w:asciiTheme="majorHAnsi" w:hAnsiTheme="majorHAnsi"/>
          <w:lang w:val="es-CR"/>
        </w:rPr>
        <w:t>juni</w:t>
      </w:r>
      <w:r w:rsidRPr="0038368F">
        <w:rPr>
          <w:rFonts w:asciiTheme="majorHAnsi" w:hAnsiTheme="majorHAnsi"/>
          <w:lang w:val="es-CR"/>
        </w:rPr>
        <w:t xml:space="preserve">o de </w:t>
      </w:r>
      <w:proofErr w:type="gramStart"/>
      <w:r w:rsidRPr="0038368F">
        <w:rPr>
          <w:rFonts w:asciiTheme="majorHAnsi" w:hAnsiTheme="majorHAnsi"/>
          <w:lang w:val="es-CR"/>
        </w:rPr>
        <w:t>dos mil veintiuno</w:t>
      </w:r>
      <w:proofErr w:type="gramEnd"/>
      <w:r w:rsidRPr="0038368F">
        <w:rPr>
          <w:rFonts w:asciiTheme="majorHAnsi" w:hAnsiTheme="majorHAnsi"/>
          <w:lang w:val="es-CR"/>
        </w:rPr>
        <w:t xml:space="preserve">. </w:t>
      </w:r>
    </w:p>
    <w:p w14:paraId="7E1A9221" w14:textId="77777777" w:rsidR="00302089" w:rsidRPr="0038368F" w:rsidRDefault="00302089" w:rsidP="00302089">
      <w:pPr>
        <w:jc w:val="both"/>
        <w:rPr>
          <w:rFonts w:asciiTheme="majorHAnsi" w:hAnsiTheme="majorHAnsi"/>
          <w:b/>
          <w:lang w:val="es-CR"/>
        </w:rPr>
      </w:pPr>
    </w:p>
    <w:p w14:paraId="5C64F200" w14:textId="77777777" w:rsidR="00302089" w:rsidRPr="0038368F" w:rsidRDefault="00302089" w:rsidP="00302089">
      <w:pPr>
        <w:jc w:val="center"/>
        <w:rPr>
          <w:rFonts w:asciiTheme="majorHAnsi" w:hAnsiTheme="majorHAnsi"/>
          <w:b/>
          <w:lang w:val="es-CR"/>
        </w:rPr>
      </w:pPr>
      <w:r w:rsidRPr="0038368F">
        <w:rPr>
          <w:rFonts w:asciiTheme="majorHAnsi" w:hAnsiTheme="majorHAnsi"/>
          <w:b/>
          <w:lang w:val="es-CR"/>
        </w:rPr>
        <w:t>Considerando que,</w:t>
      </w:r>
    </w:p>
    <w:p w14:paraId="27A4C723" w14:textId="77777777" w:rsidR="00302089" w:rsidRPr="0038368F" w:rsidRDefault="00302089" w:rsidP="00302089">
      <w:pPr>
        <w:jc w:val="both"/>
        <w:rPr>
          <w:rFonts w:asciiTheme="majorHAnsi" w:hAnsiTheme="majorHAnsi"/>
          <w:lang w:val="es-CR"/>
        </w:rPr>
      </w:pPr>
    </w:p>
    <w:p w14:paraId="77785B15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lang w:val="es-CR"/>
        </w:rPr>
        <w:t>Las entidades de seguros y reaseguradoras, de acuerdo con el inciso n) del artículo 25 de la Ley Reguladora del Mercado de Seguros (N°8653)</w:t>
      </w:r>
      <w:r>
        <w:rPr>
          <w:rFonts w:asciiTheme="majorHAnsi" w:hAnsiTheme="majorHAnsi"/>
          <w:lang w:val="es-CR"/>
        </w:rPr>
        <w:t>,</w:t>
      </w:r>
      <w:r w:rsidRPr="0038368F">
        <w:rPr>
          <w:rFonts w:asciiTheme="majorHAnsi" w:hAnsiTheme="majorHAnsi"/>
          <w:lang w:val="es-CR"/>
        </w:rPr>
        <w:t xml:space="preserve"> tienen la obligación de </w:t>
      </w:r>
      <w:r w:rsidRPr="0038368F">
        <w:rPr>
          <w:rFonts w:asciiTheme="majorHAnsi" w:hAnsiTheme="majorHAnsi"/>
          <w:i/>
          <w:lang w:val="es-CR"/>
        </w:rPr>
        <w:t>“…contar con los puestos, las instancias administrativas y de control interno, así como externas y atención del asegurado”</w:t>
      </w:r>
      <w:r w:rsidRPr="0038368F">
        <w:rPr>
          <w:rFonts w:asciiTheme="majorHAnsi" w:hAnsiTheme="majorHAnsi"/>
          <w:lang w:val="es-CR"/>
        </w:rPr>
        <w:t>, por lo que es importante que el supervisor</w:t>
      </w:r>
      <w:r>
        <w:rPr>
          <w:rFonts w:asciiTheme="majorHAnsi" w:hAnsiTheme="majorHAnsi"/>
          <w:lang w:val="es-CR"/>
        </w:rPr>
        <w:t>,</w:t>
      </w:r>
      <w:r w:rsidRPr="0038368F">
        <w:rPr>
          <w:rFonts w:asciiTheme="majorHAnsi" w:hAnsiTheme="majorHAnsi"/>
          <w:lang w:val="es-CR"/>
        </w:rPr>
        <w:t xml:space="preserve"> y el mercado en general, tengan información sobre los socios, puestos directivos y ejecutivos y otras instancias de control de las entidades de seguros. </w:t>
      </w:r>
    </w:p>
    <w:p w14:paraId="5F4B3EDF" w14:textId="77777777" w:rsidR="00302089" w:rsidRPr="0038368F" w:rsidRDefault="00302089" w:rsidP="00302089">
      <w:pPr>
        <w:pStyle w:val="Prrafodelista"/>
        <w:ind w:left="1440"/>
        <w:jc w:val="both"/>
        <w:rPr>
          <w:rFonts w:asciiTheme="majorHAnsi" w:hAnsiTheme="majorHAnsi"/>
          <w:lang w:val="es-CR"/>
        </w:rPr>
      </w:pPr>
    </w:p>
    <w:p w14:paraId="64B7CFCB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>
        <w:rPr>
          <w:rFonts w:asciiTheme="majorHAnsi" w:hAnsiTheme="majorHAnsi"/>
          <w:lang w:val="es-CR"/>
        </w:rPr>
        <w:t>E</w:t>
      </w:r>
      <w:r w:rsidRPr="0038368F">
        <w:rPr>
          <w:rFonts w:asciiTheme="majorHAnsi" w:hAnsiTheme="majorHAnsi"/>
          <w:lang w:val="es-CR"/>
        </w:rPr>
        <w:t xml:space="preserve">l </w:t>
      </w:r>
      <w:r w:rsidRPr="0038368F">
        <w:rPr>
          <w:rFonts w:asciiTheme="majorHAnsi" w:hAnsiTheme="majorHAnsi"/>
          <w:i/>
          <w:lang w:val="es-CR"/>
        </w:rPr>
        <w:t>Reglamento sobre Autorizaciones, Registros y Requisitos de Funcionamiento de las Entidades Supervisadas por la Superintendencia General de Seguros, el Reglamento sobre Gobierno Corporativo, el Reglamento sobre los Sistemas de Gestión de Riesgo y Control Interno aplicables a Entidades Aseguradoras y Reaseguradoras, el Reglamento de Gestión de Tecnología de la Información y el Reglamento de Auditores Externos,</w:t>
      </w:r>
      <w:r w:rsidRPr="0038368F">
        <w:rPr>
          <w:rFonts w:asciiTheme="majorHAnsi" w:hAnsiTheme="majorHAnsi"/>
          <w:lang w:val="es-CR"/>
        </w:rPr>
        <w:t xml:space="preserve"> en general, establecen obligaciones sobre puestos y funciones de dirección, ejecutivas y de control, las cuales son fundamentales que sean reveladas por parte de la entidad supervisada y, si corresponde, divulgadas a las partes interesadas y público en general.</w:t>
      </w:r>
    </w:p>
    <w:p w14:paraId="7AAB9654" w14:textId="77777777" w:rsidR="00302089" w:rsidRPr="0038368F" w:rsidRDefault="00302089" w:rsidP="00302089">
      <w:pPr>
        <w:pStyle w:val="Prrafodelista"/>
        <w:ind w:left="1440"/>
        <w:jc w:val="both"/>
        <w:rPr>
          <w:rFonts w:asciiTheme="majorHAnsi" w:hAnsiTheme="majorHAnsi"/>
          <w:lang w:val="es-CR"/>
        </w:rPr>
      </w:pPr>
    </w:p>
    <w:p w14:paraId="23B310D3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>
        <w:rPr>
          <w:rFonts w:asciiTheme="majorHAnsi" w:hAnsiTheme="majorHAnsi"/>
          <w:lang w:val="es-CR"/>
        </w:rPr>
        <w:t>E</w:t>
      </w:r>
      <w:r w:rsidRPr="0038368F">
        <w:rPr>
          <w:rFonts w:asciiTheme="majorHAnsi" w:hAnsiTheme="majorHAnsi"/>
          <w:lang w:val="es-CR"/>
        </w:rPr>
        <w:t xml:space="preserve">l Consejo Nacional de Supervisión del Sistema Financiero </w:t>
      </w:r>
      <w:r>
        <w:rPr>
          <w:rFonts w:asciiTheme="majorHAnsi" w:hAnsiTheme="majorHAnsi"/>
          <w:lang w:val="es-CR"/>
        </w:rPr>
        <w:t xml:space="preserve">(en adelante, </w:t>
      </w:r>
      <w:r w:rsidRPr="0038368F">
        <w:rPr>
          <w:rFonts w:asciiTheme="majorHAnsi" w:hAnsiTheme="majorHAnsi"/>
          <w:lang w:val="es-CR"/>
        </w:rPr>
        <w:t>CONASSIF</w:t>
      </w:r>
      <w:r>
        <w:rPr>
          <w:rFonts w:asciiTheme="majorHAnsi" w:hAnsiTheme="majorHAnsi"/>
          <w:lang w:val="es-CR"/>
        </w:rPr>
        <w:t>)</w:t>
      </w:r>
      <w:r w:rsidRPr="0038368F">
        <w:rPr>
          <w:rFonts w:asciiTheme="majorHAnsi" w:hAnsiTheme="majorHAnsi"/>
          <w:lang w:val="es-CR"/>
        </w:rPr>
        <w:t xml:space="preserve"> aprobó, en el artículo 8, del acta de la sesión 1655-2021, celebrada el 12 de abril de 2021, el </w:t>
      </w:r>
      <w:r w:rsidRPr="0038368F">
        <w:rPr>
          <w:rFonts w:asciiTheme="majorHAnsi" w:hAnsiTheme="majorHAnsi"/>
          <w:i/>
          <w:iCs/>
          <w:lang w:val="es-CR"/>
        </w:rPr>
        <w:t>Reglamento sobre Remisión de Información Periódica y Hechos Relevantes por Entidades Supervisadas por SUGESE</w:t>
      </w:r>
      <w:r w:rsidRPr="0038368F">
        <w:rPr>
          <w:rFonts w:asciiTheme="majorHAnsi" w:hAnsiTheme="majorHAnsi"/>
          <w:lang w:val="es-CR"/>
        </w:rPr>
        <w:t xml:space="preserve">, publicado en el Alcance 78 </w:t>
      </w:r>
      <w:r>
        <w:rPr>
          <w:rFonts w:asciiTheme="majorHAnsi" w:hAnsiTheme="majorHAnsi"/>
          <w:lang w:val="es-CR"/>
        </w:rPr>
        <w:t xml:space="preserve">al </w:t>
      </w:r>
      <w:r w:rsidRPr="0038368F">
        <w:rPr>
          <w:rFonts w:asciiTheme="majorHAnsi" w:hAnsiTheme="majorHAnsi"/>
          <w:lang w:val="es-CR"/>
        </w:rPr>
        <w:t>diario oficial La Gaceta del 23 de abril de 2021</w:t>
      </w:r>
      <w:r>
        <w:rPr>
          <w:rFonts w:asciiTheme="majorHAnsi" w:hAnsiTheme="majorHAnsi"/>
          <w:lang w:val="es-CR"/>
        </w:rPr>
        <w:t xml:space="preserve">, cuyo artículo tercero </w:t>
      </w:r>
      <w:r w:rsidRPr="0038368F">
        <w:rPr>
          <w:rFonts w:asciiTheme="majorHAnsi" w:hAnsiTheme="majorHAnsi"/>
          <w:lang w:val="es-CR"/>
        </w:rPr>
        <w:t xml:space="preserve">faculta al Superintendente a </w:t>
      </w:r>
      <w:r w:rsidRPr="0038368F">
        <w:rPr>
          <w:rFonts w:asciiTheme="majorHAnsi" w:hAnsiTheme="majorHAnsi"/>
          <w:lang w:val="es-CR"/>
        </w:rPr>
        <w:lastRenderedPageBreak/>
        <w:t xml:space="preserve">normar la operativa para la revelación de hechos relevantes y divulgación de información, por lo que es necesaria la emisión por parte del Superintendente de normativa complementaria, para facilitar el cumplimiento y operativa </w:t>
      </w:r>
      <w:r>
        <w:rPr>
          <w:rFonts w:asciiTheme="majorHAnsi" w:hAnsiTheme="majorHAnsi"/>
          <w:lang w:val="es-CR"/>
        </w:rPr>
        <w:t>del reglamento en cita</w:t>
      </w:r>
      <w:r w:rsidRPr="0038368F">
        <w:rPr>
          <w:rFonts w:asciiTheme="majorHAnsi" w:hAnsiTheme="majorHAnsi"/>
          <w:lang w:val="es-CR"/>
        </w:rPr>
        <w:t>.</w:t>
      </w:r>
    </w:p>
    <w:p w14:paraId="27992F51" w14:textId="77777777" w:rsidR="00302089" w:rsidRPr="0038368F" w:rsidRDefault="00302089" w:rsidP="00302089">
      <w:pPr>
        <w:pStyle w:val="Prrafodelista"/>
        <w:ind w:left="1440"/>
        <w:jc w:val="both"/>
        <w:rPr>
          <w:rFonts w:asciiTheme="majorHAnsi" w:hAnsiTheme="majorHAnsi"/>
          <w:lang w:val="es-CR"/>
        </w:rPr>
      </w:pPr>
    </w:p>
    <w:p w14:paraId="3AB906E6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lang w:val="es-CR"/>
        </w:rPr>
        <w:t>A efecto de dar cumplimiento a lo dispuesto en el considerando anterior, el</w:t>
      </w:r>
      <w:r>
        <w:rPr>
          <w:rStyle w:val="Refdecomentario"/>
        </w:rPr>
        <w:t xml:space="preserve"> </w:t>
      </w:r>
      <w:r w:rsidRPr="0038368F">
        <w:rPr>
          <w:rFonts w:asciiTheme="majorHAnsi" w:hAnsiTheme="majorHAnsi"/>
        </w:rPr>
        <w:t xml:space="preserve">29 de abril de </w:t>
      </w:r>
      <w:r w:rsidRPr="0038368F">
        <w:rPr>
          <w:rFonts w:asciiTheme="majorHAnsi" w:hAnsiTheme="majorHAnsi"/>
          <w:lang w:val="es-CR"/>
        </w:rPr>
        <w:t>2021</w:t>
      </w:r>
      <w:r>
        <w:rPr>
          <w:rFonts w:asciiTheme="majorHAnsi" w:hAnsiTheme="majorHAnsi"/>
          <w:lang w:val="es-CR"/>
        </w:rPr>
        <w:t>, el</w:t>
      </w:r>
      <w:r w:rsidRPr="0038368F">
        <w:rPr>
          <w:rFonts w:asciiTheme="majorHAnsi" w:hAnsiTheme="majorHAnsi"/>
          <w:lang w:val="es-CR"/>
        </w:rPr>
        <w:t xml:space="preserve"> Superintendente General de Seguros emitió el Acuerdo </w:t>
      </w:r>
      <w:bookmarkStart w:id="1" w:name="_Hlk73094804"/>
      <w:r w:rsidRPr="0038368F">
        <w:rPr>
          <w:rFonts w:asciiTheme="majorHAnsi" w:hAnsiTheme="majorHAnsi"/>
          <w:lang w:val="es-CR"/>
        </w:rPr>
        <w:t>SGS-A-0077-2021</w:t>
      </w:r>
      <w:r>
        <w:rPr>
          <w:rFonts w:asciiTheme="majorHAnsi" w:hAnsiTheme="majorHAnsi"/>
          <w:lang w:val="es-CR"/>
        </w:rPr>
        <w:t>,</w:t>
      </w:r>
      <w:r w:rsidRPr="0038368F">
        <w:rPr>
          <w:rFonts w:asciiTheme="majorHAnsi" w:hAnsiTheme="majorHAnsi"/>
          <w:lang w:val="es-CR"/>
        </w:rPr>
        <w:t xml:space="preserve"> denominado “</w:t>
      </w:r>
      <w:r w:rsidRPr="0038368F">
        <w:rPr>
          <w:rFonts w:asciiTheme="majorHAnsi" w:hAnsiTheme="majorHAnsi"/>
          <w:i/>
          <w:iCs/>
          <w:lang w:val="es-CR"/>
        </w:rPr>
        <w:t>Lineamientos sobre la Revelación de Información de Cargos o Roles Relevantes por parte de Entidades de Seguros e Intermediar</w:t>
      </w:r>
      <w:r>
        <w:rPr>
          <w:rFonts w:asciiTheme="majorHAnsi" w:hAnsiTheme="majorHAnsi"/>
          <w:i/>
          <w:iCs/>
          <w:lang w:val="es-CR"/>
        </w:rPr>
        <w:t>i</w:t>
      </w:r>
      <w:r w:rsidRPr="0038368F">
        <w:rPr>
          <w:rFonts w:asciiTheme="majorHAnsi" w:hAnsiTheme="majorHAnsi"/>
          <w:i/>
          <w:iCs/>
          <w:lang w:val="es-CR"/>
        </w:rPr>
        <w:t>os de Seguros a la Superintendencia General de Seguros y el funcionamiento del Servicio de Roles”</w:t>
      </w:r>
      <w:r w:rsidRPr="0038368F">
        <w:rPr>
          <w:rFonts w:asciiTheme="majorHAnsi" w:hAnsiTheme="majorHAnsi"/>
          <w:lang w:val="es-CR"/>
        </w:rPr>
        <w:t xml:space="preserve">, el cual </w:t>
      </w:r>
      <w:bookmarkEnd w:id="1"/>
      <w:r w:rsidRPr="0038368F">
        <w:rPr>
          <w:rFonts w:asciiTheme="majorHAnsi" w:hAnsiTheme="majorHAnsi"/>
          <w:lang w:val="es-CR"/>
        </w:rPr>
        <w:t>contiene las disposiciones para normar la forma y contenido de la revelación de información ante la Superintendencia General de Seguros, que deben hacer las entidades supervisadas de los roles o cargos relevantes, de conformidad con lo dispuesto en la</w:t>
      </w:r>
      <w:r w:rsidRPr="0038368F">
        <w:rPr>
          <w:rFonts w:asciiTheme="majorHAnsi" w:hAnsiTheme="majorHAnsi"/>
          <w:i/>
          <w:iCs/>
          <w:lang w:val="es-CR"/>
        </w:rPr>
        <w:t xml:space="preserve"> Ley Reguladora del Mercado de Seguros</w:t>
      </w:r>
      <w:r w:rsidRPr="0038368F">
        <w:rPr>
          <w:rFonts w:asciiTheme="majorHAnsi" w:hAnsiTheme="majorHAnsi"/>
          <w:lang w:val="es-CR"/>
        </w:rPr>
        <w:t xml:space="preserve"> y las disposiciones reglamentarias emitidas por el</w:t>
      </w:r>
      <w:r>
        <w:rPr>
          <w:rFonts w:asciiTheme="majorHAnsi" w:hAnsiTheme="majorHAnsi"/>
          <w:lang w:val="es-CR"/>
        </w:rPr>
        <w:t xml:space="preserve"> CONASSIF</w:t>
      </w:r>
      <w:r w:rsidRPr="0038368F">
        <w:rPr>
          <w:rFonts w:asciiTheme="majorHAnsi" w:hAnsiTheme="majorHAnsi"/>
          <w:lang w:val="es-CR"/>
        </w:rPr>
        <w:t>.</w:t>
      </w:r>
    </w:p>
    <w:p w14:paraId="674A828A" w14:textId="77777777" w:rsidR="00302089" w:rsidRPr="0038368F" w:rsidRDefault="00302089" w:rsidP="00302089">
      <w:pPr>
        <w:jc w:val="both"/>
        <w:rPr>
          <w:rFonts w:asciiTheme="majorHAnsi" w:hAnsiTheme="majorHAnsi"/>
          <w:lang w:val="es-CR"/>
        </w:rPr>
      </w:pPr>
    </w:p>
    <w:p w14:paraId="307ED1EF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lang w:val="es-CR"/>
        </w:rPr>
        <w:t>El “</w:t>
      </w:r>
      <w:r w:rsidRPr="0038368F">
        <w:rPr>
          <w:rFonts w:asciiTheme="majorHAnsi" w:hAnsiTheme="majorHAnsi"/>
          <w:i/>
          <w:iCs/>
          <w:lang w:val="es-CR"/>
        </w:rPr>
        <w:t>Transitorio I</w:t>
      </w:r>
      <w:r w:rsidRPr="0038368F">
        <w:rPr>
          <w:rFonts w:asciiTheme="majorHAnsi" w:hAnsiTheme="majorHAnsi"/>
          <w:bCs/>
          <w:i/>
          <w:iCs/>
        </w:rPr>
        <w:t xml:space="preserve"> Sobre la actualización de información de roles ya registrados” </w:t>
      </w:r>
      <w:r w:rsidRPr="0038368F">
        <w:rPr>
          <w:rFonts w:asciiTheme="majorHAnsi" w:hAnsiTheme="majorHAnsi"/>
          <w:bCs/>
        </w:rPr>
        <w:t>del Acuerdo</w:t>
      </w:r>
      <w:r w:rsidRPr="0038368F">
        <w:rPr>
          <w:rFonts w:asciiTheme="majorHAnsi" w:hAnsiTheme="majorHAnsi"/>
          <w:lang w:val="es-CR"/>
        </w:rPr>
        <w:t xml:space="preserve"> SGS-A-0077-2021</w:t>
      </w:r>
      <w:r>
        <w:rPr>
          <w:rFonts w:asciiTheme="majorHAnsi" w:hAnsiTheme="majorHAnsi"/>
          <w:lang w:val="es-CR"/>
        </w:rPr>
        <w:t>,</w:t>
      </w:r>
      <w:r w:rsidRPr="0038368F">
        <w:rPr>
          <w:rFonts w:asciiTheme="majorHAnsi" w:hAnsiTheme="majorHAnsi"/>
          <w:lang w:val="es-CR"/>
        </w:rPr>
        <w:t xml:space="preserve"> establece que las entidades supervisadas</w:t>
      </w:r>
      <w:r>
        <w:rPr>
          <w:rFonts w:asciiTheme="majorHAnsi" w:hAnsiTheme="majorHAnsi"/>
          <w:lang w:val="es-CR"/>
        </w:rPr>
        <w:t xml:space="preserve"> tendrán, </w:t>
      </w:r>
      <w:r w:rsidRPr="0038368F">
        <w:rPr>
          <w:rFonts w:asciiTheme="majorHAnsi" w:hAnsiTheme="majorHAnsi"/>
          <w:lang w:val="es-CR"/>
        </w:rPr>
        <w:t xml:space="preserve">para actualizar el periodo de vigencia de los nombramientos en los cargos </w:t>
      </w:r>
      <w:r>
        <w:rPr>
          <w:rFonts w:asciiTheme="majorHAnsi" w:hAnsiTheme="majorHAnsi"/>
          <w:lang w:val="es-CR"/>
        </w:rPr>
        <w:t xml:space="preserve">que corresponda, </w:t>
      </w:r>
      <w:r w:rsidRPr="00176C02">
        <w:rPr>
          <w:rFonts w:asciiTheme="majorHAnsi" w:hAnsiTheme="majorHAnsi"/>
          <w:lang w:val="es-CR"/>
        </w:rPr>
        <w:t>de las personas físicas e instancias de control indicadas en el artículo 4 del acuerdo referenciado, un plazo máximo de 15 días hábiles, contados</w:t>
      </w:r>
      <w:r w:rsidRPr="0038368F">
        <w:rPr>
          <w:rFonts w:asciiTheme="majorHAnsi" w:hAnsiTheme="majorHAnsi"/>
          <w:lang w:val="es-CR"/>
        </w:rPr>
        <w:t xml:space="preserve"> a partir del 17 de mayo, fecha de </w:t>
      </w:r>
      <w:r>
        <w:rPr>
          <w:rFonts w:asciiTheme="majorHAnsi" w:hAnsiTheme="majorHAnsi"/>
          <w:lang w:val="es-CR"/>
        </w:rPr>
        <w:t xml:space="preserve">inicio de la </w:t>
      </w:r>
      <w:r w:rsidRPr="0038368F">
        <w:rPr>
          <w:rFonts w:asciiTheme="majorHAnsi" w:hAnsiTheme="majorHAnsi"/>
          <w:lang w:val="es-CR"/>
        </w:rPr>
        <w:t>vigencia del acuerdo. De acuerdo con lo anterior</w:t>
      </w:r>
      <w:r>
        <w:rPr>
          <w:rFonts w:asciiTheme="majorHAnsi" w:hAnsiTheme="majorHAnsi"/>
          <w:lang w:val="es-CR"/>
        </w:rPr>
        <w:t>,</w:t>
      </w:r>
      <w:r w:rsidRPr="0038368F">
        <w:rPr>
          <w:rFonts w:asciiTheme="majorHAnsi" w:hAnsiTheme="majorHAnsi"/>
          <w:lang w:val="es-CR"/>
        </w:rPr>
        <w:t xml:space="preserve"> el plazo para realizar la actualización finalizaría el 4 de junio de 2021.</w:t>
      </w:r>
    </w:p>
    <w:p w14:paraId="0C488396" w14:textId="77777777" w:rsidR="00302089" w:rsidRPr="0038368F" w:rsidRDefault="00302089" w:rsidP="00302089">
      <w:pPr>
        <w:pStyle w:val="Prrafodelista"/>
        <w:ind w:left="567"/>
        <w:jc w:val="both"/>
        <w:rPr>
          <w:rFonts w:asciiTheme="majorHAnsi" w:hAnsiTheme="majorHAnsi"/>
          <w:lang w:val="es-CR"/>
        </w:rPr>
      </w:pPr>
    </w:p>
    <w:p w14:paraId="54ECC917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lang w:val="es-CR"/>
        </w:rPr>
        <w:t xml:space="preserve">La actualización de la vigencia de los nombramientos conlleva ajustes de la información requerida en el </w:t>
      </w:r>
      <w:r>
        <w:rPr>
          <w:rFonts w:asciiTheme="majorHAnsi" w:hAnsiTheme="majorHAnsi"/>
          <w:lang w:val="es-CR"/>
        </w:rPr>
        <w:t>S</w:t>
      </w:r>
      <w:r w:rsidRPr="0038368F">
        <w:rPr>
          <w:rFonts w:asciiTheme="majorHAnsi" w:hAnsiTheme="majorHAnsi"/>
          <w:lang w:val="es-CR"/>
        </w:rPr>
        <w:t>ervicio de</w:t>
      </w:r>
      <w:r>
        <w:rPr>
          <w:rFonts w:asciiTheme="majorHAnsi" w:hAnsiTheme="majorHAnsi"/>
          <w:lang w:val="es-CR"/>
        </w:rPr>
        <w:t xml:space="preserve"> R</w:t>
      </w:r>
      <w:r w:rsidRPr="0038368F">
        <w:rPr>
          <w:rFonts w:asciiTheme="majorHAnsi" w:hAnsiTheme="majorHAnsi"/>
          <w:lang w:val="es-CR"/>
        </w:rPr>
        <w:t xml:space="preserve">oles de </w:t>
      </w:r>
      <w:r w:rsidRPr="0038368F">
        <w:rPr>
          <w:rFonts w:asciiTheme="majorHAnsi" w:hAnsiTheme="majorHAnsi"/>
          <w:i/>
          <w:iCs/>
          <w:lang w:val="es-CR"/>
        </w:rPr>
        <w:t>SUGESE en línea</w:t>
      </w:r>
      <w:r w:rsidRPr="0038368F">
        <w:rPr>
          <w:rFonts w:asciiTheme="majorHAnsi" w:hAnsiTheme="majorHAnsi"/>
          <w:lang w:val="es-CR"/>
        </w:rPr>
        <w:t xml:space="preserve"> y en algunos casos la actualización de la declaración jurada, de conformidad con lo que establece la normativa. Esta situación ha generado que, en casos de personas extranjeras no residentes, debido a las formalidades que deben cumplir los documentos emitidos en el extranjero, no puedan cumplir con el plazo dispuesto. En</w:t>
      </w:r>
      <w:r>
        <w:rPr>
          <w:rFonts w:asciiTheme="majorHAnsi" w:hAnsiTheme="majorHAnsi"/>
          <w:lang w:val="es-CR"/>
        </w:rPr>
        <w:t xml:space="preserve"> línea con lo anterior</w:t>
      </w:r>
      <w:r w:rsidRPr="0038368F">
        <w:rPr>
          <w:rFonts w:asciiTheme="majorHAnsi" w:hAnsiTheme="majorHAnsi"/>
          <w:lang w:val="es-CR"/>
        </w:rPr>
        <w:t xml:space="preserve">, se considera conveniente ampliar el plazo </w:t>
      </w:r>
      <w:r>
        <w:rPr>
          <w:rFonts w:asciiTheme="majorHAnsi" w:hAnsiTheme="majorHAnsi"/>
          <w:lang w:val="es-CR"/>
        </w:rPr>
        <w:t xml:space="preserve">dispuesto por el Transitorio I citado, </w:t>
      </w:r>
      <w:r w:rsidRPr="0038368F">
        <w:rPr>
          <w:rFonts w:asciiTheme="majorHAnsi" w:hAnsiTheme="majorHAnsi"/>
          <w:lang w:val="es-CR"/>
        </w:rPr>
        <w:t>para la actualización del periodo de vigencia de los nombramientos de los roles ya registrados.</w:t>
      </w:r>
    </w:p>
    <w:p w14:paraId="1AEB48A8" w14:textId="77777777" w:rsidR="00302089" w:rsidRPr="0038368F" w:rsidRDefault="00302089" w:rsidP="00302089">
      <w:pPr>
        <w:pStyle w:val="Prrafodelista"/>
        <w:rPr>
          <w:rFonts w:asciiTheme="majorHAnsi" w:hAnsiTheme="majorHAnsi"/>
          <w:lang w:val="es-CR"/>
        </w:rPr>
      </w:pPr>
    </w:p>
    <w:p w14:paraId="4F4F0B94" w14:textId="77777777" w:rsidR="00302089" w:rsidRPr="0038368F" w:rsidRDefault="00302089" w:rsidP="00302089">
      <w:pPr>
        <w:pStyle w:val="Prrafodelista"/>
        <w:numPr>
          <w:ilvl w:val="1"/>
          <w:numId w:val="1"/>
        </w:numPr>
        <w:ind w:left="567" w:hanging="567"/>
        <w:jc w:val="both"/>
        <w:rPr>
          <w:rFonts w:asciiTheme="majorHAnsi" w:hAnsiTheme="majorHAnsi"/>
          <w:lang w:val="es-CR"/>
        </w:rPr>
      </w:pPr>
      <w:r w:rsidRPr="0038368F">
        <w:rPr>
          <w:rFonts w:asciiTheme="majorHAnsi" w:hAnsiTheme="majorHAnsi"/>
          <w:lang w:val="es-CR"/>
        </w:rPr>
        <w:t xml:space="preserve">La modificación incluida en este acuerdo no cambia el </w:t>
      </w:r>
      <w:r>
        <w:rPr>
          <w:rFonts w:asciiTheme="majorHAnsi" w:hAnsiTheme="majorHAnsi"/>
          <w:lang w:val="es-CR"/>
        </w:rPr>
        <w:t xml:space="preserve">restante </w:t>
      </w:r>
      <w:r w:rsidRPr="0038368F">
        <w:rPr>
          <w:rFonts w:asciiTheme="majorHAnsi" w:hAnsiTheme="majorHAnsi"/>
          <w:lang w:val="es-CR"/>
        </w:rPr>
        <w:t xml:space="preserve">contenido </w:t>
      </w:r>
      <w:r w:rsidRPr="0038368F">
        <w:rPr>
          <w:rFonts w:asciiTheme="majorHAnsi" w:hAnsiTheme="majorHAnsi"/>
          <w:bCs/>
        </w:rPr>
        <w:t>del Acuerdo</w:t>
      </w:r>
      <w:r w:rsidRPr="0038368F">
        <w:rPr>
          <w:rFonts w:asciiTheme="majorHAnsi" w:hAnsiTheme="majorHAnsi"/>
          <w:lang w:val="es-CR"/>
        </w:rPr>
        <w:t xml:space="preserve"> SGS-A-0077-2021</w:t>
      </w:r>
      <w:r>
        <w:rPr>
          <w:rFonts w:asciiTheme="majorHAnsi" w:hAnsiTheme="majorHAnsi"/>
          <w:lang w:val="es-CR"/>
        </w:rPr>
        <w:t xml:space="preserve"> </w:t>
      </w:r>
      <w:r w:rsidRPr="0038368F">
        <w:rPr>
          <w:rFonts w:asciiTheme="majorHAnsi" w:hAnsiTheme="majorHAnsi"/>
          <w:lang w:val="es-CR"/>
        </w:rPr>
        <w:t xml:space="preserve">y atiende las inquietudes de las entidades reguladas en relación con </w:t>
      </w:r>
      <w:r>
        <w:rPr>
          <w:rFonts w:asciiTheme="majorHAnsi" w:hAnsiTheme="majorHAnsi"/>
          <w:lang w:val="es-CR"/>
        </w:rPr>
        <w:t>las actualizaciones requeridas por el Servicio de Roles</w:t>
      </w:r>
      <w:r w:rsidRPr="0038368F">
        <w:rPr>
          <w:rFonts w:asciiTheme="majorHAnsi" w:hAnsiTheme="majorHAnsi"/>
          <w:lang w:val="es-CR"/>
        </w:rPr>
        <w:t xml:space="preserve">. Por lo tanto, esta situación justifica eximir esta reforma normativa de la consulta establecida en el artículo 361, inciso 2, de la </w:t>
      </w:r>
      <w:r w:rsidRPr="0038368F">
        <w:rPr>
          <w:rFonts w:asciiTheme="majorHAnsi" w:hAnsiTheme="majorHAnsi"/>
          <w:i/>
          <w:iCs/>
          <w:lang w:val="es-CR"/>
        </w:rPr>
        <w:t>Ley General de Administración Pública</w:t>
      </w:r>
      <w:r w:rsidRPr="0038368F">
        <w:rPr>
          <w:rFonts w:asciiTheme="majorHAnsi" w:hAnsiTheme="majorHAnsi"/>
          <w:lang w:val="es-CR"/>
        </w:rPr>
        <w:t xml:space="preserve">. </w:t>
      </w:r>
    </w:p>
    <w:p w14:paraId="267C0F99" w14:textId="77777777" w:rsidR="00302089" w:rsidRPr="0038368F" w:rsidRDefault="00302089" w:rsidP="00302089">
      <w:pPr>
        <w:pStyle w:val="Prrafodelista"/>
        <w:rPr>
          <w:rFonts w:asciiTheme="majorHAnsi" w:hAnsiTheme="majorHAnsi"/>
          <w:lang w:val="es-CR"/>
        </w:rPr>
      </w:pPr>
    </w:p>
    <w:p w14:paraId="006F2A77" w14:textId="77777777" w:rsidR="00302089" w:rsidRPr="0038368F" w:rsidRDefault="00302089" w:rsidP="00302089">
      <w:pPr>
        <w:pStyle w:val="Prrafodelista"/>
        <w:ind w:left="567"/>
        <w:jc w:val="both"/>
        <w:rPr>
          <w:rFonts w:asciiTheme="majorHAnsi" w:hAnsiTheme="majorHAnsi"/>
          <w:lang w:val="es-CR"/>
        </w:rPr>
      </w:pPr>
    </w:p>
    <w:p w14:paraId="43BCCE74" w14:textId="77777777" w:rsidR="00302089" w:rsidRPr="0038368F" w:rsidRDefault="00302089" w:rsidP="00302089">
      <w:pPr>
        <w:jc w:val="center"/>
        <w:rPr>
          <w:rFonts w:asciiTheme="majorHAnsi" w:hAnsiTheme="majorHAnsi"/>
          <w:b/>
          <w:lang w:val="es-CR"/>
        </w:rPr>
      </w:pPr>
      <w:r w:rsidRPr="0038368F">
        <w:rPr>
          <w:rFonts w:asciiTheme="majorHAnsi" w:hAnsiTheme="majorHAnsi"/>
          <w:b/>
          <w:lang w:val="es-CR"/>
        </w:rPr>
        <w:t>Dispone:</w:t>
      </w:r>
    </w:p>
    <w:p w14:paraId="3D490CF6" w14:textId="77777777" w:rsidR="00302089" w:rsidRPr="0038368F" w:rsidRDefault="00302089" w:rsidP="00302089">
      <w:pPr>
        <w:jc w:val="both"/>
        <w:rPr>
          <w:rFonts w:asciiTheme="majorHAnsi" w:hAnsiTheme="majorHAnsi"/>
          <w:b/>
          <w:lang w:val="es-CR"/>
        </w:rPr>
      </w:pPr>
    </w:p>
    <w:p w14:paraId="36830FFC" w14:textId="77777777" w:rsidR="00302089" w:rsidRPr="00BD7D84" w:rsidRDefault="00302089" w:rsidP="00302089">
      <w:pPr>
        <w:jc w:val="both"/>
        <w:rPr>
          <w:rFonts w:asciiTheme="majorHAnsi" w:hAnsiTheme="majorHAnsi"/>
          <w:bCs/>
          <w:lang w:val="es-CR"/>
        </w:rPr>
      </w:pPr>
      <w:r w:rsidRPr="0038368F">
        <w:rPr>
          <w:rFonts w:asciiTheme="majorHAnsi" w:hAnsiTheme="majorHAnsi"/>
          <w:b/>
          <w:lang w:val="es-CR"/>
        </w:rPr>
        <w:t>Primero:</w:t>
      </w:r>
      <w:r w:rsidRPr="0038368F">
        <w:rPr>
          <w:rFonts w:asciiTheme="majorHAnsi" w:hAnsiTheme="majorHAnsi"/>
          <w:bCs/>
          <w:lang w:val="es-CR"/>
        </w:rPr>
        <w:t xml:space="preserve"> Modificar el </w:t>
      </w:r>
      <w:r w:rsidRPr="00176C02">
        <w:rPr>
          <w:rFonts w:asciiTheme="majorHAnsi" w:hAnsiTheme="majorHAnsi"/>
          <w:lang w:val="es-CR"/>
        </w:rPr>
        <w:t>Transitorio I</w:t>
      </w:r>
      <w:r w:rsidRPr="0038368F">
        <w:rPr>
          <w:rFonts w:asciiTheme="majorHAnsi" w:hAnsiTheme="majorHAnsi"/>
          <w:bCs/>
          <w:lang w:val="es-CR"/>
        </w:rPr>
        <w:t xml:space="preserve"> del acuerdo SGS-A-0077-2021</w:t>
      </w:r>
      <w:r>
        <w:rPr>
          <w:rFonts w:asciiTheme="majorHAnsi" w:hAnsiTheme="majorHAnsi"/>
          <w:bCs/>
          <w:lang w:val="es-CR"/>
        </w:rPr>
        <w:t>,</w:t>
      </w:r>
      <w:r w:rsidRPr="0038368F">
        <w:rPr>
          <w:rFonts w:asciiTheme="majorHAnsi" w:hAnsiTheme="majorHAnsi"/>
          <w:bCs/>
          <w:lang w:val="es-CR"/>
        </w:rPr>
        <w:t xml:space="preserve"> de las diez horas del 29 de abril de 2021, denominado </w:t>
      </w:r>
      <w:r w:rsidRPr="0038368F">
        <w:rPr>
          <w:rFonts w:asciiTheme="majorHAnsi" w:hAnsiTheme="majorHAnsi"/>
          <w:bCs/>
          <w:i/>
          <w:iCs/>
          <w:lang w:val="es-CR"/>
        </w:rPr>
        <w:t>Lineamientos sobre la Revelación de Información de Cargos o Roles Relevantes por parte de Entidades de Seguros e Intermediar</w:t>
      </w:r>
      <w:r>
        <w:rPr>
          <w:rFonts w:asciiTheme="majorHAnsi" w:hAnsiTheme="majorHAnsi"/>
          <w:bCs/>
          <w:i/>
          <w:iCs/>
          <w:lang w:val="es-CR"/>
        </w:rPr>
        <w:t>i</w:t>
      </w:r>
      <w:r w:rsidRPr="0038368F">
        <w:rPr>
          <w:rFonts w:asciiTheme="majorHAnsi" w:hAnsiTheme="majorHAnsi"/>
          <w:bCs/>
          <w:i/>
          <w:iCs/>
          <w:lang w:val="es-CR"/>
        </w:rPr>
        <w:t xml:space="preserve">os de Seguros a la Superintendencia </w:t>
      </w:r>
      <w:r w:rsidRPr="00BD7D84">
        <w:rPr>
          <w:rFonts w:asciiTheme="majorHAnsi" w:hAnsiTheme="majorHAnsi"/>
          <w:bCs/>
          <w:i/>
          <w:iCs/>
          <w:lang w:val="es-CR"/>
        </w:rPr>
        <w:t>General de Seguros y el funcionamiento del Servicio de Roles</w:t>
      </w:r>
      <w:r w:rsidRPr="00BD7D84">
        <w:rPr>
          <w:rFonts w:asciiTheme="majorHAnsi" w:hAnsiTheme="majorHAnsi"/>
          <w:bCs/>
          <w:lang w:val="es-CR"/>
        </w:rPr>
        <w:t>, para que en adelante sea lea de la siguiente manera:</w:t>
      </w:r>
    </w:p>
    <w:p w14:paraId="5D090F7C" w14:textId="77777777" w:rsidR="00302089" w:rsidRPr="00BD7D84" w:rsidRDefault="00302089" w:rsidP="00302089">
      <w:pPr>
        <w:jc w:val="both"/>
        <w:rPr>
          <w:rFonts w:asciiTheme="majorHAnsi" w:hAnsiTheme="majorHAnsi"/>
          <w:lang w:val="es-CR"/>
        </w:rPr>
      </w:pPr>
    </w:p>
    <w:p w14:paraId="3FA3F930" w14:textId="77777777" w:rsidR="00302089" w:rsidRPr="00BD7D84" w:rsidRDefault="00302089" w:rsidP="00302089">
      <w:pPr>
        <w:jc w:val="both"/>
        <w:rPr>
          <w:rFonts w:asciiTheme="majorHAnsi" w:hAnsiTheme="majorHAnsi"/>
          <w:i/>
          <w:iCs/>
          <w:lang w:val="es-CR"/>
        </w:rPr>
      </w:pPr>
      <w:r w:rsidRPr="00BD7D84">
        <w:rPr>
          <w:rFonts w:asciiTheme="majorHAnsi" w:hAnsiTheme="majorHAnsi"/>
          <w:i/>
          <w:iCs/>
          <w:lang w:val="es-CR"/>
        </w:rPr>
        <w:t xml:space="preserve">“Transitorio I. Sobre la actualización de información de roles ya registrados. </w:t>
      </w:r>
    </w:p>
    <w:p w14:paraId="109B8AEB" w14:textId="77777777" w:rsidR="00302089" w:rsidRPr="00BD7D84" w:rsidRDefault="00302089" w:rsidP="00302089">
      <w:pPr>
        <w:jc w:val="both"/>
        <w:rPr>
          <w:rFonts w:asciiTheme="majorHAnsi" w:hAnsiTheme="majorHAnsi"/>
          <w:i/>
          <w:iCs/>
          <w:lang w:val="es-CR"/>
        </w:rPr>
      </w:pPr>
      <w:r w:rsidRPr="00BD7D84">
        <w:rPr>
          <w:rFonts w:asciiTheme="majorHAnsi" w:hAnsiTheme="majorHAnsi"/>
          <w:i/>
          <w:iCs/>
          <w:lang w:val="es-CR"/>
        </w:rPr>
        <w:t>Las entidades supervisadas tendrán hasta el 31 de diciembre de 2021, para actualizar el periodo de vigencia de los nombramientos en los cargos que corresponda, de las personas físicas e instancias de control indicadas en el artículo 4 de estas disposiciones.”</w:t>
      </w:r>
    </w:p>
    <w:p w14:paraId="3A2D231A" w14:textId="77777777" w:rsidR="00302089" w:rsidRPr="00BD7D84" w:rsidRDefault="00302089" w:rsidP="00302089">
      <w:pPr>
        <w:jc w:val="both"/>
        <w:rPr>
          <w:rFonts w:asciiTheme="majorHAnsi" w:hAnsiTheme="majorHAnsi"/>
          <w:i/>
          <w:iCs/>
          <w:lang w:val="es-CR"/>
        </w:rPr>
      </w:pPr>
    </w:p>
    <w:p w14:paraId="70A86C17" w14:textId="77777777" w:rsidR="00302089" w:rsidRPr="00BD7D84" w:rsidRDefault="00302089" w:rsidP="00302089">
      <w:pPr>
        <w:jc w:val="both"/>
        <w:rPr>
          <w:rFonts w:asciiTheme="majorHAnsi" w:hAnsiTheme="majorHAnsi"/>
          <w:b/>
          <w:lang w:val="es-CR"/>
        </w:rPr>
      </w:pPr>
      <w:r w:rsidRPr="00BD7D84">
        <w:rPr>
          <w:rFonts w:asciiTheme="majorHAnsi" w:hAnsiTheme="majorHAnsi"/>
          <w:b/>
          <w:lang w:val="es-CR"/>
        </w:rPr>
        <w:t xml:space="preserve">Segundo: </w:t>
      </w:r>
      <w:r w:rsidRPr="00BD7D84">
        <w:rPr>
          <w:rFonts w:asciiTheme="majorHAnsi" w:hAnsiTheme="majorHAnsi"/>
          <w:bCs/>
          <w:lang w:val="es-CR"/>
        </w:rPr>
        <w:t>Actualizar la versión publicada del Acuerdo SGS-A-0077-2021 para incluir la modificación señalada en este acuerdo.</w:t>
      </w:r>
    </w:p>
    <w:p w14:paraId="0847B1C9" w14:textId="77777777" w:rsidR="00302089" w:rsidRPr="00BD7D84" w:rsidRDefault="00302089" w:rsidP="00302089">
      <w:pPr>
        <w:jc w:val="both"/>
        <w:rPr>
          <w:rFonts w:asciiTheme="majorHAnsi" w:hAnsiTheme="majorHAnsi"/>
          <w:b/>
          <w:lang w:val="es-CR"/>
        </w:rPr>
      </w:pPr>
    </w:p>
    <w:p w14:paraId="417C1036" w14:textId="77777777" w:rsidR="00302089" w:rsidRPr="00176C02" w:rsidRDefault="00302089" w:rsidP="00302089">
      <w:pPr>
        <w:autoSpaceDE w:val="0"/>
        <w:autoSpaceDN w:val="0"/>
        <w:adjustRightInd w:val="0"/>
        <w:rPr>
          <w:rFonts w:asciiTheme="majorHAnsi" w:eastAsiaTheme="minorHAnsi" w:hAnsiTheme="majorHAnsi" w:cs="Cambria"/>
          <w:b/>
          <w:bCs/>
          <w:color w:val="000000"/>
          <w:lang w:val="es-CR" w:eastAsia="en-US"/>
        </w:rPr>
      </w:pPr>
      <w:r w:rsidRPr="00176C02">
        <w:rPr>
          <w:rFonts w:asciiTheme="majorHAnsi" w:eastAsiaTheme="minorHAnsi" w:hAnsiTheme="majorHAnsi" w:cs="Cambria"/>
          <w:b/>
          <w:bCs/>
          <w:color w:val="000000"/>
          <w:lang w:val="es-CR" w:eastAsia="en-US"/>
        </w:rPr>
        <w:t>Rige a partir de su comunicación</w:t>
      </w:r>
      <w:r>
        <w:rPr>
          <w:rFonts w:asciiTheme="majorHAnsi" w:eastAsiaTheme="minorHAnsi" w:hAnsiTheme="majorHAnsi" w:cs="Cambria"/>
          <w:b/>
          <w:bCs/>
          <w:color w:val="000000"/>
          <w:lang w:val="es-CR" w:eastAsia="en-US"/>
        </w:rPr>
        <w:t>.</w:t>
      </w:r>
    </w:p>
    <w:p w14:paraId="4F86B731" w14:textId="0C5ACDD5" w:rsidR="00302089" w:rsidRDefault="00302089" w:rsidP="00302089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lang w:val="es-CR" w:eastAsia="en-US"/>
        </w:rPr>
      </w:pPr>
    </w:p>
    <w:p w14:paraId="1297159C" w14:textId="77777777" w:rsidR="00302089" w:rsidRPr="0038368F" w:rsidRDefault="00302089" w:rsidP="00302089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lang w:val="es-CR" w:eastAsia="en-US"/>
        </w:rPr>
      </w:pPr>
    </w:p>
    <w:p w14:paraId="5F1227B7" w14:textId="0D8A43E1" w:rsidR="00302089" w:rsidRPr="00302089" w:rsidRDefault="00302089" w:rsidP="00302089">
      <w:pPr>
        <w:jc w:val="both"/>
        <w:rPr>
          <w:rFonts w:asciiTheme="majorHAnsi" w:eastAsiaTheme="minorHAnsi" w:hAnsiTheme="majorHAnsi" w:cs="Cambria"/>
          <w:color w:val="000000"/>
          <w:lang w:val="es-CR" w:eastAsia="en-US"/>
        </w:rPr>
      </w:pPr>
      <w:r w:rsidRPr="00BD7D84">
        <w:rPr>
          <w:rFonts w:asciiTheme="majorHAnsi" w:eastAsiaTheme="minorHAnsi" w:hAnsiTheme="majorHAnsi" w:cs="Cambria"/>
          <w:color w:val="000000"/>
          <w:lang w:val="es-CR" w:eastAsia="en-US"/>
        </w:rPr>
        <w:t>Notifíquese,</w:t>
      </w:r>
    </w:p>
    <w:p w14:paraId="568A7F1B" w14:textId="0BA94766" w:rsidR="00302089" w:rsidRPr="006A3734" w:rsidRDefault="00302089" w:rsidP="00302089">
      <w:pPr>
        <w:rPr>
          <w:rFonts w:ascii="Cambria" w:hAnsi="Cambria"/>
        </w:rPr>
      </w:pPr>
      <w:r w:rsidRPr="0038368F">
        <w:rPr>
          <w:rFonts w:asciiTheme="majorHAnsi" w:hAnsiTheme="majorHAnsi"/>
          <w:noProof/>
          <w:lang w:val="es-CR" w:eastAsia="es-CR"/>
        </w:rPr>
        <w:drawing>
          <wp:inline distT="0" distB="0" distL="0" distR="0" wp14:anchorId="1A3B10AB" wp14:editId="66FB2C23">
            <wp:extent cx="2499360" cy="524291"/>
            <wp:effectExtent l="0" t="0" r="0" b="9525"/>
            <wp:docPr id="2" name="0 Imagen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0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7B14C3" w14:textId="0E63AE17" w:rsidR="00761D54" w:rsidRPr="006A3734" w:rsidRDefault="00761D54" w:rsidP="007F09F5">
      <w:pPr>
        <w:jc w:val="both"/>
        <w:rPr>
          <w:rFonts w:ascii="Cambria" w:hAnsi="Cambria"/>
        </w:rPr>
      </w:pPr>
    </w:p>
    <w:sectPr w:rsidR="00761D54" w:rsidRPr="006A3734" w:rsidSect="009618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F9D8" w14:textId="77777777" w:rsidR="00215F09" w:rsidRDefault="00215F09" w:rsidP="005A1442">
      <w:r>
        <w:separator/>
      </w:r>
    </w:p>
  </w:endnote>
  <w:endnote w:type="continuationSeparator" w:id="0">
    <w:p w14:paraId="0722CB00" w14:textId="77777777" w:rsidR="00215F09" w:rsidRDefault="00215F09" w:rsidP="005A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5307" w14:textId="77777777" w:rsidR="000B0C36" w:rsidRDefault="000B0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9090" w14:textId="77777777" w:rsidR="00F8332E" w:rsidRPr="00F8332E" w:rsidRDefault="00F8332E" w:rsidP="00F8332E">
    <w:pPr>
      <w:pStyle w:val="Piedepgina"/>
      <w:tabs>
        <w:tab w:val="clear" w:pos="8838"/>
      </w:tabs>
      <w:jc w:val="right"/>
      <w:rPr>
        <w:rFonts w:asciiTheme="majorHAnsi" w:hAnsiTheme="majorHAnsi"/>
        <w:sz w:val="18"/>
        <w:szCs w:val="18"/>
      </w:rPr>
    </w:pPr>
    <w:r w:rsidRPr="00F8332E">
      <w:rPr>
        <w:rFonts w:asciiTheme="majorHAnsi" w:hAnsiTheme="majorHAnsi"/>
        <w:sz w:val="18"/>
        <w:szCs w:val="18"/>
      </w:rPr>
      <w:t>Teléfonos: 2243-5108, 2243-</w:t>
    </w:r>
    <w:proofErr w:type="gramStart"/>
    <w:r w:rsidRPr="00F8332E">
      <w:rPr>
        <w:rFonts w:asciiTheme="majorHAnsi" w:hAnsiTheme="majorHAnsi"/>
        <w:sz w:val="18"/>
        <w:szCs w:val="18"/>
      </w:rPr>
      <w:t>5103  •</w:t>
    </w:r>
    <w:proofErr w:type="gramEnd"/>
    <w:r w:rsidRPr="00F8332E">
      <w:rPr>
        <w:rFonts w:asciiTheme="majorHAnsi" w:hAnsiTheme="majorHAnsi"/>
        <w:sz w:val="18"/>
        <w:szCs w:val="18"/>
      </w:rPr>
      <w:t xml:space="preserve">  Fax: 2243-5151</w:t>
    </w:r>
  </w:p>
  <w:p w14:paraId="0579D1A3" w14:textId="77777777" w:rsidR="00F8332E" w:rsidRDefault="00F8332E" w:rsidP="00F8332E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</w:rPr>
    </w:pPr>
    <w:r w:rsidRPr="00F8332E">
      <w:rPr>
        <w:rFonts w:asciiTheme="majorHAnsi" w:hAnsiTheme="majorHAnsi"/>
        <w:sz w:val="18"/>
        <w:szCs w:val="18"/>
      </w:rPr>
      <w:t>Dirección:</w:t>
    </w:r>
    <w:r w:rsidRPr="00121F8C">
      <w:rPr>
        <w:rFonts w:ascii="Baskerville Old Face" w:hAnsi="Baskerville Old Face"/>
        <w:sz w:val="18"/>
        <w:szCs w:val="18"/>
      </w:rPr>
      <w:t xml:space="preserve"> </w:t>
    </w:r>
    <w:r w:rsidRPr="009E7017">
      <w:rPr>
        <w:rFonts w:asciiTheme="majorHAnsi" w:hAnsiTheme="majorHAnsi"/>
        <w:sz w:val="18"/>
        <w:szCs w:val="18"/>
      </w:rPr>
      <w:t xml:space="preserve">Edificio </w:t>
    </w:r>
    <w:proofErr w:type="spellStart"/>
    <w:r w:rsidRPr="009E7017">
      <w:rPr>
        <w:rFonts w:asciiTheme="majorHAnsi" w:hAnsiTheme="majorHAnsi"/>
        <w:sz w:val="18"/>
        <w:szCs w:val="18"/>
      </w:rPr>
      <w:t>ODMs</w:t>
    </w:r>
    <w:proofErr w:type="spellEnd"/>
    <w:r w:rsidRPr="009E7017">
      <w:rPr>
        <w:rFonts w:asciiTheme="majorHAnsi" w:hAnsiTheme="majorHAnsi"/>
        <w:sz w:val="18"/>
        <w:szCs w:val="18"/>
      </w:rPr>
      <w:t xml:space="preserve">, Barrio </w:t>
    </w:r>
    <w:proofErr w:type="spellStart"/>
    <w:r w:rsidRPr="009E7017">
      <w:rPr>
        <w:rFonts w:asciiTheme="majorHAnsi" w:hAnsiTheme="majorHAnsi"/>
        <w:sz w:val="18"/>
        <w:szCs w:val="18"/>
      </w:rPr>
      <w:t>T</w:t>
    </w:r>
    <w:r>
      <w:rPr>
        <w:rFonts w:asciiTheme="majorHAnsi" w:hAnsiTheme="majorHAnsi"/>
        <w:sz w:val="18"/>
        <w:szCs w:val="18"/>
      </w:rPr>
      <w:t>o</w:t>
    </w:r>
    <w:r w:rsidRPr="009E7017">
      <w:rPr>
        <w:rFonts w:asciiTheme="majorHAnsi" w:hAnsiTheme="majorHAnsi"/>
        <w:sz w:val="18"/>
        <w:szCs w:val="18"/>
      </w:rPr>
      <w:t>urnón</w:t>
    </w:r>
    <w:proofErr w:type="spellEnd"/>
    <w:r w:rsidRPr="009E7017">
      <w:rPr>
        <w:rFonts w:asciiTheme="majorHAnsi" w:hAnsiTheme="majorHAnsi"/>
        <w:sz w:val="18"/>
        <w:szCs w:val="18"/>
      </w:rPr>
      <w:t>, Piso 4</w:t>
    </w:r>
  </w:p>
  <w:p w14:paraId="2D6C0E4B" w14:textId="77777777" w:rsidR="00F8332E" w:rsidRPr="00F8332E" w:rsidRDefault="00032D58" w:rsidP="00F8332E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</w:rPr>
    </w:pPr>
    <w:hyperlink r:id="rId1" w:history="1">
      <w:r w:rsidR="00F8332E" w:rsidRPr="00121F8C">
        <w:rPr>
          <w:rStyle w:val="Hipervnculo"/>
          <w:rFonts w:ascii="Baskerville Old Face" w:hAnsi="Baskerville Old Face"/>
          <w:sz w:val="18"/>
          <w:szCs w:val="18"/>
        </w:rPr>
        <w:t>sugese@sugese.fi.cr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B51F" w14:textId="77777777" w:rsidR="00843EE4" w:rsidRDefault="00843EE4" w:rsidP="00A83BA5">
    <w:pPr>
      <w:pStyle w:val="Piedepgina"/>
      <w:pBdr>
        <w:top w:val="single" w:sz="4" w:space="1" w:color="auto"/>
      </w:pBdr>
      <w:rPr>
        <w:sz w:val="16"/>
        <w:szCs w:val="16"/>
      </w:rPr>
    </w:pPr>
  </w:p>
  <w:p w14:paraId="681B2FC4" w14:textId="77777777" w:rsidR="00843EE4" w:rsidRPr="00F8332E" w:rsidRDefault="00843EE4" w:rsidP="00A83BA5">
    <w:pPr>
      <w:pStyle w:val="Piedepgina"/>
      <w:tabs>
        <w:tab w:val="clear" w:pos="8838"/>
      </w:tabs>
      <w:jc w:val="right"/>
      <w:rPr>
        <w:rFonts w:asciiTheme="majorHAnsi" w:hAnsiTheme="majorHAnsi"/>
        <w:sz w:val="18"/>
        <w:szCs w:val="18"/>
      </w:rPr>
    </w:pPr>
    <w:r w:rsidRPr="00F8332E">
      <w:rPr>
        <w:rFonts w:asciiTheme="majorHAnsi" w:hAnsiTheme="majorHAnsi"/>
        <w:sz w:val="18"/>
        <w:szCs w:val="18"/>
      </w:rPr>
      <w:t>Teléfonos: 2243-5108, 2243-</w:t>
    </w:r>
    <w:proofErr w:type="gramStart"/>
    <w:r w:rsidRPr="00F8332E">
      <w:rPr>
        <w:rFonts w:asciiTheme="majorHAnsi" w:hAnsiTheme="majorHAnsi"/>
        <w:sz w:val="18"/>
        <w:szCs w:val="18"/>
      </w:rPr>
      <w:t>5103  •</w:t>
    </w:r>
    <w:proofErr w:type="gramEnd"/>
    <w:r w:rsidRPr="00F8332E">
      <w:rPr>
        <w:rFonts w:asciiTheme="majorHAnsi" w:hAnsiTheme="majorHAnsi"/>
        <w:sz w:val="18"/>
        <w:szCs w:val="18"/>
      </w:rPr>
      <w:t xml:space="preserve">  Fax: 2243-5151</w:t>
    </w:r>
  </w:p>
  <w:p w14:paraId="7604534F" w14:textId="77777777" w:rsidR="00843EE4" w:rsidRDefault="00843EE4" w:rsidP="00A83BA5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</w:rPr>
    </w:pPr>
    <w:r w:rsidRPr="00F8332E">
      <w:rPr>
        <w:rFonts w:asciiTheme="majorHAnsi" w:hAnsiTheme="majorHAnsi"/>
        <w:sz w:val="18"/>
        <w:szCs w:val="18"/>
      </w:rPr>
      <w:t>Dirección:</w:t>
    </w:r>
    <w:r w:rsidRPr="00121F8C">
      <w:rPr>
        <w:rFonts w:ascii="Baskerville Old Face" w:hAnsi="Baskerville Old Face"/>
        <w:sz w:val="18"/>
        <w:szCs w:val="18"/>
      </w:rPr>
      <w:t xml:space="preserve"> </w:t>
    </w:r>
    <w:r w:rsidR="00F8332E" w:rsidRPr="009E7017">
      <w:rPr>
        <w:rFonts w:asciiTheme="majorHAnsi" w:hAnsiTheme="majorHAnsi"/>
        <w:sz w:val="18"/>
        <w:szCs w:val="18"/>
      </w:rPr>
      <w:t xml:space="preserve">Edificio </w:t>
    </w:r>
    <w:proofErr w:type="spellStart"/>
    <w:r w:rsidR="00F8332E" w:rsidRPr="009E7017">
      <w:rPr>
        <w:rFonts w:asciiTheme="majorHAnsi" w:hAnsiTheme="majorHAnsi"/>
        <w:sz w:val="18"/>
        <w:szCs w:val="18"/>
      </w:rPr>
      <w:t>ODMs</w:t>
    </w:r>
    <w:proofErr w:type="spellEnd"/>
    <w:r w:rsidR="00F8332E" w:rsidRPr="009E7017">
      <w:rPr>
        <w:rFonts w:asciiTheme="majorHAnsi" w:hAnsiTheme="majorHAnsi"/>
        <w:sz w:val="18"/>
        <w:szCs w:val="18"/>
      </w:rPr>
      <w:t xml:space="preserve">, Barrio </w:t>
    </w:r>
    <w:proofErr w:type="spellStart"/>
    <w:r w:rsidR="00F8332E" w:rsidRPr="009E7017">
      <w:rPr>
        <w:rFonts w:asciiTheme="majorHAnsi" w:hAnsiTheme="majorHAnsi"/>
        <w:sz w:val="18"/>
        <w:szCs w:val="18"/>
      </w:rPr>
      <w:t>T</w:t>
    </w:r>
    <w:r w:rsidR="00F8332E">
      <w:rPr>
        <w:rFonts w:asciiTheme="majorHAnsi" w:hAnsiTheme="majorHAnsi"/>
        <w:sz w:val="18"/>
        <w:szCs w:val="18"/>
      </w:rPr>
      <w:t>o</w:t>
    </w:r>
    <w:r w:rsidR="00F8332E" w:rsidRPr="009E7017">
      <w:rPr>
        <w:rFonts w:asciiTheme="majorHAnsi" w:hAnsiTheme="majorHAnsi"/>
        <w:sz w:val="18"/>
        <w:szCs w:val="18"/>
      </w:rPr>
      <w:t>urnón</w:t>
    </w:r>
    <w:proofErr w:type="spellEnd"/>
    <w:r w:rsidR="00F8332E" w:rsidRPr="009E7017">
      <w:rPr>
        <w:rFonts w:asciiTheme="majorHAnsi" w:hAnsiTheme="majorHAnsi"/>
        <w:sz w:val="18"/>
        <w:szCs w:val="18"/>
      </w:rPr>
      <w:t>, Piso 4</w:t>
    </w:r>
  </w:p>
  <w:p w14:paraId="1EFCE720" w14:textId="77777777" w:rsidR="00843EE4" w:rsidRPr="00A83BA5" w:rsidRDefault="00032D58" w:rsidP="00A83BA5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</w:rPr>
    </w:pPr>
    <w:hyperlink r:id="rId1" w:history="1">
      <w:r w:rsidR="00843EE4" w:rsidRPr="00121F8C">
        <w:rPr>
          <w:rStyle w:val="Hipervnculo"/>
          <w:rFonts w:ascii="Baskerville Old Face" w:hAnsi="Baskerville Old Face"/>
          <w:sz w:val="18"/>
          <w:szCs w:val="18"/>
        </w:rPr>
        <w:t>sugese@sugese.fi.cr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C8DB" w14:textId="77777777" w:rsidR="00215F09" w:rsidRDefault="00215F09" w:rsidP="005A1442">
      <w:r>
        <w:separator/>
      </w:r>
    </w:p>
  </w:footnote>
  <w:footnote w:type="continuationSeparator" w:id="0">
    <w:p w14:paraId="688460B5" w14:textId="77777777" w:rsidR="00215F09" w:rsidRDefault="00215F09" w:rsidP="005A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DD4D" w14:textId="77777777" w:rsidR="000B0C36" w:rsidRDefault="000B0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A1F5" w14:textId="77777777" w:rsidR="00373AC0" w:rsidRPr="009618C8" w:rsidRDefault="00373AC0" w:rsidP="00373AC0">
    <w:pPr>
      <w:pStyle w:val="Encabezado"/>
      <w:jc w:val="center"/>
      <w:rPr>
        <w:rFonts w:asciiTheme="majorHAnsi" w:hAnsiTheme="majorHAnsi"/>
        <w:sz w:val="24"/>
        <w:szCs w:val="24"/>
      </w:rPr>
    </w:pPr>
    <w:r w:rsidRPr="009618C8">
      <w:rPr>
        <w:rFonts w:asciiTheme="majorHAnsi" w:hAnsiTheme="majorHAnsi"/>
        <w:noProof/>
        <w:sz w:val="24"/>
        <w:szCs w:val="24"/>
        <w:lang w:eastAsia="es-CR"/>
      </w:rPr>
      <w:drawing>
        <wp:inline distT="0" distB="0" distL="0" distR="0" wp14:anchorId="3486D55D" wp14:editId="33B41964">
          <wp:extent cx="1209580" cy="971550"/>
          <wp:effectExtent l="19050" t="0" r="0" b="0"/>
          <wp:docPr id="3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8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0FFAE" w14:textId="77777777" w:rsidR="00373AC0" w:rsidRPr="009618C8" w:rsidRDefault="00373AC0" w:rsidP="00373AC0">
    <w:pPr>
      <w:pStyle w:val="Encabezado"/>
      <w:rPr>
        <w:rFonts w:asciiTheme="majorHAnsi" w:hAnsiTheme="majorHAnsi"/>
        <w:sz w:val="16"/>
        <w:szCs w:val="16"/>
      </w:rPr>
    </w:pPr>
  </w:p>
  <w:p w14:paraId="2BDDA196" w14:textId="5D2F295B" w:rsidR="00761D54" w:rsidRPr="00373AC0" w:rsidRDefault="00373AC0" w:rsidP="00373AC0">
    <w:pPr>
      <w:jc w:val="both"/>
      <w:rPr>
        <w:rFonts w:asciiTheme="majorHAnsi" w:hAnsiTheme="majorHAnsi"/>
        <w:b/>
        <w:i/>
        <w:color w:val="000000"/>
      </w:rPr>
    </w:pPr>
    <w:r w:rsidRPr="00373AC0">
      <w:rPr>
        <w:rFonts w:asciiTheme="majorHAnsi" w:hAnsiTheme="majorHAnsi"/>
        <w:b/>
        <w:bCs/>
        <w:i/>
      </w:rPr>
      <w:t>SGS-A-0</w:t>
    </w:r>
    <w:r w:rsidR="000B0C36">
      <w:rPr>
        <w:rFonts w:asciiTheme="majorHAnsi" w:hAnsiTheme="majorHAnsi"/>
        <w:b/>
        <w:bCs/>
        <w:i/>
      </w:rPr>
      <w:t>082</w:t>
    </w:r>
    <w:r w:rsidRPr="00373AC0">
      <w:rPr>
        <w:rFonts w:asciiTheme="majorHAnsi" w:hAnsiTheme="majorHAnsi"/>
        <w:b/>
        <w:bCs/>
        <w:i/>
      </w:rPr>
      <w:t>-20</w:t>
    </w:r>
    <w:r w:rsidR="000B0C36">
      <w:rPr>
        <w:rFonts w:asciiTheme="majorHAnsi" w:hAnsiTheme="majorHAnsi"/>
        <w:b/>
        <w:bCs/>
        <w:i/>
      </w:rPr>
      <w:t>21</w:t>
    </w:r>
  </w:p>
  <w:p w14:paraId="708CB634" w14:textId="77777777" w:rsidR="00843EE4" w:rsidRPr="00373AC0" w:rsidRDefault="00843EE4" w:rsidP="00373AC0">
    <w:pPr>
      <w:pStyle w:val="Encabezado"/>
      <w:jc w:val="both"/>
      <w:rPr>
        <w:rFonts w:asciiTheme="majorHAnsi" w:hAnsiTheme="majorHAnsi"/>
        <w:sz w:val="24"/>
        <w:szCs w:val="24"/>
        <w:lang w:val="es-MX"/>
      </w:rPr>
    </w:pPr>
    <w:r w:rsidRPr="00373AC0">
      <w:rPr>
        <w:rFonts w:asciiTheme="majorHAnsi" w:hAnsiTheme="majorHAnsi"/>
        <w:sz w:val="24"/>
        <w:szCs w:val="24"/>
        <w:lang w:val="es-MX"/>
      </w:rPr>
      <w:t xml:space="preserve">Página </w:t>
    </w:r>
    <w:r w:rsidRPr="00373AC0">
      <w:rPr>
        <w:rFonts w:asciiTheme="majorHAnsi" w:hAnsiTheme="majorHAnsi"/>
        <w:sz w:val="24"/>
        <w:szCs w:val="24"/>
        <w:lang w:val="es-MX"/>
      </w:rPr>
      <w:fldChar w:fldCharType="begin"/>
    </w:r>
    <w:r w:rsidRPr="00373AC0">
      <w:rPr>
        <w:rFonts w:asciiTheme="majorHAnsi" w:hAnsiTheme="majorHAnsi"/>
        <w:sz w:val="24"/>
        <w:szCs w:val="24"/>
        <w:lang w:val="es-MX"/>
      </w:rPr>
      <w:instrText xml:space="preserve"> PAGE   \* MERGEFORMAT </w:instrText>
    </w:r>
    <w:r w:rsidRPr="00373AC0">
      <w:rPr>
        <w:rFonts w:asciiTheme="majorHAnsi" w:hAnsiTheme="majorHAnsi"/>
        <w:sz w:val="24"/>
        <w:szCs w:val="24"/>
        <w:lang w:val="es-MX"/>
      </w:rPr>
      <w:fldChar w:fldCharType="separate"/>
    </w:r>
    <w:r w:rsidR="00F8332E">
      <w:rPr>
        <w:rFonts w:asciiTheme="majorHAnsi" w:hAnsiTheme="majorHAnsi"/>
        <w:noProof/>
        <w:sz w:val="24"/>
        <w:szCs w:val="24"/>
        <w:lang w:val="es-MX"/>
      </w:rPr>
      <w:t>2</w:t>
    </w:r>
    <w:r w:rsidRPr="00373AC0">
      <w:rPr>
        <w:rFonts w:asciiTheme="majorHAnsi" w:hAnsiTheme="majorHAnsi"/>
        <w:sz w:val="24"/>
        <w:szCs w:val="24"/>
        <w:lang w:val="es-MX"/>
      </w:rPr>
      <w:fldChar w:fldCharType="end"/>
    </w:r>
  </w:p>
  <w:p w14:paraId="6136EA5D" w14:textId="77777777" w:rsidR="00843EE4" w:rsidRPr="00373AC0" w:rsidRDefault="00843EE4" w:rsidP="00373AC0">
    <w:pPr>
      <w:pStyle w:val="Encabezado"/>
      <w:jc w:val="both"/>
      <w:rPr>
        <w:rFonts w:asciiTheme="majorHAnsi" w:hAnsiTheme="majorHAnsi"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48F8" w14:textId="77777777" w:rsidR="00843EE4" w:rsidRPr="009618C8" w:rsidRDefault="00843EE4" w:rsidP="009618C8">
    <w:pPr>
      <w:pStyle w:val="Encabezado"/>
      <w:jc w:val="center"/>
      <w:rPr>
        <w:rFonts w:asciiTheme="majorHAnsi" w:hAnsiTheme="majorHAnsi"/>
        <w:sz w:val="24"/>
        <w:szCs w:val="24"/>
      </w:rPr>
    </w:pPr>
    <w:r w:rsidRPr="009618C8">
      <w:rPr>
        <w:rFonts w:asciiTheme="majorHAnsi" w:hAnsiTheme="majorHAnsi"/>
        <w:noProof/>
        <w:sz w:val="24"/>
        <w:szCs w:val="24"/>
        <w:lang w:eastAsia="es-CR"/>
      </w:rPr>
      <w:drawing>
        <wp:inline distT="0" distB="0" distL="0" distR="0" wp14:anchorId="1F3EEB8B" wp14:editId="4BDF01A5">
          <wp:extent cx="1209580" cy="971550"/>
          <wp:effectExtent l="19050" t="0" r="0" b="0"/>
          <wp:docPr id="5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8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149AE" w14:textId="77777777" w:rsidR="00843EE4" w:rsidRPr="009618C8" w:rsidRDefault="00843EE4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05AD"/>
    <w:multiLevelType w:val="hybridMultilevel"/>
    <w:tmpl w:val="F67CA63C"/>
    <w:lvl w:ilvl="0" w:tplc="560C934E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Calibri" w:hint="default"/>
        <w:b/>
        <w:bCs/>
        <w:sz w:val="24"/>
        <w:szCs w:val="24"/>
      </w:rPr>
    </w:lvl>
    <w:lvl w:ilvl="1" w:tplc="975AC54E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09"/>
    <w:rsid w:val="00003EEF"/>
    <w:rsid w:val="000076D1"/>
    <w:rsid w:val="000105FD"/>
    <w:rsid w:val="00015CC4"/>
    <w:rsid w:val="000230EC"/>
    <w:rsid w:val="00032D58"/>
    <w:rsid w:val="00037F14"/>
    <w:rsid w:val="00043989"/>
    <w:rsid w:val="000476C1"/>
    <w:rsid w:val="00055413"/>
    <w:rsid w:val="00067CF6"/>
    <w:rsid w:val="000752F9"/>
    <w:rsid w:val="000760ED"/>
    <w:rsid w:val="00083A78"/>
    <w:rsid w:val="0008604D"/>
    <w:rsid w:val="000A2288"/>
    <w:rsid w:val="000B0C36"/>
    <w:rsid w:val="000B2E1D"/>
    <w:rsid w:val="000B4150"/>
    <w:rsid w:val="000C7644"/>
    <w:rsid w:val="000D4883"/>
    <w:rsid w:val="000E78B1"/>
    <w:rsid w:val="000F4177"/>
    <w:rsid w:val="00104DC9"/>
    <w:rsid w:val="00107380"/>
    <w:rsid w:val="00112325"/>
    <w:rsid w:val="00133DA2"/>
    <w:rsid w:val="00135FBF"/>
    <w:rsid w:val="00140B90"/>
    <w:rsid w:val="00146B1D"/>
    <w:rsid w:val="001551CB"/>
    <w:rsid w:val="0016515C"/>
    <w:rsid w:val="00167B6E"/>
    <w:rsid w:val="0017138C"/>
    <w:rsid w:val="00180BA2"/>
    <w:rsid w:val="0018143B"/>
    <w:rsid w:val="001A29D3"/>
    <w:rsid w:val="001A6FE9"/>
    <w:rsid w:val="001B3C85"/>
    <w:rsid w:val="001B6EE9"/>
    <w:rsid w:val="001C344D"/>
    <w:rsid w:val="001D2BCA"/>
    <w:rsid w:val="001F362F"/>
    <w:rsid w:val="002048C0"/>
    <w:rsid w:val="00215F09"/>
    <w:rsid w:val="00221996"/>
    <w:rsid w:val="00222862"/>
    <w:rsid w:val="00234ECC"/>
    <w:rsid w:val="0023647D"/>
    <w:rsid w:val="002440B8"/>
    <w:rsid w:val="00247E9E"/>
    <w:rsid w:val="00267429"/>
    <w:rsid w:val="0028286F"/>
    <w:rsid w:val="00286975"/>
    <w:rsid w:val="002878BA"/>
    <w:rsid w:val="00291CE7"/>
    <w:rsid w:val="002A04A2"/>
    <w:rsid w:val="002C3B80"/>
    <w:rsid w:val="002C3DDE"/>
    <w:rsid w:val="002C572C"/>
    <w:rsid w:val="002C76DF"/>
    <w:rsid w:val="002D7832"/>
    <w:rsid w:val="002E02EC"/>
    <w:rsid w:val="002E6AFE"/>
    <w:rsid w:val="002F22F3"/>
    <w:rsid w:val="002F2345"/>
    <w:rsid w:val="002F51B5"/>
    <w:rsid w:val="00302089"/>
    <w:rsid w:val="00304DCB"/>
    <w:rsid w:val="0030537C"/>
    <w:rsid w:val="00305398"/>
    <w:rsid w:val="00317C1E"/>
    <w:rsid w:val="00333BA8"/>
    <w:rsid w:val="00336659"/>
    <w:rsid w:val="00343523"/>
    <w:rsid w:val="00343D0D"/>
    <w:rsid w:val="003623F7"/>
    <w:rsid w:val="0036475D"/>
    <w:rsid w:val="00366016"/>
    <w:rsid w:val="00373AC0"/>
    <w:rsid w:val="003758F1"/>
    <w:rsid w:val="00376DE7"/>
    <w:rsid w:val="00385D10"/>
    <w:rsid w:val="00391C88"/>
    <w:rsid w:val="003947BB"/>
    <w:rsid w:val="003A39BC"/>
    <w:rsid w:val="003A53B0"/>
    <w:rsid w:val="003B043B"/>
    <w:rsid w:val="003B6304"/>
    <w:rsid w:val="003B721F"/>
    <w:rsid w:val="003B7CC2"/>
    <w:rsid w:val="003D3009"/>
    <w:rsid w:val="003E469F"/>
    <w:rsid w:val="003E62CB"/>
    <w:rsid w:val="003E721F"/>
    <w:rsid w:val="004263F9"/>
    <w:rsid w:val="004277B9"/>
    <w:rsid w:val="00432474"/>
    <w:rsid w:val="00450703"/>
    <w:rsid w:val="00454C55"/>
    <w:rsid w:val="004715C7"/>
    <w:rsid w:val="0047219D"/>
    <w:rsid w:val="004948D8"/>
    <w:rsid w:val="00495470"/>
    <w:rsid w:val="00496C81"/>
    <w:rsid w:val="004A03B7"/>
    <w:rsid w:val="004A495A"/>
    <w:rsid w:val="004B767D"/>
    <w:rsid w:val="004C3B15"/>
    <w:rsid w:val="004C4D3C"/>
    <w:rsid w:val="004D2EB0"/>
    <w:rsid w:val="004D3D77"/>
    <w:rsid w:val="004D7196"/>
    <w:rsid w:val="004E7104"/>
    <w:rsid w:val="004F5023"/>
    <w:rsid w:val="004F6969"/>
    <w:rsid w:val="0050151B"/>
    <w:rsid w:val="0050185B"/>
    <w:rsid w:val="00501E0F"/>
    <w:rsid w:val="005078E4"/>
    <w:rsid w:val="00514940"/>
    <w:rsid w:val="005241EE"/>
    <w:rsid w:val="00524C83"/>
    <w:rsid w:val="0053290C"/>
    <w:rsid w:val="00533746"/>
    <w:rsid w:val="005442FF"/>
    <w:rsid w:val="00545CD6"/>
    <w:rsid w:val="00556620"/>
    <w:rsid w:val="00560026"/>
    <w:rsid w:val="0056158A"/>
    <w:rsid w:val="0056224B"/>
    <w:rsid w:val="0056751A"/>
    <w:rsid w:val="00576230"/>
    <w:rsid w:val="005876B5"/>
    <w:rsid w:val="005A1442"/>
    <w:rsid w:val="005B70A7"/>
    <w:rsid w:val="005C5B11"/>
    <w:rsid w:val="005C69FA"/>
    <w:rsid w:val="005C7CD2"/>
    <w:rsid w:val="005D13DD"/>
    <w:rsid w:val="005E7FD4"/>
    <w:rsid w:val="005F395A"/>
    <w:rsid w:val="00602EC0"/>
    <w:rsid w:val="00604DED"/>
    <w:rsid w:val="00621BF4"/>
    <w:rsid w:val="00626ECF"/>
    <w:rsid w:val="00632C9E"/>
    <w:rsid w:val="006428F4"/>
    <w:rsid w:val="00646CD3"/>
    <w:rsid w:val="00650488"/>
    <w:rsid w:val="00650E64"/>
    <w:rsid w:val="00652E5B"/>
    <w:rsid w:val="00663DB8"/>
    <w:rsid w:val="00664692"/>
    <w:rsid w:val="0066556D"/>
    <w:rsid w:val="006655C3"/>
    <w:rsid w:val="006678C2"/>
    <w:rsid w:val="006679E1"/>
    <w:rsid w:val="00671DEB"/>
    <w:rsid w:val="00672C4A"/>
    <w:rsid w:val="00673269"/>
    <w:rsid w:val="00674F4F"/>
    <w:rsid w:val="006772DD"/>
    <w:rsid w:val="006829C1"/>
    <w:rsid w:val="0068417D"/>
    <w:rsid w:val="006848D6"/>
    <w:rsid w:val="006943A2"/>
    <w:rsid w:val="006A1A25"/>
    <w:rsid w:val="006A3734"/>
    <w:rsid w:val="006B0031"/>
    <w:rsid w:val="006B4EA1"/>
    <w:rsid w:val="006C12D6"/>
    <w:rsid w:val="006C624C"/>
    <w:rsid w:val="006C76B1"/>
    <w:rsid w:val="006D0952"/>
    <w:rsid w:val="006E01DB"/>
    <w:rsid w:val="006E1EC2"/>
    <w:rsid w:val="006F4CAF"/>
    <w:rsid w:val="006F4D20"/>
    <w:rsid w:val="006F64FC"/>
    <w:rsid w:val="00706543"/>
    <w:rsid w:val="00712FFB"/>
    <w:rsid w:val="00715BD0"/>
    <w:rsid w:val="007170ED"/>
    <w:rsid w:val="00717F1A"/>
    <w:rsid w:val="00725048"/>
    <w:rsid w:val="00725493"/>
    <w:rsid w:val="00726CEB"/>
    <w:rsid w:val="007272CC"/>
    <w:rsid w:val="007324F8"/>
    <w:rsid w:val="007327C9"/>
    <w:rsid w:val="0074198B"/>
    <w:rsid w:val="007437E6"/>
    <w:rsid w:val="00744A2C"/>
    <w:rsid w:val="00746E52"/>
    <w:rsid w:val="00761D54"/>
    <w:rsid w:val="007636BD"/>
    <w:rsid w:val="00771580"/>
    <w:rsid w:val="00792726"/>
    <w:rsid w:val="007A0A2A"/>
    <w:rsid w:val="007A1E7F"/>
    <w:rsid w:val="007A22EA"/>
    <w:rsid w:val="007A2A51"/>
    <w:rsid w:val="007B04A5"/>
    <w:rsid w:val="007C19A7"/>
    <w:rsid w:val="007C2114"/>
    <w:rsid w:val="007D2DAF"/>
    <w:rsid w:val="007E41E5"/>
    <w:rsid w:val="007E46F1"/>
    <w:rsid w:val="007E5094"/>
    <w:rsid w:val="007E66C6"/>
    <w:rsid w:val="007F09F5"/>
    <w:rsid w:val="008022A8"/>
    <w:rsid w:val="0080328F"/>
    <w:rsid w:val="00821436"/>
    <w:rsid w:val="008259A0"/>
    <w:rsid w:val="008370FF"/>
    <w:rsid w:val="00843EE4"/>
    <w:rsid w:val="0085586B"/>
    <w:rsid w:val="00857125"/>
    <w:rsid w:val="00857848"/>
    <w:rsid w:val="00857AD8"/>
    <w:rsid w:val="008605C0"/>
    <w:rsid w:val="00866B92"/>
    <w:rsid w:val="008704B7"/>
    <w:rsid w:val="008747C3"/>
    <w:rsid w:val="008778EF"/>
    <w:rsid w:val="00877EB5"/>
    <w:rsid w:val="00895D99"/>
    <w:rsid w:val="008962DC"/>
    <w:rsid w:val="00896B04"/>
    <w:rsid w:val="008974D8"/>
    <w:rsid w:val="008A3070"/>
    <w:rsid w:val="008A591C"/>
    <w:rsid w:val="008D17A9"/>
    <w:rsid w:val="008D2116"/>
    <w:rsid w:val="008D2BC8"/>
    <w:rsid w:val="008F727F"/>
    <w:rsid w:val="00901240"/>
    <w:rsid w:val="00915452"/>
    <w:rsid w:val="00922C3E"/>
    <w:rsid w:val="00947CCD"/>
    <w:rsid w:val="0095414B"/>
    <w:rsid w:val="009565BF"/>
    <w:rsid w:val="009618C8"/>
    <w:rsid w:val="00963CA8"/>
    <w:rsid w:val="00964169"/>
    <w:rsid w:val="00975A49"/>
    <w:rsid w:val="00987B3B"/>
    <w:rsid w:val="009A2106"/>
    <w:rsid w:val="009A6A84"/>
    <w:rsid w:val="009B35A6"/>
    <w:rsid w:val="009D11AB"/>
    <w:rsid w:val="009D5FAF"/>
    <w:rsid w:val="009F37D9"/>
    <w:rsid w:val="00A07AB5"/>
    <w:rsid w:val="00A12AE9"/>
    <w:rsid w:val="00A16168"/>
    <w:rsid w:val="00A2009B"/>
    <w:rsid w:val="00A33527"/>
    <w:rsid w:val="00A46328"/>
    <w:rsid w:val="00A57156"/>
    <w:rsid w:val="00A66E6E"/>
    <w:rsid w:val="00A81FF0"/>
    <w:rsid w:val="00A83BA5"/>
    <w:rsid w:val="00A8710B"/>
    <w:rsid w:val="00AA35AB"/>
    <w:rsid w:val="00AA4CA2"/>
    <w:rsid w:val="00AB1CD0"/>
    <w:rsid w:val="00AB33C3"/>
    <w:rsid w:val="00AC0D3F"/>
    <w:rsid w:val="00AD00BB"/>
    <w:rsid w:val="00AE0313"/>
    <w:rsid w:val="00B04011"/>
    <w:rsid w:val="00B12501"/>
    <w:rsid w:val="00B15956"/>
    <w:rsid w:val="00B21C1A"/>
    <w:rsid w:val="00B2475F"/>
    <w:rsid w:val="00B25C9B"/>
    <w:rsid w:val="00B300E9"/>
    <w:rsid w:val="00B32651"/>
    <w:rsid w:val="00B32EEB"/>
    <w:rsid w:val="00B330AC"/>
    <w:rsid w:val="00B40526"/>
    <w:rsid w:val="00B45FD8"/>
    <w:rsid w:val="00B50514"/>
    <w:rsid w:val="00B70578"/>
    <w:rsid w:val="00B73C42"/>
    <w:rsid w:val="00B826E2"/>
    <w:rsid w:val="00B910A3"/>
    <w:rsid w:val="00B95233"/>
    <w:rsid w:val="00B96A9E"/>
    <w:rsid w:val="00BA2A3A"/>
    <w:rsid w:val="00BA4095"/>
    <w:rsid w:val="00BA4EB8"/>
    <w:rsid w:val="00BB64F2"/>
    <w:rsid w:val="00BB759F"/>
    <w:rsid w:val="00BC2F23"/>
    <w:rsid w:val="00BC5BBE"/>
    <w:rsid w:val="00BD18FF"/>
    <w:rsid w:val="00BE08B6"/>
    <w:rsid w:val="00BE61CE"/>
    <w:rsid w:val="00BF28E2"/>
    <w:rsid w:val="00BF581F"/>
    <w:rsid w:val="00BF5BF7"/>
    <w:rsid w:val="00BF67A7"/>
    <w:rsid w:val="00C00485"/>
    <w:rsid w:val="00C05704"/>
    <w:rsid w:val="00C1457B"/>
    <w:rsid w:val="00C240F2"/>
    <w:rsid w:val="00C276E6"/>
    <w:rsid w:val="00C505F6"/>
    <w:rsid w:val="00C52BC9"/>
    <w:rsid w:val="00C64061"/>
    <w:rsid w:val="00C73E1C"/>
    <w:rsid w:val="00C7547D"/>
    <w:rsid w:val="00C82150"/>
    <w:rsid w:val="00C846AA"/>
    <w:rsid w:val="00C85E4F"/>
    <w:rsid w:val="00CA7870"/>
    <w:rsid w:val="00CA7AE4"/>
    <w:rsid w:val="00CB0CC5"/>
    <w:rsid w:val="00CC4427"/>
    <w:rsid w:val="00CC5D7F"/>
    <w:rsid w:val="00CE3032"/>
    <w:rsid w:val="00CF181A"/>
    <w:rsid w:val="00CF516F"/>
    <w:rsid w:val="00D06152"/>
    <w:rsid w:val="00D13047"/>
    <w:rsid w:val="00D15050"/>
    <w:rsid w:val="00D15CCE"/>
    <w:rsid w:val="00D20E5C"/>
    <w:rsid w:val="00D24975"/>
    <w:rsid w:val="00D27227"/>
    <w:rsid w:val="00D332E9"/>
    <w:rsid w:val="00D36B9F"/>
    <w:rsid w:val="00D6484A"/>
    <w:rsid w:val="00D70C14"/>
    <w:rsid w:val="00D74E1D"/>
    <w:rsid w:val="00D84595"/>
    <w:rsid w:val="00D858A4"/>
    <w:rsid w:val="00D92485"/>
    <w:rsid w:val="00D92CD1"/>
    <w:rsid w:val="00DA2D4F"/>
    <w:rsid w:val="00DA5032"/>
    <w:rsid w:val="00DB041E"/>
    <w:rsid w:val="00DB1CE2"/>
    <w:rsid w:val="00DB4D57"/>
    <w:rsid w:val="00DB63A8"/>
    <w:rsid w:val="00DC1346"/>
    <w:rsid w:val="00DC26B0"/>
    <w:rsid w:val="00DC2FD3"/>
    <w:rsid w:val="00DC37EE"/>
    <w:rsid w:val="00DD035E"/>
    <w:rsid w:val="00DD1A0E"/>
    <w:rsid w:val="00DD480F"/>
    <w:rsid w:val="00DD4EE4"/>
    <w:rsid w:val="00DF1CE6"/>
    <w:rsid w:val="00DF2BE9"/>
    <w:rsid w:val="00DF3ABA"/>
    <w:rsid w:val="00E04EAD"/>
    <w:rsid w:val="00E06E7D"/>
    <w:rsid w:val="00E06F9A"/>
    <w:rsid w:val="00E157FF"/>
    <w:rsid w:val="00E20D65"/>
    <w:rsid w:val="00E25B90"/>
    <w:rsid w:val="00E2643F"/>
    <w:rsid w:val="00E320DA"/>
    <w:rsid w:val="00E37A14"/>
    <w:rsid w:val="00E40FF3"/>
    <w:rsid w:val="00E42E5A"/>
    <w:rsid w:val="00E43276"/>
    <w:rsid w:val="00E51B7E"/>
    <w:rsid w:val="00E645D5"/>
    <w:rsid w:val="00E67EDC"/>
    <w:rsid w:val="00E75421"/>
    <w:rsid w:val="00E8166D"/>
    <w:rsid w:val="00E86F7B"/>
    <w:rsid w:val="00E913C9"/>
    <w:rsid w:val="00E93FB0"/>
    <w:rsid w:val="00EA03A0"/>
    <w:rsid w:val="00EA0A06"/>
    <w:rsid w:val="00EA1A46"/>
    <w:rsid w:val="00EB1C88"/>
    <w:rsid w:val="00EB5517"/>
    <w:rsid w:val="00EC0737"/>
    <w:rsid w:val="00EC1421"/>
    <w:rsid w:val="00EE6EF6"/>
    <w:rsid w:val="00EF0B3D"/>
    <w:rsid w:val="00EF5858"/>
    <w:rsid w:val="00F04463"/>
    <w:rsid w:val="00F046DF"/>
    <w:rsid w:val="00F0751F"/>
    <w:rsid w:val="00F14C3C"/>
    <w:rsid w:val="00F17004"/>
    <w:rsid w:val="00F1744F"/>
    <w:rsid w:val="00F178E2"/>
    <w:rsid w:val="00F17E74"/>
    <w:rsid w:val="00F30C6B"/>
    <w:rsid w:val="00F33704"/>
    <w:rsid w:val="00F34196"/>
    <w:rsid w:val="00F36332"/>
    <w:rsid w:val="00F41D5A"/>
    <w:rsid w:val="00F43651"/>
    <w:rsid w:val="00F465B9"/>
    <w:rsid w:val="00F46E76"/>
    <w:rsid w:val="00F47064"/>
    <w:rsid w:val="00F5139D"/>
    <w:rsid w:val="00F5386D"/>
    <w:rsid w:val="00F53C64"/>
    <w:rsid w:val="00F611D6"/>
    <w:rsid w:val="00F615EE"/>
    <w:rsid w:val="00F6508B"/>
    <w:rsid w:val="00F8332E"/>
    <w:rsid w:val="00F84235"/>
    <w:rsid w:val="00F87AC4"/>
    <w:rsid w:val="00F952FA"/>
    <w:rsid w:val="00FA4D98"/>
    <w:rsid w:val="00FA56C0"/>
    <w:rsid w:val="00FB25AE"/>
    <w:rsid w:val="00FB6C78"/>
    <w:rsid w:val="00FC2DDB"/>
    <w:rsid w:val="00FC5636"/>
    <w:rsid w:val="00FC7C8A"/>
    <w:rsid w:val="00FD0685"/>
    <w:rsid w:val="00FE165F"/>
    <w:rsid w:val="00FE1C22"/>
    <w:rsid w:val="00FE3A47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0F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44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1442"/>
  </w:style>
  <w:style w:type="paragraph" w:styleId="Piedepgina">
    <w:name w:val="footer"/>
    <w:basedOn w:val="Normal"/>
    <w:link w:val="PiedepginaCar"/>
    <w:unhideWhenUsed/>
    <w:rsid w:val="005A144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rsid w:val="005A1442"/>
  </w:style>
  <w:style w:type="paragraph" w:styleId="Textodeglobo">
    <w:name w:val="Balloon Text"/>
    <w:basedOn w:val="Normal"/>
    <w:link w:val="TextodegloboCar"/>
    <w:uiPriority w:val="99"/>
    <w:semiHidden/>
    <w:unhideWhenUsed/>
    <w:rsid w:val="005A1442"/>
    <w:rPr>
      <w:rFonts w:ascii="Tahoma" w:eastAsiaTheme="minorHAnsi" w:hAnsi="Tahoma" w:cs="Tahoma"/>
      <w:sz w:val="16"/>
      <w:szCs w:val="16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144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4C3B1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3B15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rsid w:val="004C3B15"/>
    <w:rPr>
      <w:vertAlign w:val="superscript"/>
    </w:rPr>
  </w:style>
  <w:style w:type="table" w:styleId="Tablaconcuadrcula">
    <w:name w:val="Table Grid"/>
    <w:basedOn w:val="Tablanormal"/>
    <w:uiPriority w:val="59"/>
    <w:rsid w:val="004C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9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rafodelista">
    <w:name w:val="List Paragraph"/>
    <w:aliases w:val="Informe,Con viñetas,Normal con viñetas,3,Use Case List Paragraph,Bullet 1,titulo 3,figuras y gráficos,Viñetas,Bulletr List Paragraph,List Paragraph 1,Numbered List Paragraph,Main numbered paragraph,Bullets,List Paragraph (numbered (a))"/>
    <w:basedOn w:val="Normal"/>
    <w:link w:val="PrrafodelistaCar"/>
    <w:uiPriority w:val="34"/>
    <w:qFormat/>
    <w:rsid w:val="00302089"/>
    <w:pPr>
      <w:ind w:left="720"/>
      <w:contextualSpacing/>
    </w:pPr>
  </w:style>
  <w:style w:type="character" w:customStyle="1" w:styleId="PrrafodelistaCar">
    <w:name w:val="Párrafo de lista Car"/>
    <w:aliases w:val="Informe Car,Con viñetas Car,Normal con viñetas Car,3 Car,Use Case List Paragraph Car,Bullet 1 Car,titulo 3 Car,figuras y gráficos Car,Viñetas Car,Bulletr List Paragraph Car,List Paragraph 1 Car,Numbered List Paragraph Car"/>
    <w:basedOn w:val="Fuentedeprrafopredeter"/>
    <w:link w:val="Prrafodelista"/>
    <w:uiPriority w:val="34"/>
    <w:locked/>
    <w:rsid w:val="003020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2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tranet/sites/gec2020/PlantillasCorrespondenciaExterna/Plantilla-SGS-A-13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hAu75AHL44yVhs0LRvcUst+23uZJuR4MVEw/CgLkfgg=</DigestValue>
    </Reference>
    <Reference Type="http://www.w3.org/2000/09/xmldsig#Object" URI="#idOfficeObject">
      <DigestMethod Algorithm="http://www.w3.org/2001/04/xmlenc#sha256"/>
      <DigestValue>7wlkxx11UBscP2a9aIMaPgKCnjW1lv9ZdYHXDyHPAvA=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d8vkuDiYiwj9GsdsLFGx7Eg99j4saeGerkDeJppIojk=</DigestValue>
    </Reference>
  </SignedInfo>
  <SignatureValue>IqqsPQVbrhcuENt9ubu2hB1OoOEgdJ9uFVW+bQwpOc1WtBZBU5cDi8scqRfRFdLGqmBmdVs8Ol5m
oDkuH97NfNeu8sLUSh5V/TzGV3RcTIamcSfPovfLSoib9V7TzyD2/7Vu2pxiLFWwA8NGqvSCbdzp
Nv6rwsvV5GtlrPR8sVH+C+nSn1iQZ37Aj8vOb+sIpXbfheb8hLmMpziu4zCeY3vfZZvA4uDDZhpo
Gj43LXXp/qD0dCyLIGPuB9P7D8+r2QLoOFg5xEFrgM8w5lZyktTPFxjLQq+WaIets3H4dFn/UXyx
e2Ei6BX8FcjJkwD7hjmKzf+GgX5YhyNQuAp2WQ==</SignatureValue>
  <KeyInfo>
    <X509Data>
      <X509Certificate>MIIFozCCBIugAwIBAgITFAAJDbMo5hqV+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+e0NYLyfxn2LP5SEwMOesiL1MN41hSIjQZnKbJsqjp4ubx+AjkppFZHMMhEQKImBIPs+fcEu/ZaAopKk3684zk2fHqORv/vT/RsT0t9VyHo2Po27Aun4kdCkMK3eq6QRfI3FEjnBqpCPIiyR7qX16TpDiKcpmw7RDauH4jUwMv6dfU39vDOcLf6LV5J80uBBEuqA2IeMe6UZQz6B7+qw/uHmC1wu6Ij1iwfD95k/9p4VGuvxBH3wFRW/E0zdZBayyeH+XMc1eVsU3eJawlcdF6gZ424lKLHJcSbIBqQMQIDAQABo4IB2jCCAdYwHQYDVR0OBBYEFP/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19QBoVo+4KTAzc8PTHwZW0EYRX8tvqFUNDTxzW0He5FnINKNYFAMTc6yxKWSZsNCXBY7alDPDwU6Jik4pb++NxmUmXUwpGYOzm5OVUebUwDSqocVPR8b+RMHaq8D5/7se7l5+z+wxrx6QyGd2Y+2S7OfMRQEkYLQEgHmh5UHuVtVUYeMYkIXUUx3HTbGLmA0IRiUNek3ke8yXnBhyraq/Bq3e6Rscxy3hvtH+nOGfKN2NLAaaPsd+XHXZ3Pxt7NEdd6t7KgLJ4P/I1ojbktIYIL9dOcDnaYT+koML6DiZsbD2uylCWYYE6JSJMJSus4iDgS6E/UNYYh8FNxuhkw3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0lA80QtfeFeBfQxPyGsbzoXmrRamSwjubbAtb7N3cfs=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AQxEVLqD71T0GROhZeJIwqAxa7OiAtCV8niqVHURrPc=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AQxEVLqD71T0GROhZeJIwqAxa7OiAtCV8niqVHURrPc=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+2aCAS4Zy5DWm3v3vSXKxN1SgkFmrmMk9h7JtWSp+lU=</DigestValue>
      </Reference>
      <Reference URI="/word/document.xml?ContentType=application/vnd.openxmlformats-officedocument.wordprocessingml.document.main+xml">
        <DigestMethod Algorithm="http://www.w3.org/2001/04/xmlenc#sha256"/>
        <DigestValue>wTzyK2OqEdHYWrOpvbU7F37mxzgfw+SAKVrS8TuLlbU=</DigestValue>
      </Reference>
      <Reference URI="/word/endnotes.xml?ContentType=application/vnd.openxmlformats-officedocument.wordprocessingml.endnotes+xml">
        <DigestMethod Algorithm="http://www.w3.org/2001/04/xmlenc#sha256"/>
        <DigestValue>3Vi1k5/eT9cKaGG5wIlxQNem59Prnd4Y5qnS20+LGvE=</DigestValue>
      </Reference>
      <Reference URI="/word/fontTable.xml?ContentType=application/vnd.openxmlformats-officedocument.wordprocessingml.fontTable+xml">
        <DigestMethod Algorithm="http://www.w3.org/2001/04/xmlenc#sha256"/>
        <DigestValue>vMNGdG/+qKlubLixl3XIKMKD4nvTiewucRJgtWj3nFE=</DigestValue>
      </Reference>
      <Reference URI="/word/footer1.xml?ContentType=application/vnd.openxmlformats-officedocument.wordprocessingml.footer+xml">
        <DigestMethod Algorithm="http://www.w3.org/2001/04/xmlenc#sha256"/>
        <DigestValue>51hj/sKSZthf88V0KWPPodarfRcRYECgTWFm77Dmv3E=</DigestValue>
      </Reference>
      <Reference URI="/word/footer2.xml?ContentType=application/vnd.openxmlformats-officedocument.wordprocessingml.footer+xml">
        <DigestMethod Algorithm="http://www.w3.org/2001/04/xmlenc#sha256"/>
        <DigestValue>L8079iCipKuBxe56ECTigNy5WrEzg+olr9tfS+EAk4o=</DigestValue>
      </Reference>
      <Reference URI="/word/footer3.xml?ContentType=application/vnd.openxmlformats-officedocument.wordprocessingml.footer+xml">
        <DigestMethod Algorithm="http://www.w3.org/2001/04/xmlenc#sha256"/>
        <DigestValue>Umu3zodUCgvivueA51i8egZBnUYq/Td8xCxWHmid8pk=</DigestValue>
      </Reference>
      <Reference URI="/word/footnotes.xml?ContentType=application/vnd.openxmlformats-officedocument.wordprocessingml.footnotes+xml">
        <DigestMethod Algorithm="http://www.w3.org/2001/04/xmlenc#sha256"/>
        <DigestValue>cvLgI8N+zMAIZT767CXcMKg6BKhM+3VMqaxcFwfkfMI=</DigestValue>
      </Reference>
      <Reference URI="/word/header1.xml?ContentType=application/vnd.openxmlformats-officedocument.wordprocessingml.header+xml">
        <DigestMethod Algorithm="http://www.w3.org/2001/04/xmlenc#sha256"/>
        <DigestValue>zNT/Fe77FDsF+It8je0mTVLBjBFCMRdN75cVIPmpdbE=</DigestValue>
      </Reference>
      <Reference URI="/word/header2.xml?ContentType=application/vnd.openxmlformats-officedocument.wordprocessingml.header+xml">
        <DigestMethod Algorithm="http://www.w3.org/2001/04/xmlenc#sha256"/>
        <DigestValue>tHskz4BQMfPCtpEyj4IEw278C/73XJ/oO+7MrEfcUEg=</DigestValue>
      </Reference>
      <Reference URI="/word/header3.xml?ContentType=application/vnd.openxmlformats-officedocument.wordprocessingml.header+xml">
        <DigestMethod Algorithm="http://www.w3.org/2001/04/xmlenc#sha256"/>
        <DigestValue>RUGVQEUyydZI7eC0P4zfxq2N/TZs8BqtF1kgjE2Y2aQ=</DigestValue>
      </Reference>
      <Reference URI="/word/media/image1.png?ContentType=image/png">
        <DigestMethod Algorithm="http://www.w3.org/2001/04/xmlenc#sha256"/>
        <DigestValue>8ow0IbLvIuBewu4WCsfpgILO/EmmHhLyHA30uNxvsQ8=</DigestValue>
      </Reference>
      <Reference URI="/word/media/image2.jpeg?ContentType=image/jpeg">
        <DigestMethod Algorithm="http://www.w3.org/2001/04/xmlenc#sha256"/>
        <DigestValue>KGoi/VrShY6YD7s5ypHuq/O1xHA2AZr+klKbbEvy9h8=</DigestValue>
      </Reference>
      <Reference URI="/word/numbering.xml?ContentType=application/vnd.openxmlformats-officedocument.wordprocessingml.numbering+xml">
        <DigestMethod Algorithm="http://www.w3.org/2001/04/xmlenc#sha256"/>
        <DigestValue>t1EzQ+V6LKkOhhuQtLfeMYSZm61ie6iZuUaFfUPgVcE=</DigestValue>
      </Reference>
      <Reference URI="/word/settings.xml?ContentType=application/vnd.openxmlformats-officedocument.wordprocessingml.settings+xml">
        <DigestMethod Algorithm="http://www.w3.org/2001/04/xmlenc#sha256"/>
        <DigestValue>utaDnub9+z13YsvQIzooOsDPNvRfnyuWX+bb2x54qyo=</DigestValue>
      </Reference>
      <Reference URI="/word/styles.xml?ContentType=application/vnd.openxmlformats-officedocument.wordprocessingml.styles+xml">
        <DigestMethod Algorithm="http://www.w3.org/2001/04/xmlenc#sha256"/>
        <DigestValue>BXRECZlbY+s2VK/zcxVl5IHuNWQMU5OIGcIqzScrzQ0=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1I+YFRt2C63TLidVmLuICOGYkIXdAhym/BJpyrYumWQ=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2021-06-02T17:21:48Z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2021-06-02T17:21:48Z</xd:SigningTime>
          <xd:SigningCertificate>
            <xd:Cert>
              <xd:CertDigest>
                <DigestMethod Algorithm="http://www.w3.org/2001/04/xmlenc#sha256"/>
                <DigestValue>eUF/P6XTX1b/NLiXeynP6fxa9IuF3pe6e6Uz59bBAYs=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446017984722129361247966886119738112760942003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5yKH2j+VQHe1Uc3XmV+OYPyM6wrQgZjIFvQxCz3SSTsCBAvz/r0YDzIwMjEwNjAyMTcyMTU3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</xd:EncapsulatedCRLValue>
                <xd:EncapsulatedCRLValue>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8aiUf0COnmDloU9jWruE+jeEzXk=</xd:ByKey>
                  </xd:ResponderID>
                  <xd:ProducedAt>2021-06-02T17:21:47Z</xd:ProducedAt>
                </xd:OCSPIdentifier>
                <xd:DigestAlgAndValue>
                  <DigestMethod Algorithm="http://www.w3.org/2001/04/xmlenc#sha256"/>
                  <DigestValue>t17tMD+SSWZ/jRdUZaQkRN2tHWuuFGB78nEOzwQxjXs=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T185pySYQwduCtKQw7FOySCoA39tgiVCR2aMkDgwzQw=</DigestValue>
                </xd:DigestAlgAndValue>
                <xd:CRLIdentifier>
                  <xd:Issuer>CN=CA POLITICA PERSONA FISICA - COSTA RICA v2, OU=DCFD, O=MICITT, C=CR, SERIALNUMBER=CPJ-2-100-098311</xd:Issuer>
                  <xd:IssueTime>2021-05-13T16:03:04Z</xd:IssueTime>
                </xd:CRLIdentifier>
              </xd:CRLRef>
              <xd:CRLRef>
                <xd:DigestAlgAndValue>
                  <DigestMethod Algorithm="http://www.w3.org/2001/04/xmlenc#sha256"/>
                  <DigestValue>Gb676LKVfJEt/Bk1qkeQXC8PoCVWlEQOwaQ+JcE9XKw=</DigestValue>
                </xd:DigestAlgAndValue>
                <xd:CRLIdentifier>
                  <xd:Issuer>CN=CA RAIZ NACIONAL - COSTA RICA v2, C=CR, O=MICITT, OU=DCFD, SERIALNUMBER=CPJ-2-100-098311</xd:Issuer>
                  <xd:IssueTime>2021-03-19T14:50:28Z</xd:IssueTime>
                </xd:CRLIdentifier>
              </xd:CRLRef>
            </xd:CRLRefs>
          </xd:CompleteRevocationRefs>
          <xd:RevocationValues>
            <xd:OCSPValues>
              <xd:EncapsulatedOCSPValue>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</xd:EncapsulatedCRLValue>
              <xd:EncapsulatedCRLValue>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WMcdn5HjYASuvVRm6o/RcMNUPz+gB1JzqsbW8rtmZ+4CBAvz/r8YDzIwMjEwNjAyMTcyMTU3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5259700016054FB9EF02CC18F40A60" ma:contentTypeVersion="6" ma:contentTypeDescription="Crear nuevo documento." ma:contentTypeScope="" ma:versionID="b9c0e0c741e91f52546f6fa1418e81a2">
  <xsd:schema xmlns:xsd="http://www.w3.org/2001/XMLSchema" xmlns:xs="http://www.w3.org/2001/XMLSchema" xmlns:p="http://schemas.microsoft.com/office/2006/metadata/properties" xmlns:ns2="b9fc4df0-8f56-46e7-b005-54afe0044df7" targetNamespace="http://schemas.microsoft.com/office/2006/metadata/properties" ma:root="true" ma:fieldsID="4e86dda2f0fdd5bfa93fc52ff69e4c55" ns2:_=""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2:NumeroAcuerdo" minOccurs="0"/>
                <xsd:element ref="ns2:ContenidoMultilineaHTML"/>
                <xsd:element ref="ns2:NormativaRelacionada" minOccurs="0"/>
                <xsd:element ref="ns2:FechaPublicacionDocumento" minOccurs="0"/>
                <xsd:element ref="ns2:SharedWithUsers" minOccurs="0"/>
                <xsd:element ref="ns2:TipoConteni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NumeroAcuerdo" ma:index="8" nillable="true" ma:displayName="Número Acuerdo" ma:description="" ma:internalName="NumeroAcuerdo">
      <xsd:simpleType>
        <xsd:restriction base="dms:Text"/>
      </xsd:simpleType>
    </xsd:element>
    <xsd:element name="ContenidoMultilineaHTML" ma:index="9" ma:displayName="ContenidoMultilineaHTML" ma:description="" ma:internalName="ContenidoMultilineaHTML">
      <xsd:simpleType>
        <xsd:restriction base="dms:Unknown"/>
      </xsd:simpleType>
    </xsd:element>
    <xsd:element name="NormativaRelacionada" ma:index="10" nillable="true" ma:displayName="Normativa Relacionada" ma:internalName="NormativaRelacionada">
      <xsd:simpleType>
        <xsd:restriction base="dms:Note">
          <xsd:maxLength value="255"/>
        </xsd:restriction>
      </xsd:simpleType>
    </xsd:element>
    <xsd:element name="FechaPublicacionDocumento" ma:index="11" nillable="true" ma:displayName="FechaPublicacionDocumento" ma:description="" ma:internalName="FechaPublicacionDocumento">
      <xsd:simpleType>
        <xsd:restriction base="dms:DateTime"/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oContenido" ma:index="13" nillable="true" ma:displayName="TipoContenido" ma:list="{ec55f565-d8ce-4d28-9f5f-877c6e6feccc}" ma:internalName="TipoContenido" ma:showField="Title" ma:web="b9fc4df0-8f56-46e7-b005-54afe0044df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Documento xmlns="b9fc4df0-8f56-46e7-b005-54afe0044df7">2021-06-03T06:00:00+00:00</FechaPublicacionDocumento>
    <NormativaRelacionada xmlns="b9fc4df0-8f56-46e7-b005-54afe0044df7">&lt;div class="ExternalClass314546167B0145FA819337E5E1BFEF9F"&gt;&lt;p&gt;​Reglamento sobre Gobierno Corporativo y Reglamento Revelación de Hechos Relevantes&lt;/p&gt;&lt;/div&gt;</NormativaRelacionada>
    <TipoContenido xmlns="b9fc4df0-8f56-46e7-b005-54afe0044df7">6</TipoContenido>
    <ContenidoMultilineaHTML xmlns="b9fc4df0-8f56-46e7-b005-54afe0044df7">&lt;p style="text-align&amp;#58;justify;"&gt;​Presenta el acuerdo de MODIFICACIÓN
DEL ACUERDO SGS-A-077-2021 DENOMINADO “LINEAMIENTOS SOBRE LA REVELACIÓN DE
INFORMACIÓN DE CARGOS O ROLES RELEVANTES POR PARTE DE ENTIDADES DE SEGUROS E
INTERMEDIAROS DE SEGUROS A LA SUPERINTENDENCIA GENERAL DE SEGUROS Y EL
FUNCIONAMIENTO DEL SERVICIO DE ROLES”, CON EL FIN DE AMPLIAR EL PLAZO
ESTABLECIDO EN EL TRANSITORIO I PARA ACTUALIZAR LA VIGENCIA DE ROLES&lt;/p&gt;</ContenidoMultilineaHTML>
    <NumeroAcuerdo xmlns="b9fc4df0-8f56-46e7-b005-54afe0044df7">SGS-A-0082-2021</NumeroAcuerdo>
  </documentManagement>
</p:properties>
</file>

<file path=customXml/item4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haredContentType xmlns="Microsoft.SharePoint.Taxonomy.ContentTypeSync" SourceId="031b4bb2-0db7-40b3-a341-fc1511e9642d" ContentTypeId="0x010100E97154E09FCE6A4E8EAEBD5C54DD1AE402" PreviousValue="false"/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933D12E-705D-4B65-9EE7-FA2F3220248F}"/>
</file>

<file path=customXml/itemProps2.xml><?xml version="1.0" encoding="utf-8"?>
<ds:datastoreItem xmlns:ds="http://schemas.openxmlformats.org/officeDocument/2006/customXml" ds:itemID="{34E068DC-5107-45F2-ABE2-CF57FD0C1A4C}"/>
</file>

<file path=customXml/itemProps3.xml><?xml version="1.0" encoding="utf-8"?>
<ds:datastoreItem xmlns:ds="http://schemas.openxmlformats.org/officeDocument/2006/customXml" ds:itemID="{A464F4DF-72CE-4A40-9D1C-3D5035855E0E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233f2551-3930-43c2-a744-679e70430545"/>
    <ds:schemaRef ds:uri="b875e23b-67d9-4b2e-bdec-edacbf90b32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D722A3-4C67-46AF-8C9A-7D0E13644C7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5D92776-217D-4A23-BE9E-71D00954E9F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3FDC3B9-7568-4337-A0AD-4493D8C59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Plantilla-SGS-A-13.dotm</Template>
  <TotalTime>0</TotalTime>
  <Pages>3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SGS-A-0082-2021</dc:title>
  <dc:creator/>
  <cp:lastModifiedBy/>
  <cp:revision>1</cp:revision>
  <dcterms:created xsi:type="dcterms:W3CDTF">2021-06-02T16:23:00Z</dcterms:created>
  <dcterms:modified xsi:type="dcterms:W3CDTF">2021-06-02T17:21:00Z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gridad">
    <vt:lpwstr>128;#Alta|0fd17ec2-e5d0-4d9f-8e18-466324d0fdd4</vt:lpwstr>
  </property>
  <property fmtid="{D5CDD505-2E9C-101B-9397-08002B2CF9AE}" pid="3" name="_dlc_policyId">
    <vt:lpwstr>0x010100E97154E09FCE6A4E8EAEBD5C54DD1AE4|-1695030217</vt:lpwstr>
  </property>
  <property fmtid="{D5CDD505-2E9C-101B-9397-08002B2CF9AE}" pid="4" name="Tipo Documental">
    <vt:lpwstr/>
  </property>
  <property fmtid="{D5CDD505-2E9C-101B-9397-08002B2CF9AE}" pid="5" name="ContentTypeId">
    <vt:lpwstr>0x0101002C5259700016054FB9EF02CC18F40A60</vt:lpwstr>
  </property>
  <property fmtid="{D5CDD505-2E9C-101B-9397-08002B2CF9AE}" pid="6" name="Dirigido a (entidad externa)">
    <vt:lpwstr>446;#Aseguradoras, Sociedades Agencia de Seguros y Corredoras|35c820cc-2e74-4907-8439-32dfa8037acb;#309;#Asociación de Aseguradores Privados (AAP)|c0cb0013-61dc-4c5a-87ab-4e50a02299ff;#429;#Cámara Intermediarios de Costa Rica|d9f0d767-5889-40d7-b0b7-0d6c02809c4e</vt:lpwstr>
  </property>
  <property fmtid="{D5CDD505-2E9C-101B-9397-08002B2CF9AE}" pid="7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8" name="Unidad de Destino">
    <vt:lpwstr/>
  </property>
  <property fmtid="{D5CDD505-2E9C-101B-9397-08002B2CF9AE}" pid="9" name="Disponibilidad">
    <vt:lpwstr>161;#Alta|7fca731c-4c62-4f1c-9061-e9f164c964b2</vt:lpwstr>
  </property>
  <property fmtid="{D5CDD505-2E9C-101B-9397-08002B2CF9AE}" pid="10" name="Confidencialidad1">
    <vt:lpwstr/>
  </property>
  <property fmtid="{D5CDD505-2E9C-101B-9397-08002B2CF9AE}" pid="11" name="Unidad Remitente">
    <vt:lpwstr>257;#SUGESE - Acuerdos|a4c1ee5f-324a-443d-88a9-d7759c9d5e33</vt:lpwstr>
  </property>
  <property fmtid="{D5CDD505-2E9C-101B-9397-08002B2CF9AE}" pid="12" name="lb0b7da792b243d9bfa96ad7487ad734">
    <vt:lpwstr/>
  </property>
  <property fmtid="{D5CDD505-2E9C-101B-9397-08002B2CF9AE}" pid="13" name="ConfidencialidadNueva">
    <vt:lpwstr>130;#Confidencial|d19c5cf3-f0e9-4d18-86d2-7bee4000e1ea</vt:lpwstr>
  </property>
  <property fmtid="{D5CDD505-2E9C-101B-9397-08002B2CF9AE}" pid="14" name="Confidencialidad">
    <vt:lpwstr>130;#Confidencial|d19c5cf3-f0e9-4d18-86d2-7bee4000e1ea</vt:lpwstr>
  </property>
  <property fmtid="{D5CDD505-2E9C-101B-9397-08002B2CF9AE}" pid="15" name="WorkflowChangePath">
    <vt:lpwstr>f6450479-5807-46c0-9a19-480fcd7573ae,5;f53beb82-3a64-483b-83ba-ca097d8a31d5,9;f0cb250b-c1ef-4893-9022-2aaf0b532c25,10;</vt:lpwstr>
  </property>
  <property fmtid="{D5CDD505-2E9C-101B-9397-08002B2CF9AE}" pid="16" name="_MarkAsFinal">
    <vt:bool>true</vt:bool>
  </property>
  <property fmtid="{D5CDD505-2E9C-101B-9397-08002B2CF9AE}" pid="17" name="ecm_ItemDeleteBlockHolders">
    <vt:lpwstr>ecm_InPlaceRecordLock</vt:lpwstr>
  </property>
  <property fmtid="{D5CDD505-2E9C-101B-9397-08002B2CF9AE}" pid="18" name="_vti_ItemDeclaredRecord">
    <vt:filetime>2021-06-02T21:03:21Z</vt:filetime>
  </property>
  <property fmtid="{D5CDD505-2E9C-101B-9397-08002B2CF9AE}" pid="19" name="_vti_ItemHoldRecordStatus">
    <vt:i4>273</vt:i4>
  </property>
  <property fmtid="{D5CDD505-2E9C-101B-9397-08002B2CF9AE}" pid="20" name="IconOverlay">
    <vt:lpwstr>|docx|lockoverlay.png</vt:lpwstr>
  </property>
  <property fmtid="{D5CDD505-2E9C-101B-9397-08002B2CF9AE}" pid="21" name="ecm_RecordRestrictions">
    <vt:lpwstr>BlockDelete, BlockEdit</vt:lpwstr>
  </property>
  <property fmtid="{D5CDD505-2E9C-101B-9397-08002B2CF9AE}" pid="22" name="ecm_ItemLockHolders">
    <vt:lpwstr>ecm_InPlaceRecordLock</vt:lpwstr>
  </property>
</Properties>
</file>