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1F7A0"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Tomas Soley Pérez</w:t>
      </w:r>
    </w:p>
    <w:p w14:paraId="5995B46D" w14:textId="77777777" w:rsidR="006A3734" w:rsidRPr="006A3734" w:rsidRDefault="006A3734" w:rsidP="006A3734">
      <w:pPr>
        <w:ind w:hanging="567"/>
        <w:jc w:val="both"/>
        <w:rPr>
          <w:rFonts w:ascii="Cambria" w:hAnsi="Cambria"/>
          <w:i/>
          <w:color w:val="000000"/>
        </w:rPr>
      </w:pPr>
      <w:r w:rsidRPr="006A3734">
        <w:rPr>
          <w:rFonts w:ascii="Cambria" w:hAnsi="Cambria"/>
          <w:i/>
          <w:color w:val="000000"/>
        </w:rPr>
        <w:t>Superintendente de Seguros</w:t>
      </w:r>
    </w:p>
    <w:p w14:paraId="5F37AAD0" w14:textId="77777777" w:rsidR="00B330AC" w:rsidRDefault="00B330AC" w:rsidP="009618C8">
      <w:pPr>
        <w:jc w:val="both"/>
        <w:rPr>
          <w:rFonts w:ascii="Cambria" w:hAnsi="Cambria"/>
          <w:color w:val="000000"/>
        </w:rPr>
      </w:pPr>
    </w:p>
    <w:p w14:paraId="75A0D902" w14:textId="77777777" w:rsidR="009618C8" w:rsidRDefault="009618C8" w:rsidP="009618C8">
      <w:pPr>
        <w:jc w:val="both"/>
        <w:rPr>
          <w:rFonts w:ascii="Cambria" w:hAnsi="Cambria"/>
          <w:color w:val="000000"/>
        </w:rPr>
      </w:pPr>
    </w:p>
    <w:p w14:paraId="36B20DB3" w14:textId="77777777" w:rsidR="009618C8" w:rsidRDefault="009618C8" w:rsidP="009618C8">
      <w:pPr>
        <w:jc w:val="both"/>
        <w:rPr>
          <w:rFonts w:asciiTheme="majorHAnsi" w:hAnsiTheme="majorHAnsi"/>
          <w:b/>
          <w:bCs/>
        </w:rPr>
      </w:pPr>
    </w:p>
    <w:p w14:paraId="67C45C20" w14:textId="77777777" w:rsidR="00B330AC" w:rsidRDefault="00B330AC" w:rsidP="00B330AC">
      <w:pPr>
        <w:jc w:val="center"/>
        <w:rPr>
          <w:rFonts w:asciiTheme="majorHAnsi" w:hAnsiTheme="majorHAnsi"/>
          <w:b/>
          <w:bCs/>
        </w:rPr>
      </w:pPr>
      <w:r>
        <w:rPr>
          <w:rFonts w:asciiTheme="majorHAnsi" w:hAnsiTheme="majorHAnsi"/>
          <w:b/>
          <w:bCs/>
        </w:rPr>
        <w:t>ACUERDO DE SUPERINTENDENTE</w:t>
      </w:r>
    </w:p>
    <w:p w14:paraId="730F1821" w14:textId="50F5D704" w:rsidR="00B330AC" w:rsidRDefault="00B330AC" w:rsidP="00B330AC">
      <w:pPr>
        <w:jc w:val="center"/>
        <w:rPr>
          <w:rFonts w:asciiTheme="majorHAnsi" w:hAnsiTheme="majorHAnsi"/>
          <w:b/>
          <w:bCs/>
        </w:rPr>
      </w:pPr>
      <w:r>
        <w:rPr>
          <w:rFonts w:asciiTheme="majorHAnsi" w:hAnsiTheme="majorHAnsi"/>
          <w:b/>
          <w:bCs/>
        </w:rPr>
        <w:t>SGS-A-0</w:t>
      </w:r>
      <w:r w:rsidR="00BE7CC6">
        <w:rPr>
          <w:rFonts w:asciiTheme="majorHAnsi" w:hAnsiTheme="majorHAnsi"/>
          <w:b/>
          <w:bCs/>
        </w:rPr>
        <w:t>076</w:t>
      </w:r>
      <w:r>
        <w:rPr>
          <w:rFonts w:asciiTheme="majorHAnsi" w:hAnsiTheme="majorHAnsi"/>
          <w:b/>
          <w:bCs/>
        </w:rPr>
        <w:t>-20</w:t>
      </w:r>
      <w:r w:rsidR="00BE7CC6">
        <w:rPr>
          <w:rFonts w:asciiTheme="majorHAnsi" w:hAnsiTheme="majorHAnsi"/>
          <w:b/>
          <w:bCs/>
        </w:rPr>
        <w:t>21</w:t>
      </w:r>
    </w:p>
    <w:p w14:paraId="251DA865" w14:textId="77777777" w:rsidR="00744A2C" w:rsidRDefault="00744A2C" w:rsidP="007F09F5">
      <w:pPr>
        <w:jc w:val="both"/>
        <w:rPr>
          <w:rFonts w:ascii="Cambria" w:hAnsi="Cambria"/>
        </w:rPr>
      </w:pPr>
    </w:p>
    <w:p w14:paraId="1FC0929B" w14:textId="77777777" w:rsidR="00636E75" w:rsidRPr="00B657F7" w:rsidRDefault="00636E75" w:rsidP="00636E75">
      <w:pPr>
        <w:jc w:val="center"/>
        <w:rPr>
          <w:rFonts w:asciiTheme="majorHAnsi" w:hAnsiTheme="majorHAnsi"/>
          <w:b/>
          <w:lang w:val="es-CR"/>
        </w:rPr>
      </w:pPr>
      <w:r w:rsidRPr="00B657F7">
        <w:rPr>
          <w:rFonts w:ascii="Cambria" w:hAnsi="Cambria" w:cs="Arial"/>
          <w:b/>
          <w:lang w:val="es-CR"/>
        </w:rPr>
        <w:t>Modificación de Acuerdos SGS-A-014-2011, SGS-DES-A-021-2013 y SGS-A-057-2017 para la remisión de información mediante Requerimientos del Servicio de Ejecución de Estudios (EES)</w:t>
      </w:r>
    </w:p>
    <w:p w14:paraId="39C5153B" w14:textId="77777777" w:rsidR="00636E75" w:rsidRPr="00B657F7" w:rsidRDefault="00636E75" w:rsidP="00636E75">
      <w:pPr>
        <w:jc w:val="both"/>
        <w:rPr>
          <w:rFonts w:asciiTheme="majorHAnsi" w:hAnsiTheme="majorHAnsi"/>
          <w:color w:val="000000"/>
          <w:lang w:val="es-CR"/>
        </w:rPr>
      </w:pPr>
    </w:p>
    <w:p w14:paraId="58CC58DD" w14:textId="0290F369" w:rsidR="00636E75" w:rsidRPr="00B657F7" w:rsidRDefault="00636E75" w:rsidP="00636E75">
      <w:pPr>
        <w:jc w:val="both"/>
        <w:rPr>
          <w:rFonts w:ascii="Cambria" w:hAnsi="Cambria" w:cs="Arial"/>
          <w:lang w:val="es-CR"/>
        </w:rPr>
      </w:pPr>
      <w:r w:rsidRPr="00B657F7">
        <w:rPr>
          <w:rFonts w:ascii="Cambria" w:hAnsi="Cambria" w:cs="Arial"/>
          <w:lang w:val="es-CR"/>
        </w:rPr>
        <w:t xml:space="preserve">El Superintendente General de Seguros, a las </w:t>
      </w:r>
      <w:r>
        <w:rPr>
          <w:rFonts w:ascii="Cambria" w:hAnsi="Cambria" w:cs="Arial"/>
          <w:lang w:val="es-CR"/>
        </w:rPr>
        <w:t>nueve</w:t>
      </w:r>
      <w:r w:rsidRPr="00B657F7">
        <w:rPr>
          <w:rFonts w:ascii="Cambria" w:hAnsi="Cambria" w:cs="Arial"/>
          <w:lang w:val="es-CR"/>
        </w:rPr>
        <w:t xml:space="preserve"> horas </w:t>
      </w:r>
      <w:r>
        <w:rPr>
          <w:rFonts w:ascii="Cambria" w:hAnsi="Cambria" w:cs="Arial"/>
          <w:lang w:val="es-CR"/>
        </w:rPr>
        <w:t xml:space="preserve">y treinta minutos </w:t>
      </w:r>
      <w:r w:rsidRPr="00B657F7">
        <w:rPr>
          <w:rFonts w:ascii="Cambria" w:hAnsi="Cambria" w:cs="Arial"/>
          <w:lang w:val="es-CR"/>
        </w:rPr>
        <w:t xml:space="preserve">del </w:t>
      </w:r>
      <w:r>
        <w:rPr>
          <w:rFonts w:ascii="Cambria" w:hAnsi="Cambria" w:cs="Arial"/>
          <w:lang w:val="es-CR"/>
        </w:rPr>
        <w:t>veinticuatro</w:t>
      </w:r>
      <w:r w:rsidRPr="00B657F7">
        <w:rPr>
          <w:rFonts w:ascii="Cambria" w:hAnsi="Cambria" w:cs="Arial"/>
          <w:lang w:val="es-CR"/>
        </w:rPr>
        <w:t xml:space="preserve"> de febrero de dos mil veintiuno.</w:t>
      </w:r>
    </w:p>
    <w:p w14:paraId="327A0DB9" w14:textId="77777777" w:rsidR="00636E75" w:rsidRPr="00B657F7" w:rsidRDefault="00636E75" w:rsidP="00636E75">
      <w:pPr>
        <w:jc w:val="both"/>
        <w:rPr>
          <w:rFonts w:ascii="Cambria" w:hAnsi="Cambria" w:cs="Arial"/>
          <w:b/>
          <w:lang w:val="es-CR"/>
        </w:rPr>
      </w:pPr>
    </w:p>
    <w:p w14:paraId="0F6D3A37" w14:textId="77777777" w:rsidR="00636E75" w:rsidRPr="00B657F7" w:rsidRDefault="00636E75" w:rsidP="00636E75">
      <w:pPr>
        <w:jc w:val="both"/>
        <w:rPr>
          <w:rFonts w:ascii="Cambria" w:hAnsi="Cambria" w:cs="Arial"/>
          <w:b/>
          <w:lang w:val="es-CR"/>
        </w:rPr>
      </w:pPr>
      <w:bookmarkStart w:id="0" w:name="_GoBack"/>
      <w:bookmarkEnd w:id="0"/>
    </w:p>
    <w:p w14:paraId="6C5F18CF" w14:textId="77777777" w:rsidR="00636E75" w:rsidRPr="00B657F7" w:rsidRDefault="00636E75" w:rsidP="00636E75">
      <w:pPr>
        <w:jc w:val="center"/>
        <w:rPr>
          <w:rFonts w:ascii="Cambria" w:hAnsi="Cambria" w:cs="Arial"/>
          <w:b/>
          <w:sz w:val="28"/>
          <w:szCs w:val="28"/>
          <w:lang w:val="es-CR"/>
        </w:rPr>
      </w:pPr>
      <w:r w:rsidRPr="00B657F7">
        <w:rPr>
          <w:rFonts w:ascii="Cambria" w:hAnsi="Cambria" w:cs="Arial"/>
          <w:b/>
          <w:sz w:val="28"/>
          <w:szCs w:val="28"/>
          <w:lang w:val="es-CR"/>
        </w:rPr>
        <w:t>Considerando que:</w:t>
      </w:r>
    </w:p>
    <w:p w14:paraId="1747AC52" w14:textId="77777777" w:rsidR="00636E75" w:rsidRPr="00B657F7" w:rsidRDefault="00636E75" w:rsidP="00636E75">
      <w:pPr>
        <w:jc w:val="both"/>
        <w:rPr>
          <w:rFonts w:asciiTheme="majorHAnsi" w:hAnsiTheme="majorHAnsi"/>
          <w:color w:val="000000"/>
          <w:lang w:val="es-CR"/>
        </w:rPr>
      </w:pPr>
    </w:p>
    <w:p w14:paraId="33AA87A7" w14:textId="77777777" w:rsidR="00636E75" w:rsidRPr="00B657F7" w:rsidRDefault="00636E75" w:rsidP="00636E75">
      <w:pPr>
        <w:jc w:val="both"/>
        <w:rPr>
          <w:rFonts w:asciiTheme="majorHAnsi" w:hAnsiTheme="majorHAnsi"/>
          <w:color w:val="000000"/>
          <w:lang w:val="es-CR"/>
        </w:rPr>
      </w:pPr>
    </w:p>
    <w:p w14:paraId="3022DE8C"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El artículo 29, de la Ley Reguladora del Mercado de Seguros (en adelante LRMS), N° 8653, establece como objetivo de la Superintendencia General de Seguros (en adelante la SUGESE) </w:t>
      </w:r>
      <w:r w:rsidRPr="00B657F7">
        <w:rPr>
          <w:rFonts w:ascii="Cambria" w:hAnsi="Cambria" w:cs="Arial"/>
          <w:i/>
          <w:lang w:val="es-CR"/>
        </w:rPr>
        <w:t xml:space="preserve">“velar por la estabilidad y el eficiente funcionamiento del mercado de seguros, así como entregar la más amplia información a los asegurados”. </w:t>
      </w:r>
      <w:r w:rsidRPr="00B657F7">
        <w:rPr>
          <w:rFonts w:ascii="Cambria" w:hAnsi="Cambria" w:cs="Arial"/>
          <w:lang w:val="es-CR"/>
        </w:rPr>
        <w:t>Además, para cumplir el objetivo mencionado, el inciso j) del artículo 29 de dicha ley faculta a la SUGESE para dictar las normas y directrices de carácter técnico u operativo que se requieran.</w:t>
      </w:r>
    </w:p>
    <w:p w14:paraId="44C06246" w14:textId="77777777" w:rsidR="00636E75" w:rsidRPr="00B657F7" w:rsidRDefault="00636E75" w:rsidP="00636E75">
      <w:pPr>
        <w:jc w:val="both"/>
        <w:rPr>
          <w:rFonts w:ascii="Cambria" w:hAnsi="Cambria" w:cs="Arial"/>
          <w:lang w:val="es-CR"/>
        </w:rPr>
      </w:pPr>
    </w:p>
    <w:p w14:paraId="2386E0DD"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De conformidad con los artículos 25 incisos c), r) y t) y 26 inciso g), de la LRMS, las entidades aseguradoras, reaseguradoras e intermediarios están obligados a proporcionar a la Superintendencia la información correcta y completa. Adicionalmente, el último párrafo de ambos artículos mencionado establece que </w:t>
      </w:r>
      <w:r w:rsidRPr="00B657F7">
        <w:rPr>
          <w:rFonts w:ascii="Cambria" w:hAnsi="Cambria" w:cs="Arial"/>
          <w:i/>
          <w:iCs/>
          <w:lang w:val="es-CR"/>
        </w:rPr>
        <w:t>“Para las obligaciones señaladas en este artículo, el Consejo Nacional y la Superintendencia, según corresponda, podrán emitir la normativa necesaria que determine el contenido de las obligaciones, la periodicidad, las condiciones, los formatos, los términos, la operatividad y en general, cualquier aspecto necesario para su efectivo cumplimiento, supervisión, verificación y sanción en caso de inobservancia.”</w:t>
      </w:r>
    </w:p>
    <w:p w14:paraId="086D3210" w14:textId="77777777" w:rsidR="00636E75" w:rsidRPr="00B657F7" w:rsidRDefault="00636E75" w:rsidP="00636E75">
      <w:pPr>
        <w:pStyle w:val="Prrafodelista"/>
        <w:rPr>
          <w:rFonts w:ascii="Cambria" w:hAnsi="Cambria" w:cs="Arial"/>
          <w:lang w:val="es-CR"/>
        </w:rPr>
      </w:pPr>
    </w:p>
    <w:p w14:paraId="602656FE"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Mediante artículos 6 y 7 de las actas de las sesiones 1442-2018 y 1443-2018 ambas del 11 de setiembre de 2018 el </w:t>
      </w:r>
      <w:r w:rsidRPr="00B657F7">
        <w:rPr>
          <w:rFonts w:ascii="Cambria" w:hAnsi="Cambria" w:cs="Arial"/>
          <w:i/>
          <w:iCs/>
          <w:lang w:val="es-CR"/>
        </w:rPr>
        <w:t>Consejo Nacional de Supervisión del Sistema Financiero</w:t>
      </w:r>
      <w:r w:rsidRPr="00B657F7">
        <w:rPr>
          <w:rFonts w:ascii="Cambria" w:hAnsi="Cambria" w:cs="Arial"/>
          <w:lang w:val="es-CR"/>
        </w:rPr>
        <w:t xml:space="preserve"> (en adelante CONASSIF), aprobó el </w:t>
      </w:r>
      <w:r w:rsidRPr="00B657F7">
        <w:rPr>
          <w:rFonts w:ascii="Cambria" w:hAnsi="Cambria" w:cs="Arial"/>
          <w:i/>
          <w:iCs/>
          <w:lang w:val="es-CR"/>
        </w:rPr>
        <w:t>Reglamento de Información Financiera</w:t>
      </w:r>
      <w:r w:rsidRPr="00B657F7">
        <w:rPr>
          <w:rFonts w:ascii="Cambria" w:hAnsi="Cambria" w:cs="Arial"/>
          <w:lang w:val="es-CR"/>
        </w:rPr>
        <w:t xml:space="preserve">, el cual tienen por objeto, establecer el contenido, preparación, remisión, presentación y publicación </w:t>
      </w:r>
      <w:r w:rsidRPr="00B657F7">
        <w:rPr>
          <w:rFonts w:ascii="Cambria" w:hAnsi="Cambria" w:cs="Arial"/>
          <w:lang w:val="es-CR"/>
        </w:rPr>
        <w:lastRenderedPageBreak/>
        <w:t>de los estados financieros de las entidades individuales, grupos y conglomerados financieros supervisados por las cuatro Superintendencias.</w:t>
      </w:r>
    </w:p>
    <w:p w14:paraId="39E43D8B" w14:textId="77777777" w:rsidR="00636E75" w:rsidRPr="00B657F7" w:rsidRDefault="00636E75" w:rsidP="00636E75">
      <w:pPr>
        <w:pStyle w:val="Prrafodelista"/>
        <w:rPr>
          <w:rFonts w:ascii="Cambria" w:hAnsi="Cambria" w:cs="Arial"/>
          <w:lang w:val="es-CR"/>
        </w:rPr>
      </w:pPr>
    </w:p>
    <w:p w14:paraId="0419CD39"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Mediante artículos 8 y 6 de las actas de las sesiones 1602-2020 y 1604-2020 del 31 de agosto y 7 de setiembre de 2020, respectivamente, el CONASSIF, acordó modificar los artículos 33 y 36 del </w:t>
      </w:r>
      <w:r w:rsidRPr="00B657F7">
        <w:rPr>
          <w:rFonts w:ascii="Cambria" w:hAnsi="Cambria" w:cs="Arial"/>
          <w:i/>
          <w:iCs/>
          <w:lang w:val="es-CR"/>
        </w:rPr>
        <w:t>Reglamento de Información Financiera</w:t>
      </w:r>
      <w:r w:rsidRPr="00B657F7">
        <w:rPr>
          <w:rFonts w:ascii="Cambria" w:hAnsi="Cambria" w:cs="Arial"/>
          <w:lang w:val="es-CR"/>
        </w:rPr>
        <w:t xml:space="preserve">, el artículo 37 de la </w:t>
      </w:r>
      <w:r w:rsidRPr="00B657F7">
        <w:rPr>
          <w:rFonts w:ascii="Cambria" w:hAnsi="Cambria" w:cs="Arial"/>
          <w:i/>
          <w:iCs/>
          <w:lang w:val="es-CR"/>
        </w:rPr>
        <w:t>Normativa para el Cumplimiento de la Ley 8204</w:t>
      </w:r>
      <w:r w:rsidRPr="00B657F7">
        <w:rPr>
          <w:rFonts w:ascii="Cambria" w:hAnsi="Cambria" w:cs="Arial"/>
          <w:lang w:val="es-CR"/>
        </w:rPr>
        <w:t xml:space="preserve">, el artículo 13 del </w:t>
      </w:r>
      <w:r w:rsidRPr="00B657F7">
        <w:rPr>
          <w:rFonts w:ascii="Cambria" w:hAnsi="Cambria" w:cs="Arial"/>
          <w:i/>
          <w:iCs/>
          <w:lang w:val="es-CR"/>
        </w:rPr>
        <w:t>Reglamento General de Gestión de la Tecnología de Información</w:t>
      </w:r>
      <w:r w:rsidRPr="00B657F7">
        <w:rPr>
          <w:rFonts w:ascii="Cambria" w:hAnsi="Cambria" w:cs="Arial"/>
          <w:lang w:val="es-CR"/>
        </w:rPr>
        <w:t xml:space="preserve">, el artículo 20 del </w:t>
      </w:r>
      <w:r w:rsidRPr="00B657F7">
        <w:rPr>
          <w:rFonts w:ascii="Cambria" w:hAnsi="Cambria" w:cs="Arial"/>
          <w:i/>
          <w:iCs/>
          <w:lang w:val="es-CR"/>
        </w:rPr>
        <w:t>Reglamento General de Auditores Externos</w:t>
      </w:r>
      <w:r w:rsidRPr="00B657F7">
        <w:rPr>
          <w:rFonts w:ascii="Cambria" w:hAnsi="Cambria" w:cs="Arial"/>
          <w:lang w:val="es-CR"/>
        </w:rPr>
        <w:t xml:space="preserve"> con el propósito de permitir la recepción de los informes remitidos por los Auditores Externos en forma digital, de conformidad con el procedimiento autorizado por el Colegio de Contadores Públicos de Costa Rica, además para las entidades aseguradoras, reaseguradoras e intermediarios de seguros, en el acuerdo se determinó que la presentación de la información se realizará de conformidad con lo indicado por el Superintendente mediante acuerdo general.</w:t>
      </w:r>
    </w:p>
    <w:p w14:paraId="6CE2C15F" w14:textId="77777777" w:rsidR="00636E75" w:rsidRPr="00B657F7" w:rsidRDefault="00636E75" w:rsidP="00636E75">
      <w:pPr>
        <w:pStyle w:val="Prrafodelista"/>
        <w:rPr>
          <w:rFonts w:ascii="Cambria" w:hAnsi="Cambria" w:cs="Arial"/>
          <w:lang w:val="es-CR"/>
        </w:rPr>
      </w:pPr>
    </w:p>
    <w:p w14:paraId="52214628"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Mediante artículo 8 del acta de la sesión 1050-2013, celebrada el 2 de julio de 2013, el CONASSIF aprobó el </w:t>
      </w:r>
      <w:r w:rsidRPr="00B657F7">
        <w:rPr>
          <w:rFonts w:ascii="Cambria" w:hAnsi="Cambria" w:cs="Arial"/>
          <w:i/>
          <w:iCs/>
          <w:lang w:val="es-CR"/>
        </w:rPr>
        <w:t>Reglamento sobre la Solvencia de Entidades de Seguros y Reaseguros</w:t>
      </w:r>
      <w:r w:rsidRPr="00B657F7">
        <w:rPr>
          <w:rFonts w:ascii="Cambria" w:hAnsi="Cambria" w:cs="Arial"/>
          <w:lang w:val="es-CR"/>
        </w:rPr>
        <w:t xml:space="preserve">, que en el artículo 14 indica: </w:t>
      </w:r>
      <w:r w:rsidRPr="00B657F7">
        <w:rPr>
          <w:rFonts w:ascii="Cambria" w:hAnsi="Cambria" w:cs="Arial"/>
          <w:i/>
          <w:iCs/>
          <w:lang w:val="es-CR"/>
        </w:rPr>
        <w:t>“Las entidades deben informar a la Superintendencia, con la periodicidad y en la forma que esta establezca, sobre el resultado del cálculo del ISC. En todo caso, la Superintendencia puede requerir a una entidad, en cualquier momento, la verificación del cumplimiento del índice de suficiencia de capital.”</w:t>
      </w:r>
      <w:r w:rsidRPr="00B657F7">
        <w:rPr>
          <w:rFonts w:ascii="Cambria" w:hAnsi="Cambria" w:cs="Arial"/>
          <w:lang w:val="es-CR"/>
        </w:rPr>
        <w:t xml:space="preserve"> </w:t>
      </w:r>
    </w:p>
    <w:p w14:paraId="618D550E" w14:textId="77777777" w:rsidR="00636E75" w:rsidRPr="00B657F7" w:rsidRDefault="00636E75" w:rsidP="00636E75">
      <w:pPr>
        <w:pStyle w:val="Prrafodelista"/>
        <w:rPr>
          <w:rFonts w:ascii="Cambria" w:hAnsi="Cambria" w:cs="Arial"/>
          <w:lang w:val="es-CR"/>
        </w:rPr>
      </w:pPr>
    </w:p>
    <w:p w14:paraId="0604E2D7"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Según la </w:t>
      </w:r>
      <w:r w:rsidRPr="00B657F7">
        <w:rPr>
          <w:rFonts w:ascii="Cambria" w:hAnsi="Cambria" w:cs="Arial"/>
          <w:i/>
          <w:iCs/>
          <w:lang w:val="es-CR"/>
        </w:rPr>
        <w:t>Normativa para el cumplimiento de la Ley 8204</w:t>
      </w:r>
      <w:r w:rsidRPr="00B657F7">
        <w:rPr>
          <w:rFonts w:ascii="Cambria" w:hAnsi="Cambria" w:cs="Arial"/>
          <w:lang w:val="es-CR"/>
        </w:rPr>
        <w:t>, los sujetos fiscalizados deben reportar a la Superintendencia, las transacciones realizadas por sus clientes en efectivo o mediante transferencias desde o hacia el exterior, ya sean únicas o múltiples, que igualen o superen los US$10,000.00 (diez mil dólares en la moneda de los Estados Unidos de América) o su equivalente en otra moneda. Dicho reporte debe ser remitido por el medio y forma que indique la Superintendencia.</w:t>
      </w:r>
    </w:p>
    <w:p w14:paraId="047F030A" w14:textId="77777777" w:rsidR="00636E75" w:rsidRPr="00B657F7" w:rsidRDefault="00636E75" w:rsidP="00636E75">
      <w:pPr>
        <w:pStyle w:val="Prrafodelista"/>
        <w:rPr>
          <w:rFonts w:ascii="Cambria" w:hAnsi="Cambria" w:cs="Arial"/>
          <w:lang w:val="es-CR"/>
        </w:rPr>
      </w:pPr>
    </w:p>
    <w:p w14:paraId="17A43B33"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Según el artículo 29 de la Ley N° 8653, al Superintendente le aplica el artículo 180 de la Ley Reguladora del Mercado de Valores, el cual permite a la SUGESE utilizar medios electrónicos o magnéticos de transmisión y almacenamiento de datos, para solicitar información a las entidades supervisadas y para mantener sus archivos, actas y demás documentos. La información así mantenida tiene valor probatorio equivalente al de los documentos físicos para todos los efectos legales.</w:t>
      </w:r>
    </w:p>
    <w:p w14:paraId="127FDF95" w14:textId="77777777" w:rsidR="00636E75" w:rsidRPr="00B657F7" w:rsidRDefault="00636E75" w:rsidP="00636E75">
      <w:pPr>
        <w:pStyle w:val="Prrafodelista"/>
        <w:rPr>
          <w:rFonts w:ascii="Cambria" w:hAnsi="Cambria" w:cs="Arial"/>
          <w:lang w:val="es-CR"/>
        </w:rPr>
      </w:pPr>
    </w:p>
    <w:p w14:paraId="4EB1189E"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La remisión de información de manera periódica constituye una herramienta fundamental para las labores de supervisión y control desarrolladas por la </w:t>
      </w:r>
      <w:r w:rsidRPr="00B657F7">
        <w:rPr>
          <w:rFonts w:ascii="Cambria" w:hAnsi="Cambria" w:cs="Arial"/>
          <w:lang w:val="es-CR"/>
        </w:rPr>
        <w:lastRenderedPageBreak/>
        <w:t>Superintendencia en cumplimiento de lo requerido por el ordenamiento jurídico.  De acuerdo con el principio 9 de IAIS, relacionado con la revisión del supervisor, para una supervisión efectiva, la entidad supervisora debe obtener la información necesaria para llevar a cabo sus labores de supervisar y analizar a las aseguradoras y evaluar el mercado de seguros.  Para cumplir con lo señalado en ese principio se indican como prácticas adecuadas las siguientes: establecer requisitos para la presentación de información financiera y estadística, en forma regular, sistemática e integral para la totalidad de las entidades participantes; definir el alcance, contenido y frecuencia de la referida información y establecer procedimientos y pautas escritas para la realización de informes entregados al supervisor.</w:t>
      </w:r>
    </w:p>
    <w:p w14:paraId="7B0A35CB" w14:textId="77777777" w:rsidR="00636E75" w:rsidRPr="00B657F7" w:rsidRDefault="00636E75" w:rsidP="00636E75">
      <w:pPr>
        <w:pStyle w:val="Prrafodelista"/>
        <w:rPr>
          <w:rFonts w:ascii="Cambria" w:hAnsi="Cambria" w:cs="Arial"/>
          <w:lang w:val="es-CR"/>
        </w:rPr>
      </w:pPr>
    </w:p>
    <w:p w14:paraId="51BEA920"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La SUGESE, mediante acuerdo SGS-DES-A-021-2013, del 23 de mayo de 2013, emitió las </w:t>
      </w:r>
      <w:r w:rsidRPr="00B657F7">
        <w:rPr>
          <w:rFonts w:ascii="Cambria" w:hAnsi="Cambria" w:cs="Arial"/>
          <w:i/>
          <w:iCs/>
          <w:lang w:val="es-CR"/>
        </w:rPr>
        <w:t>Disposiciones para la Remisión de la Información Contable y Estadística a la Superintendencia General de Seguros por parte de las Entidades Supervisadas</w:t>
      </w:r>
      <w:r w:rsidRPr="00B657F7">
        <w:rPr>
          <w:rFonts w:ascii="Cambria" w:hAnsi="Cambria" w:cs="Arial"/>
          <w:lang w:val="es-CR"/>
        </w:rPr>
        <w:t>, cuyo alcance se refiere a la remisión de información contable y estadística, entre otros temas en este acuerdo se define el medio mediante el cual  se debe remitir la información al supervisor  y es aplicable a las aseguradoras, reasegurados e intermediarios de seguros supervisados por la Superintendencia General de Seguros. En este sentido es relevante que la remisión de información se realice por medios confiables y seguros para la Superintendencia y para la entidad supervisada, a efectos de brindar efectividad y seguridad de los procesos de remisión de información.</w:t>
      </w:r>
    </w:p>
    <w:p w14:paraId="1A6B1E8C" w14:textId="77777777" w:rsidR="00636E75" w:rsidRPr="00B657F7" w:rsidRDefault="00636E75" w:rsidP="00636E75">
      <w:pPr>
        <w:pStyle w:val="Prrafodelista"/>
        <w:rPr>
          <w:rFonts w:ascii="Cambria" w:hAnsi="Cambria" w:cs="Arial"/>
          <w:lang w:val="es-CR"/>
        </w:rPr>
      </w:pPr>
    </w:p>
    <w:p w14:paraId="1A7FA63F"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La SUGESE, mediante acuerdo SGS-DES-A-057-2017, del 17 de octubre de 2017, emitió </w:t>
      </w:r>
      <w:r w:rsidRPr="00B657F7">
        <w:rPr>
          <w:rFonts w:ascii="Cambria" w:hAnsi="Cambria" w:cs="Arial"/>
          <w:i/>
          <w:iCs/>
          <w:lang w:val="es-CR"/>
        </w:rPr>
        <w:t>Lineamientos Generales para el uso del servicio Ejecución de Estudios y Seguimiento</w:t>
      </w:r>
      <w:r w:rsidRPr="00B657F7">
        <w:rPr>
          <w:rFonts w:ascii="Cambria" w:hAnsi="Cambria" w:cs="Arial"/>
          <w:lang w:val="es-CR"/>
        </w:rPr>
        <w:t xml:space="preserve"> (EES), con el objetivo de normar el procedimiento que deben seguir las entidades supervisadas para la recepción y atención de los requerimientos realizados por la SUGESE por medio del servicio disponible en la plataforma </w:t>
      </w:r>
      <w:r w:rsidRPr="00B657F7">
        <w:rPr>
          <w:rFonts w:ascii="Cambria" w:hAnsi="Cambria" w:cs="Arial"/>
          <w:i/>
          <w:iCs/>
          <w:lang w:val="es-CR"/>
        </w:rPr>
        <w:t>Sugese en Línea</w:t>
      </w:r>
      <w:r w:rsidRPr="00B657F7">
        <w:rPr>
          <w:rFonts w:ascii="Cambria" w:hAnsi="Cambria" w:cs="Arial"/>
          <w:lang w:val="es-CR"/>
        </w:rPr>
        <w:t>.  En este sentido, el uso de esta plataforma para el envío de información a la Superintendencia en lugar del correo electrónico, pues resulta un medio más eficiente y seguro para la transferencia de información.  Lo anterior hace necesaria la modificación del Acuerdo SGS-A-021-2013 para que este servicio EES sea utilizado como el medio principal para remisión de información por parte de las entidades supervisadas.</w:t>
      </w:r>
    </w:p>
    <w:p w14:paraId="2E197A02" w14:textId="77777777" w:rsidR="00636E75" w:rsidRPr="00B657F7" w:rsidRDefault="00636E75" w:rsidP="00636E75">
      <w:pPr>
        <w:pStyle w:val="Prrafodelista"/>
        <w:rPr>
          <w:rFonts w:ascii="Cambria" w:hAnsi="Cambria" w:cs="Arial"/>
          <w:lang w:val="es-CR"/>
        </w:rPr>
      </w:pPr>
    </w:p>
    <w:p w14:paraId="226A5E45"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La SUGESE mediante acuerdo SGS-A-014-2011 del 21 de diciembre de 2011 estableció los lineamientos para el uso de firma digital certificada, así como los requisitos generales para el intercambio de información entre la Superintendencia y las entidades supervisadas.  Por lo que, en concordancia con los considerandos previos, es necesario actualizar también dicho acuerdo, para eliminar el uso correo electrónico para el </w:t>
      </w:r>
      <w:r w:rsidRPr="00B657F7">
        <w:rPr>
          <w:rFonts w:ascii="Cambria" w:hAnsi="Cambria" w:cs="Arial"/>
          <w:lang w:val="es-CR"/>
        </w:rPr>
        <w:lastRenderedPageBreak/>
        <w:t>cumplimiento de las obligaciones de remisión de información y sustituirlo sustituido por el servicio EES.</w:t>
      </w:r>
    </w:p>
    <w:p w14:paraId="65AF31BD" w14:textId="77777777" w:rsidR="00636E75" w:rsidRPr="00B657F7" w:rsidRDefault="00636E75" w:rsidP="00636E75">
      <w:pPr>
        <w:pStyle w:val="Prrafodelista"/>
        <w:rPr>
          <w:rFonts w:ascii="Cambria" w:hAnsi="Cambria" w:cs="Arial"/>
          <w:lang w:val="es-CR"/>
        </w:rPr>
      </w:pPr>
    </w:p>
    <w:p w14:paraId="0D14141A"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La implementación de la firma digital y el uso de certificados digitales en los trámites realizados por la SUGESE, así como de la plataforma </w:t>
      </w:r>
      <w:r w:rsidRPr="00B657F7">
        <w:rPr>
          <w:rFonts w:ascii="Cambria" w:hAnsi="Cambria" w:cs="Arial"/>
          <w:i/>
          <w:lang w:val="es-CR"/>
        </w:rPr>
        <w:t>Sugese en Línea</w:t>
      </w:r>
      <w:r w:rsidRPr="00B657F7">
        <w:rPr>
          <w:rFonts w:ascii="Cambria" w:hAnsi="Cambria" w:cs="Arial"/>
          <w:lang w:val="es-CR"/>
        </w:rPr>
        <w:t>, han permitido aplicar los principios de autenticidad, confidencialidad, integridad y no repudio de la información que remiten las entidades supervisadas en cumplimiento de sus deberes y funciones. Además, ha facilitado la remisión de información a la Superintendencia y los trámites ante este órgano de supervisión, por lo que su adopción ha contribuido al objetivo impuesto a la SUGESE en el artículo 29 de la LRMS de velar por el eficiente funcionamiento del mercado de seguros.</w:t>
      </w:r>
    </w:p>
    <w:p w14:paraId="5653E743" w14:textId="77777777" w:rsidR="00636E75" w:rsidRPr="00B657F7" w:rsidRDefault="00636E75" w:rsidP="00636E75">
      <w:pPr>
        <w:pStyle w:val="Prrafodelista"/>
        <w:rPr>
          <w:rFonts w:ascii="Cambria" w:hAnsi="Cambria" w:cs="Arial"/>
          <w:lang w:val="es-CR"/>
        </w:rPr>
      </w:pPr>
    </w:p>
    <w:p w14:paraId="6BDBC98F" w14:textId="77777777" w:rsidR="00636E75" w:rsidRPr="00B657F7" w:rsidRDefault="00636E75" w:rsidP="00636E75">
      <w:pPr>
        <w:pStyle w:val="Prrafodelista"/>
        <w:numPr>
          <w:ilvl w:val="0"/>
          <w:numId w:val="1"/>
        </w:numPr>
        <w:ind w:left="567" w:hanging="567"/>
        <w:contextualSpacing w:val="0"/>
        <w:jc w:val="both"/>
        <w:rPr>
          <w:rFonts w:ascii="Cambria" w:hAnsi="Cambria" w:cs="Arial"/>
          <w:lang w:val="es-CR"/>
        </w:rPr>
      </w:pPr>
      <w:r w:rsidRPr="00B657F7">
        <w:rPr>
          <w:rFonts w:ascii="Cambria" w:hAnsi="Cambria" w:cs="Arial"/>
          <w:lang w:val="es-CR"/>
        </w:rPr>
        <w:t xml:space="preserve">Se han realizado mejoras en la operativa del servicio EES, para optimizar los procesos y extender su uso a otros temas de supervisión, lo que lo lleva a actualizar la normativa relacionada con servicio y la remisión de información de las entidades supervisadas a la Superintendencia.  </w:t>
      </w:r>
    </w:p>
    <w:p w14:paraId="69D05314" w14:textId="77777777" w:rsidR="00636E75" w:rsidRPr="00B657F7" w:rsidRDefault="00636E75" w:rsidP="00636E75">
      <w:pPr>
        <w:pStyle w:val="Prrafodelista"/>
        <w:rPr>
          <w:rFonts w:ascii="Cambria" w:hAnsi="Cambria" w:cs="Arial"/>
          <w:lang w:val="es-CR"/>
        </w:rPr>
      </w:pPr>
    </w:p>
    <w:p w14:paraId="78102843" w14:textId="77777777" w:rsidR="00636E75" w:rsidRPr="00B657F7" w:rsidRDefault="00636E75" w:rsidP="00636E75">
      <w:pPr>
        <w:pStyle w:val="Prrafodelista"/>
        <w:numPr>
          <w:ilvl w:val="0"/>
          <w:numId w:val="1"/>
        </w:numPr>
        <w:ind w:left="567" w:hanging="567"/>
        <w:contextualSpacing w:val="0"/>
        <w:jc w:val="both"/>
        <w:rPr>
          <w:rFonts w:ascii="Cambria" w:hAnsi="Cambria" w:cs="Arial"/>
          <w:bCs/>
          <w:lang w:val="es-CR"/>
        </w:rPr>
      </w:pPr>
      <w:r w:rsidRPr="00B657F7">
        <w:rPr>
          <w:rFonts w:ascii="Cambria" w:hAnsi="Cambria" w:cs="Arial"/>
          <w:bCs/>
          <w:lang w:val="es-CR"/>
        </w:rPr>
        <w:t xml:space="preserve">Que mediante oficio SGS-0065-2021 del 20 de enero 2021 la Superintendencia remitió en consulta a las entidades supervisadas el proyecto de modificación normativa denominado </w:t>
      </w:r>
      <w:r w:rsidRPr="00B657F7">
        <w:rPr>
          <w:rFonts w:ascii="Cambria" w:hAnsi="Cambria" w:cs="Arial"/>
          <w:bCs/>
          <w:i/>
          <w:iCs/>
          <w:lang w:val="es-CR"/>
        </w:rPr>
        <w:t xml:space="preserve">MODIFICACIÓN DE ACUERDOS SGS-A-014-2011, SGS-DES-A-021-2013 Y SGS-A-057-2017 PARA LA REMISIÓN DE INFORMACIÓN MEDIANTE REQUERIMIENTOS DEL SERVICIO DE EJECUCIÓN DE ESTUDIOS (EES), </w:t>
      </w:r>
      <w:r w:rsidRPr="00B657F7">
        <w:rPr>
          <w:rFonts w:ascii="Cambria" w:hAnsi="Cambria" w:cs="Arial"/>
          <w:bCs/>
          <w:lang w:val="es-CR"/>
        </w:rPr>
        <w:t>por un plazo de 10 días hábiles.</w:t>
      </w:r>
    </w:p>
    <w:p w14:paraId="1EE5982A" w14:textId="77777777" w:rsidR="00636E75" w:rsidRPr="00B657F7" w:rsidRDefault="00636E75" w:rsidP="00636E75">
      <w:pPr>
        <w:pStyle w:val="Prrafodelista"/>
        <w:rPr>
          <w:rFonts w:ascii="Cambria" w:hAnsi="Cambria" w:cs="Arial"/>
          <w:bCs/>
          <w:lang w:val="es-CR"/>
        </w:rPr>
      </w:pPr>
    </w:p>
    <w:p w14:paraId="690B469E" w14:textId="77777777" w:rsidR="00636E75" w:rsidRPr="00B657F7" w:rsidRDefault="00636E75" w:rsidP="00636E75">
      <w:pPr>
        <w:pStyle w:val="Prrafodelista"/>
        <w:numPr>
          <w:ilvl w:val="0"/>
          <w:numId w:val="1"/>
        </w:numPr>
        <w:ind w:left="567" w:hanging="567"/>
        <w:contextualSpacing w:val="0"/>
        <w:jc w:val="both"/>
        <w:rPr>
          <w:rFonts w:ascii="Cambria" w:hAnsi="Cambria" w:cs="Arial"/>
          <w:bCs/>
          <w:lang w:val="es-CR"/>
        </w:rPr>
      </w:pPr>
      <w:r w:rsidRPr="00B657F7">
        <w:rPr>
          <w:rFonts w:ascii="Cambria" w:hAnsi="Cambria" w:cs="Arial"/>
          <w:bCs/>
          <w:lang w:val="es-CR"/>
        </w:rPr>
        <w:t>Que una vez recibidas y analizadas las observaciones de las entidades que atendieron la consulta, lo que procede es la emisión definitiva del acuerdo por parte del Superintendente de Seguros.</w:t>
      </w:r>
    </w:p>
    <w:p w14:paraId="70A1008D" w14:textId="77777777" w:rsidR="00636E75" w:rsidRPr="00B657F7" w:rsidRDefault="00636E75" w:rsidP="00636E75">
      <w:pPr>
        <w:jc w:val="both"/>
        <w:rPr>
          <w:rFonts w:asciiTheme="majorHAnsi" w:hAnsiTheme="majorHAnsi"/>
          <w:color w:val="000000"/>
          <w:lang w:val="es-CR"/>
        </w:rPr>
      </w:pPr>
    </w:p>
    <w:p w14:paraId="6B9F034D" w14:textId="77777777" w:rsidR="00636E75" w:rsidRPr="00B657F7" w:rsidRDefault="00636E75" w:rsidP="00636E75">
      <w:pPr>
        <w:jc w:val="both"/>
        <w:rPr>
          <w:rFonts w:asciiTheme="majorHAnsi" w:hAnsiTheme="majorHAnsi"/>
          <w:color w:val="000000"/>
          <w:lang w:val="es-CR"/>
        </w:rPr>
      </w:pPr>
    </w:p>
    <w:p w14:paraId="4E4E9855" w14:textId="77777777" w:rsidR="00636E75" w:rsidRPr="00B657F7" w:rsidRDefault="00636E75" w:rsidP="00636E75">
      <w:pPr>
        <w:pStyle w:val="Prrafodelista"/>
        <w:ind w:left="0"/>
        <w:jc w:val="center"/>
        <w:rPr>
          <w:rFonts w:ascii="Cambria" w:hAnsi="Cambria" w:cs="Arial"/>
          <w:b/>
          <w:sz w:val="28"/>
          <w:szCs w:val="28"/>
          <w:lang w:val="es-CR" w:eastAsia="en-US"/>
        </w:rPr>
      </w:pPr>
      <w:r w:rsidRPr="00B657F7">
        <w:rPr>
          <w:rFonts w:ascii="Cambria" w:hAnsi="Cambria" w:cs="Arial"/>
          <w:b/>
          <w:sz w:val="28"/>
          <w:szCs w:val="28"/>
          <w:lang w:val="es-CR"/>
        </w:rPr>
        <w:t>Acuerda:</w:t>
      </w:r>
    </w:p>
    <w:p w14:paraId="3836DC5B" w14:textId="77777777" w:rsidR="00636E75" w:rsidRPr="00B657F7" w:rsidRDefault="00636E75" w:rsidP="00636E75">
      <w:pPr>
        <w:jc w:val="both"/>
        <w:rPr>
          <w:rFonts w:asciiTheme="majorHAnsi" w:hAnsiTheme="majorHAnsi"/>
          <w:color w:val="000000"/>
          <w:lang w:val="es-CR"/>
        </w:rPr>
      </w:pPr>
    </w:p>
    <w:p w14:paraId="2BB062FB" w14:textId="77777777" w:rsidR="00636E75" w:rsidRPr="00B657F7" w:rsidRDefault="00636E75" w:rsidP="00636E75">
      <w:pPr>
        <w:jc w:val="both"/>
        <w:rPr>
          <w:rFonts w:asciiTheme="majorHAnsi" w:hAnsiTheme="majorHAnsi"/>
          <w:color w:val="000000"/>
          <w:lang w:val="es-CR"/>
        </w:rPr>
      </w:pPr>
    </w:p>
    <w:p w14:paraId="28D1FB72" w14:textId="77777777" w:rsidR="00636E75" w:rsidRPr="00B657F7" w:rsidRDefault="00636E75" w:rsidP="00636E75">
      <w:pPr>
        <w:jc w:val="both"/>
        <w:rPr>
          <w:rFonts w:asciiTheme="majorHAnsi" w:hAnsiTheme="majorHAnsi"/>
          <w:color w:val="000000"/>
          <w:sz w:val="40"/>
          <w:szCs w:val="40"/>
          <w:lang w:val="es-CR"/>
        </w:rPr>
      </w:pPr>
      <w:r w:rsidRPr="00B657F7">
        <w:rPr>
          <w:rFonts w:ascii="Cambria" w:hAnsi="Cambria" w:cs="Arial"/>
          <w:b/>
          <w:bCs/>
          <w:lang w:val="es-CR"/>
        </w:rPr>
        <w:t xml:space="preserve">PRIMERO: </w:t>
      </w:r>
      <w:r w:rsidRPr="00B657F7">
        <w:rPr>
          <w:rFonts w:ascii="Cambria" w:hAnsi="Cambria" w:cs="Arial"/>
          <w:lang w:val="es-CR"/>
        </w:rPr>
        <w:t>Modificar los artículos 2, 3 y 9 del acuerdo SGS-A-021-2013, Disposiciones</w:t>
      </w:r>
      <w:r w:rsidRPr="00B657F7">
        <w:rPr>
          <w:rFonts w:ascii="Cambria" w:hAnsi="Cambria" w:cs="Arial"/>
          <w:i/>
          <w:lang w:val="es-CR"/>
        </w:rPr>
        <w:t xml:space="preserve"> para la Remisión de la Información Contable y Estadística a la Superintendencia General de Seguros por parte de las Entidades Supervisadas,</w:t>
      </w:r>
      <w:r w:rsidRPr="00B657F7">
        <w:rPr>
          <w:rFonts w:ascii="Cambria" w:hAnsi="Cambria" w:cs="Arial"/>
          <w:lang w:val="es-CR"/>
        </w:rPr>
        <w:t xml:space="preserve"> para que se lean de la siguiente forma:</w:t>
      </w:r>
    </w:p>
    <w:p w14:paraId="1AA80A1A" w14:textId="77777777" w:rsidR="00636E75" w:rsidRPr="00B657F7" w:rsidRDefault="00636E75" w:rsidP="00636E75">
      <w:pPr>
        <w:jc w:val="both"/>
        <w:rPr>
          <w:rFonts w:asciiTheme="majorHAnsi" w:hAnsiTheme="majorHAnsi"/>
          <w:color w:val="000000"/>
          <w:lang w:val="es-CR"/>
        </w:rPr>
      </w:pPr>
    </w:p>
    <w:p w14:paraId="3B983813" w14:textId="77777777" w:rsidR="00636E75" w:rsidRPr="00B657F7" w:rsidRDefault="00636E75" w:rsidP="00636E75">
      <w:pPr>
        <w:jc w:val="both"/>
        <w:rPr>
          <w:rFonts w:ascii="Cambria" w:hAnsi="Cambria"/>
          <w:b/>
          <w:lang w:val="es-CR"/>
        </w:rPr>
      </w:pPr>
      <w:r w:rsidRPr="00B657F7">
        <w:rPr>
          <w:rFonts w:ascii="Cambria" w:hAnsi="Cambria"/>
          <w:b/>
          <w:lang w:val="es-CR"/>
        </w:rPr>
        <w:t>Artículo 2. Información que deben Enviar las Entidades de Seguros, Periodicidad, Plazo y Medio de Remisión</w:t>
      </w:r>
    </w:p>
    <w:p w14:paraId="59AC0652" w14:textId="77777777" w:rsidR="00636E75" w:rsidRPr="00B657F7" w:rsidRDefault="00636E75" w:rsidP="00636E75">
      <w:pPr>
        <w:jc w:val="both"/>
        <w:rPr>
          <w:rFonts w:ascii="Cambria" w:hAnsi="Cambria"/>
          <w:lang w:val="es-CR"/>
        </w:rPr>
      </w:pPr>
      <w:r w:rsidRPr="00B657F7">
        <w:rPr>
          <w:rFonts w:ascii="Cambria" w:hAnsi="Cambria"/>
          <w:lang w:val="es-CR"/>
        </w:rPr>
        <w:t>Las entidades de seguros supervisadas deben remitir a la Superintendencia la siguiente información, en las condiciones que se indican a continuación:</w:t>
      </w:r>
    </w:p>
    <w:p w14:paraId="377B5454" w14:textId="77777777" w:rsidR="00636E75" w:rsidRPr="00B657F7" w:rsidRDefault="00636E75" w:rsidP="00636E75">
      <w:pPr>
        <w:jc w:val="both"/>
        <w:rPr>
          <w:rFonts w:ascii="Cambria" w:hAnsi="Cambria"/>
          <w:lang w:val="es-CR"/>
        </w:rPr>
      </w:pPr>
    </w:p>
    <w:tbl>
      <w:tblPr>
        <w:tblStyle w:val="Tablaconcuadrcula"/>
        <w:tblW w:w="9344" w:type="dxa"/>
        <w:jc w:val="center"/>
        <w:tblLayout w:type="fixed"/>
        <w:tblLook w:val="04A0" w:firstRow="1" w:lastRow="0" w:firstColumn="1" w:lastColumn="0" w:noHBand="0" w:noVBand="1"/>
      </w:tblPr>
      <w:tblGrid>
        <w:gridCol w:w="2403"/>
        <w:gridCol w:w="1276"/>
        <w:gridCol w:w="2258"/>
        <w:gridCol w:w="3407"/>
      </w:tblGrid>
      <w:tr w:rsidR="00636E75" w:rsidRPr="00B657F7" w14:paraId="55482BB0" w14:textId="77777777" w:rsidTr="001264D5">
        <w:trPr>
          <w:cantSplit/>
          <w:tblHeader/>
          <w:jc w:val="center"/>
        </w:trPr>
        <w:tc>
          <w:tcPr>
            <w:tcW w:w="1286" w:type="pct"/>
            <w:shd w:val="clear" w:color="auto" w:fill="A6A6A6" w:themeFill="background1" w:themeFillShade="A6"/>
            <w:vAlign w:val="center"/>
          </w:tcPr>
          <w:p w14:paraId="115EDA82" w14:textId="77777777" w:rsidR="00636E75" w:rsidRPr="00B657F7" w:rsidRDefault="00636E75" w:rsidP="001264D5">
            <w:pPr>
              <w:widowControl w:val="0"/>
              <w:jc w:val="center"/>
              <w:rPr>
                <w:rFonts w:asciiTheme="majorHAnsi" w:hAnsiTheme="majorHAnsi"/>
                <w:b/>
                <w:i/>
                <w:snapToGrid w:val="0"/>
                <w:sz w:val="20"/>
                <w:szCs w:val="20"/>
                <w:lang w:val="es-CR"/>
              </w:rPr>
            </w:pPr>
            <w:r w:rsidRPr="00B657F7">
              <w:rPr>
                <w:rFonts w:asciiTheme="majorHAnsi" w:hAnsiTheme="majorHAnsi"/>
                <w:b/>
                <w:i/>
                <w:snapToGrid w:val="0"/>
                <w:sz w:val="20"/>
                <w:szCs w:val="20"/>
                <w:lang w:val="es-CR"/>
              </w:rPr>
              <w:t>Información</w:t>
            </w:r>
          </w:p>
        </w:tc>
        <w:tc>
          <w:tcPr>
            <w:tcW w:w="683" w:type="pct"/>
            <w:shd w:val="clear" w:color="auto" w:fill="A6A6A6" w:themeFill="background1" w:themeFillShade="A6"/>
            <w:vAlign w:val="center"/>
          </w:tcPr>
          <w:p w14:paraId="7EF16558" w14:textId="77777777" w:rsidR="00636E75" w:rsidRPr="00B657F7" w:rsidRDefault="00636E75" w:rsidP="001264D5">
            <w:pPr>
              <w:pStyle w:val="Ttulo5"/>
              <w:spacing w:before="0"/>
              <w:outlineLvl w:val="4"/>
              <w:rPr>
                <w:b/>
                <w:i/>
                <w:color w:val="auto"/>
                <w:sz w:val="20"/>
                <w:szCs w:val="20"/>
                <w:lang w:val="es-CR"/>
              </w:rPr>
            </w:pPr>
            <w:r w:rsidRPr="00B657F7">
              <w:rPr>
                <w:b/>
                <w:i/>
                <w:color w:val="auto"/>
                <w:sz w:val="20"/>
                <w:szCs w:val="20"/>
                <w:lang w:val="es-CR"/>
              </w:rPr>
              <w:t>Periodicidad</w:t>
            </w:r>
          </w:p>
        </w:tc>
        <w:tc>
          <w:tcPr>
            <w:tcW w:w="1208" w:type="pct"/>
            <w:shd w:val="clear" w:color="auto" w:fill="A6A6A6" w:themeFill="background1" w:themeFillShade="A6"/>
            <w:vAlign w:val="center"/>
          </w:tcPr>
          <w:p w14:paraId="0DC9E30C" w14:textId="77777777" w:rsidR="00636E75" w:rsidRPr="00B657F7" w:rsidRDefault="00636E75" w:rsidP="001264D5">
            <w:pPr>
              <w:widowControl w:val="0"/>
              <w:jc w:val="center"/>
              <w:rPr>
                <w:rFonts w:asciiTheme="majorHAnsi" w:hAnsiTheme="majorHAnsi"/>
                <w:b/>
                <w:i/>
                <w:snapToGrid w:val="0"/>
                <w:sz w:val="20"/>
                <w:szCs w:val="20"/>
                <w:lang w:val="es-CR"/>
              </w:rPr>
            </w:pPr>
            <w:r w:rsidRPr="00B657F7">
              <w:rPr>
                <w:rFonts w:asciiTheme="majorHAnsi" w:hAnsiTheme="majorHAnsi"/>
                <w:b/>
                <w:i/>
                <w:snapToGrid w:val="0"/>
                <w:sz w:val="20"/>
                <w:szCs w:val="20"/>
                <w:lang w:val="es-CR"/>
              </w:rPr>
              <w:t>Plazo de entrega</w:t>
            </w:r>
          </w:p>
        </w:tc>
        <w:tc>
          <w:tcPr>
            <w:tcW w:w="1823" w:type="pct"/>
            <w:shd w:val="clear" w:color="auto" w:fill="A6A6A6" w:themeFill="background1" w:themeFillShade="A6"/>
            <w:vAlign w:val="center"/>
          </w:tcPr>
          <w:p w14:paraId="1518036D" w14:textId="77777777" w:rsidR="00636E75" w:rsidRPr="00B657F7" w:rsidRDefault="00636E75" w:rsidP="001264D5">
            <w:pPr>
              <w:widowControl w:val="0"/>
              <w:jc w:val="center"/>
              <w:rPr>
                <w:rFonts w:asciiTheme="majorHAnsi" w:hAnsiTheme="majorHAnsi"/>
                <w:b/>
                <w:i/>
                <w:snapToGrid w:val="0"/>
                <w:sz w:val="20"/>
                <w:szCs w:val="20"/>
                <w:lang w:val="es-CR"/>
              </w:rPr>
            </w:pPr>
            <w:r w:rsidRPr="00B657F7">
              <w:rPr>
                <w:rFonts w:asciiTheme="majorHAnsi" w:hAnsiTheme="majorHAnsi"/>
                <w:b/>
                <w:i/>
                <w:snapToGrid w:val="0"/>
                <w:sz w:val="20"/>
                <w:szCs w:val="20"/>
                <w:lang w:val="es-CR"/>
              </w:rPr>
              <w:t>Medio</w:t>
            </w:r>
          </w:p>
        </w:tc>
      </w:tr>
      <w:tr w:rsidR="00636E75" w:rsidRPr="00B657F7" w14:paraId="3E841D18" w14:textId="77777777" w:rsidTr="001264D5">
        <w:trPr>
          <w:cantSplit/>
          <w:jc w:val="center"/>
        </w:trPr>
        <w:tc>
          <w:tcPr>
            <w:tcW w:w="1286" w:type="pct"/>
          </w:tcPr>
          <w:p w14:paraId="4CC0D687" w14:textId="77777777" w:rsidR="00636E75" w:rsidRPr="00B657F7" w:rsidRDefault="00636E75" w:rsidP="001264D5">
            <w:pPr>
              <w:widowControl w:val="0"/>
              <w:jc w:val="both"/>
              <w:rPr>
                <w:rFonts w:asciiTheme="majorHAnsi" w:hAnsiTheme="majorHAnsi"/>
                <w:b/>
                <w:sz w:val="20"/>
                <w:szCs w:val="20"/>
                <w:lang w:val="es-CR"/>
              </w:rPr>
            </w:pPr>
            <w:r w:rsidRPr="00B657F7">
              <w:rPr>
                <w:rFonts w:asciiTheme="majorHAnsi" w:hAnsiTheme="majorHAnsi"/>
                <w:b/>
                <w:sz w:val="20"/>
                <w:szCs w:val="20"/>
                <w:lang w:val="es-CR"/>
              </w:rPr>
              <w:t>Régimen de suficiencia de capital y solvencia</w:t>
            </w:r>
          </w:p>
        </w:tc>
        <w:tc>
          <w:tcPr>
            <w:tcW w:w="683" w:type="pct"/>
          </w:tcPr>
          <w:p w14:paraId="1CF2DFD9" w14:textId="77777777" w:rsidR="00636E75" w:rsidRPr="00B657F7" w:rsidRDefault="00636E75" w:rsidP="001264D5">
            <w:pPr>
              <w:widowControl w:val="0"/>
              <w:jc w:val="both"/>
              <w:rPr>
                <w:rFonts w:asciiTheme="majorHAnsi" w:hAnsiTheme="majorHAnsi" w:cstheme="minorHAnsi"/>
                <w:b/>
                <w:strike/>
                <w:snapToGrid w:val="0"/>
                <w:sz w:val="20"/>
                <w:szCs w:val="20"/>
                <w:lang w:val="es-CR"/>
              </w:rPr>
            </w:pPr>
            <w:r w:rsidRPr="00B657F7">
              <w:rPr>
                <w:rFonts w:asciiTheme="majorHAnsi" w:hAnsiTheme="majorHAnsi"/>
                <w:bCs/>
                <w:sz w:val="20"/>
                <w:szCs w:val="20"/>
                <w:lang w:val="es-CR"/>
              </w:rPr>
              <w:t>Mensual</w:t>
            </w:r>
          </w:p>
        </w:tc>
        <w:tc>
          <w:tcPr>
            <w:tcW w:w="1208" w:type="pct"/>
          </w:tcPr>
          <w:p w14:paraId="2C824367"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15 días hábiles después del cierre mensual</w:t>
            </w:r>
          </w:p>
        </w:tc>
        <w:tc>
          <w:tcPr>
            <w:tcW w:w="1823" w:type="pct"/>
          </w:tcPr>
          <w:p w14:paraId="1C608968" w14:textId="77777777" w:rsidR="00636E75" w:rsidRPr="00B657F7" w:rsidRDefault="00636E75" w:rsidP="001264D5">
            <w:pPr>
              <w:widowControl w:val="0"/>
              <w:jc w:val="both"/>
              <w:rPr>
                <w:rFonts w:asciiTheme="majorHAnsi" w:hAnsiTheme="majorHAnsi" w:cstheme="minorHAnsi"/>
                <w:b/>
                <w:strike/>
                <w:snapToGrid w:val="0"/>
                <w:sz w:val="20"/>
                <w:szCs w:val="20"/>
                <w:lang w:val="es-CR"/>
              </w:rPr>
            </w:pPr>
            <w:r w:rsidRPr="00B657F7">
              <w:rPr>
                <w:rFonts w:asciiTheme="majorHAnsi" w:hAnsiTheme="majorHAnsi"/>
                <w:bCs/>
                <w:sz w:val="20"/>
                <w:szCs w:val="20"/>
                <w:lang w:val="es-CR"/>
              </w:rPr>
              <w:t xml:space="preserve">En hoja electrónica, según formato establecido en el </w:t>
            </w:r>
            <w:r w:rsidRPr="00B657F7">
              <w:rPr>
                <w:rFonts w:asciiTheme="majorHAnsi" w:hAnsiTheme="majorHAnsi"/>
                <w:b/>
                <w:sz w:val="20"/>
                <w:szCs w:val="20"/>
                <w:lang w:val="es-CR"/>
              </w:rPr>
              <w:t>Anexo</w:t>
            </w:r>
            <w:r w:rsidRPr="00B657F7">
              <w:rPr>
                <w:rFonts w:asciiTheme="majorHAnsi" w:hAnsiTheme="majorHAnsi"/>
                <w:b/>
                <w:bCs/>
                <w:sz w:val="20"/>
                <w:szCs w:val="20"/>
                <w:lang w:val="es-CR"/>
              </w:rPr>
              <w:t xml:space="preserve"> 4, </w:t>
            </w:r>
            <w:r w:rsidRPr="00B657F7">
              <w:rPr>
                <w:rFonts w:asciiTheme="majorHAnsi" w:hAnsiTheme="majorHAnsi"/>
                <w:sz w:val="20"/>
                <w:szCs w:val="20"/>
                <w:lang w:val="es-CR"/>
              </w:rPr>
              <w:t xml:space="preserve">remitida como requerimiento mediante el Servicio de Ejecución de Estudios y Seguimiento (EES) de </w:t>
            </w:r>
            <w:r w:rsidRPr="00B657F7">
              <w:rPr>
                <w:rFonts w:asciiTheme="majorHAnsi" w:hAnsiTheme="majorHAnsi"/>
                <w:i/>
                <w:iCs/>
                <w:sz w:val="20"/>
                <w:szCs w:val="20"/>
                <w:lang w:val="es-CR"/>
              </w:rPr>
              <w:t>Sugese en Línea.</w:t>
            </w:r>
          </w:p>
        </w:tc>
      </w:tr>
      <w:tr w:rsidR="00636E75" w:rsidRPr="00B657F7" w14:paraId="02EC4CF8" w14:textId="77777777" w:rsidTr="001264D5">
        <w:trPr>
          <w:cantSplit/>
          <w:jc w:val="center"/>
        </w:trPr>
        <w:tc>
          <w:tcPr>
            <w:tcW w:w="1286" w:type="pct"/>
          </w:tcPr>
          <w:p w14:paraId="6D5CF20A"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1 SSS: Balance General (Activo, Pasivo y Patrimonio)</w:t>
            </w:r>
          </w:p>
        </w:tc>
        <w:tc>
          <w:tcPr>
            <w:tcW w:w="683" w:type="pct"/>
          </w:tcPr>
          <w:p w14:paraId="21BE5F0C"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Trimestral</w:t>
            </w:r>
          </w:p>
          <w:p w14:paraId="1F511B1D" w14:textId="77777777" w:rsidR="00636E75" w:rsidRPr="00B657F7" w:rsidRDefault="00636E75" w:rsidP="001264D5">
            <w:pPr>
              <w:jc w:val="both"/>
              <w:rPr>
                <w:rFonts w:asciiTheme="majorHAnsi" w:hAnsiTheme="majorHAnsi"/>
                <w:sz w:val="20"/>
                <w:szCs w:val="20"/>
                <w:lang w:val="es-CR"/>
              </w:rPr>
            </w:pPr>
          </w:p>
          <w:p w14:paraId="0589F384" w14:textId="77777777" w:rsidR="00636E75" w:rsidRPr="00B657F7" w:rsidRDefault="00636E75" w:rsidP="001264D5">
            <w:pPr>
              <w:jc w:val="both"/>
              <w:rPr>
                <w:rFonts w:asciiTheme="majorHAnsi" w:hAnsiTheme="majorHAnsi"/>
                <w:sz w:val="20"/>
                <w:szCs w:val="20"/>
                <w:lang w:val="es-CR"/>
              </w:rPr>
            </w:pPr>
          </w:p>
        </w:tc>
        <w:tc>
          <w:tcPr>
            <w:tcW w:w="1208" w:type="pct"/>
          </w:tcPr>
          <w:p w14:paraId="184FC97A"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15 días hábiles después del cierre de los meses de marzo, junio, setiembre y diciembre</w:t>
            </w:r>
          </w:p>
        </w:tc>
        <w:tc>
          <w:tcPr>
            <w:tcW w:w="1823" w:type="pct"/>
          </w:tcPr>
          <w:p w14:paraId="47F0FB7A"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18AD8DA3" w14:textId="77777777" w:rsidTr="001264D5">
        <w:trPr>
          <w:cantSplit/>
          <w:jc w:val="center"/>
        </w:trPr>
        <w:tc>
          <w:tcPr>
            <w:tcW w:w="1286" w:type="pct"/>
          </w:tcPr>
          <w:p w14:paraId="3E516ACF"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2 SSS: Estado de Resultados y Cuenta de Resultados Técnico Financiera</w:t>
            </w:r>
          </w:p>
        </w:tc>
        <w:tc>
          <w:tcPr>
            <w:tcW w:w="683" w:type="pct"/>
          </w:tcPr>
          <w:p w14:paraId="547B6131"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Trimestral</w:t>
            </w:r>
          </w:p>
        </w:tc>
        <w:tc>
          <w:tcPr>
            <w:tcW w:w="1208" w:type="pct"/>
          </w:tcPr>
          <w:p w14:paraId="1C4C650D"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15 días hábiles después del cierre de los meses de marzo, junio, setiembre y diciembre</w:t>
            </w:r>
          </w:p>
        </w:tc>
        <w:tc>
          <w:tcPr>
            <w:tcW w:w="1823" w:type="pct"/>
          </w:tcPr>
          <w:p w14:paraId="39CD6BCE"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508366B3" w14:textId="77777777" w:rsidTr="001264D5">
        <w:trPr>
          <w:cantSplit/>
          <w:jc w:val="center"/>
        </w:trPr>
        <w:tc>
          <w:tcPr>
            <w:tcW w:w="1286" w:type="pct"/>
          </w:tcPr>
          <w:p w14:paraId="551F6AD9"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3 SSS: Inversiones Financieras</w:t>
            </w:r>
          </w:p>
        </w:tc>
        <w:tc>
          <w:tcPr>
            <w:tcW w:w="683" w:type="pct"/>
          </w:tcPr>
          <w:p w14:paraId="3152EF5C"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Mensual</w:t>
            </w:r>
          </w:p>
        </w:tc>
        <w:tc>
          <w:tcPr>
            <w:tcW w:w="1208" w:type="pct"/>
          </w:tcPr>
          <w:p w14:paraId="55B55ECF"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5 días hábiles después del cierre de cada mes.</w:t>
            </w:r>
          </w:p>
        </w:tc>
        <w:tc>
          <w:tcPr>
            <w:tcW w:w="1823" w:type="pct"/>
          </w:tcPr>
          <w:p w14:paraId="2A03027E"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77A720F8" w14:textId="77777777" w:rsidTr="001264D5">
        <w:trPr>
          <w:cantSplit/>
          <w:jc w:val="center"/>
        </w:trPr>
        <w:tc>
          <w:tcPr>
            <w:tcW w:w="1286" w:type="pct"/>
          </w:tcPr>
          <w:p w14:paraId="5C07D371"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4 SSS: Estado de Cambios en el Patrimonio</w:t>
            </w:r>
          </w:p>
        </w:tc>
        <w:tc>
          <w:tcPr>
            <w:tcW w:w="683" w:type="pct"/>
          </w:tcPr>
          <w:p w14:paraId="33477DE7"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Trimestral</w:t>
            </w:r>
          </w:p>
        </w:tc>
        <w:tc>
          <w:tcPr>
            <w:tcW w:w="1208" w:type="pct"/>
          </w:tcPr>
          <w:p w14:paraId="58B5D751" w14:textId="77777777" w:rsidR="00636E75" w:rsidRPr="00B657F7" w:rsidRDefault="00636E75" w:rsidP="001264D5">
            <w:pPr>
              <w:widowControl w:val="0"/>
              <w:jc w:val="both"/>
              <w:rPr>
                <w:rFonts w:asciiTheme="majorHAnsi" w:hAnsiTheme="majorHAnsi"/>
                <w:bCs/>
                <w:sz w:val="20"/>
                <w:szCs w:val="20"/>
                <w:highlight w:val="yellow"/>
                <w:lang w:val="es-CR"/>
              </w:rPr>
            </w:pPr>
            <w:r w:rsidRPr="00B657F7">
              <w:rPr>
                <w:rFonts w:asciiTheme="majorHAnsi" w:hAnsiTheme="majorHAnsi"/>
                <w:bCs/>
                <w:sz w:val="20"/>
                <w:szCs w:val="20"/>
                <w:lang w:val="es-CR"/>
              </w:rPr>
              <w:t>15 días hábiles después del cierre de los meses de marzo, junio, setiembre y diciembre</w:t>
            </w:r>
          </w:p>
        </w:tc>
        <w:tc>
          <w:tcPr>
            <w:tcW w:w="1823" w:type="pct"/>
          </w:tcPr>
          <w:p w14:paraId="53121471"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4918FF7D" w14:textId="77777777" w:rsidTr="001264D5">
        <w:trPr>
          <w:cantSplit/>
          <w:jc w:val="center"/>
        </w:trPr>
        <w:tc>
          <w:tcPr>
            <w:tcW w:w="1286" w:type="pct"/>
          </w:tcPr>
          <w:p w14:paraId="61A8B5D7"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5 SSS: Saldos Contables</w:t>
            </w:r>
          </w:p>
        </w:tc>
        <w:tc>
          <w:tcPr>
            <w:tcW w:w="683" w:type="pct"/>
          </w:tcPr>
          <w:p w14:paraId="2054DABD"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sz w:val="20"/>
                <w:szCs w:val="20"/>
                <w:lang w:val="es-CR"/>
              </w:rPr>
              <w:t>Mensual</w:t>
            </w:r>
          </w:p>
        </w:tc>
        <w:tc>
          <w:tcPr>
            <w:tcW w:w="1208" w:type="pct"/>
          </w:tcPr>
          <w:p w14:paraId="72585222"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sz w:val="20"/>
                <w:szCs w:val="20"/>
                <w:lang w:val="es-CR"/>
              </w:rPr>
              <w:t>5 días hábiles después del cierre de cada mes.</w:t>
            </w:r>
          </w:p>
        </w:tc>
        <w:tc>
          <w:tcPr>
            <w:tcW w:w="1823" w:type="pct"/>
          </w:tcPr>
          <w:p w14:paraId="4153DB83"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sz w:val="20"/>
                <w:szCs w:val="20"/>
                <w:lang w:val="es-CR"/>
              </w:rPr>
              <w:t xml:space="preserve">Web Service, a través de archivos *.xml, de conformidad con Estándar de Negocio para Entidades de Seguros, incluido en el </w:t>
            </w:r>
            <w:r w:rsidRPr="00B657F7">
              <w:rPr>
                <w:rFonts w:asciiTheme="majorHAnsi" w:hAnsiTheme="majorHAnsi"/>
                <w:b/>
                <w:sz w:val="20"/>
                <w:szCs w:val="20"/>
                <w:lang w:val="es-CR"/>
              </w:rPr>
              <w:t>Anexo 5.</w:t>
            </w:r>
          </w:p>
        </w:tc>
      </w:tr>
      <w:tr w:rsidR="00636E75" w:rsidRPr="00B657F7" w14:paraId="27A53C81" w14:textId="77777777" w:rsidTr="001264D5">
        <w:trPr>
          <w:cantSplit/>
          <w:jc w:val="center"/>
        </w:trPr>
        <w:tc>
          <w:tcPr>
            <w:tcW w:w="1286" w:type="pct"/>
          </w:tcPr>
          <w:p w14:paraId="5F0E4283"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6 SSS: Aporte a Bomberos</w:t>
            </w:r>
          </w:p>
        </w:tc>
        <w:tc>
          <w:tcPr>
            <w:tcW w:w="683" w:type="pct"/>
          </w:tcPr>
          <w:p w14:paraId="411A8F34"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sz w:val="20"/>
                <w:szCs w:val="20"/>
                <w:lang w:val="es-CR"/>
              </w:rPr>
              <w:t>Mensual</w:t>
            </w:r>
          </w:p>
        </w:tc>
        <w:tc>
          <w:tcPr>
            <w:tcW w:w="1208" w:type="pct"/>
          </w:tcPr>
          <w:p w14:paraId="32F4A225"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sz w:val="20"/>
                <w:szCs w:val="20"/>
                <w:lang w:val="es-CR"/>
              </w:rPr>
              <w:t>5 días hábiles después del cierre de cada mes.</w:t>
            </w:r>
          </w:p>
        </w:tc>
        <w:tc>
          <w:tcPr>
            <w:tcW w:w="1823" w:type="pct"/>
          </w:tcPr>
          <w:p w14:paraId="6DFD40A0"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sz w:val="20"/>
                <w:szCs w:val="20"/>
                <w:lang w:val="es-CR"/>
              </w:rPr>
              <w:t xml:space="preserve">Web Service, a través de archivos *.xml, de conformidad con </w:t>
            </w:r>
            <w:r w:rsidRPr="00B657F7">
              <w:rPr>
                <w:rFonts w:asciiTheme="majorHAnsi" w:hAnsiTheme="majorHAnsi"/>
                <w:i/>
                <w:sz w:val="20"/>
                <w:szCs w:val="20"/>
                <w:lang w:val="es-CR"/>
              </w:rPr>
              <w:t>Estándar de Negocio para Entidades de Seguros,</w:t>
            </w:r>
            <w:r w:rsidRPr="00B657F7">
              <w:rPr>
                <w:rFonts w:asciiTheme="majorHAnsi" w:hAnsiTheme="majorHAnsi"/>
                <w:sz w:val="20"/>
                <w:szCs w:val="20"/>
                <w:lang w:val="es-CR"/>
              </w:rPr>
              <w:t xml:space="preserve"> incluido en el </w:t>
            </w:r>
            <w:r w:rsidRPr="00B657F7">
              <w:rPr>
                <w:rFonts w:asciiTheme="majorHAnsi" w:hAnsiTheme="majorHAnsi"/>
                <w:b/>
                <w:bCs/>
                <w:sz w:val="20"/>
                <w:szCs w:val="20"/>
                <w:lang w:val="es-CR"/>
              </w:rPr>
              <w:t>Anexo 5</w:t>
            </w:r>
            <w:r w:rsidRPr="00B657F7">
              <w:rPr>
                <w:rFonts w:asciiTheme="majorHAnsi" w:hAnsiTheme="majorHAnsi"/>
                <w:sz w:val="20"/>
                <w:szCs w:val="20"/>
                <w:lang w:val="es-CR"/>
              </w:rPr>
              <w:t>.</w:t>
            </w:r>
          </w:p>
        </w:tc>
      </w:tr>
      <w:tr w:rsidR="00636E75" w:rsidRPr="00B657F7" w14:paraId="14D6390F" w14:textId="77777777" w:rsidTr="001264D5">
        <w:trPr>
          <w:cantSplit/>
          <w:jc w:val="center"/>
        </w:trPr>
        <w:tc>
          <w:tcPr>
            <w:tcW w:w="1286" w:type="pct"/>
          </w:tcPr>
          <w:p w14:paraId="090ED671"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7 SSS: Canales de Comercialización</w:t>
            </w:r>
          </w:p>
        </w:tc>
        <w:tc>
          <w:tcPr>
            <w:tcW w:w="683" w:type="pct"/>
          </w:tcPr>
          <w:p w14:paraId="19455BA9"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Trimestral</w:t>
            </w:r>
          </w:p>
        </w:tc>
        <w:tc>
          <w:tcPr>
            <w:tcW w:w="1208" w:type="pct"/>
          </w:tcPr>
          <w:p w14:paraId="14DA1520"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15 días hábiles después del cierre de los meses de marzo, junio, setiembre y diciembre</w:t>
            </w:r>
          </w:p>
        </w:tc>
        <w:tc>
          <w:tcPr>
            <w:tcW w:w="1823" w:type="pct"/>
          </w:tcPr>
          <w:p w14:paraId="0D691EFB"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02BD725D" w14:textId="77777777" w:rsidTr="001264D5">
        <w:trPr>
          <w:cantSplit/>
          <w:jc w:val="center"/>
        </w:trPr>
        <w:tc>
          <w:tcPr>
            <w:tcW w:w="1286" w:type="pct"/>
          </w:tcPr>
          <w:p w14:paraId="7957BEED"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8 SSS: Producción y Población Asegurada</w:t>
            </w:r>
          </w:p>
        </w:tc>
        <w:tc>
          <w:tcPr>
            <w:tcW w:w="683" w:type="pct"/>
          </w:tcPr>
          <w:p w14:paraId="36447911"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Trimestral</w:t>
            </w:r>
          </w:p>
        </w:tc>
        <w:tc>
          <w:tcPr>
            <w:tcW w:w="1208" w:type="pct"/>
          </w:tcPr>
          <w:p w14:paraId="7BE55B76"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15 días hábiles después del cierre de los meses de marzo, junio, setiembre y diciembre</w:t>
            </w:r>
          </w:p>
        </w:tc>
        <w:tc>
          <w:tcPr>
            <w:tcW w:w="1823" w:type="pct"/>
          </w:tcPr>
          <w:p w14:paraId="28F2B95A"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71A8CA93" w14:textId="77777777" w:rsidTr="001264D5">
        <w:trPr>
          <w:cantSplit/>
          <w:jc w:val="center"/>
        </w:trPr>
        <w:tc>
          <w:tcPr>
            <w:tcW w:w="1286" w:type="pct"/>
          </w:tcPr>
          <w:p w14:paraId="38D903E5"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9: Run Off</w:t>
            </w:r>
          </w:p>
        </w:tc>
        <w:tc>
          <w:tcPr>
            <w:tcW w:w="683" w:type="pct"/>
          </w:tcPr>
          <w:p w14:paraId="7877452D"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Trimestral</w:t>
            </w:r>
          </w:p>
        </w:tc>
        <w:tc>
          <w:tcPr>
            <w:tcW w:w="1208" w:type="pct"/>
          </w:tcPr>
          <w:p w14:paraId="12A5D027"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15 días hábiles después del cierre de los meses de marzo, junio, setiembre y diciembre</w:t>
            </w:r>
          </w:p>
        </w:tc>
        <w:tc>
          <w:tcPr>
            <w:tcW w:w="1823" w:type="pct"/>
          </w:tcPr>
          <w:p w14:paraId="7E2F24EE"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3A7D4758" w14:textId="77777777" w:rsidTr="001264D5">
        <w:trPr>
          <w:cantSplit/>
          <w:jc w:val="center"/>
        </w:trPr>
        <w:tc>
          <w:tcPr>
            <w:tcW w:w="1286" w:type="pct"/>
          </w:tcPr>
          <w:p w14:paraId="73705D04"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lastRenderedPageBreak/>
              <w:t>Modelo 10 SSS: Seguros paritarios</w:t>
            </w:r>
          </w:p>
        </w:tc>
        <w:tc>
          <w:tcPr>
            <w:tcW w:w="683" w:type="pct"/>
          </w:tcPr>
          <w:p w14:paraId="38AD46C8"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Trimestral</w:t>
            </w:r>
          </w:p>
        </w:tc>
        <w:tc>
          <w:tcPr>
            <w:tcW w:w="1208" w:type="pct"/>
          </w:tcPr>
          <w:p w14:paraId="6A8148E3"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15 días hábiles después del cierre de los meses de marzo, junio, setiembre y diciembre</w:t>
            </w:r>
          </w:p>
        </w:tc>
        <w:tc>
          <w:tcPr>
            <w:tcW w:w="1823" w:type="pct"/>
          </w:tcPr>
          <w:p w14:paraId="7CD60B52"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35F1488F" w14:textId="77777777" w:rsidTr="001264D5">
        <w:trPr>
          <w:cantSplit/>
          <w:jc w:val="center"/>
        </w:trPr>
        <w:tc>
          <w:tcPr>
            <w:tcW w:w="1286" w:type="pct"/>
          </w:tcPr>
          <w:p w14:paraId="7326CCDD"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b/>
                <w:bCs/>
                <w:sz w:val="20"/>
                <w:szCs w:val="20"/>
                <w:lang w:val="es-CR"/>
              </w:rPr>
              <w:t>Modelo 11 SSS: Primas y Siniestros</w:t>
            </w:r>
          </w:p>
        </w:tc>
        <w:tc>
          <w:tcPr>
            <w:tcW w:w="683" w:type="pct"/>
          </w:tcPr>
          <w:p w14:paraId="328E2895" w14:textId="77777777" w:rsidR="00636E75" w:rsidRPr="00B657F7" w:rsidRDefault="00636E75" w:rsidP="001264D5">
            <w:pPr>
              <w:widowControl w:val="0"/>
              <w:jc w:val="both"/>
              <w:rPr>
                <w:rFonts w:asciiTheme="majorHAnsi" w:hAnsiTheme="majorHAnsi"/>
                <w:sz w:val="20"/>
                <w:szCs w:val="20"/>
                <w:lang w:val="es-CR"/>
              </w:rPr>
            </w:pPr>
            <w:r w:rsidRPr="00B657F7">
              <w:rPr>
                <w:rFonts w:asciiTheme="majorHAnsi" w:hAnsiTheme="majorHAnsi"/>
                <w:sz w:val="20"/>
                <w:szCs w:val="20"/>
                <w:lang w:val="es-CR"/>
              </w:rPr>
              <w:t>Mensual</w:t>
            </w:r>
          </w:p>
        </w:tc>
        <w:tc>
          <w:tcPr>
            <w:tcW w:w="1208" w:type="pct"/>
          </w:tcPr>
          <w:p w14:paraId="12B79DFE" w14:textId="77777777" w:rsidR="00636E75" w:rsidRPr="00B657F7" w:rsidRDefault="00636E75" w:rsidP="001264D5">
            <w:pPr>
              <w:widowControl w:val="0"/>
              <w:ind w:left="53"/>
              <w:jc w:val="both"/>
              <w:rPr>
                <w:rFonts w:asciiTheme="majorHAnsi" w:hAnsiTheme="majorHAnsi"/>
                <w:sz w:val="20"/>
                <w:szCs w:val="20"/>
                <w:lang w:val="es-CR"/>
              </w:rPr>
            </w:pPr>
            <w:r w:rsidRPr="00B657F7">
              <w:rPr>
                <w:rFonts w:asciiTheme="majorHAnsi" w:hAnsiTheme="majorHAnsi"/>
                <w:sz w:val="20"/>
                <w:szCs w:val="20"/>
                <w:lang w:val="es-CR"/>
              </w:rPr>
              <w:t>10 días hábiles después del cierre de cada mes.</w:t>
            </w:r>
          </w:p>
          <w:p w14:paraId="2934E627" w14:textId="77777777" w:rsidR="00636E75" w:rsidRPr="00B657F7" w:rsidRDefault="00636E75" w:rsidP="001264D5">
            <w:pPr>
              <w:pStyle w:val="Textoindependiente"/>
              <w:jc w:val="both"/>
              <w:rPr>
                <w:rFonts w:asciiTheme="majorHAnsi" w:hAnsiTheme="majorHAnsi"/>
                <w:b/>
                <w:bCs/>
                <w:sz w:val="20"/>
                <w:szCs w:val="20"/>
                <w:lang w:val="es-CR"/>
              </w:rPr>
            </w:pPr>
          </w:p>
        </w:tc>
        <w:tc>
          <w:tcPr>
            <w:tcW w:w="1823" w:type="pct"/>
          </w:tcPr>
          <w:p w14:paraId="6D6E2794"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sz w:val="20"/>
                <w:szCs w:val="20"/>
                <w:lang w:val="es-CR"/>
              </w:rPr>
              <w:t xml:space="preserve">Web Service, a través de archivos *.xml, de conformidad con </w:t>
            </w:r>
            <w:r w:rsidRPr="00B657F7">
              <w:rPr>
                <w:rFonts w:asciiTheme="majorHAnsi" w:hAnsiTheme="majorHAnsi"/>
                <w:i/>
                <w:sz w:val="20"/>
                <w:szCs w:val="20"/>
                <w:lang w:val="es-CR"/>
              </w:rPr>
              <w:t>Estándar de Negocio para Entidades de Seguros,</w:t>
            </w:r>
            <w:r w:rsidRPr="00B657F7">
              <w:rPr>
                <w:rFonts w:asciiTheme="majorHAnsi" w:hAnsiTheme="majorHAnsi"/>
                <w:sz w:val="20"/>
                <w:szCs w:val="20"/>
                <w:lang w:val="es-CR"/>
              </w:rPr>
              <w:t xml:space="preserve"> incluido en el </w:t>
            </w:r>
            <w:r w:rsidRPr="00B657F7">
              <w:rPr>
                <w:rFonts w:asciiTheme="majorHAnsi" w:hAnsiTheme="majorHAnsi"/>
                <w:b/>
                <w:bCs/>
                <w:sz w:val="20"/>
                <w:szCs w:val="20"/>
                <w:lang w:val="es-CR"/>
              </w:rPr>
              <w:t>Anexo 5</w:t>
            </w:r>
            <w:r w:rsidRPr="00B657F7">
              <w:rPr>
                <w:rFonts w:asciiTheme="majorHAnsi" w:hAnsiTheme="majorHAnsi"/>
                <w:sz w:val="20"/>
                <w:szCs w:val="20"/>
                <w:lang w:val="es-CR"/>
              </w:rPr>
              <w:t>.</w:t>
            </w:r>
          </w:p>
        </w:tc>
      </w:tr>
      <w:tr w:rsidR="00636E75" w:rsidRPr="00B657F7" w14:paraId="0C363617" w14:textId="77777777" w:rsidTr="001264D5">
        <w:trPr>
          <w:cantSplit/>
          <w:jc w:val="center"/>
        </w:trPr>
        <w:tc>
          <w:tcPr>
            <w:tcW w:w="1286" w:type="pct"/>
          </w:tcPr>
          <w:p w14:paraId="04797018" w14:textId="77777777" w:rsidR="00636E75" w:rsidRPr="00B657F7" w:rsidRDefault="00636E75" w:rsidP="001264D5">
            <w:pPr>
              <w:widowControl w:val="0"/>
              <w:jc w:val="both"/>
              <w:rPr>
                <w:rFonts w:asciiTheme="majorHAnsi" w:hAnsiTheme="majorHAnsi" w:cstheme="minorHAnsi"/>
                <w:bCs/>
                <w:sz w:val="20"/>
                <w:szCs w:val="20"/>
                <w:lang w:val="es-CR"/>
              </w:rPr>
            </w:pPr>
            <w:r w:rsidRPr="00B657F7">
              <w:rPr>
                <w:rFonts w:asciiTheme="majorHAnsi" w:hAnsiTheme="majorHAnsi"/>
                <w:b/>
                <w:sz w:val="20"/>
                <w:szCs w:val="20"/>
                <w:lang w:val="es-CR"/>
              </w:rPr>
              <w:t>Modelo 12 SSS: Aporte a INEC</w:t>
            </w:r>
          </w:p>
        </w:tc>
        <w:tc>
          <w:tcPr>
            <w:tcW w:w="683" w:type="pct"/>
          </w:tcPr>
          <w:p w14:paraId="41CDE98A" w14:textId="77777777" w:rsidR="00636E75" w:rsidRPr="00B657F7" w:rsidRDefault="00636E75" w:rsidP="001264D5">
            <w:pPr>
              <w:widowControl w:val="0"/>
              <w:jc w:val="both"/>
              <w:rPr>
                <w:rFonts w:asciiTheme="majorHAnsi" w:hAnsiTheme="majorHAnsi" w:cstheme="minorHAnsi"/>
                <w:snapToGrid w:val="0"/>
                <w:sz w:val="20"/>
                <w:szCs w:val="20"/>
                <w:lang w:val="es-CR"/>
              </w:rPr>
            </w:pPr>
            <w:r w:rsidRPr="00B657F7">
              <w:rPr>
                <w:rFonts w:asciiTheme="majorHAnsi" w:hAnsiTheme="majorHAnsi"/>
                <w:bCs/>
                <w:sz w:val="20"/>
                <w:szCs w:val="20"/>
                <w:lang w:val="es-CR"/>
              </w:rPr>
              <w:t>Mensual</w:t>
            </w:r>
          </w:p>
        </w:tc>
        <w:tc>
          <w:tcPr>
            <w:tcW w:w="1208" w:type="pct"/>
          </w:tcPr>
          <w:p w14:paraId="13851C0B" w14:textId="77777777" w:rsidR="00636E75" w:rsidRPr="00B657F7" w:rsidRDefault="00636E75" w:rsidP="001264D5">
            <w:pPr>
              <w:widowControl w:val="0"/>
              <w:jc w:val="both"/>
              <w:rPr>
                <w:rFonts w:asciiTheme="majorHAnsi" w:hAnsiTheme="majorHAnsi" w:cstheme="minorHAnsi"/>
                <w:bCs/>
                <w:sz w:val="20"/>
                <w:szCs w:val="20"/>
                <w:lang w:val="es-CR"/>
              </w:rPr>
            </w:pPr>
            <w:r w:rsidRPr="00B657F7">
              <w:rPr>
                <w:rFonts w:asciiTheme="majorHAnsi" w:hAnsiTheme="majorHAnsi"/>
                <w:bCs/>
                <w:sz w:val="20"/>
                <w:szCs w:val="20"/>
                <w:lang w:val="es-CR"/>
              </w:rPr>
              <w:t>5 días hábiles después del cierre de cada mes.</w:t>
            </w:r>
          </w:p>
        </w:tc>
        <w:tc>
          <w:tcPr>
            <w:tcW w:w="1823" w:type="pct"/>
          </w:tcPr>
          <w:p w14:paraId="74917B5B" w14:textId="77777777" w:rsidR="00636E75" w:rsidRPr="00B657F7" w:rsidRDefault="00636E75" w:rsidP="001264D5">
            <w:pPr>
              <w:widowControl w:val="0"/>
              <w:jc w:val="both"/>
              <w:rPr>
                <w:rFonts w:asciiTheme="majorHAnsi" w:hAnsiTheme="majorHAnsi" w:cstheme="minorHAnsi"/>
                <w:snapToGrid w:val="0"/>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42DA8ADA" w14:textId="77777777" w:rsidTr="001264D5">
        <w:trPr>
          <w:cantSplit/>
          <w:jc w:val="center"/>
        </w:trPr>
        <w:tc>
          <w:tcPr>
            <w:tcW w:w="1286" w:type="pct"/>
          </w:tcPr>
          <w:p w14:paraId="16C5D6B7" w14:textId="77777777" w:rsidR="00636E75" w:rsidRPr="00B657F7" w:rsidRDefault="00636E75" w:rsidP="001264D5">
            <w:pPr>
              <w:widowControl w:val="0"/>
              <w:jc w:val="both"/>
              <w:rPr>
                <w:rFonts w:asciiTheme="majorHAnsi" w:hAnsiTheme="majorHAnsi"/>
                <w:b/>
                <w:bCs/>
                <w:sz w:val="20"/>
                <w:szCs w:val="20"/>
                <w:lang w:val="es-CR"/>
              </w:rPr>
            </w:pPr>
            <w:r w:rsidRPr="00B657F7">
              <w:rPr>
                <w:rFonts w:asciiTheme="majorHAnsi" w:hAnsiTheme="majorHAnsi"/>
                <w:b/>
                <w:bCs/>
                <w:sz w:val="20"/>
                <w:szCs w:val="20"/>
                <w:lang w:val="es-CR"/>
              </w:rPr>
              <w:t>Estadísticas Seguro de Riesgos del trabajo:</w:t>
            </w:r>
          </w:p>
          <w:p w14:paraId="3ECAF376" w14:textId="77777777" w:rsidR="00636E75" w:rsidRPr="00B657F7" w:rsidRDefault="00636E75" w:rsidP="001264D5">
            <w:pPr>
              <w:widowControl w:val="0"/>
              <w:jc w:val="both"/>
              <w:rPr>
                <w:rFonts w:asciiTheme="majorHAnsi" w:hAnsiTheme="majorHAnsi"/>
                <w:b/>
                <w:bCs/>
                <w:sz w:val="20"/>
                <w:szCs w:val="20"/>
                <w:lang w:val="es-CR"/>
              </w:rPr>
            </w:pPr>
            <w:r w:rsidRPr="00B657F7">
              <w:rPr>
                <w:rFonts w:asciiTheme="majorHAnsi" w:hAnsiTheme="majorHAnsi"/>
                <w:b/>
                <w:bCs/>
                <w:sz w:val="20"/>
                <w:szCs w:val="20"/>
                <w:lang w:val="es-CR"/>
              </w:rPr>
              <w:t>Modelo 13 SSS: Accidentes Laborales por Rama de Actividad Económica.</w:t>
            </w:r>
          </w:p>
          <w:p w14:paraId="0AEACC90" w14:textId="77777777" w:rsidR="00636E75" w:rsidRPr="00B657F7" w:rsidRDefault="00636E75" w:rsidP="001264D5">
            <w:pPr>
              <w:widowControl w:val="0"/>
              <w:jc w:val="both"/>
              <w:rPr>
                <w:rFonts w:asciiTheme="majorHAnsi" w:hAnsiTheme="majorHAnsi"/>
                <w:b/>
                <w:bCs/>
                <w:sz w:val="20"/>
                <w:szCs w:val="20"/>
                <w:lang w:val="es-CR"/>
              </w:rPr>
            </w:pPr>
            <w:r w:rsidRPr="00B657F7">
              <w:rPr>
                <w:rFonts w:asciiTheme="majorHAnsi" w:hAnsiTheme="majorHAnsi"/>
                <w:b/>
                <w:bCs/>
                <w:sz w:val="20"/>
                <w:szCs w:val="20"/>
                <w:lang w:val="es-CR"/>
              </w:rPr>
              <w:t>Modelo 14 SSS: Accidentes Laborales.</w:t>
            </w:r>
          </w:p>
          <w:p w14:paraId="6CB669DB" w14:textId="77777777" w:rsidR="00636E75" w:rsidRPr="00B657F7" w:rsidRDefault="00636E75" w:rsidP="001264D5">
            <w:pPr>
              <w:widowControl w:val="0"/>
              <w:jc w:val="both"/>
              <w:rPr>
                <w:rFonts w:asciiTheme="majorHAnsi" w:hAnsiTheme="majorHAnsi"/>
                <w:b/>
                <w:bCs/>
                <w:sz w:val="20"/>
                <w:szCs w:val="20"/>
                <w:lang w:val="es-CR"/>
              </w:rPr>
            </w:pPr>
            <w:r w:rsidRPr="00B657F7">
              <w:rPr>
                <w:rFonts w:asciiTheme="majorHAnsi" w:hAnsiTheme="majorHAnsi"/>
                <w:b/>
                <w:bCs/>
                <w:sz w:val="20"/>
                <w:szCs w:val="20"/>
                <w:lang w:val="es-CR"/>
              </w:rPr>
              <w:t>Modelo 15 SSS: Enfermedades Profesionales.</w:t>
            </w:r>
          </w:p>
          <w:p w14:paraId="2D07E395" w14:textId="77777777" w:rsidR="00636E75" w:rsidRPr="00B657F7" w:rsidRDefault="00636E75" w:rsidP="001264D5">
            <w:pPr>
              <w:widowControl w:val="0"/>
              <w:jc w:val="both"/>
              <w:rPr>
                <w:rFonts w:asciiTheme="majorHAnsi" w:hAnsiTheme="majorHAnsi"/>
                <w:b/>
                <w:bCs/>
                <w:sz w:val="20"/>
                <w:szCs w:val="20"/>
                <w:lang w:val="es-CR"/>
              </w:rPr>
            </w:pPr>
            <w:r w:rsidRPr="00B657F7">
              <w:rPr>
                <w:rFonts w:asciiTheme="majorHAnsi" w:hAnsiTheme="majorHAnsi"/>
                <w:b/>
                <w:bCs/>
                <w:sz w:val="20"/>
                <w:szCs w:val="20"/>
                <w:lang w:val="es-CR"/>
              </w:rPr>
              <w:t>Modelo 16 SSS: Fallecidos.</w:t>
            </w:r>
          </w:p>
          <w:p w14:paraId="22B289B2" w14:textId="77777777" w:rsidR="00636E75" w:rsidRPr="00B657F7" w:rsidRDefault="00636E75" w:rsidP="001264D5">
            <w:pPr>
              <w:widowControl w:val="0"/>
              <w:jc w:val="both"/>
              <w:rPr>
                <w:rFonts w:asciiTheme="majorHAnsi" w:hAnsiTheme="majorHAnsi" w:cstheme="minorHAnsi"/>
                <w:b/>
                <w:bCs/>
                <w:sz w:val="20"/>
                <w:szCs w:val="20"/>
                <w:lang w:val="es-CR"/>
              </w:rPr>
            </w:pPr>
            <w:r w:rsidRPr="00B657F7">
              <w:rPr>
                <w:rFonts w:asciiTheme="majorHAnsi" w:hAnsiTheme="majorHAnsi"/>
                <w:b/>
                <w:bCs/>
                <w:sz w:val="20"/>
                <w:szCs w:val="20"/>
                <w:lang w:val="es-CR"/>
              </w:rPr>
              <w:t>Modelo 17 SSS: Patronos Asegurados.</w:t>
            </w:r>
          </w:p>
        </w:tc>
        <w:tc>
          <w:tcPr>
            <w:tcW w:w="683" w:type="pct"/>
          </w:tcPr>
          <w:p w14:paraId="36593ED7" w14:textId="77777777" w:rsidR="00636E75" w:rsidRPr="00B657F7" w:rsidRDefault="00636E75" w:rsidP="001264D5">
            <w:pPr>
              <w:widowControl w:val="0"/>
              <w:jc w:val="both"/>
              <w:rPr>
                <w:rFonts w:asciiTheme="majorHAnsi" w:hAnsiTheme="majorHAnsi" w:cstheme="minorHAnsi"/>
                <w:snapToGrid w:val="0"/>
                <w:sz w:val="20"/>
                <w:szCs w:val="20"/>
                <w:lang w:val="es-CR"/>
              </w:rPr>
            </w:pPr>
            <w:r w:rsidRPr="00B657F7">
              <w:rPr>
                <w:rFonts w:asciiTheme="majorHAnsi" w:hAnsiTheme="majorHAnsi"/>
                <w:bCs/>
                <w:sz w:val="20"/>
                <w:szCs w:val="20"/>
                <w:lang w:val="es-CR"/>
              </w:rPr>
              <w:t>Anual</w:t>
            </w:r>
          </w:p>
        </w:tc>
        <w:tc>
          <w:tcPr>
            <w:tcW w:w="1208" w:type="pct"/>
          </w:tcPr>
          <w:p w14:paraId="18CC9B65" w14:textId="77777777" w:rsidR="00636E75" w:rsidRPr="00B657F7" w:rsidRDefault="00636E75" w:rsidP="001264D5">
            <w:pPr>
              <w:widowControl w:val="0"/>
              <w:ind w:left="53"/>
              <w:jc w:val="both"/>
              <w:rPr>
                <w:rFonts w:asciiTheme="majorHAnsi" w:hAnsiTheme="majorHAnsi" w:cstheme="minorHAnsi"/>
                <w:bCs/>
                <w:sz w:val="20"/>
                <w:szCs w:val="20"/>
                <w:lang w:val="es-CR"/>
              </w:rPr>
            </w:pPr>
            <w:r w:rsidRPr="00B657F7">
              <w:rPr>
                <w:rFonts w:asciiTheme="majorHAnsi" w:hAnsiTheme="majorHAnsi"/>
                <w:bCs/>
                <w:sz w:val="20"/>
                <w:szCs w:val="20"/>
                <w:lang w:val="es-CR"/>
              </w:rPr>
              <w:t>A más tardar el 31 de marzo, después del cierre del año.</w:t>
            </w:r>
          </w:p>
        </w:tc>
        <w:tc>
          <w:tcPr>
            <w:tcW w:w="1823" w:type="pct"/>
          </w:tcPr>
          <w:p w14:paraId="7C722AA2" w14:textId="77777777" w:rsidR="00636E75" w:rsidRPr="00B657F7" w:rsidRDefault="00636E75" w:rsidP="001264D5">
            <w:pPr>
              <w:widowControl w:val="0"/>
              <w:jc w:val="both"/>
              <w:rPr>
                <w:rFonts w:asciiTheme="majorHAnsi" w:hAnsiTheme="majorHAnsi" w:cstheme="minorHAnsi"/>
                <w:snapToGrid w:val="0"/>
                <w:sz w:val="20"/>
                <w:szCs w:val="20"/>
                <w:lang w:val="es-CR"/>
              </w:rPr>
            </w:pPr>
            <w:r w:rsidRPr="00B657F7">
              <w:rPr>
                <w:rFonts w:asciiTheme="majorHAnsi" w:hAnsiTheme="majorHAnsi"/>
                <w:bCs/>
                <w:sz w:val="20"/>
                <w:szCs w:val="20"/>
                <w:lang w:val="es-CR"/>
              </w:rPr>
              <w:t xml:space="preserve">Web Service, a través de archivos *.xml, de conformidad con </w:t>
            </w:r>
            <w:r w:rsidRPr="00B657F7">
              <w:rPr>
                <w:rFonts w:asciiTheme="majorHAnsi" w:hAnsiTheme="majorHAnsi"/>
                <w:bCs/>
                <w:i/>
                <w:sz w:val="20"/>
                <w:szCs w:val="20"/>
                <w:lang w:val="es-CR"/>
              </w:rPr>
              <w:t>Estándar de Negocio para Entidades de Seguros,</w:t>
            </w:r>
            <w:r w:rsidRPr="00B657F7">
              <w:rPr>
                <w:rFonts w:asciiTheme="majorHAnsi" w:hAnsiTheme="majorHAnsi"/>
                <w:bCs/>
                <w:sz w:val="20"/>
                <w:szCs w:val="20"/>
                <w:lang w:val="es-CR"/>
              </w:rPr>
              <w:t xml:space="preserve"> incluido en el </w:t>
            </w:r>
            <w:r w:rsidRPr="00B657F7">
              <w:rPr>
                <w:rFonts w:asciiTheme="majorHAnsi" w:hAnsiTheme="majorHAnsi"/>
                <w:b/>
                <w:bCs/>
                <w:sz w:val="20"/>
                <w:szCs w:val="20"/>
                <w:lang w:val="es-CR"/>
              </w:rPr>
              <w:t>Anexo 5.</w:t>
            </w:r>
          </w:p>
        </w:tc>
      </w:tr>
      <w:tr w:rsidR="00636E75" w:rsidRPr="00B657F7" w14:paraId="440E3C17" w14:textId="77777777" w:rsidTr="001264D5">
        <w:trPr>
          <w:cantSplit/>
          <w:jc w:val="center"/>
        </w:trPr>
        <w:tc>
          <w:tcPr>
            <w:tcW w:w="1286" w:type="pct"/>
          </w:tcPr>
          <w:p w14:paraId="550DACBA" w14:textId="77777777" w:rsidR="00636E75" w:rsidRPr="00B657F7" w:rsidRDefault="00636E75" w:rsidP="001264D5">
            <w:pPr>
              <w:widowControl w:val="0"/>
              <w:jc w:val="both"/>
              <w:rPr>
                <w:rFonts w:asciiTheme="majorHAnsi" w:hAnsiTheme="majorHAnsi"/>
                <w:b/>
                <w:sz w:val="20"/>
                <w:szCs w:val="20"/>
                <w:lang w:val="es-CR"/>
              </w:rPr>
            </w:pPr>
            <w:r w:rsidRPr="00B657F7">
              <w:rPr>
                <w:rFonts w:asciiTheme="majorHAnsi" w:hAnsiTheme="majorHAnsi"/>
                <w:b/>
                <w:sz w:val="20"/>
                <w:szCs w:val="20"/>
                <w:lang w:val="es-CR"/>
              </w:rPr>
              <w:t>Registro Público de Vehículos Asegurados con el Seguro Obligatorio de Vehículos Automotores</w:t>
            </w:r>
          </w:p>
        </w:tc>
        <w:tc>
          <w:tcPr>
            <w:tcW w:w="683" w:type="pct"/>
          </w:tcPr>
          <w:p w14:paraId="08A84C1E" w14:textId="77777777" w:rsidR="00636E75" w:rsidRPr="00B657F7" w:rsidRDefault="00636E75" w:rsidP="001264D5">
            <w:pPr>
              <w:widowControl w:val="0"/>
              <w:jc w:val="both"/>
              <w:rPr>
                <w:rFonts w:asciiTheme="majorHAnsi" w:hAnsiTheme="majorHAnsi"/>
                <w:sz w:val="20"/>
                <w:szCs w:val="20"/>
                <w:lang w:val="es-CR"/>
              </w:rPr>
            </w:pPr>
            <w:r w:rsidRPr="00B657F7">
              <w:rPr>
                <w:rFonts w:asciiTheme="majorHAnsi" w:hAnsiTheme="majorHAnsi"/>
                <w:sz w:val="20"/>
                <w:szCs w:val="20"/>
                <w:lang w:val="es-CR"/>
              </w:rPr>
              <w:t>Semanal</w:t>
            </w:r>
          </w:p>
        </w:tc>
        <w:tc>
          <w:tcPr>
            <w:tcW w:w="1208" w:type="pct"/>
          </w:tcPr>
          <w:p w14:paraId="3B7CC7A2" w14:textId="77777777" w:rsidR="00636E75" w:rsidRPr="00B657F7" w:rsidRDefault="00636E75" w:rsidP="001264D5">
            <w:pPr>
              <w:widowControl w:val="0"/>
              <w:ind w:left="53"/>
              <w:jc w:val="both"/>
              <w:rPr>
                <w:rFonts w:asciiTheme="majorHAnsi" w:hAnsiTheme="majorHAnsi"/>
                <w:sz w:val="20"/>
                <w:szCs w:val="20"/>
                <w:lang w:val="es-CR"/>
              </w:rPr>
            </w:pPr>
            <w:r w:rsidRPr="00B657F7">
              <w:rPr>
                <w:rFonts w:asciiTheme="majorHAnsi" w:hAnsiTheme="majorHAnsi"/>
                <w:sz w:val="20"/>
                <w:szCs w:val="20"/>
                <w:lang w:val="es-CR"/>
              </w:rPr>
              <w:t>El tercer día hábil de la semana siguiente con corte de movimientos a las 11:59 p.m. del domingo anterior.</w:t>
            </w:r>
          </w:p>
        </w:tc>
        <w:tc>
          <w:tcPr>
            <w:tcW w:w="1823" w:type="pct"/>
          </w:tcPr>
          <w:p w14:paraId="3D035630" w14:textId="77777777" w:rsidR="00636E75" w:rsidRPr="00B657F7" w:rsidRDefault="00636E75" w:rsidP="001264D5">
            <w:pPr>
              <w:pStyle w:val="Textoindependiente"/>
              <w:jc w:val="both"/>
              <w:rPr>
                <w:rFonts w:asciiTheme="majorHAnsi" w:hAnsiTheme="majorHAnsi"/>
                <w:b/>
                <w:bCs/>
                <w:sz w:val="20"/>
                <w:szCs w:val="20"/>
                <w:lang w:val="es-CR"/>
              </w:rPr>
            </w:pPr>
            <w:r w:rsidRPr="00B657F7">
              <w:rPr>
                <w:rFonts w:asciiTheme="majorHAnsi" w:hAnsiTheme="majorHAnsi"/>
                <w:sz w:val="20"/>
                <w:szCs w:val="20"/>
                <w:lang w:val="es-CR"/>
              </w:rPr>
              <w:t xml:space="preserve">Carga a través de Web Service de archivos *.xml o *.zip que contengan *.xml, de conformidad con el Estándar para Registro Seguro Obligatorio de Vehículos Automotores (SOA), incluido en el </w:t>
            </w:r>
            <w:r w:rsidRPr="00B657F7">
              <w:rPr>
                <w:rFonts w:asciiTheme="majorHAnsi" w:hAnsiTheme="majorHAnsi"/>
                <w:b/>
                <w:bCs/>
                <w:sz w:val="20"/>
                <w:szCs w:val="20"/>
                <w:lang w:val="es-CR"/>
              </w:rPr>
              <w:t>Anexo 9</w:t>
            </w:r>
            <w:r w:rsidRPr="00B657F7">
              <w:rPr>
                <w:rFonts w:asciiTheme="majorHAnsi" w:hAnsiTheme="majorHAnsi"/>
                <w:sz w:val="20"/>
                <w:szCs w:val="20"/>
                <w:lang w:val="es-CR"/>
              </w:rPr>
              <w:t xml:space="preserve">, a través de </w:t>
            </w:r>
            <w:r w:rsidRPr="00B657F7">
              <w:rPr>
                <w:rFonts w:asciiTheme="majorHAnsi" w:hAnsiTheme="majorHAnsi"/>
                <w:i/>
                <w:iCs/>
                <w:sz w:val="20"/>
                <w:szCs w:val="20"/>
                <w:lang w:val="es-CR"/>
              </w:rPr>
              <w:t>Sugese en Línea</w:t>
            </w:r>
            <w:r w:rsidRPr="00B657F7">
              <w:rPr>
                <w:rFonts w:asciiTheme="majorHAnsi" w:hAnsiTheme="majorHAnsi"/>
                <w:sz w:val="20"/>
                <w:szCs w:val="20"/>
                <w:lang w:val="es-CR"/>
              </w:rPr>
              <w:t>; o bien carga manual de los mismos archivos ante una eventualidad previamente justificada.</w:t>
            </w:r>
          </w:p>
        </w:tc>
      </w:tr>
      <w:tr w:rsidR="00636E75" w:rsidRPr="00B657F7" w14:paraId="59A05A17" w14:textId="77777777" w:rsidTr="001264D5">
        <w:trPr>
          <w:cantSplit/>
          <w:jc w:val="center"/>
        </w:trPr>
        <w:tc>
          <w:tcPr>
            <w:tcW w:w="1286" w:type="pct"/>
          </w:tcPr>
          <w:p w14:paraId="71241139" w14:textId="77777777" w:rsidR="00636E75" w:rsidRPr="00B657F7" w:rsidRDefault="00636E75" w:rsidP="001264D5">
            <w:pPr>
              <w:widowControl w:val="0"/>
              <w:jc w:val="both"/>
              <w:rPr>
                <w:rFonts w:asciiTheme="majorHAnsi" w:hAnsiTheme="majorHAnsi"/>
                <w:b/>
                <w:sz w:val="20"/>
                <w:szCs w:val="20"/>
                <w:lang w:val="es-CR"/>
              </w:rPr>
            </w:pPr>
            <w:r w:rsidRPr="00B657F7">
              <w:rPr>
                <w:rFonts w:asciiTheme="majorHAnsi" w:hAnsiTheme="majorHAnsi"/>
                <w:b/>
                <w:sz w:val="20"/>
                <w:szCs w:val="20"/>
                <w:lang w:val="es-CR"/>
              </w:rPr>
              <w:t>Asegurados y Siniestralidad del Seguro Obligatorio de Vehículos Automotores</w:t>
            </w:r>
          </w:p>
        </w:tc>
        <w:tc>
          <w:tcPr>
            <w:tcW w:w="683" w:type="pct"/>
          </w:tcPr>
          <w:p w14:paraId="0FB5B3DE" w14:textId="77777777" w:rsidR="00636E75" w:rsidRPr="00B657F7" w:rsidRDefault="00636E75" w:rsidP="001264D5">
            <w:pPr>
              <w:widowControl w:val="0"/>
              <w:jc w:val="both"/>
              <w:rPr>
                <w:rFonts w:asciiTheme="majorHAnsi" w:hAnsiTheme="majorHAnsi"/>
                <w:sz w:val="20"/>
                <w:szCs w:val="20"/>
                <w:lang w:val="es-CR"/>
              </w:rPr>
            </w:pPr>
            <w:r w:rsidRPr="00B657F7">
              <w:rPr>
                <w:rFonts w:asciiTheme="majorHAnsi" w:hAnsiTheme="majorHAnsi"/>
                <w:sz w:val="20"/>
                <w:szCs w:val="20"/>
                <w:lang w:val="es-CR"/>
              </w:rPr>
              <w:t>Mensual</w:t>
            </w:r>
          </w:p>
        </w:tc>
        <w:tc>
          <w:tcPr>
            <w:tcW w:w="1208" w:type="pct"/>
          </w:tcPr>
          <w:p w14:paraId="48C1FE60" w14:textId="77777777" w:rsidR="00636E75" w:rsidRPr="00B657F7" w:rsidRDefault="00636E75" w:rsidP="001264D5">
            <w:pPr>
              <w:widowControl w:val="0"/>
              <w:ind w:left="53"/>
              <w:jc w:val="both"/>
              <w:rPr>
                <w:rFonts w:asciiTheme="majorHAnsi" w:hAnsiTheme="majorHAnsi"/>
                <w:sz w:val="20"/>
                <w:szCs w:val="20"/>
                <w:lang w:val="es-CR"/>
              </w:rPr>
            </w:pPr>
            <w:r w:rsidRPr="00B657F7">
              <w:rPr>
                <w:rFonts w:asciiTheme="majorHAnsi" w:hAnsiTheme="majorHAnsi" w:cstheme="minorHAnsi"/>
                <w:bCs/>
                <w:sz w:val="20"/>
                <w:szCs w:val="20"/>
                <w:lang w:val="es-CR"/>
              </w:rPr>
              <w:t>15 días hábiles después del cierre mensual, según corresponda</w:t>
            </w:r>
          </w:p>
        </w:tc>
        <w:tc>
          <w:tcPr>
            <w:tcW w:w="1823" w:type="pct"/>
          </w:tcPr>
          <w:p w14:paraId="55488197" w14:textId="77777777" w:rsidR="00636E75" w:rsidRPr="00B657F7" w:rsidRDefault="00636E75" w:rsidP="001264D5">
            <w:pPr>
              <w:widowControl w:val="0"/>
              <w:jc w:val="both"/>
              <w:rPr>
                <w:rFonts w:asciiTheme="majorHAnsi" w:hAnsiTheme="majorHAnsi"/>
                <w:sz w:val="20"/>
                <w:szCs w:val="20"/>
                <w:lang w:val="es-CR"/>
              </w:rPr>
            </w:pPr>
            <w:r w:rsidRPr="00B657F7">
              <w:rPr>
                <w:rFonts w:asciiTheme="majorHAnsi" w:hAnsiTheme="majorHAnsi" w:cstheme="minorHAnsi"/>
                <w:snapToGrid w:val="0"/>
                <w:sz w:val="20"/>
                <w:szCs w:val="20"/>
                <w:lang w:val="es-CR"/>
              </w:rPr>
              <w:t xml:space="preserve">En hoja electrónica, según formato establecido en el </w:t>
            </w:r>
            <w:r w:rsidRPr="00B657F7">
              <w:rPr>
                <w:rFonts w:asciiTheme="majorHAnsi" w:hAnsiTheme="majorHAnsi" w:cstheme="minorHAnsi"/>
                <w:b/>
                <w:bCs/>
                <w:snapToGrid w:val="0"/>
                <w:sz w:val="20"/>
                <w:szCs w:val="20"/>
                <w:lang w:val="es-CR"/>
              </w:rPr>
              <w:t>Anexo</w:t>
            </w:r>
            <w:r w:rsidRPr="00B657F7">
              <w:rPr>
                <w:rFonts w:asciiTheme="majorHAnsi" w:hAnsiTheme="majorHAnsi" w:cstheme="minorHAnsi"/>
                <w:b/>
                <w:snapToGrid w:val="0"/>
                <w:sz w:val="20"/>
                <w:szCs w:val="20"/>
                <w:lang w:val="es-CR"/>
              </w:rPr>
              <w:t xml:space="preserve"> 10</w:t>
            </w:r>
            <w:r w:rsidRPr="00B657F7">
              <w:rPr>
                <w:rFonts w:asciiTheme="majorHAnsi" w:hAnsiTheme="majorHAnsi" w:cstheme="minorHAnsi"/>
                <w:snapToGrid w:val="0"/>
                <w:sz w:val="20"/>
                <w:szCs w:val="20"/>
                <w:lang w:val="es-CR"/>
              </w:rPr>
              <w:t xml:space="preserve">, </w:t>
            </w:r>
            <w:r w:rsidRPr="00B657F7">
              <w:rPr>
                <w:rFonts w:asciiTheme="majorHAnsi" w:hAnsiTheme="majorHAnsi"/>
                <w:sz w:val="20"/>
                <w:szCs w:val="20"/>
                <w:lang w:val="es-CR"/>
              </w:rPr>
              <w:t xml:space="preserve">remitida como requerimiento mediante el Servicio de Ejecución de Estudios y Seguimiento (EES) de </w:t>
            </w:r>
            <w:r w:rsidRPr="00B657F7">
              <w:rPr>
                <w:rFonts w:asciiTheme="majorHAnsi" w:hAnsiTheme="majorHAnsi"/>
                <w:i/>
                <w:iCs/>
                <w:sz w:val="20"/>
                <w:szCs w:val="20"/>
                <w:lang w:val="es-CR"/>
              </w:rPr>
              <w:t>SUGESE en Línea</w:t>
            </w:r>
            <w:r w:rsidRPr="00B657F7">
              <w:rPr>
                <w:rFonts w:asciiTheme="majorHAnsi" w:hAnsiTheme="majorHAnsi"/>
                <w:color w:val="0000FF"/>
                <w:sz w:val="20"/>
                <w:szCs w:val="20"/>
                <w:lang w:val="es-CR"/>
              </w:rPr>
              <w:t>.</w:t>
            </w:r>
          </w:p>
        </w:tc>
      </w:tr>
      <w:tr w:rsidR="00636E75" w:rsidRPr="00B657F7" w14:paraId="5F3EA3B0" w14:textId="77777777" w:rsidTr="001264D5">
        <w:trPr>
          <w:cantSplit/>
          <w:jc w:val="center"/>
        </w:trPr>
        <w:tc>
          <w:tcPr>
            <w:tcW w:w="1286" w:type="pct"/>
          </w:tcPr>
          <w:p w14:paraId="77AD1532" w14:textId="77777777" w:rsidR="00636E75" w:rsidRPr="00B657F7" w:rsidRDefault="00636E75" w:rsidP="001264D5">
            <w:pPr>
              <w:widowControl w:val="0"/>
              <w:jc w:val="both"/>
              <w:rPr>
                <w:rFonts w:asciiTheme="majorHAnsi" w:hAnsiTheme="majorHAnsi"/>
                <w:b/>
                <w:bCs/>
                <w:sz w:val="20"/>
                <w:szCs w:val="20"/>
                <w:lang w:val="es-CR"/>
              </w:rPr>
            </w:pPr>
            <w:r w:rsidRPr="00B657F7">
              <w:rPr>
                <w:rFonts w:asciiTheme="majorHAnsi" w:hAnsiTheme="majorHAnsi"/>
                <w:b/>
                <w:sz w:val="20"/>
                <w:szCs w:val="20"/>
                <w:lang w:val="es-CR"/>
              </w:rPr>
              <w:lastRenderedPageBreak/>
              <w:t>Registro Único de Personas Beneficiarias</w:t>
            </w:r>
          </w:p>
        </w:tc>
        <w:tc>
          <w:tcPr>
            <w:tcW w:w="683" w:type="pct"/>
          </w:tcPr>
          <w:p w14:paraId="46130E22"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sz w:val="20"/>
                <w:szCs w:val="20"/>
                <w:lang w:val="es-CR"/>
              </w:rPr>
              <w:t>Al menos una vez al mes</w:t>
            </w:r>
          </w:p>
        </w:tc>
        <w:tc>
          <w:tcPr>
            <w:tcW w:w="1208" w:type="pct"/>
          </w:tcPr>
          <w:p w14:paraId="641208A3" w14:textId="77777777" w:rsidR="00636E75" w:rsidRPr="00B657F7" w:rsidRDefault="00636E75" w:rsidP="001264D5">
            <w:pPr>
              <w:widowControl w:val="0"/>
              <w:ind w:left="53"/>
              <w:jc w:val="both"/>
              <w:rPr>
                <w:rFonts w:asciiTheme="majorHAnsi" w:hAnsiTheme="majorHAnsi"/>
                <w:bCs/>
                <w:sz w:val="20"/>
                <w:szCs w:val="20"/>
                <w:lang w:val="es-CR"/>
              </w:rPr>
            </w:pPr>
            <w:r w:rsidRPr="00B657F7">
              <w:rPr>
                <w:rFonts w:asciiTheme="majorHAnsi" w:hAnsiTheme="majorHAnsi"/>
                <w:sz w:val="20"/>
                <w:szCs w:val="20"/>
                <w:lang w:val="es-CR"/>
              </w:rPr>
              <w:t>A más tardar diez días hábiles después de finalizar cada mes</w:t>
            </w:r>
          </w:p>
        </w:tc>
        <w:tc>
          <w:tcPr>
            <w:tcW w:w="1823" w:type="pct"/>
          </w:tcPr>
          <w:p w14:paraId="22E250B3" w14:textId="77777777" w:rsidR="00636E75" w:rsidRPr="00B657F7" w:rsidRDefault="00636E75" w:rsidP="001264D5">
            <w:pPr>
              <w:widowControl w:val="0"/>
              <w:jc w:val="both"/>
              <w:rPr>
                <w:rFonts w:asciiTheme="majorHAnsi" w:hAnsiTheme="majorHAnsi"/>
                <w:sz w:val="20"/>
                <w:szCs w:val="20"/>
                <w:lang w:val="es-CR"/>
              </w:rPr>
            </w:pPr>
            <w:r w:rsidRPr="00B657F7">
              <w:rPr>
                <w:rFonts w:asciiTheme="majorHAnsi" w:hAnsiTheme="majorHAnsi"/>
                <w:sz w:val="20"/>
                <w:szCs w:val="20"/>
                <w:lang w:val="es-CR"/>
              </w:rPr>
              <w:t>Web Service, a través de archivos *.xml o *.zip que contengan *.xml, de conformidad con Estándar electrónico para Registro Único de Personas Beneficiarias, disponible en el sitio web de SUGESE.</w:t>
            </w:r>
          </w:p>
        </w:tc>
      </w:tr>
      <w:tr w:rsidR="00636E75" w:rsidRPr="00B657F7" w14:paraId="558AB21F" w14:textId="77777777" w:rsidTr="001264D5">
        <w:trPr>
          <w:cantSplit/>
          <w:jc w:val="center"/>
        </w:trPr>
        <w:tc>
          <w:tcPr>
            <w:tcW w:w="1286" w:type="pct"/>
          </w:tcPr>
          <w:p w14:paraId="011A8DC7" w14:textId="77777777" w:rsidR="00636E75" w:rsidRPr="00B657F7" w:rsidRDefault="00636E75" w:rsidP="001264D5">
            <w:pPr>
              <w:widowControl w:val="0"/>
              <w:jc w:val="both"/>
              <w:rPr>
                <w:rFonts w:asciiTheme="majorHAnsi" w:hAnsiTheme="majorHAnsi"/>
                <w:b/>
                <w:sz w:val="20"/>
                <w:szCs w:val="20"/>
                <w:lang w:val="es-CR"/>
              </w:rPr>
            </w:pPr>
            <w:r w:rsidRPr="00B657F7">
              <w:rPr>
                <w:rFonts w:asciiTheme="majorHAnsi" w:hAnsiTheme="majorHAnsi"/>
                <w:b/>
                <w:sz w:val="20"/>
                <w:szCs w:val="20"/>
                <w:lang w:val="es-CR"/>
              </w:rPr>
              <w:t>Provisión de riesgos catastróficos (PRCAT)</w:t>
            </w:r>
          </w:p>
        </w:tc>
        <w:tc>
          <w:tcPr>
            <w:tcW w:w="683" w:type="pct"/>
          </w:tcPr>
          <w:p w14:paraId="72BDC1EA"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Mensual</w:t>
            </w:r>
          </w:p>
        </w:tc>
        <w:tc>
          <w:tcPr>
            <w:tcW w:w="1208" w:type="pct"/>
          </w:tcPr>
          <w:p w14:paraId="74C517CE"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15 días hábiles después del cierre mensual.</w:t>
            </w:r>
          </w:p>
        </w:tc>
        <w:tc>
          <w:tcPr>
            <w:tcW w:w="1823" w:type="pct"/>
          </w:tcPr>
          <w:p w14:paraId="482F317F"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sz w:val="20"/>
                <w:szCs w:val="20"/>
                <w:lang w:val="es-CR"/>
              </w:rPr>
              <w:t xml:space="preserve">En hoja electrónica (Excel), según formato establecido en el </w:t>
            </w:r>
            <w:r w:rsidRPr="00B657F7">
              <w:rPr>
                <w:rFonts w:asciiTheme="majorHAnsi" w:hAnsiTheme="majorHAnsi"/>
                <w:b/>
                <w:sz w:val="20"/>
                <w:szCs w:val="20"/>
                <w:lang w:val="es-CR"/>
              </w:rPr>
              <w:t xml:space="preserve">Anexo 13, </w:t>
            </w:r>
            <w:r w:rsidRPr="00B657F7">
              <w:rPr>
                <w:rFonts w:asciiTheme="majorHAnsi" w:hAnsiTheme="majorHAnsi"/>
                <w:sz w:val="20"/>
                <w:szCs w:val="20"/>
                <w:lang w:val="es-CR"/>
              </w:rPr>
              <w:t xml:space="preserve">remitida como requerimiento mediante el Servicio de Ejecución de Estudios y Seguimiento (EES) de </w:t>
            </w:r>
            <w:r w:rsidRPr="00B657F7">
              <w:rPr>
                <w:rFonts w:asciiTheme="majorHAnsi" w:hAnsiTheme="majorHAnsi"/>
                <w:i/>
                <w:iCs/>
                <w:sz w:val="20"/>
                <w:szCs w:val="20"/>
                <w:lang w:val="es-CR"/>
              </w:rPr>
              <w:t>SUGESE en Línea</w:t>
            </w:r>
            <w:r w:rsidRPr="00B657F7">
              <w:rPr>
                <w:rFonts w:asciiTheme="majorHAnsi" w:hAnsiTheme="majorHAnsi"/>
                <w:sz w:val="20"/>
                <w:szCs w:val="20"/>
                <w:lang w:val="es-CR"/>
              </w:rPr>
              <w:t>.</w:t>
            </w:r>
          </w:p>
        </w:tc>
      </w:tr>
      <w:tr w:rsidR="00636E75" w:rsidRPr="00B657F7" w14:paraId="05D2C527" w14:textId="77777777" w:rsidTr="001264D5">
        <w:trPr>
          <w:cantSplit/>
          <w:jc w:val="center"/>
        </w:trPr>
        <w:tc>
          <w:tcPr>
            <w:tcW w:w="1286" w:type="pct"/>
            <w:shd w:val="clear" w:color="auto" w:fill="auto"/>
          </w:tcPr>
          <w:p w14:paraId="44E0390F" w14:textId="77777777" w:rsidR="00636E75" w:rsidRPr="00B657F7" w:rsidRDefault="00636E75" w:rsidP="001264D5">
            <w:pPr>
              <w:widowControl w:val="0"/>
              <w:jc w:val="both"/>
              <w:rPr>
                <w:rFonts w:asciiTheme="majorHAnsi" w:hAnsiTheme="majorHAnsi"/>
                <w:b/>
                <w:sz w:val="20"/>
                <w:szCs w:val="20"/>
                <w:lang w:val="es-CR"/>
              </w:rPr>
            </w:pPr>
            <w:r w:rsidRPr="00B657F7">
              <w:rPr>
                <w:rFonts w:asciiTheme="majorHAnsi" w:hAnsiTheme="majorHAnsi"/>
                <w:b/>
                <w:sz w:val="20"/>
                <w:szCs w:val="20"/>
                <w:lang w:val="es-CR"/>
              </w:rPr>
              <w:t>Estados Financieros Auditados</w:t>
            </w:r>
          </w:p>
        </w:tc>
        <w:tc>
          <w:tcPr>
            <w:tcW w:w="683" w:type="pct"/>
            <w:shd w:val="clear" w:color="auto" w:fill="auto"/>
          </w:tcPr>
          <w:p w14:paraId="68F9E092"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Anual</w:t>
            </w:r>
          </w:p>
        </w:tc>
        <w:tc>
          <w:tcPr>
            <w:tcW w:w="1208" w:type="pct"/>
            <w:shd w:val="clear" w:color="auto" w:fill="auto"/>
          </w:tcPr>
          <w:p w14:paraId="55291F00"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Cuarenta días hábiles posteriores al</w:t>
            </w:r>
          </w:p>
          <w:p w14:paraId="2597144D"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cierre anual.</w:t>
            </w:r>
          </w:p>
        </w:tc>
        <w:tc>
          <w:tcPr>
            <w:tcW w:w="1823" w:type="pct"/>
            <w:shd w:val="clear" w:color="auto" w:fill="auto"/>
          </w:tcPr>
          <w:p w14:paraId="2FF28486" w14:textId="77777777" w:rsidR="00636E75" w:rsidRPr="00B657F7" w:rsidRDefault="00636E75" w:rsidP="001264D5">
            <w:pPr>
              <w:widowControl w:val="0"/>
              <w:jc w:val="both"/>
              <w:rPr>
                <w:rFonts w:asciiTheme="majorHAnsi" w:hAnsiTheme="majorHAnsi"/>
                <w:sz w:val="20"/>
                <w:szCs w:val="20"/>
                <w:lang w:val="es-CR"/>
              </w:rPr>
            </w:pPr>
            <w:r w:rsidRPr="00B657F7">
              <w:rPr>
                <w:rFonts w:asciiTheme="majorHAnsi" w:hAnsiTheme="majorHAnsi"/>
                <w:sz w:val="20"/>
                <w:szCs w:val="20"/>
                <w:lang w:val="es-CR"/>
              </w:rPr>
              <w:t xml:space="preserve">De forma digital mediante requerimiento del servicio de Ejecución de Estudios y Seguimiento (EES) de </w:t>
            </w:r>
            <w:r w:rsidRPr="00B657F7">
              <w:rPr>
                <w:rFonts w:asciiTheme="majorHAnsi" w:hAnsiTheme="majorHAnsi"/>
                <w:i/>
                <w:iCs/>
                <w:sz w:val="20"/>
                <w:szCs w:val="20"/>
                <w:lang w:val="es-CR"/>
              </w:rPr>
              <w:t>SUGESE en Línea</w:t>
            </w:r>
            <w:r w:rsidRPr="00B657F7">
              <w:rPr>
                <w:rFonts w:asciiTheme="majorHAnsi" w:hAnsiTheme="majorHAnsi"/>
                <w:sz w:val="20"/>
                <w:szCs w:val="20"/>
                <w:lang w:val="es-CR"/>
              </w:rPr>
              <w:t>.</w:t>
            </w:r>
          </w:p>
        </w:tc>
      </w:tr>
      <w:tr w:rsidR="00636E75" w:rsidRPr="00B657F7" w14:paraId="073AF720" w14:textId="77777777" w:rsidTr="001264D5">
        <w:trPr>
          <w:cantSplit/>
          <w:jc w:val="center"/>
        </w:trPr>
        <w:tc>
          <w:tcPr>
            <w:tcW w:w="1286" w:type="pct"/>
            <w:shd w:val="clear" w:color="auto" w:fill="auto"/>
          </w:tcPr>
          <w:p w14:paraId="01E20CB0" w14:textId="77777777" w:rsidR="00636E75" w:rsidRPr="00B657F7" w:rsidRDefault="00636E75" w:rsidP="001264D5">
            <w:pPr>
              <w:widowControl w:val="0"/>
              <w:jc w:val="both"/>
              <w:rPr>
                <w:rFonts w:asciiTheme="majorHAnsi" w:hAnsiTheme="majorHAnsi"/>
                <w:b/>
                <w:sz w:val="20"/>
                <w:szCs w:val="20"/>
                <w:lang w:val="es-CR"/>
              </w:rPr>
            </w:pPr>
            <w:r w:rsidRPr="00B657F7">
              <w:rPr>
                <w:rFonts w:asciiTheme="majorHAnsi" w:hAnsiTheme="majorHAnsi"/>
                <w:b/>
                <w:sz w:val="20"/>
                <w:szCs w:val="20"/>
                <w:lang w:val="es-CR"/>
              </w:rPr>
              <w:t>Transacciones en efectivo o mediante transferencias desde o hacia el exterior</w:t>
            </w:r>
          </w:p>
        </w:tc>
        <w:tc>
          <w:tcPr>
            <w:tcW w:w="683" w:type="pct"/>
            <w:shd w:val="clear" w:color="auto" w:fill="auto"/>
          </w:tcPr>
          <w:p w14:paraId="580D7329"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Mensual</w:t>
            </w:r>
          </w:p>
        </w:tc>
        <w:tc>
          <w:tcPr>
            <w:tcW w:w="1208" w:type="pct"/>
            <w:shd w:val="clear" w:color="auto" w:fill="auto"/>
          </w:tcPr>
          <w:p w14:paraId="1707C0B8"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20 días naturales</w:t>
            </w:r>
          </w:p>
          <w:p w14:paraId="1F790EA4" w14:textId="77777777" w:rsidR="00636E75" w:rsidRPr="00B657F7" w:rsidRDefault="00636E75" w:rsidP="001264D5">
            <w:pPr>
              <w:widowControl w:val="0"/>
              <w:jc w:val="both"/>
              <w:rPr>
                <w:rFonts w:asciiTheme="majorHAnsi" w:hAnsiTheme="majorHAnsi"/>
                <w:bCs/>
                <w:sz w:val="20"/>
                <w:szCs w:val="20"/>
                <w:lang w:val="es-CR"/>
              </w:rPr>
            </w:pPr>
            <w:r w:rsidRPr="00B657F7">
              <w:rPr>
                <w:rFonts w:asciiTheme="majorHAnsi" w:hAnsiTheme="majorHAnsi"/>
                <w:bCs/>
                <w:sz w:val="20"/>
                <w:szCs w:val="20"/>
                <w:lang w:val="es-CR"/>
              </w:rPr>
              <w:t>posteriores al cierre de cada mes</w:t>
            </w:r>
          </w:p>
        </w:tc>
        <w:tc>
          <w:tcPr>
            <w:tcW w:w="1823" w:type="pct"/>
            <w:shd w:val="clear" w:color="auto" w:fill="auto"/>
          </w:tcPr>
          <w:p w14:paraId="02335B1C" w14:textId="77777777" w:rsidR="00636E75" w:rsidRPr="00B657F7" w:rsidRDefault="00636E75" w:rsidP="001264D5">
            <w:pPr>
              <w:widowControl w:val="0"/>
              <w:jc w:val="both"/>
              <w:rPr>
                <w:rFonts w:asciiTheme="majorHAnsi" w:hAnsiTheme="majorHAnsi"/>
                <w:sz w:val="20"/>
                <w:szCs w:val="20"/>
                <w:lang w:val="es-CR"/>
              </w:rPr>
            </w:pPr>
            <w:r w:rsidRPr="00B657F7">
              <w:rPr>
                <w:rFonts w:asciiTheme="majorHAnsi" w:hAnsiTheme="majorHAnsi"/>
                <w:sz w:val="20"/>
                <w:szCs w:val="20"/>
                <w:lang w:val="es-CR"/>
              </w:rPr>
              <w:t xml:space="preserve">De forma digital mediante requerimiento del servicio de Ejecución de Estudios y Seguimiento (EES) de </w:t>
            </w:r>
            <w:r w:rsidRPr="00B657F7">
              <w:rPr>
                <w:rFonts w:asciiTheme="majorHAnsi" w:hAnsiTheme="majorHAnsi"/>
                <w:i/>
                <w:iCs/>
                <w:sz w:val="20"/>
                <w:szCs w:val="20"/>
                <w:lang w:val="es-CR"/>
              </w:rPr>
              <w:t>SUGESE en Línea</w:t>
            </w:r>
            <w:r w:rsidRPr="00B657F7">
              <w:rPr>
                <w:rFonts w:asciiTheme="majorHAnsi" w:hAnsiTheme="majorHAnsi"/>
                <w:sz w:val="20"/>
                <w:szCs w:val="20"/>
                <w:lang w:val="es-CR"/>
              </w:rPr>
              <w:t>.</w:t>
            </w:r>
          </w:p>
        </w:tc>
      </w:tr>
    </w:tbl>
    <w:p w14:paraId="7C2731B5" w14:textId="77777777" w:rsidR="00636E75" w:rsidRPr="00B657F7" w:rsidRDefault="00636E75" w:rsidP="00636E75">
      <w:pPr>
        <w:jc w:val="both"/>
        <w:rPr>
          <w:rFonts w:asciiTheme="majorHAnsi" w:hAnsiTheme="majorHAnsi"/>
          <w:color w:val="000000"/>
          <w:lang w:val="es-CR"/>
        </w:rPr>
      </w:pPr>
    </w:p>
    <w:p w14:paraId="06AAEE99" w14:textId="77777777" w:rsidR="00636E75" w:rsidRPr="00B657F7" w:rsidRDefault="00636E75" w:rsidP="00636E75">
      <w:pPr>
        <w:jc w:val="both"/>
        <w:rPr>
          <w:rFonts w:ascii="Cambria" w:hAnsi="Cambria"/>
          <w:bCs/>
          <w:lang w:val="es-CR"/>
        </w:rPr>
      </w:pPr>
      <w:r w:rsidRPr="00B657F7">
        <w:rPr>
          <w:rFonts w:ascii="Cambria" w:hAnsi="Cambria"/>
          <w:bCs/>
          <w:lang w:val="es-CR"/>
        </w:rPr>
        <w:t>La remisión de los estados financieros intermedios por parte de las aseguradoras y reaseguradoras se tiene por cumplido mediante el envío de los modelos de estados financieros 1, 2 y 4 señalados en este artículo.</w:t>
      </w:r>
    </w:p>
    <w:p w14:paraId="669025E4" w14:textId="77777777" w:rsidR="00636E75" w:rsidRPr="00B657F7" w:rsidRDefault="00636E75" w:rsidP="00636E75">
      <w:pPr>
        <w:jc w:val="both"/>
        <w:rPr>
          <w:rFonts w:asciiTheme="majorHAnsi" w:hAnsiTheme="majorHAnsi"/>
          <w:color w:val="000000"/>
          <w:lang w:val="es-CR"/>
        </w:rPr>
      </w:pPr>
    </w:p>
    <w:p w14:paraId="430A9284" w14:textId="77777777" w:rsidR="00636E75" w:rsidRPr="00B657F7" w:rsidRDefault="00636E75" w:rsidP="00636E75">
      <w:pPr>
        <w:jc w:val="both"/>
        <w:rPr>
          <w:rFonts w:asciiTheme="majorHAnsi" w:hAnsiTheme="majorHAnsi"/>
          <w:lang w:val="es-CR"/>
        </w:rPr>
      </w:pPr>
      <w:r w:rsidRPr="00B657F7">
        <w:rPr>
          <w:rFonts w:asciiTheme="majorHAnsi" w:hAnsiTheme="majorHAnsi"/>
          <w:lang w:val="es-CR"/>
        </w:rPr>
        <w:t xml:space="preserve">La falta de presentación de esta documentación, la presentación fuera de plazo, la remisión incompleta, la presentación en formatos diferentes al establecido, la falta de veracidad de </w:t>
      </w:r>
      <w:r>
        <w:rPr>
          <w:rFonts w:asciiTheme="majorHAnsi" w:hAnsiTheme="majorHAnsi"/>
          <w:lang w:val="es-CR"/>
        </w:rPr>
        <w:t xml:space="preserve">esta </w:t>
      </w:r>
      <w:r w:rsidRPr="00B657F7">
        <w:rPr>
          <w:rFonts w:asciiTheme="majorHAnsi" w:hAnsiTheme="majorHAnsi"/>
          <w:lang w:val="es-CR"/>
        </w:rPr>
        <w:t>o la formulación de estados que no reflejen la imagen</w:t>
      </w:r>
      <w:r w:rsidRPr="00B657F7">
        <w:rPr>
          <w:rFonts w:asciiTheme="majorHAnsi" w:eastAsia="Calibri" w:hAnsiTheme="majorHAnsi"/>
          <w:lang w:val="es-CR"/>
        </w:rPr>
        <w:t xml:space="preserve"> </w:t>
      </w:r>
      <w:r w:rsidRPr="00B657F7">
        <w:rPr>
          <w:rFonts w:asciiTheme="majorHAnsi" w:hAnsiTheme="majorHAnsi"/>
          <w:lang w:val="es-CR"/>
        </w:rPr>
        <w:t>fiel de la entidad al término del ejercicio de referencia, constituyen infracciones a la normativa vigente, y pueden dar lugar a las correspondientes sanciones en los términos previstos en la Ley Reguladora del Mercado de Seguros.</w:t>
      </w:r>
    </w:p>
    <w:p w14:paraId="07A3A102" w14:textId="77777777" w:rsidR="00636E75" w:rsidRPr="00B657F7" w:rsidRDefault="00636E75" w:rsidP="00636E75">
      <w:pPr>
        <w:jc w:val="both"/>
        <w:rPr>
          <w:rFonts w:asciiTheme="majorHAnsi" w:hAnsiTheme="majorHAnsi"/>
          <w:color w:val="000000"/>
          <w:lang w:val="es-CR"/>
        </w:rPr>
      </w:pPr>
    </w:p>
    <w:p w14:paraId="2B646F0B" w14:textId="77777777" w:rsidR="00636E75" w:rsidRPr="00B657F7" w:rsidRDefault="00636E75" w:rsidP="00636E75">
      <w:pPr>
        <w:jc w:val="both"/>
        <w:rPr>
          <w:rFonts w:asciiTheme="majorHAnsi" w:hAnsiTheme="majorHAnsi"/>
          <w:color w:val="000000"/>
          <w:lang w:val="es-CR"/>
        </w:rPr>
      </w:pPr>
      <w:r w:rsidRPr="00B657F7">
        <w:rPr>
          <w:rFonts w:ascii="Cambria" w:hAnsi="Cambria"/>
          <w:b/>
          <w:bCs/>
          <w:lang w:val="es-CR"/>
        </w:rPr>
        <w:t>Artículo 3. Información que deben enviar los Intermediarios de Seguros, Periodicidad, Plazo y Medio de Remisión</w:t>
      </w:r>
    </w:p>
    <w:p w14:paraId="4704BE01" w14:textId="77777777" w:rsidR="00636E75" w:rsidRPr="00B657F7" w:rsidRDefault="00636E75" w:rsidP="00636E75">
      <w:pPr>
        <w:jc w:val="both"/>
        <w:rPr>
          <w:rFonts w:asciiTheme="majorHAnsi" w:hAnsiTheme="majorHAnsi"/>
          <w:color w:val="000000"/>
          <w:lang w:val="es-CR"/>
        </w:rPr>
      </w:pPr>
      <w:r w:rsidRPr="00B657F7">
        <w:rPr>
          <w:rFonts w:ascii="Cambria" w:hAnsi="Cambria"/>
          <w:lang w:val="es-CR"/>
        </w:rPr>
        <w:t>Los intermediarios de seguros (sociedades corredoras y sociedades agencia) deben remitir a la Superintendencia la siguiente información, en las condiciones que se indican a continuación:</w:t>
      </w:r>
    </w:p>
    <w:p w14:paraId="1BFA115F" w14:textId="77777777" w:rsidR="00636E75" w:rsidRPr="00B657F7" w:rsidRDefault="00636E75" w:rsidP="00636E75">
      <w:pPr>
        <w:jc w:val="both"/>
        <w:rPr>
          <w:rFonts w:asciiTheme="majorHAnsi" w:hAnsiTheme="majorHAnsi"/>
          <w:color w:val="000000"/>
          <w:lang w:val="es-CR"/>
        </w:rPr>
      </w:pPr>
    </w:p>
    <w:tbl>
      <w:tblPr>
        <w:tblStyle w:val="Tablaconcuadrcula"/>
        <w:tblW w:w="9368" w:type="dxa"/>
        <w:jc w:val="center"/>
        <w:tblLayout w:type="fixed"/>
        <w:tblLook w:val="04A0" w:firstRow="1" w:lastRow="0" w:firstColumn="1" w:lastColumn="0" w:noHBand="0" w:noVBand="1"/>
      </w:tblPr>
      <w:tblGrid>
        <w:gridCol w:w="2552"/>
        <w:gridCol w:w="2405"/>
        <w:gridCol w:w="1984"/>
        <w:gridCol w:w="2427"/>
      </w:tblGrid>
      <w:tr w:rsidR="00636E75" w:rsidRPr="00B657F7" w14:paraId="6F3ED434" w14:textId="77777777" w:rsidTr="001264D5">
        <w:trPr>
          <w:tblHeader/>
          <w:jc w:val="center"/>
        </w:trPr>
        <w:tc>
          <w:tcPr>
            <w:tcW w:w="2552" w:type="dxa"/>
            <w:shd w:val="clear" w:color="auto" w:fill="A6A6A6" w:themeFill="background1" w:themeFillShade="A6"/>
            <w:vAlign w:val="center"/>
          </w:tcPr>
          <w:p w14:paraId="6379174B" w14:textId="77777777" w:rsidR="00636E75" w:rsidRPr="00B657F7" w:rsidRDefault="00636E75" w:rsidP="001264D5">
            <w:pPr>
              <w:widowControl w:val="0"/>
              <w:jc w:val="center"/>
              <w:rPr>
                <w:rFonts w:ascii="Cambria" w:hAnsi="Cambria"/>
                <w:b/>
                <w:bCs/>
                <w:iCs/>
                <w:snapToGrid w:val="0"/>
                <w:sz w:val="20"/>
                <w:szCs w:val="20"/>
                <w:lang w:val="es-CR"/>
              </w:rPr>
            </w:pPr>
            <w:r w:rsidRPr="00B657F7">
              <w:rPr>
                <w:rFonts w:ascii="Cambria" w:hAnsi="Cambria"/>
                <w:b/>
                <w:bCs/>
                <w:iCs/>
                <w:snapToGrid w:val="0"/>
                <w:sz w:val="20"/>
                <w:szCs w:val="20"/>
                <w:lang w:val="es-CR"/>
              </w:rPr>
              <w:t>Información</w:t>
            </w:r>
          </w:p>
        </w:tc>
        <w:tc>
          <w:tcPr>
            <w:tcW w:w="2405" w:type="dxa"/>
            <w:shd w:val="clear" w:color="auto" w:fill="A6A6A6" w:themeFill="background1" w:themeFillShade="A6"/>
            <w:vAlign w:val="center"/>
          </w:tcPr>
          <w:p w14:paraId="377F7169" w14:textId="77777777" w:rsidR="00636E75" w:rsidRPr="00B657F7" w:rsidRDefault="00636E75" w:rsidP="001264D5">
            <w:pPr>
              <w:pStyle w:val="Ttulo5"/>
              <w:spacing w:before="0"/>
              <w:outlineLvl w:val="4"/>
              <w:rPr>
                <w:rFonts w:ascii="Cambria" w:hAnsi="Cambria"/>
                <w:b/>
                <w:bCs/>
                <w:iCs/>
                <w:color w:val="auto"/>
                <w:sz w:val="20"/>
                <w:szCs w:val="20"/>
                <w:lang w:val="es-CR"/>
              </w:rPr>
            </w:pPr>
            <w:r w:rsidRPr="00B657F7">
              <w:rPr>
                <w:rFonts w:ascii="Cambria" w:hAnsi="Cambria"/>
                <w:b/>
                <w:bCs/>
                <w:iCs/>
                <w:color w:val="auto"/>
                <w:sz w:val="20"/>
                <w:szCs w:val="20"/>
                <w:lang w:val="es-CR"/>
              </w:rPr>
              <w:t>Periodicidad</w:t>
            </w:r>
          </w:p>
        </w:tc>
        <w:tc>
          <w:tcPr>
            <w:tcW w:w="1984" w:type="dxa"/>
            <w:shd w:val="clear" w:color="auto" w:fill="A6A6A6" w:themeFill="background1" w:themeFillShade="A6"/>
            <w:vAlign w:val="center"/>
          </w:tcPr>
          <w:p w14:paraId="2F2EA8D4" w14:textId="77777777" w:rsidR="00636E75" w:rsidRPr="00B657F7" w:rsidRDefault="00636E75" w:rsidP="001264D5">
            <w:pPr>
              <w:widowControl w:val="0"/>
              <w:jc w:val="center"/>
              <w:rPr>
                <w:rFonts w:ascii="Cambria" w:hAnsi="Cambria"/>
                <w:b/>
                <w:bCs/>
                <w:iCs/>
                <w:snapToGrid w:val="0"/>
                <w:sz w:val="20"/>
                <w:szCs w:val="20"/>
                <w:lang w:val="es-CR"/>
              </w:rPr>
            </w:pPr>
            <w:r w:rsidRPr="00B657F7">
              <w:rPr>
                <w:rFonts w:ascii="Cambria" w:hAnsi="Cambria"/>
                <w:b/>
                <w:bCs/>
                <w:iCs/>
                <w:snapToGrid w:val="0"/>
                <w:sz w:val="20"/>
                <w:szCs w:val="20"/>
                <w:lang w:val="es-CR"/>
              </w:rPr>
              <w:t>Plazo de entrega</w:t>
            </w:r>
          </w:p>
        </w:tc>
        <w:tc>
          <w:tcPr>
            <w:tcW w:w="2427" w:type="dxa"/>
            <w:shd w:val="clear" w:color="auto" w:fill="A6A6A6" w:themeFill="background1" w:themeFillShade="A6"/>
            <w:vAlign w:val="center"/>
          </w:tcPr>
          <w:p w14:paraId="2C0FA522" w14:textId="77777777" w:rsidR="00636E75" w:rsidRPr="00B657F7" w:rsidRDefault="00636E75" w:rsidP="001264D5">
            <w:pPr>
              <w:widowControl w:val="0"/>
              <w:jc w:val="center"/>
              <w:rPr>
                <w:rFonts w:ascii="Cambria" w:hAnsi="Cambria"/>
                <w:b/>
                <w:bCs/>
                <w:iCs/>
                <w:snapToGrid w:val="0"/>
                <w:sz w:val="20"/>
                <w:szCs w:val="20"/>
                <w:lang w:val="es-CR"/>
              </w:rPr>
            </w:pPr>
            <w:r w:rsidRPr="00B657F7">
              <w:rPr>
                <w:rFonts w:ascii="Cambria" w:hAnsi="Cambria"/>
                <w:b/>
                <w:bCs/>
                <w:iCs/>
                <w:snapToGrid w:val="0"/>
                <w:sz w:val="20"/>
                <w:szCs w:val="20"/>
                <w:lang w:val="es-CR"/>
              </w:rPr>
              <w:t>Medio</w:t>
            </w:r>
          </w:p>
        </w:tc>
      </w:tr>
      <w:tr w:rsidR="00636E75" w:rsidRPr="00B657F7" w14:paraId="46DAFD06" w14:textId="77777777" w:rsidTr="001264D5">
        <w:trPr>
          <w:jc w:val="center"/>
        </w:trPr>
        <w:tc>
          <w:tcPr>
            <w:tcW w:w="2552" w:type="dxa"/>
          </w:tcPr>
          <w:p w14:paraId="585FBA56" w14:textId="77777777" w:rsidR="00636E75" w:rsidRPr="00B657F7" w:rsidRDefault="00636E75" w:rsidP="001264D5">
            <w:pPr>
              <w:widowControl w:val="0"/>
              <w:rPr>
                <w:rFonts w:ascii="Cambria" w:hAnsi="Cambria"/>
                <w:b/>
                <w:bCs/>
                <w:sz w:val="20"/>
                <w:szCs w:val="20"/>
                <w:lang w:val="es-CR"/>
              </w:rPr>
            </w:pPr>
            <w:r w:rsidRPr="00B657F7">
              <w:rPr>
                <w:rFonts w:ascii="Cambria" w:hAnsi="Cambria" w:cstheme="minorHAnsi"/>
                <w:b/>
                <w:bCs/>
                <w:sz w:val="20"/>
                <w:szCs w:val="20"/>
                <w:lang w:val="es-CR"/>
              </w:rPr>
              <w:t xml:space="preserve">Modelo 1: Datos Contables, Información </w:t>
            </w:r>
            <w:r w:rsidRPr="00B657F7">
              <w:rPr>
                <w:rFonts w:ascii="Cambria" w:hAnsi="Cambria" w:cstheme="minorHAnsi"/>
                <w:b/>
                <w:bCs/>
                <w:sz w:val="20"/>
                <w:szCs w:val="20"/>
                <w:lang w:val="es-CR"/>
              </w:rPr>
              <w:lastRenderedPageBreak/>
              <w:t>Adicional y Garantía Mínima de Funcionamiento</w:t>
            </w:r>
          </w:p>
        </w:tc>
        <w:tc>
          <w:tcPr>
            <w:tcW w:w="2405" w:type="dxa"/>
          </w:tcPr>
          <w:p w14:paraId="6B7C615D" w14:textId="77777777" w:rsidR="00636E75" w:rsidRPr="00B657F7" w:rsidRDefault="00636E75" w:rsidP="001264D5">
            <w:pPr>
              <w:widowControl w:val="0"/>
              <w:rPr>
                <w:rFonts w:ascii="Cambria" w:hAnsi="Cambria" w:cstheme="minorHAnsi"/>
                <w:snapToGrid w:val="0"/>
                <w:sz w:val="20"/>
                <w:szCs w:val="20"/>
                <w:lang w:val="es-CR"/>
              </w:rPr>
            </w:pPr>
            <w:r w:rsidRPr="00B657F7">
              <w:rPr>
                <w:rFonts w:ascii="Cambria" w:hAnsi="Cambria" w:cstheme="minorHAnsi"/>
                <w:snapToGrid w:val="0"/>
                <w:sz w:val="20"/>
                <w:szCs w:val="20"/>
                <w:u w:val="single"/>
                <w:lang w:val="es-CR"/>
              </w:rPr>
              <w:lastRenderedPageBreak/>
              <w:t>Sociedades Agencia:</w:t>
            </w:r>
            <w:r w:rsidRPr="00B657F7">
              <w:rPr>
                <w:rFonts w:ascii="Cambria" w:hAnsi="Cambria" w:cstheme="minorHAnsi"/>
                <w:snapToGrid w:val="0"/>
                <w:sz w:val="20"/>
                <w:szCs w:val="20"/>
                <w:lang w:val="es-CR"/>
              </w:rPr>
              <w:t xml:space="preserve"> </w:t>
            </w:r>
            <w:r w:rsidRPr="00B657F7">
              <w:rPr>
                <w:rFonts w:ascii="Cambria" w:hAnsi="Cambria" w:cstheme="minorHAnsi"/>
                <w:b/>
                <w:bCs/>
                <w:snapToGrid w:val="0"/>
                <w:sz w:val="20"/>
                <w:szCs w:val="20"/>
                <w:lang w:val="es-CR"/>
              </w:rPr>
              <w:t>Semestral</w:t>
            </w:r>
          </w:p>
          <w:p w14:paraId="1DB00ABF" w14:textId="77777777" w:rsidR="00636E75" w:rsidRPr="00B657F7" w:rsidRDefault="00636E75" w:rsidP="001264D5">
            <w:pPr>
              <w:widowControl w:val="0"/>
              <w:rPr>
                <w:rFonts w:ascii="Cambria" w:hAnsi="Cambria" w:cstheme="minorHAnsi"/>
                <w:snapToGrid w:val="0"/>
                <w:sz w:val="20"/>
                <w:szCs w:val="20"/>
                <w:u w:val="single"/>
                <w:lang w:val="es-CR"/>
              </w:rPr>
            </w:pPr>
          </w:p>
          <w:p w14:paraId="059912D6" w14:textId="77777777" w:rsidR="00636E75" w:rsidRPr="00B657F7" w:rsidRDefault="00636E75" w:rsidP="001264D5">
            <w:pPr>
              <w:widowControl w:val="0"/>
              <w:rPr>
                <w:rFonts w:ascii="Cambria" w:hAnsi="Cambria" w:cstheme="minorHAnsi"/>
                <w:strike/>
                <w:snapToGrid w:val="0"/>
                <w:sz w:val="20"/>
                <w:szCs w:val="20"/>
                <w:lang w:val="es-CR"/>
              </w:rPr>
            </w:pPr>
            <w:r w:rsidRPr="00B657F7">
              <w:rPr>
                <w:rFonts w:ascii="Cambria" w:hAnsi="Cambria" w:cstheme="minorHAnsi"/>
                <w:snapToGrid w:val="0"/>
                <w:sz w:val="20"/>
                <w:szCs w:val="20"/>
                <w:u w:val="single"/>
                <w:lang w:val="es-CR"/>
              </w:rPr>
              <w:t>Sociedades Corredoras y Sociedades Agencias pertenecientes a grupos o conglomerados financieros:</w:t>
            </w:r>
            <w:r w:rsidRPr="00B657F7">
              <w:rPr>
                <w:rFonts w:ascii="Cambria" w:hAnsi="Cambria" w:cstheme="minorHAnsi"/>
                <w:snapToGrid w:val="0"/>
                <w:sz w:val="20"/>
                <w:szCs w:val="20"/>
                <w:lang w:val="es-CR"/>
              </w:rPr>
              <w:t xml:space="preserve"> </w:t>
            </w:r>
            <w:r w:rsidRPr="00B657F7">
              <w:rPr>
                <w:rFonts w:ascii="Cambria" w:hAnsi="Cambria" w:cstheme="minorHAnsi"/>
                <w:b/>
                <w:bCs/>
                <w:snapToGrid w:val="0"/>
                <w:sz w:val="20"/>
                <w:szCs w:val="20"/>
                <w:lang w:val="es-CR"/>
              </w:rPr>
              <w:t>Trimestral</w:t>
            </w:r>
          </w:p>
        </w:tc>
        <w:tc>
          <w:tcPr>
            <w:tcW w:w="1984" w:type="dxa"/>
          </w:tcPr>
          <w:p w14:paraId="5C74603A" w14:textId="77777777" w:rsidR="00636E75" w:rsidRPr="00B657F7" w:rsidRDefault="00636E75" w:rsidP="001264D5">
            <w:pPr>
              <w:widowControl w:val="0"/>
              <w:rPr>
                <w:rFonts w:ascii="Cambria" w:hAnsi="Cambria"/>
                <w:sz w:val="20"/>
                <w:szCs w:val="20"/>
                <w:lang w:val="es-CR"/>
              </w:rPr>
            </w:pPr>
            <w:r w:rsidRPr="00B657F7">
              <w:rPr>
                <w:rFonts w:ascii="Cambria" w:hAnsi="Cambria"/>
                <w:sz w:val="20"/>
                <w:szCs w:val="20"/>
                <w:lang w:val="es-CR"/>
              </w:rPr>
              <w:lastRenderedPageBreak/>
              <w:t xml:space="preserve">15 días hábiles después del cierre </w:t>
            </w:r>
            <w:r w:rsidRPr="00B657F7">
              <w:rPr>
                <w:rFonts w:ascii="Cambria" w:hAnsi="Cambria"/>
                <w:sz w:val="20"/>
                <w:szCs w:val="20"/>
                <w:lang w:val="es-CR"/>
              </w:rPr>
              <w:lastRenderedPageBreak/>
              <w:t>de los meses de marzo, junio, setiembre y diciembre según la periodicidad establecida para cada tipo de intermediario.</w:t>
            </w:r>
          </w:p>
        </w:tc>
        <w:tc>
          <w:tcPr>
            <w:tcW w:w="2427" w:type="dxa"/>
          </w:tcPr>
          <w:p w14:paraId="779C6BA8" w14:textId="77777777" w:rsidR="00636E75" w:rsidRPr="00B657F7" w:rsidRDefault="00636E75" w:rsidP="001264D5">
            <w:pPr>
              <w:widowControl w:val="0"/>
              <w:rPr>
                <w:rFonts w:ascii="Cambria" w:hAnsi="Cambria" w:cstheme="minorHAnsi"/>
                <w:strike/>
                <w:snapToGrid w:val="0"/>
                <w:sz w:val="20"/>
                <w:szCs w:val="20"/>
                <w:lang w:val="es-CR"/>
              </w:rPr>
            </w:pPr>
            <w:r w:rsidRPr="00B657F7">
              <w:rPr>
                <w:rFonts w:ascii="Cambria" w:hAnsi="Cambria"/>
                <w:sz w:val="20"/>
                <w:szCs w:val="20"/>
                <w:lang w:val="es-CR"/>
              </w:rPr>
              <w:lastRenderedPageBreak/>
              <w:t xml:space="preserve">Formularios web dispuestos en la </w:t>
            </w:r>
            <w:r w:rsidRPr="00B657F7">
              <w:rPr>
                <w:rFonts w:ascii="Cambria" w:hAnsi="Cambria"/>
                <w:sz w:val="20"/>
                <w:szCs w:val="20"/>
                <w:lang w:val="es-CR"/>
              </w:rPr>
              <w:lastRenderedPageBreak/>
              <w:t xml:space="preserve">plataforma </w:t>
            </w:r>
            <w:r w:rsidRPr="00B657F7">
              <w:rPr>
                <w:rFonts w:ascii="Cambria" w:hAnsi="Cambria"/>
                <w:i/>
                <w:sz w:val="20"/>
                <w:szCs w:val="20"/>
                <w:lang w:val="es-CR"/>
              </w:rPr>
              <w:t>SUGESE en línea</w:t>
            </w:r>
            <w:r w:rsidRPr="00B657F7">
              <w:rPr>
                <w:rFonts w:ascii="Cambria" w:hAnsi="Cambria"/>
                <w:sz w:val="20"/>
                <w:szCs w:val="20"/>
                <w:lang w:val="es-CR"/>
              </w:rPr>
              <w:t xml:space="preserve">, disponible en el sitio web de SUGESE, de conformidad con el Estándar de Negocio para Intermediarios de Seguros, incluido en el </w:t>
            </w:r>
            <w:r w:rsidRPr="00B657F7">
              <w:rPr>
                <w:rFonts w:ascii="Cambria" w:hAnsi="Cambria"/>
                <w:b/>
                <w:bCs/>
                <w:sz w:val="20"/>
                <w:szCs w:val="20"/>
                <w:lang w:val="es-CR"/>
              </w:rPr>
              <w:t>Anexo 8</w:t>
            </w:r>
          </w:p>
        </w:tc>
      </w:tr>
      <w:tr w:rsidR="00636E75" w:rsidRPr="00B657F7" w14:paraId="22DF9AC1" w14:textId="77777777" w:rsidTr="001264D5">
        <w:trPr>
          <w:jc w:val="center"/>
        </w:trPr>
        <w:tc>
          <w:tcPr>
            <w:tcW w:w="2552" w:type="dxa"/>
            <w:vAlign w:val="center"/>
          </w:tcPr>
          <w:p w14:paraId="5A29A5B8" w14:textId="77777777" w:rsidR="00636E75" w:rsidRPr="00B657F7" w:rsidRDefault="00636E75" w:rsidP="001264D5">
            <w:pPr>
              <w:widowControl w:val="0"/>
              <w:rPr>
                <w:rFonts w:ascii="Cambria" w:hAnsi="Cambria" w:cstheme="minorHAnsi"/>
                <w:b/>
                <w:bCs/>
                <w:sz w:val="20"/>
                <w:szCs w:val="20"/>
                <w:lang w:val="es-CR"/>
              </w:rPr>
            </w:pPr>
            <w:r w:rsidRPr="00B657F7">
              <w:rPr>
                <w:rFonts w:ascii="Cambria" w:hAnsi="Cambria"/>
                <w:b/>
                <w:bCs/>
                <w:sz w:val="20"/>
                <w:szCs w:val="20"/>
                <w:lang w:val="es-CR"/>
              </w:rPr>
              <w:lastRenderedPageBreak/>
              <w:t>Estados Financieros Auditados</w:t>
            </w:r>
          </w:p>
        </w:tc>
        <w:tc>
          <w:tcPr>
            <w:tcW w:w="2405" w:type="dxa"/>
            <w:vAlign w:val="center"/>
          </w:tcPr>
          <w:p w14:paraId="0AC77C2F" w14:textId="77777777" w:rsidR="00636E75" w:rsidRPr="00B657F7" w:rsidRDefault="00636E75" w:rsidP="001264D5">
            <w:pPr>
              <w:widowControl w:val="0"/>
              <w:ind w:left="94"/>
              <w:jc w:val="both"/>
              <w:rPr>
                <w:rFonts w:ascii="Cambria" w:hAnsi="Cambria" w:cstheme="minorHAnsi"/>
                <w:snapToGrid w:val="0"/>
                <w:sz w:val="20"/>
                <w:szCs w:val="20"/>
                <w:lang w:val="es-CR"/>
              </w:rPr>
            </w:pPr>
            <w:r w:rsidRPr="00B657F7">
              <w:rPr>
                <w:rFonts w:ascii="Cambria" w:hAnsi="Cambria" w:cstheme="minorHAnsi"/>
                <w:snapToGrid w:val="0"/>
                <w:sz w:val="20"/>
                <w:szCs w:val="20"/>
                <w:lang w:val="es-CR"/>
              </w:rPr>
              <w:t>Anual</w:t>
            </w:r>
          </w:p>
        </w:tc>
        <w:tc>
          <w:tcPr>
            <w:tcW w:w="1984" w:type="dxa"/>
            <w:vAlign w:val="center"/>
          </w:tcPr>
          <w:p w14:paraId="21F3BF9D" w14:textId="77777777" w:rsidR="00636E75" w:rsidRPr="00B657F7" w:rsidRDefault="00636E75" w:rsidP="001264D5">
            <w:pPr>
              <w:widowControl w:val="0"/>
              <w:jc w:val="both"/>
              <w:rPr>
                <w:rFonts w:ascii="Cambria" w:hAnsi="Cambria"/>
                <w:sz w:val="20"/>
                <w:szCs w:val="20"/>
                <w:lang w:val="es-CR"/>
              </w:rPr>
            </w:pPr>
            <w:r w:rsidRPr="00B657F7">
              <w:rPr>
                <w:rFonts w:ascii="Cambria" w:hAnsi="Cambria"/>
                <w:sz w:val="20"/>
                <w:szCs w:val="20"/>
                <w:lang w:val="es-CR"/>
              </w:rPr>
              <w:t>Cuarenta días hábiles posteriores al</w:t>
            </w:r>
          </w:p>
          <w:p w14:paraId="1F0AA7C7" w14:textId="77777777" w:rsidR="00636E75" w:rsidRPr="00B657F7" w:rsidRDefault="00636E75" w:rsidP="001264D5">
            <w:pPr>
              <w:widowControl w:val="0"/>
              <w:rPr>
                <w:rFonts w:ascii="Cambria" w:hAnsi="Cambria"/>
                <w:sz w:val="20"/>
                <w:szCs w:val="20"/>
                <w:lang w:val="es-CR"/>
              </w:rPr>
            </w:pPr>
            <w:r w:rsidRPr="00B657F7">
              <w:rPr>
                <w:rFonts w:ascii="Cambria" w:hAnsi="Cambria"/>
                <w:sz w:val="20"/>
                <w:szCs w:val="20"/>
                <w:lang w:val="es-CR"/>
              </w:rPr>
              <w:t>cierre anual.</w:t>
            </w:r>
          </w:p>
        </w:tc>
        <w:tc>
          <w:tcPr>
            <w:tcW w:w="2427" w:type="dxa"/>
            <w:vAlign w:val="center"/>
          </w:tcPr>
          <w:p w14:paraId="76D34A8B" w14:textId="77777777" w:rsidR="00636E75" w:rsidRPr="00B657F7" w:rsidRDefault="00636E75" w:rsidP="001264D5">
            <w:pPr>
              <w:widowControl w:val="0"/>
              <w:jc w:val="both"/>
              <w:rPr>
                <w:rFonts w:ascii="Cambria" w:hAnsi="Cambria"/>
                <w:sz w:val="20"/>
                <w:szCs w:val="20"/>
                <w:lang w:val="es-CR"/>
              </w:rPr>
            </w:pPr>
            <w:r w:rsidRPr="00B657F7">
              <w:rPr>
                <w:rFonts w:ascii="Cambria" w:hAnsi="Cambria"/>
                <w:sz w:val="20"/>
                <w:szCs w:val="20"/>
                <w:lang w:val="es-CR"/>
              </w:rPr>
              <w:t>De forma digital al correo electrónico oficial de la Superintendencia según lo define el acuerdo de firma digital.</w:t>
            </w:r>
          </w:p>
        </w:tc>
      </w:tr>
    </w:tbl>
    <w:p w14:paraId="77409316" w14:textId="77777777" w:rsidR="00636E75" w:rsidRPr="00B657F7" w:rsidRDefault="00636E75" w:rsidP="00636E75">
      <w:pPr>
        <w:jc w:val="both"/>
        <w:rPr>
          <w:rFonts w:asciiTheme="majorHAnsi" w:hAnsiTheme="majorHAnsi"/>
          <w:color w:val="000000"/>
          <w:lang w:val="es-CR"/>
        </w:rPr>
      </w:pPr>
    </w:p>
    <w:p w14:paraId="03579CF2" w14:textId="77777777" w:rsidR="00636E75" w:rsidRPr="00B657F7" w:rsidRDefault="00636E75" w:rsidP="00636E75">
      <w:pPr>
        <w:jc w:val="both"/>
        <w:rPr>
          <w:rFonts w:asciiTheme="majorHAnsi" w:hAnsiTheme="majorHAnsi"/>
          <w:color w:val="000000"/>
          <w:lang w:val="es-CR"/>
        </w:rPr>
      </w:pPr>
      <w:r w:rsidRPr="00B657F7">
        <w:rPr>
          <w:rFonts w:ascii="Cambria" w:hAnsi="Cambria"/>
          <w:bCs/>
          <w:lang w:val="es-CR"/>
        </w:rPr>
        <w:t xml:space="preserve">En cuanto a los estados financieros intermedios que deben elaborar los intermediarios de seguros de conformidad con el </w:t>
      </w:r>
      <w:r w:rsidRPr="00B657F7">
        <w:rPr>
          <w:rFonts w:ascii="Cambria" w:hAnsi="Cambria"/>
          <w:bCs/>
          <w:i/>
          <w:iCs/>
          <w:lang w:val="es-CR"/>
        </w:rPr>
        <w:t>Reglamento de Información Financiera</w:t>
      </w:r>
      <w:r w:rsidRPr="00B657F7">
        <w:rPr>
          <w:rFonts w:ascii="Cambria" w:hAnsi="Cambria"/>
          <w:bCs/>
          <w:lang w:val="es-CR"/>
        </w:rPr>
        <w:t>, solamente deben publicarse en los términos definidos en dicho reglamento.</w:t>
      </w:r>
    </w:p>
    <w:p w14:paraId="532C9D65" w14:textId="77777777" w:rsidR="00636E75" w:rsidRPr="00B657F7" w:rsidRDefault="00636E75" w:rsidP="00636E75">
      <w:pPr>
        <w:jc w:val="both"/>
        <w:rPr>
          <w:rFonts w:asciiTheme="majorHAnsi" w:hAnsiTheme="majorHAnsi"/>
          <w:color w:val="000000"/>
          <w:lang w:val="es-CR"/>
        </w:rPr>
      </w:pPr>
    </w:p>
    <w:p w14:paraId="719F0F58" w14:textId="77777777" w:rsidR="00636E75" w:rsidRPr="00B657F7" w:rsidRDefault="00636E75" w:rsidP="00636E75">
      <w:pPr>
        <w:jc w:val="both"/>
        <w:rPr>
          <w:rFonts w:asciiTheme="majorHAnsi" w:hAnsiTheme="majorHAnsi"/>
          <w:bCs/>
          <w:lang w:val="es-CR"/>
        </w:rPr>
      </w:pPr>
      <w:r w:rsidRPr="00B657F7">
        <w:rPr>
          <w:rFonts w:asciiTheme="majorHAnsi" w:hAnsiTheme="majorHAnsi"/>
          <w:bCs/>
          <w:lang w:val="es-CR"/>
        </w:rPr>
        <w:t>La falta de presentación de esta documentación, la presentación fuera de plazo, la remisión incompleta, la presentación en formatos diferentes al establecido, la falta de veracidad de esta o la formulación de estados que no reflejen la imagen fiel de la entidad al término del ejercicio de referencia, constituyen infracciones a la normativa vigente, y pueden dar lugar a las correspondientes sanciones en los términos previstos en la Ley Reguladora del Mercado de Seguros.</w:t>
      </w:r>
    </w:p>
    <w:p w14:paraId="7E1C9322" w14:textId="77777777" w:rsidR="00636E75" w:rsidRPr="00B657F7" w:rsidRDefault="00636E75" w:rsidP="00636E75">
      <w:pPr>
        <w:jc w:val="both"/>
        <w:rPr>
          <w:rFonts w:asciiTheme="majorHAnsi" w:hAnsiTheme="majorHAnsi"/>
          <w:color w:val="000000"/>
          <w:lang w:val="es-CR"/>
        </w:rPr>
      </w:pPr>
    </w:p>
    <w:p w14:paraId="29457C69" w14:textId="77777777" w:rsidR="00636E75" w:rsidRPr="00B657F7" w:rsidRDefault="00636E75" w:rsidP="00636E75">
      <w:pPr>
        <w:jc w:val="both"/>
        <w:rPr>
          <w:rFonts w:asciiTheme="majorHAnsi" w:hAnsiTheme="majorHAnsi"/>
          <w:color w:val="000000"/>
          <w:sz w:val="40"/>
          <w:szCs w:val="40"/>
          <w:lang w:val="es-CR"/>
        </w:rPr>
      </w:pPr>
      <w:r w:rsidRPr="00B657F7">
        <w:rPr>
          <w:rFonts w:ascii="Cambria" w:hAnsi="Cambria"/>
          <w:b/>
          <w:bCs/>
          <w:iCs/>
          <w:lang w:val="es-CR"/>
        </w:rPr>
        <w:t>Artículo 9. Corrección de información financiera o contable</w:t>
      </w:r>
    </w:p>
    <w:p w14:paraId="69C281C3" w14:textId="77777777" w:rsidR="00636E75" w:rsidRPr="00B657F7" w:rsidRDefault="00636E75" w:rsidP="00636E75">
      <w:pPr>
        <w:jc w:val="both"/>
        <w:rPr>
          <w:rFonts w:asciiTheme="majorHAnsi" w:hAnsiTheme="majorHAnsi"/>
          <w:color w:val="000000"/>
          <w:sz w:val="40"/>
          <w:szCs w:val="40"/>
          <w:lang w:val="es-CR"/>
        </w:rPr>
      </w:pPr>
      <w:r w:rsidRPr="00B657F7">
        <w:rPr>
          <w:rFonts w:ascii="Cambria" w:hAnsi="Cambria"/>
          <w:bCs/>
          <w:iCs/>
          <w:lang w:val="es-CR"/>
        </w:rPr>
        <w:t xml:space="preserve">La corrección de la información financiera y contable de las entidades supervisadas descrita en los artículos 2 y 3 de este acuerdo, a solicitud de la Superintendencia, se regirá por lo dispuesto en el </w:t>
      </w:r>
      <w:r w:rsidRPr="00B657F7">
        <w:rPr>
          <w:rFonts w:ascii="Cambria" w:hAnsi="Cambria"/>
          <w:bCs/>
          <w:i/>
          <w:lang w:val="es-CR"/>
        </w:rPr>
        <w:t>Reglamento de Información Financiera</w:t>
      </w:r>
      <w:r w:rsidRPr="00B657F7">
        <w:rPr>
          <w:rFonts w:ascii="Cambria" w:hAnsi="Cambria"/>
          <w:bCs/>
          <w:iCs/>
          <w:lang w:val="es-CR"/>
        </w:rPr>
        <w:t>.   Además, se constituirá en un hecho relevante y se comunicará según la normativa que emita el Superintendente para estos efectos.</w:t>
      </w:r>
    </w:p>
    <w:p w14:paraId="65F909D4" w14:textId="77777777" w:rsidR="00636E75" w:rsidRPr="00B657F7" w:rsidRDefault="00636E75" w:rsidP="00636E75">
      <w:pPr>
        <w:jc w:val="both"/>
        <w:rPr>
          <w:rFonts w:asciiTheme="majorHAnsi" w:hAnsiTheme="majorHAnsi"/>
          <w:color w:val="000000"/>
          <w:lang w:val="es-CR"/>
        </w:rPr>
      </w:pPr>
    </w:p>
    <w:p w14:paraId="1DFAEAC0" w14:textId="77777777" w:rsidR="00636E75" w:rsidRPr="00B657F7" w:rsidRDefault="00636E75" w:rsidP="00636E75">
      <w:pPr>
        <w:jc w:val="both"/>
        <w:rPr>
          <w:rFonts w:asciiTheme="majorHAnsi" w:hAnsiTheme="majorHAnsi"/>
          <w:color w:val="000000"/>
          <w:sz w:val="40"/>
          <w:szCs w:val="40"/>
          <w:lang w:val="es-CR"/>
        </w:rPr>
      </w:pPr>
      <w:r w:rsidRPr="00B657F7">
        <w:rPr>
          <w:rFonts w:ascii="Cambria" w:hAnsi="Cambria"/>
          <w:bCs/>
          <w:lang w:val="es-CR"/>
        </w:rPr>
        <w:t xml:space="preserve">En el caso de correcciones de la información financiera auditada por parte de las entidades supervisadas, la Superintendencia mediante requerimiento del servicio de Ejecución de Estudios y Seguimiento (EES) de </w:t>
      </w:r>
      <w:r w:rsidRPr="00B657F7">
        <w:rPr>
          <w:rFonts w:ascii="Cambria" w:hAnsi="Cambria"/>
          <w:bCs/>
          <w:i/>
          <w:iCs/>
          <w:lang w:val="es-CR"/>
        </w:rPr>
        <w:t>SUGESE en Línea</w:t>
      </w:r>
      <w:r w:rsidRPr="00B657F7">
        <w:rPr>
          <w:rFonts w:ascii="Cambria" w:hAnsi="Cambria"/>
          <w:bCs/>
          <w:lang w:val="es-CR"/>
        </w:rPr>
        <w:t>, solicitará la respectiva sustitución y la publicación en caso de ser necesario.</w:t>
      </w:r>
    </w:p>
    <w:p w14:paraId="3E0C8E55" w14:textId="77777777" w:rsidR="00636E75" w:rsidRPr="00B657F7" w:rsidRDefault="00636E75" w:rsidP="00636E75">
      <w:pPr>
        <w:jc w:val="both"/>
        <w:rPr>
          <w:rFonts w:asciiTheme="majorHAnsi" w:hAnsiTheme="majorHAnsi"/>
          <w:color w:val="000000"/>
          <w:lang w:val="es-CR"/>
        </w:rPr>
      </w:pPr>
    </w:p>
    <w:p w14:paraId="02BD30C5" w14:textId="77777777" w:rsidR="00636E75" w:rsidRPr="00B657F7" w:rsidRDefault="00636E75" w:rsidP="00636E75">
      <w:pPr>
        <w:jc w:val="both"/>
        <w:rPr>
          <w:rFonts w:asciiTheme="majorHAnsi" w:hAnsiTheme="majorHAnsi"/>
          <w:color w:val="000000"/>
          <w:lang w:val="es-CR"/>
        </w:rPr>
      </w:pPr>
    </w:p>
    <w:p w14:paraId="2F049989" w14:textId="77777777" w:rsidR="00636E75" w:rsidRPr="00B657F7" w:rsidRDefault="00636E75" w:rsidP="00636E75">
      <w:pPr>
        <w:jc w:val="both"/>
        <w:rPr>
          <w:rFonts w:asciiTheme="majorHAnsi" w:hAnsiTheme="majorHAnsi"/>
          <w:color w:val="000000"/>
          <w:sz w:val="40"/>
          <w:szCs w:val="40"/>
          <w:lang w:val="es-CR"/>
        </w:rPr>
      </w:pPr>
      <w:r w:rsidRPr="00B657F7">
        <w:rPr>
          <w:rFonts w:ascii="Cambria" w:hAnsi="Cambria" w:cs="Arial"/>
          <w:b/>
          <w:bCs/>
          <w:lang w:val="es-CR"/>
        </w:rPr>
        <w:lastRenderedPageBreak/>
        <w:t xml:space="preserve">SEGUNDO: </w:t>
      </w:r>
      <w:r w:rsidRPr="00B657F7">
        <w:rPr>
          <w:rFonts w:ascii="Cambria" w:hAnsi="Cambria" w:cs="Arial"/>
          <w:lang w:val="es-CR"/>
        </w:rPr>
        <w:t xml:space="preserve">Eliminar el artículo 3 bis del acuerdo SGS-A-021-2013 con los </w:t>
      </w:r>
      <w:r w:rsidRPr="00B657F7">
        <w:rPr>
          <w:rFonts w:ascii="Cambria" w:hAnsi="Cambria" w:cs="Arial"/>
          <w:i/>
          <w:iCs/>
          <w:lang w:val="es-CR"/>
        </w:rPr>
        <w:t>Disposiciones para la Remisión de la Información Contable y Estadística a la Superintendencia General de Seguros por parte de las Entidades Supervisadas.</w:t>
      </w:r>
    </w:p>
    <w:p w14:paraId="5E82D770" w14:textId="77777777" w:rsidR="00636E75" w:rsidRPr="00B657F7" w:rsidRDefault="00636E75" w:rsidP="00636E75">
      <w:pPr>
        <w:jc w:val="both"/>
        <w:rPr>
          <w:rFonts w:asciiTheme="majorHAnsi" w:hAnsiTheme="majorHAnsi"/>
          <w:color w:val="000000"/>
          <w:lang w:val="es-CR"/>
        </w:rPr>
      </w:pPr>
    </w:p>
    <w:p w14:paraId="5C8FDD25" w14:textId="77777777" w:rsidR="00636E75" w:rsidRPr="00B657F7" w:rsidRDefault="00636E75" w:rsidP="00636E75">
      <w:pPr>
        <w:jc w:val="both"/>
        <w:rPr>
          <w:rFonts w:asciiTheme="majorHAnsi" w:hAnsiTheme="majorHAnsi"/>
          <w:color w:val="000000"/>
          <w:lang w:val="es-CR"/>
        </w:rPr>
      </w:pPr>
    </w:p>
    <w:p w14:paraId="1623BF24" w14:textId="77777777" w:rsidR="00636E75" w:rsidRPr="00B657F7" w:rsidRDefault="00636E75" w:rsidP="00636E75">
      <w:pPr>
        <w:jc w:val="both"/>
        <w:rPr>
          <w:rFonts w:asciiTheme="majorHAnsi" w:hAnsiTheme="majorHAnsi"/>
          <w:color w:val="000000"/>
          <w:sz w:val="40"/>
          <w:szCs w:val="40"/>
          <w:lang w:val="es-CR"/>
        </w:rPr>
      </w:pPr>
      <w:r w:rsidRPr="00B657F7">
        <w:rPr>
          <w:rFonts w:ascii="Cambria" w:hAnsi="Cambria" w:cs="Arial"/>
          <w:b/>
          <w:bCs/>
          <w:lang w:val="es-CR"/>
        </w:rPr>
        <w:t xml:space="preserve">TERCERO: </w:t>
      </w:r>
      <w:r w:rsidRPr="00B657F7">
        <w:rPr>
          <w:rFonts w:ascii="Cambria" w:hAnsi="Cambria" w:cs="Arial"/>
          <w:lang w:val="es-CR"/>
        </w:rPr>
        <w:t xml:space="preserve">Modificar los incisos b y e del artículo 4 y los artículos 5, 11 y 13, todos del acuerdo SGS-A-057-2017, </w:t>
      </w:r>
      <w:r w:rsidRPr="00B657F7">
        <w:rPr>
          <w:rFonts w:ascii="Cambria" w:hAnsi="Cambria" w:cs="Arial"/>
          <w:i/>
          <w:lang w:val="es-CR"/>
        </w:rPr>
        <w:t xml:space="preserve">Lineamientos Generales para el uso del Servicio Ejecución de Estudios y Seguimiento, en adelante EES, </w:t>
      </w:r>
      <w:r w:rsidRPr="00B657F7">
        <w:rPr>
          <w:rFonts w:ascii="Cambria" w:hAnsi="Cambria" w:cs="Arial"/>
          <w:lang w:val="es-CR"/>
        </w:rPr>
        <w:t>para que se lea de la siguiente forma:</w:t>
      </w:r>
    </w:p>
    <w:p w14:paraId="746894BA" w14:textId="77777777" w:rsidR="00636E75" w:rsidRPr="00B657F7" w:rsidRDefault="00636E75" w:rsidP="00636E75">
      <w:pPr>
        <w:jc w:val="both"/>
        <w:rPr>
          <w:rFonts w:asciiTheme="majorHAnsi" w:hAnsiTheme="majorHAnsi"/>
          <w:color w:val="000000"/>
          <w:lang w:val="es-CR"/>
        </w:rPr>
      </w:pPr>
    </w:p>
    <w:p w14:paraId="6B1E9CCD" w14:textId="77777777" w:rsidR="00636E75" w:rsidRPr="00B657F7" w:rsidRDefault="00636E75" w:rsidP="00636E75">
      <w:pPr>
        <w:contextualSpacing/>
        <w:jc w:val="both"/>
        <w:rPr>
          <w:rFonts w:ascii="Cambria" w:eastAsia="Calibri" w:hAnsi="Cambria"/>
          <w:b/>
          <w:lang w:val="es-CR"/>
        </w:rPr>
      </w:pPr>
      <w:r w:rsidRPr="00B657F7">
        <w:rPr>
          <w:rFonts w:ascii="Cambria" w:eastAsia="Calibri" w:hAnsi="Cambria"/>
          <w:b/>
          <w:lang w:val="es-CR"/>
        </w:rPr>
        <w:t>Artículo 4. Definiciones</w:t>
      </w:r>
    </w:p>
    <w:p w14:paraId="107260C8" w14:textId="77777777" w:rsidR="00636E75" w:rsidRPr="00B657F7" w:rsidRDefault="00636E75" w:rsidP="00636E75">
      <w:pPr>
        <w:contextualSpacing/>
        <w:jc w:val="both"/>
        <w:rPr>
          <w:rFonts w:ascii="Cambria" w:eastAsia="Calibri" w:hAnsi="Cambria"/>
          <w:b/>
          <w:lang w:val="es-CR"/>
        </w:rPr>
      </w:pPr>
      <w:r w:rsidRPr="00B657F7">
        <w:rPr>
          <w:rFonts w:ascii="Cambria" w:eastAsia="Calibri" w:hAnsi="Cambria"/>
          <w:b/>
          <w:lang w:val="es-CR"/>
        </w:rPr>
        <w:t>…</w:t>
      </w:r>
    </w:p>
    <w:p w14:paraId="0EF79953" w14:textId="77777777" w:rsidR="00636E75" w:rsidRPr="00B657F7" w:rsidRDefault="00636E75" w:rsidP="00636E75">
      <w:pPr>
        <w:contextualSpacing/>
        <w:jc w:val="both"/>
        <w:rPr>
          <w:rFonts w:ascii="Cambria" w:eastAsia="Calibri" w:hAnsi="Cambria"/>
          <w:b/>
          <w:i/>
          <w:lang w:val="es-CR"/>
        </w:rPr>
      </w:pPr>
      <w:r w:rsidRPr="00B657F7">
        <w:rPr>
          <w:rFonts w:ascii="Cambria" w:eastAsia="Calibri" w:hAnsi="Cambria"/>
          <w:b/>
          <w:i/>
          <w:lang w:val="es-CR"/>
        </w:rPr>
        <w:t>Requerimientos</w:t>
      </w:r>
      <w:r w:rsidRPr="00B657F7">
        <w:rPr>
          <w:rFonts w:ascii="Cambria" w:eastAsia="Calibri" w:hAnsi="Cambria"/>
          <w:b/>
          <w:lang w:val="es-CR"/>
        </w:rPr>
        <w:t>:</w:t>
      </w:r>
      <w:r w:rsidRPr="00B657F7">
        <w:rPr>
          <w:rFonts w:ascii="Cambria" w:eastAsia="Calibri" w:hAnsi="Cambria"/>
          <w:lang w:val="es-CR"/>
        </w:rPr>
        <w:t xml:space="preserve"> Solicitudes que pueden ser de información o de cumplimiento obligatorio, realizadas por la SUGESE y que deben ser atendidas en un plazo determinado. También se entenderá por requerimiento para efectos del Servicio EES aquellas obligaciones normativas vigentes que deben ser atendidas mediante este Servicio.</w:t>
      </w:r>
    </w:p>
    <w:p w14:paraId="4BC1AF43" w14:textId="77777777" w:rsidR="00636E75" w:rsidRPr="00B657F7" w:rsidRDefault="00636E75" w:rsidP="00636E75">
      <w:pPr>
        <w:jc w:val="both"/>
        <w:rPr>
          <w:rFonts w:ascii="Cambria" w:hAnsi="Cambria"/>
          <w:lang w:val="es-CR"/>
        </w:rPr>
      </w:pPr>
      <w:r w:rsidRPr="00B657F7">
        <w:rPr>
          <w:rFonts w:ascii="Cambria" w:hAnsi="Cambria"/>
          <w:lang w:val="es-CR"/>
        </w:rPr>
        <w:t>…</w:t>
      </w:r>
    </w:p>
    <w:p w14:paraId="606D7A53" w14:textId="77777777" w:rsidR="00636E75" w:rsidRPr="00B657F7" w:rsidRDefault="00636E75" w:rsidP="00636E75">
      <w:pPr>
        <w:jc w:val="both"/>
        <w:rPr>
          <w:rFonts w:ascii="Cambria" w:hAnsi="Cambria"/>
          <w:lang w:val="es-CR"/>
        </w:rPr>
      </w:pPr>
      <w:r w:rsidRPr="00B657F7">
        <w:rPr>
          <w:rFonts w:ascii="Cambria" w:hAnsi="Cambria"/>
          <w:b/>
          <w:i/>
          <w:lang w:val="es-CR"/>
        </w:rPr>
        <w:t>Estado</w:t>
      </w:r>
      <w:r w:rsidRPr="00B657F7">
        <w:rPr>
          <w:rFonts w:ascii="Cambria" w:hAnsi="Cambria"/>
          <w:lang w:val="es-CR"/>
        </w:rPr>
        <w:t xml:space="preserve">: Indica la situación en que se encuentra el </w:t>
      </w:r>
      <w:r w:rsidRPr="00B657F7">
        <w:rPr>
          <w:rFonts w:ascii="Cambria" w:eastAsia="Calibri" w:hAnsi="Cambria"/>
          <w:lang w:val="es-CR"/>
        </w:rPr>
        <w:t>requerimiento realizado</w:t>
      </w:r>
      <w:r w:rsidRPr="00B657F7">
        <w:rPr>
          <w:rFonts w:ascii="Cambria" w:hAnsi="Cambria"/>
          <w:lang w:val="es-CR"/>
        </w:rPr>
        <w:t xml:space="preserve"> por la Superintendencia tal como se indica a continuación.</w:t>
      </w:r>
    </w:p>
    <w:p w14:paraId="62FAABF3" w14:textId="77777777" w:rsidR="00636E75" w:rsidRPr="00B657F7" w:rsidRDefault="00636E75" w:rsidP="00636E75">
      <w:pPr>
        <w:jc w:val="both"/>
        <w:rPr>
          <w:rFonts w:ascii="Cambria" w:hAnsi="Cambria"/>
          <w:i/>
          <w:lang w:val="es-CR"/>
        </w:rPr>
      </w:pPr>
    </w:p>
    <w:tbl>
      <w:tblPr>
        <w:tblStyle w:val="Tablaconcuadrcula"/>
        <w:tblW w:w="0" w:type="auto"/>
        <w:jc w:val="center"/>
        <w:tblLayout w:type="fixed"/>
        <w:tblLook w:val="04A0" w:firstRow="1" w:lastRow="0" w:firstColumn="1" w:lastColumn="0" w:noHBand="0" w:noVBand="1"/>
      </w:tblPr>
      <w:tblGrid>
        <w:gridCol w:w="2689"/>
        <w:gridCol w:w="5533"/>
      </w:tblGrid>
      <w:tr w:rsidR="00636E75" w:rsidRPr="00B657F7" w14:paraId="47C972C0" w14:textId="77777777" w:rsidTr="001264D5">
        <w:trPr>
          <w:jc w:val="center"/>
        </w:trPr>
        <w:tc>
          <w:tcPr>
            <w:tcW w:w="2689" w:type="dxa"/>
            <w:shd w:val="clear" w:color="auto" w:fill="A6A6A6" w:themeFill="background1" w:themeFillShade="A6"/>
          </w:tcPr>
          <w:p w14:paraId="45A37566" w14:textId="77777777" w:rsidR="00636E75" w:rsidRPr="00B657F7" w:rsidRDefault="00636E75" w:rsidP="001264D5">
            <w:pPr>
              <w:contextualSpacing/>
              <w:jc w:val="center"/>
              <w:rPr>
                <w:rFonts w:ascii="Cambria" w:eastAsia="Calibri" w:hAnsi="Cambria"/>
                <w:b/>
                <w:sz w:val="20"/>
                <w:szCs w:val="20"/>
                <w:lang w:val="es-CR"/>
              </w:rPr>
            </w:pPr>
            <w:r w:rsidRPr="00B657F7">
              <w:rPr>
                <w:rFonts w:ascii="Cambria" w:eastAsia="Calibri" w:hAnsi="Cambria"/>
                <w:b/>
                <w:sz w:val="20"/>
                <w:szCs w:val="20"/>
                <w:lang w:val="es-CR"/>
              </w:rPr>
              <w:t>Estado</w:t>
            </w:r>
          </w:p>
        </w:tc>
        <w:tc>
          <w:tcPr>
            <w:tcW w:w="5533" w:type="dxa"/>
            <w:shd w:val="clear" w:color="auto" w:fill="A6A6A6" w:themeFill="background1" w:themeFillShade="A6"/>
          </w:tcPr>
          <w:p w14:paraId="2ADBA804" w14:textId="77777777" w:rsidR="00636E75" w:rsidRPr="00B657F7" w:rsidRDefault="00636E75" w:rsidP="001264D5">
            <w:pPr>
              <w:contextualSpacing/>
              <w:jc w:val="center"/>
              <w:rPr>
                <w:rFonts w:ascii="Cambria" w:eastAsia="Calibri" w:hAnsi="Cambria"/>
                <w:b/>
                <w:sz w:val="20"/>
                <w:szCs w:val="20"/>
                <w:lang w:val="es-CR"/>
              </w:rPr>
            </w:pPr>
            <w:r w:rsidRPr="00B657F7">
              <w:rPr>
                <w:rFonts w:ascii="Cambria" w:eastAsia="Calibri" w:hAnsi="Cambria"/>
                <w:b/>
                <w:sz w:val="20"/>
                <w:szCs w:val="20"/>
                <w:lang w:val="es-CR"/>
              </w:rPr>
              <w:t>Descripción</w:t>
            </w:r>
          </w:p>
        </w:tc>
      </w:tr>
      <w:tr w:rsidR="00636E75" w:rsidRPr="00B657F7" w14:paraId="504484F3" w14:textId="77777777" w:rsidTr="001264D5">
        <w:trPr>
          <w:jc w:val="center"/>
        </w:trPr>
        <w:tc>
          <w:tcPr>
            <w:tcW w:w="2689" w:type="dxa"/>
            <w:vAlign w:val="center"/>
          </w:tcPr>
          <w:p w14:paraId="16440CAA" w14:textId="77777777" w:rsidR="00636E75" w:rsidRPr="00B657F7" w:rsidRDefault="00636E75" w:rsidP="001264D5">
            <w:pPr>
              <w:pStyle w:val="TextoCentradoTabla"/>
              <w:spacing w:before="0" w:after="0"/>
              <w:ind w:left="0"/>
              <w:jc w:val="both"/>
              <w:rPr>
                <w:rFonts w:ascii="Cambria" w:hAnsi="Cambria"/>
                <w:sz w:val="20"/>
                <w:szCs w:val="20"/>
                <w:lang w:val="es-CR"/>
              </w:rPr>
            </w:pPr>
            <w:r w:rsidRPr="00B657F7">
              <w:rPr>
                <w:rFonts w:ascii="Cambria" w:hAnsi="Cambria"/>
                <w:sz w:val="20"/>
                <w:szCs w:val="20"/>
                <w:lang w:val="es-CR"/>
              </w:rPr>
              <w:t>Por atender</w:t>
            </w:r>
          </w:p>
        </w:tc>
        <w:tc>
          <w:tcPr>
            <w:tcW w:w="5533" w:type="dxa"/>
            <w:vAlign w:val="center"/>
          </w:tcPr>
          <w:p w14:paraId="4BA69239" w14:textId="77777777" w:rsidR="00636E75" w:rsidRPr="00B657F7" w:rsidRDefault="00636E75" w:rsidP="001264D5">
            <w:pPr>
              <w:pStyle w:val="TextoCentradoTabla"/>
              <w:spacing w:before="0" w:after="0"/>
              <w:ind w:left="0"/>
              <w:jc w:val="both"/>
              <w:rPr>
                <w:rFonts w:ascii="Cambria" w:hAnsi="Cambria"/>
                <w:sz w:val="20"/>
                <w:szCs w:val="20"/>
                <w:lang w:val="es-CR"/>
              </w:rPr>
            </w:pPr>
            <w:r w:rsidRPr="00B657F7">
              <w:rPr>
                <w:rFonts w:ascii="Cambria" w:hAnsi="Cambria"/>
                <w:sz w:val="20"/>
                <w:szCs w:val="20"/>
                <w:lang w:val="es-CR"/>
              </w:rPr>
              <w:t>Estado que tiene el requerimiento enviado por primera vez a la entidad por parte del supervisor, o bien, el requerimiento que fue enviado al supervisor por parte de la entidad para su revisión y éste lo devolvió porque no cumple con las especificaciones.</w:t>
            </w:r>
          </w:p>
        </w:tc>
      </w:tr>
      <w:tr w:rsidR="00636E75" w:rsidRPr="00B657F7" w14:paraId="656670F6" w14:textId="77777777" w:rsidTr="001264D5">
        <w:trPr>
          <w:jc w:val="center"/>
        </w:trPr>
        <w:tc>
          <w:tcPr>
            <w:tcW w:w="2689" w:type="dxa"/>
          </w:tcPr>
          <w:p w14:paraId="6FAD3BDC" w14:textId="77777777" w:rsidR="00636E75" w:rsidRPr="00B657F7" w:rsidRDefault="00636E75" w:rsidP="001264D5">
            <w:pPr>
              <w:pStyle w:val="TextoCentradoTabla"/>
              <w:spacing w:before="0" w:after="0"/>
              <w:ind w:left="0"/>
              <w:jc w:val="both"/>
              <w:rPr>
                <w:rFonts w:ascii="Cambria" w:hAnsi="Cambria"/>
                <w:sz w:val="20"/>
                <w:szCs w:val="20"/>
                <w:lang w:val="es-CR"/>
              </w:rPr>
            </w:pPr>
            <w:r w:rsidRPr="00B657F7">
              <w:rPr>
                <w:rFonts w:ascii="Cambria" w:hAnsi="Cambria"/>
                <w:sz w:val="20"/>
                <w:szCs w:val="20"/>
                <w:lang w:val="es-CR"/>
              </w:rPr>
              <w:t>En proceso</w:t>
            </w:r>
          </w:p>
        </w:tc>
        <w:tc>
          <w:tcPr>
            <w:tcW w:w="5533" w:type="dxa"/>
            <w:vAlign w:val="center"/>
          </w:tcPr>
          <w:p w14:paraId="63DE621A" w14:textId="77777777" w:rsidR="00636E75" w:rsidRPr="00B657F7" w:rsidRDefault="00636E75" w:rsidP="001264D5">
            <w:pPr>
              <w:pStyle w:val="TextoCentradoTabla"/>
              <w:snapToGrid w:val="0"/>
              <w:spacing w:before="0" w:after="0"/>
              <w:ind w:left="0" w:right="58"/>
              <w:jc w:val="both"/>
              <w:rPr>
                <w:rFonts w:ascii="Cambria" w:hAnsi="Cambria"/>
                <w:sz w:val="20"/>
                <w:szCs w:val="20"/>
                <w:lang w:val="es-CR"/>
              </w:rPr>
            </w:pPr>
            <w:r w:rsidRPr="00B657F7">
              <w:rPr>
                <w:rFonts w:ascii="Cambria" w:hAnsi="Cambria"/>
                <w:sz w:val="20"/>
                <w:szCs w:val="20"/>
                <w:lang w:val="es-CR"/>
              </w:rPr>
              <w:t>Requerimiento que está siendo atendido por un usuario de la entidad (ya se editó al menos una vez).</w:t>
            </w:r>
          </w:p>
        </w:tc>
      </w:tr>
      <w:tr w:rsidR="00636E75" w:rsidRPr="00B657F7" w14:paraId="5C4C0219" w14:textId="77777777" w:rsidTr="001264D5">
        <w:trPr>
          <w:jc w:val="center"/>
        </w:trPr>
        <w:tc>
          <w:tcPr>
            <w:tcW w:w="2689" w:type="dxa"/>
          </w:tcPr>
          <w:p w14:paraId="26086E54" w14:textId="77777777" w:rsidR="00636E75" w:rsidRPr="00B657F7" w:rsidRDefault="00636E75" w:rsidP="001264D5">
            <w:pPr>
              <w:pStyle w:val="TextoCentradoTabla"/>
              <w:spacing w:before="0" w:after="0"/>
              <w:ind w:left="0"/>
              <w:jc w:val="both"/>
              <w:rPr>
                <w:rFonts w:ascii="Cambria" w:hAnsi="Cambria"/>
                <w:sz w:val="20"/>
                <w:szCs w:val="20"/>
                <w:lang w:val="es-CR"/>
              </w:rPr>
            </w:pPr>
            <w:r w:rsidRPr="00B657F7">
              <w:rPr>
                <w:rFonts w:ascii="Cambria" w:hAnsi="Cambria"/>
                <w:sz w:val="20"/>
                <w:szCs w:val="20"/>
                <w:lang w:val="es-CR"/>
              </w:rPr>
              <w:t>Por aprobar Respuesta</w:t>
            </w:r>
          </w:p>
        </w:tc>
        <w:tc>
          <w:tcPr>
            <w:tcW w:w="5533" w:type="dxa"/>
            <w:vAlign w:val="center"/>
          </w:tcPr>
          <w:p w14:paraId="2C7D41A4" w14:textId="77777777" w:rsidR="00636E75" w:rsidRPr="00B657F7" w:rsidRDefault="00636E75" w:rsidP="001264D5">
            <w:pPr>
              <w:pStyle w:val="TextoCentradoTabla"/>
              <w:snapToGrid w:val="0"/>
              <w:spacing w:before="0" w:after="0"/>
              <w:ind w:left="0" w:right="58"/>
              <w:jc w:val="both"/>
              <w:rPr>
                <w:rFonts w:ascii="Cambria" w:hAnsi="Cambria"/>
                <w:sz w:val="20"/>
                <w:szCs w:val="20"/>
                <w:lang w:val="es-CR"/>
              </w:rPr>
            </w:pPr>
            <w:r w:rsidRPr="00B657F7">
              <w:rPr>
                <w:rFonts w:ascii="Cambria" w:hAnsi="Cambria"/>
                <w:sz w:val="20"/>
                <w:szCs w:val="20"/>
                <w:lang w:val="es-CR"/>
              </w:rPr>
              <w:t>Requerimiento atendido y en espera de la aprobación para que sea enviado de vuelta al supervisor.</w:t>
            </w:r>
          </w:p>
        </w:tc>
      </w:tr>
      <w:tr w:rsidR="00636E75" w:rsidRPr="00B657F7" w14:paraId="37E74155" w14:textId="77777777" w:rsidTr="001264D5">
        <w:trPr>
          <w:jc w:val="center"/>
        </w:trPr>
        <w:tc>
          <w:tcPr>
            <w:tcW w:w="2689" w:type="dxa"/>
          </w:tcPr>
          <w:p w14:paraId="6AF96AE5" w14:textId="77777777" w:rsidR="00636E75" w:rsidRPr="00B657F7" w:rsidRDefault="00636E75" w:rsidP="001264D5">
            <w:pPr>
              <w:pStyle w:val="TextoCentradoTabla"/>
              <w:spacing w:before="0" w:after="0"/>
              <w:ind w:left="0"/>
              <w:jc w:val="both"/>
              <w:rPr>
                <w:rFonts w:ascii="Cambria" w:hAnsi="Cambria"/>
                <w:sz w:val="20"/>
                <w:szCs w:val="20"/>
                <w:lang w:val="es-CR"/>
              </w:rPr>
            </w:pPr>
            <w:r w:rsidRPr="00B657F7">
              <w:rPr>
                <w:rFonts w:ascii="Cambria" w:hAnsi="Cambria"/>
                <w:sz w:val="20"/>
                <w:szCs w:val="20"/>
                <w:lang w:val="es-CR"/>
              </w:rPr>
              <w:t>Vencido</w:t>
            </w:r>
          </w:p>
        </w:tc>
        <w:tc>
          <w:tcPr>
            <w:tcW w:w="5533" w:type="dxa"/>
            <w:vAlign w:val="center"/>
          </w:tcPr>
          <w:p w14:paraId="7D86D005" w14:textId="77777777" w:rsidR="00636E75" w:rsidRPr="00B657F7" w:rsidRDefault="00636E75" w:rsidP="001264D5">
            <w:pPr>
              <w:pStyle w:val="TextoCentradoTabla"/>
              <w:snapToGrid w:val="0"/>
              <w:spacing w:before="0" w:after="0"/>
              <w:ind w:left="0" w:right="58"/>
              <w:jc w:val="both"/>
              <w:rPr>
                <w:rFonts w:ascii="Cambria" w:hAnsi="Cambria"/>
                <w:sz w:val="20"/>
                <w:szCs w:val="20"/>
                <w:lang w:val="es-CR"/>
              </w:rPr>
            </w:pPr>
            <w:r w:rsidRPr="00B657F7">
              <w:rPr>
                <w:rFonts w:ascii="Cambria" w:hAnsi="Cambria"/>
                <w:sz w:val="20"/>
                <w:szCs w:val="20"/>
                <w:lang w:val="es-CR"/>
              </w:rPr>
              <w:t>Requerimiento que no fue atendido por el supervisor antes de la fecha de vencimiento.</w:t>
            </w:r>
          </w:p>
        </w:tc>
      </w:tr>
      <w:tr w:rsidR="00636E75" w:rsidRPr="00B657F7" w14:paraId="3C2DB5D9" w14:textId="77777777" w:rsidTr="001264D5">
        <w:trPr>
          <w:jc w:val="center"/>
        </w:trPr>
        <w:tc>
          <w:tcPr>
            <w:tcW w:w="2689" w:type="dxa"/>
          </w:tcPr>
          <w:p w14:paraId="3DC23AE9" w14:textId="77777777" w:rsidR="00636E75" w:rsidRPr="00B657F7" w:rsidRDefault="00636E75" w:rsidP="001264D5">
            <w:pPr>
              <w:pStyle w:val="TextoCentradoTabla"/>
              <w:spacing w:before="0" w:after="0"/>
              <w:ind w:left="0"/>
              <w:jc w:val="both"/>
              <w:rPr>
                <w:rFonts w:ascii="Cambria" w:hAnsi="Cambria"/>
                <w:sz w:val="20"/>
                <w:szCs w:val="20"/>
                <w:lang w:val="es-CR"/>
              </w:rPr>
            </w:pPr>
            <w:r w:rsidRPr="00B657F7">
              <w:rPr>
                <w:rFonts w:ascii="Cambria" w:hAnsi="Cambria"/>
                <w:sz w:val="20"/>
                <w:szCs w:val="20"/>
                <w:lang w:val="es-CR"/>
              </w:rPr>
              <w:t>Atendido</w:t>
            </w:r>
          </w:p>
        </w:tc>
        <w:tc>
          <w:tcPr>
            <w:tcW w:w="5533" w:type="dxa"/>
            <w:vAlign w:val="center"/>
          </w:tcPr>
          <w:p w14:paraId="5F5ADF19" w14:textId="77777777" w:rsidR="00636E75" w:rsidRPr="00B657F7" w:rsidRDefault="00636E75" w:rsidP="001264D5">
            <w:pPr>
              <w:pStyle w:val="TextoCentradoTabla"/>
              <w:snapToGrid w:val="0"/>
              <w:spacing w:before="0" w:after="0"/>
              <w:ind w:left="0" w:right="58"/>
              <w:jc w:val="both"/>
              <w:rPr>
                <w:rFonts w:ascii="Cambria" w:hAnsi="Cambria"/>
                <w:sz w:val="20"/>
                <w:szCs w:val="20"/>
                <w:lang w:val="es-CR"/>
              </w:rPr>
            </w:pPr>
            <w:r w:rsidRPr="00B657F7">
              <w:rPr>
                <w:rFonts w:ascii="Cambria" w:hAnsi="Cambria"/>
                <w:sz w:val="20"/>
                <w:szCs w:val="20"/>
                <w:lang w:val="es-CR"/>
              </w:rPr>
              <w:t xml:space="preserve">El requerimiento fue contestado por la entidad </w:t>
            </w:r>
          </w:p>
        </w:tc>
      </w:tr>
      <w:tr w:rsidR="00636E75" w:rsidRPr="00B657F7" w14:paraId="2D8A0D5E" w14:textId="77777777" w:rsidTr="001264D5">
        <w:trPr>
          <w:jc w:val="center"/>
        </w:trPr>
        <w:tc>
          <w:tcPr>
            <w:tcW w:w="2689" w:type="dxa"/>
          </w:tcPr>
          <w:p w14:paraId="40A611A9" w14:textId="77777777" w:rsidR="00636E75" w:rsidRPr="00B657F7" w:rsidRDefault="00636E75" w:rsidP="001264D5">
            <w:pPr>
              <w:pStyle w:val="TextoCentradoTabla"/>
              <w:spacing w:before="0" w:after="0"/>
              <w:ind w:left="0"/>
              <w:jc w:val="both"/>
              <w:rPr>
                <w:rFonts w:ascii="Cambria" w:hAnsi="Cambria"/>
                <w:sz w:val="20"/>
                <w:szCs w:val="20"/>
                <w:lang w:val="es-CR"/>
              </w:rPr>
            </w:pPr>
            <w:r w:rsidRPr="00B657F7">
              <w:rPr>
                <w:rFonts w:ascii="Cambria" w:hAnsi="Cambria"/>
                <w:sz w:val="20"/>
                <w:szCs w:val="20"/>
                <w:lang w:val="es-CR"/>
              </w:rPr>
              <w:t>Gestión Supervisor</w:t>
            </w:r>
          </w:p>
        </w:tc>
        <w:tc>
          <w:tcPr>
            <w:tcW w:w="5533" w:type="dxa"/>
            <w:vAlign w:val="center"/>
          </w:tcPr>
          <w:p w14:paraId="3E005357" w14:textId="77777777" w:rsidR="00636E75" w:rsidRPr="00B657F7" w:rsidRDefault="00636E75" w:rsidP="001264D5">
            <w:pPr>
              <w:pStyle w:val="TextoCentradoTabla"/>
              <w:snapToGrid w:val="0"/>
              <w:spacing w:before="0" w:after="0"/>
              <w:ind w:left="0" w:right="58"/>
              <w:jc w:val="both"/>
              <w:rPr>
                <w:rFonts w:ascii="Cambria" w:hAnsi="Cambria"/>
                <w:sz w:val="20"/>
                <w:szCs w:val="20"/>
                <w:lang w:val="es-CR"/>
              </w:rPr>
            </w:pPr>
            <w:r w:rsidRPr="00B657F7">
              <w:rPr>
                <w:rFonts w:ascii="Cambria" w:hAnsi="Cambria"/>
                <w:sz w:val="20"/>
                <w:szCs w:val="20"/>
                <w:lang w:val="es-CR"/>
              </w:rPr>
              <w:t>El requerimiento está en proceso de revisión por parte del supervisor.</w:t>
            </w:r>
          </w:p>
        </w:tc>
      </w:tr>
      <w:tr w:rsidR="00636E75" w:rsidRPr="00B657F7" w14:paraId="069EB7BD" w14:textId="77777777" w:rsidTr="001264D5">
        <w:trPr>
          <w:jc w:val="center"/>
        </w:trPr>
        <w:tc>
          <w:tcPr>
            <w:tcW w:w="2689" w:type="dxa"/>
          </w:tcPr>
          <w:p w14:paraId="242FA40B" w14:textId="77777777" w:rsidR="00636E75" w:rsidRPr="00B657F7" w:rsidRDefault="00636E75" w:rsidP="001264D5">
            <w:pPr>
              <w:pStyle w:val="TextoCentradoTabla"/>
              <w:spacing w:before="0" w:after="0"/>
              <w:ind w:left="0"/>
              <w:jc w:val="both"/>
              <w:rPr>
                <w:rFonts w:ascii="Cambria" w:hAnsi="Cambria"/>
                <w:sz w:val="20"/>
                <w:szCs w:val="20"/>
                <w:lang w:val="es-CR"/>
              </w:rPr>
            </w:pPr>
            <w:r w:rsidRPr="00B657F7">
              <w:rPr>
                <w:rFonts w:ascii="Cambria" w:hAnsi="Cambria"/>
                <w:sz w:val="20"/>
                <w:szCs w:val="20"/>
                <w:lang w:val="es-CR"/>
              </w:rPr>
              <w:t>Resuelto</w:t>
            </w:r>
          </w:p>
        </w:tc>
        <w:tc>
          <w:tcPr>
            <w:tcW w:w="5533" w:type="dxa"/>
            <w:vAlign w:val="center"/>
          </w:tcPr>
          <w:p w14:paraId="52B50C1E" w14:textId="77777777" w:rsidR="00636E75" w:rsidRPr="00B657F7" w:rsidRDefault="00636E75" w:rsidP="001264D5">
            <w:pPr>
              <w:pStyle w:val="TextoCentradoTabla"/>
              <w:snapToGrid w:val="0"/>
              <w:spacing w:before="0" w:after="0"/>
              <w:ind w:left="0" w:right="58"/>
              <w:jc w:val="both"/>
              <w:rPr>
                <w:rFonts w:ascii="Cambria" w:hAnsi="Cambria"/>
                <w:sz w:val="20"/>
                <w:szCs w:val="20"/>
                <w:lang w:val="es-CR"/>
              </w:rPr>
            </w:pPr>
            <w:r w:rsidRPr="00B657F7">
              <w:rPr>
                <w:rFonts w:ascii="Cambria" w:hAnsi="Cambria"/>
                <w:sz w:val="20"/>
                <w:szCs w:val="20"/>
                <w:lang w:val="es-CR"/>
              </w:rPr>
              <w:t>El requerimiento fue revisado por la SUGESE de conformidad.</w:t>
            </w:r>
          </w:p>
        </w:tc>
      </w:tr>
    </w:tbl>
    <w:p w14:paraId="11FB8329" w14:textId="77777777" w:rsidR="00636E75" w:rsidRPr="00B657F7" w:rsidRDefault="00636E75" w:rsidP="00636E75">
      <w:pPr>
        <w:jc w:val="both"/>
        <w:rPr>
          <w:rFonts w:ascii="Cambria" w:hAnsi="Cambria"/>
          <w:i/>
          <w:lang w:val="es-CR"/>
        </w:rPr>
      </w:pPr>
    </w:p>
    <w:p w14:paraId="78E389E4" w14:textId="77777777" w:rsidR="00636E75" w:rsidRPr="00B657F7" w:rsidRDefault="00636E75" w:rsidP="00636E75">
      <w:pPr>
        <w:contextualSpacing/>
        <w:jc w:val="both"/>
        <w:rPr>
          <w:rFonts w:ascii="Cambria" w:eastAsia="Calibri" w:hAnsi="Cambria"/>
          <w:b/>
          <w:lang w:val="es-CR"/>
        </w:rPr>
      </w:pPr>
      <w:r w:rsidRPr="00B657F7">
        <w:rPr>
          <w:rFonts w:ascii="Cambria" w:eastAsia="Calibri" w:hAnsi="Cambria"/>
          <w:b/>
          <w:lang w:val="es-CR"/>
        </w:rPr>
        <w:t>Artículo 5 Esquema de Operación</w:t>
      </w:r>
    </w:p>
    <w:p w14:paraId="4C2DF367" w14:textId="77777777" w:rsidR="00636E75" w:rsidRPr="00B657F7" w:rsidRDefault="00636E75" w:rsidP="00636E75">
      <w:pPr>
        <w:widowControl w:val="0"/>
        <w:tabs>
          <w:tab w:val="left" w:pos="1333"/>
        </w:tabs>
        <w:jc w:val="both"/>
        <w:rPr>
          <w:rFonts w:ascii="Cambria" w:eastAsia="Calibri" w:hAnsi="Cambria" w:cs="Calibri"/>
          <w:b/>
          <w:i/>
          <w:lang w:val="es-CR"/>
        </w:rPr>
      </w:pPr>
    </w:p>
    <w:p w14:paraId="19DF8EC3" w14:textId="77777777" w:rsidR="00636E75" w:rsidRPr="00B657F7" w:rsidRDefault="00636E75" w:rsidP="00636E75">
      <w:pPr>
        <w:widowControl w:val="0"/>
        <w:tabs>
          <w:tab w:val="left" w:pos="1333"/>
        </w:tabs>
        <w:jc w:val="both"/>
        <w:rPr>
          <w:rFonts w:ascii="Cambria" w:eastAsia="Calibri" w:hAnsi="Cambria" w:cs="Calibri"/>
          <w:b/>
          <w:i/>
          <w:lang w:val="es-CR"/>
        </w:rPr>
      </w:pPr>
      <w:r w:rsidRPr="00B657F7">
        <w:rPr>
          <w:rFonts w:ascii="Cambria" w:eastAsia="Calibri" w:hAnsi="Cambria" w:cs="Calibri"/>
          <w:b/>
          <w:i/>
          <w:lang w:val="es-CR"/>
        </w:rPr>
        <w:t>(…)</w:t>
      </w:r>
    </w:p>
    <w:p w14:paraId="3074883C" w14:textId="77777777" w:rsidR="00636E75" w:rsidRPr="00B657F7" w:rsidRDefault="00636E75" w:rsidP="00636E75">
      <w:pPr>
        <w:widowControl w:val="0"/>
        <w:tabs>
          <w:tab w:val="left" w:pos="1333"/>
        </w:tabs>
        <w:jc w:val="both"/>
        <w:rPr>
          <w:rFonts w:ascii="Cambria" w:eastAsia="Calibri" w:hAnsi="Cambria" w:cs="Calibri"/>
          <w:b/>
          <w:i/>
          <w:lang w:val="es-CR"/>
        </w:rPr>
      </w:pPr>
    </w:p>
    <w:p w14:paraId="019B44E3" w14:textId="77777777" w:rsidR="00636E75" w:rsidRPr="00B657F7" w:rsidRDefault="00636E75" w:rsidP="00636E75">
      <w:pPr>
        <w:widowControl w:val="0"/>
        <w:tabs>
          <w:tab w:val="left" w:pos="1333"/>
        </w:tabs>
        <w:jc w:val="both"/>
        <w:rPr>
          <w:rFonts w:ascii="Cambria" w:eastAsia="Calibri" w:hAnsi="Cambria" w:cs="Calibri"/>
          <w:b/>
          <w:i/>
          <w:lang w:val="es-CR"/>
        </w:rPr>
      </w:pPr>
      <w:r w:rsidRPr="00B657F7">
        <w:rPr>
          <w:rFonts w:ascii="Cambria" w:eastAsia="Calibri" w:hAnsi="Cambria" w:cs="Calibri"/>
          <w:b/>
          <w:i/>
          <w:lang w:val="es-CR"/>
        </w:rPr>
        <w:t>Atención del requerimiento</w:t>
      </w:r>
    </w:p>
    <w:p w14:paraId="3CAE58D6" w14:textId="77777777" w:rsidR="00636E75" w:rsidRPr="00B657F7" w:rsidRDefault="00636E75" w:rsidP="00636E75">
      <w:pPr>
        <w:widowControl w:val="0"/>
        <w:jc w:val="both"/>
        <w:rPr>
          <w:rFonts w:ascii="Cambria" w:hAnsi="Cambria" w:cs="Calibri"/>
          <w:lang w:val="es-CR"/>
        </w:rPr>
      </w:pPr>
    </w:p>
    <w:p w14:paraId="0792CF35" w14:textId="77777777" w:rsidR="00636E75" w:rsidRPr="00B657F7" w:rsidRDefault="00636E75" w:rsidP="00636E75">
      <w:pPr>
        <w:widowControl w:val="0"/>
        <w:jc w:val="both"/>
        <w:rPr>
          <w:rFonts w:ascii="Cambria" w:hAnsi="Cambria" w:cs="Calibri"/>
          <w:lang w:val="es-CR"/>
        </w:rPr>
      </w:pPr>
      <w:r w:rsidRPr="00B657F7">
        <w:rPr>
          <w:rFonts w:ascii="Cambria" w:hAnsi="Cambria" w:cs="Calibri"/>
          <w:lang w:val="es-CR"/>
        </w:rPr>
        <w:t xml:space="preserve">El funcionario </w:t>
      </w:r>
      <w:r w:rsidRPr="00B657F7">
        <w:rPr>
          <w:rFonts w:ascii="Cambria" w:hAnsi="Cambria"/>
          <w:snapToGrid w:val="0"/>
          <w:lang w:val="es-CR"/>
        </w:rPr>
        <w:t>autorizado de la entidad supervisada</w:t>
      </w:r>
      <w:r w:rsidRPr="00B657F7">
        <w:rPr>
          <w:rFonts w:ascii="Cambria" w:hAnsi="Cambria" w:cs="Calibri"/>
          <w:lang w:val="es-CR"/>
        </w:rPr>
        <w:t xml:space="preserve"> debe incluir toda la información y adjuntar los documentos que sean necesarios para </w:t>
      </w:r>
      <w:r w:rsidRPr="00B657F7">
        <w:rPr>
          <w:rFonts w:ascii="Cambria" w:hAnsi="Cambria"/>
          <w:snapToGrid w:val="0"/>
          <w:lang w:val="es-CR"/>
        </w:rPr>
        <w:t>atender</w:t>
      </w:r>
      <w:r w:rsidRPr="00B657F7">
        <w:rPr>
          <w:rFonts w:ascii="Cambria" w:hAnsi="Cambria" w:cs="Calibri"/>
          <w:lang w:val="es-CR"/>
        </w:rPr>
        <w:t xml:space="preserve"> el requerimiento</w:t>
      </w:r>
      <w:r w:rsidRPr="00B657F7">
        <w:rPr>
          <w:rFonts w:ascii="Cambria" w:hAnsi="Cambria" w:cs="Calibri"/>
          <w:strike/>
          <w:lang w:val="es-CR"/>
        </w:rPr>
        <w:t xml:space="preserve">. </w:t>
      </w:r>
      <w:r w:rsidRPr="00B657F7">
        <w:rPr>
          <w:rFonts w:ascii="Cambria" w:hAnsi="Cambria"/>
          <w:snapToGrid w:val="0"/>
          <w:lang w:val="es-CR"/>
        </w:rPr>
        <w:t>La información debe presentarse en alguno de los siguientes formatos de archivo</w:t>
      </w:r>
      <w:r w:rsidRPr="00B657F7">
        <w:rPr>
          <w:rFonts w:ascii="Cambria" w:hAnsi="Cambria" w:cs="Calibri"/>
          <w:lang w:val="es-CR"/>
        </w:rPr>
        <w:t>: Word (doc, docx), Excel (</w:t>
      </w:r>
      <w:r w:rsidRPr="00B657F7">
        <w:rPr>
          <w:rFonts w:ascii="Cambria" w:hAnsi="Cambria"/>
          <w:snapToGrid w:val="0"/>
          <w:lang w:val="es-CR"/>
        </w:rPr>
        <w:t xml:space="preserve">xls, xlsx), </w:t>
      </w:r>
      <w:r w:rsidRPr="00B657F7">
        <w:rPr>
          <w:rFonts w:ascii="Cambria" w:hAnsi="Cambria" w:cs="Calibri"/>
          <w:lang w:val="es-CR"/>
        </w:rPr>
        <w:t>Adobe (pdf) o imágenes (jpg, png, jpeg).</w:t>
      </w:r>
    </w:p>
    <w:p w14:paraId="2623CB71" w14:textId="77777777" w:rsidR="00636E75" w:rsidRPr="00B657F7" w:rsidRDefault="00636E75" w:rsidP="00636E75">
      <w:pPr>
        <w:widowControl w:val="0"/>
        <w:jc w:val="both"/>
        <w:rPr>
          <w:rFonts w:ascii="Cambria" w:hAnsi="Cambria" w:cs="Calibri"/>
          <w:lang w:val="es-CR"/>
        </w:rPr>
      </w:pPr>
    </w:p>
    <w:p w14:paraId="464087D1" w14:textId="77777777" w:rsidR="00636E75" w:rsidRPr="00B657F7" w:rsidRDefault="00636E75" w:rsidP="00636E75">
      <w:pPr>
        <w:jc w:val="both"/>
        <w:rPr>
          <w:rFonts w:ascii="Cambria" w:hAnsi="Cambria" w:cs="Calibri"/>
          <w:lang w:val="es-CR"/>
        </w:rPr>
      </w:pPr>
      <w:r w:rsidRPr="00B657F7">
        <w:rPr>
          <w:rFonts w:ascii="Cambria" w:hAnsi="Cambria" w:cs="Calibri"/>
          <w:lang w:val="es-CR"/>
        </w:rPr>
        <w:t xml:space="preserve">La atención completa de los requerimientos de cumplimiento obligatorio y de obligaciones normativas deben ser aprobadas por el representante legal </w:t>
      </w:r>
      <w:r w:rsidRPr="00B657F7">
        <w:rPr>
          <w:rFonts w:ascii="Cambria" w:hAnsi="Cambria"/>
          <w:bCs/>
          <w:iCs/>
          <w:lang w:val="es-CR" w:eastAsia="es-CR"/>
        </w:rPr>
        <w:t xml:space="preserve">o el Gerente General de la entidad, quien debe estar registrado en el Servicio de Registro Roles de </w:t>
      </w:r>
      <w:r w:rsidRPr="00B657F7">
        <w:rPr>
          <w:rFonts w:ascii="Cambria" w:hAnsi="Cambria"/>
          <w:bCs/>
          <w:i/>
          <w:lang w:val="es-CR" w:eastAsia="es-CR"/>
        </w:rPr>
        <w:t>Sugese en Línea</w:t>
      </w:r>
      <w:r w:rsidRPr="00B657F7">
        <w:rPr>
          <w:rFonts w:ascii="Cambria" w:hAnsi="Cambria"/>
          <w:bCs/>
          <w:iCs/>
          <w:lang w:val="es-CR" w:eastAsia="es-CR"/>
        </w:rPr>
        <w:t>, y será el único con la potestad de remitir a la SUGESE la atención del requerimiento, requisito de identidad que el sistema verificará</w:t>
      </w:r>
      <w:r w:rsidRPr="00B657F7">
        <w:rPr>
          <w:rFonts w:ascii="Cambria" w:hAnsi="Cambria" w:cs="Calibri"/>
          <w:lang w:val="es-CR"/>
        </w:rPr>
        <w:t>.</w:t>
      </w:r>
    </w:p>
    <w:p w14:paraId="34A727A1" w14:textId="77777777" w:rsidR="00636E75" w:rsidRPr="00B657F7" w:rsidRDefault="00636E75" w:rsidP="00636E75">
      <w:pPr>
        <w:jc w:val="both"/>
        <w:rPr>
          <w:rFonts w:ascii="Cambria" w:hAnsi="Cambria" w:cs="Calibri"/>
          <w:lang w:val="es-CR"/>
        </w:rPr>
      </w:pPr>
    </w:p>
    <w:p w14:paraId="0BA82901" w14:textId="77777777" w:rsidR="00636E75" w:rsidRPr="00B657F7" w:rsidRDefault="00636E75" w:rsidP="00636E75">
      <w:pPr>
        <w:widowControl w:val="0"/>
        <w:jc w:val="both"/>
        <w:rPr>
          <w:rFonts w:ascii="Cambria" w:hAnsi="Cambria" w:cs="Calibri"/>
          <w:lang w:val="es-CR"/>
        </w:rPr>
      </w:pPr>
      <w:r w:rsidRPr="00B657F7">
        <w:rPr>
          <w:rFonts w:ascii="Cambria" w:hAnsi="Cambria" w:cs="Calibri"/>
          <w:lang w:val="es-CR"/>
        </w:rPr>
        <w:t xml:space="preserve">Para el caso de las solicitudes de información, realizadas por la Superintendencia, la entidad supervisada puede autorizar mediante el </w:t>
      </w:r>
      <w:r w:rsidRPr="00B657F7">
        <w:rPr>
          <w:rFonts w:ascii="Cambria" w:hAnsi="Cambria" w:cs="Calibri"/>
          <w:i/>
          <w:lang w:val="es-CR"/>
        </w:rPr>
        <w:t>AES</w:t>
      </w:r>
      <w:r w:rsidRPr="00B657F7">
        <w:rPr>
          <w:rFonts w:ascii="Cambria" w:hAnsi="Cambria" w:cs="Calibri"/>
          <w:lang w:val="es-CR"/>
        </w:rPr>
        <w:t xml:space="preserve"> otorgando los perfiles que correspondan, para que remita la información a la SUGESE. </w:t>
      </w:r>
    </w:p>
    <w:p w14:paraId="4D39B2DA" w14:textId="77777777" w:rsidR="00636E75" w:rsidRPr="00B657F7" w:rsidRDefault="00636E75" w:rsidP="00636E75">
      <w:pPr>
        <w:widowControl w:val="0"/>
        <w:jc w:val="both"/>
        <w:rPr>
          <w:rFonts w:ascii="Cambria" w:hAnsi="Cambria" w:cs="Calibri"/>
          <w:lang w:val="es-CR"/>
        </w:rPr>
      </w:pPr>
    </w:p>
    <w:p w14:paraId="398F2478" w14:textId="77777777" w:rsidR="00636E75" w:rsidRPr="00B657F7" w:rsidRDefault="00636E75" w:rsidP="00636E75">
      <w:pPr>
        <w:widowControl w:val="0"/>
        <w:jc w:val="both"/>
        <w:rPr>
          <w:rFonts w:ascii="Cambria" w:hAnsi="Cambria"/>
          <w:bCs/>
          <w:iCs/>
          <w:lang w:val="es-CR" w:eastAsia="es-CR"/>
        </w:rPr>
      </w:pPr>
      <w:r w:rsidRPr="00B657F7">
        <w:rPr>
          <w:rFonts w:ascii="Cambria" w:hAnsi="Cambria"/>
          <w:bCs/>
          <w:iCs/>
          <w:lang w:val="es-CR" w:eastAsia="es-CR"/>
        </w:rPr>
        <w:t>Los archivos y las respuestas indicadas en este servicio serán reconocidos como medio de prueba en la vía administrativa y judicial.</w:t>
      </w:r>
    </w:p>
    <w:p w14:paraId="4376F02D" w14:textId="77777777" w:rsidR="00636E75" w:rsidRPr="00B657F7" w:rsidRDefault="00636E75" w:rsidP="00636E75">
      <w:pPr>
        <w:widowControl w:val="0"/>
        <w:jc w:val="both"/>
        <w:rPr>
          <w:rFonts w:ascii="Cambria" w:hAnsi="Cambria"/>
          <w:bCs/>
          <w:iCs/>
          <w:lang w:val="es-CR" w:eastAsia="es-CR"/>
        </w:rPr>
      </w:pPr>
    </w:p>
    <w:p w14:paraId="44E8CD5B" w14:textId="77777777" w:rsidR="00636E75" w:rsidRPr="00B657F7" w:rsidRDefault="00636E75" w:rsidP="00636E75">
      <w:pPr>
        <w:contextualSpacing/>
        <w:jc w:val="both"/>
        <w:rPr>
          <w:rFonts w:ascii="Cambria" w:eastAsia="Calibri" w:hAnsi="Cambria"/>
          <w:b/>
          <w:lang w:val="es-CR"/>
        </w:rPr>
      </w:pPr>
      <w:r w:rsidRPr="00B657F7">
        <w:rPr>
          <w:rFonts w:ascii="Cambria" w:eastAsia="Calibri" w:hAnsi="Cambria"/>
          <w:b/>
          <w:lang w:val="es-CR"/>
        </w:rPr>
        <w:t>Artículo 11.</w:t>
      </w:r>
      <w:r w:rsidRPr="00B657F7">
        <w:rPr>
          <w:rFonts w:ascii="Cambria" w:eastAsia="Calibri" w:hAnsi="Cambria"/>
          <w:lang w:val="es-CR"/>
        </w:rPr>
        <w:t xml:space="preserve"> </w:t>
      </w:r>
      <w:r w:rsidRPr="00B657F7">
        <w:rPr>
          <w:rFonts w:ascii="Cambria" w:eastAsia="Calibri" w:hAnsi="Cambria"/>
          <w:b/>
          <w:lang w:val="es-CR"/>
        </w:rPr>
        <w:t>Respuesta y plazo de atención de la SUGESE</w:t>
      </w:r>
    </w:p>
    <w:p w14:paraId="321B0230" w14:textId="77777777" w:rsidR="00636E75" w:rsidRPr="00B657F7" w:rsidRDefault="00636E75" w:rsidP="00636E75">
      <w:pPr>
        <w:contextualSpacing/>
        <w:jc w:val="both"/>
        <w:rPr>
          <w:rFonts w:ascii="Cambria" w:hAnsi="Cambria"/>
          <w:lang w:val="es-CR"/>
        </w:rPr>
      </w:pPr>
    </w:p>
    <w:p w14:paraId="512FB504" w14:textId="77777777" w:rsidR="00636E75" w:rsidRPr="00B657F7" w:rsidRDefault="00636E75" w:rsidP="00636E75">
      <w:pPr>
        <w:contextualSpacing/>
        <w:jc w:val="both"/>
        <w:rPr>
          <w:rFonts w:ascii="Cambria" w:hAnsi="Cambria"/>
          <w:lang w:val="es-CR"/>
        </w:rPr>
      </w:pPr>
      <w:r w:rsidRPr="00B657F7">
        <w:rPr>
          <w:rFonts w:ascii="Cambria" w:hAnsi="Cambria"/>
          <w:lang w:val="es-CR"/>
        </w:rPr>
        <w:t>La Superintendencia cuenta con un plazo máximo de veinte días hábiles, posteriores a la presentación de la respuesta al requerimiento, para pronunciarse sobre la información presentada por la entidad supervisada.</w:t>
      </w:r>
    </w:p>
    <w:p w14:paraId="2E404288" w14:textId="77777777" w:rsidR="00636E75" w:rsidRPr="00B657F7" w:rsidRDefault="00636E75" w:rsidP="00636E75">
      <w:pPr>
        <w:contextualSpacing/>
        <w:jc w:val="both"/>
        <w:rPr>
          <w:rFonts w:ascii="Cambria" w:hAnsi="Cambria"/>
          <w:lang w:val="es-CR"/>
        </w:rPr>
      </w:pPr>
    </w:p>
    <w:p w14:paraId="72451A58" w14:textId="77777777" w:rsidR="00636E75" w:rsidRPr="00B657F7" w:rsidRDefault="00636E75" w:rsidP="00636E75">
      <w:pPr>
        <w:contextualSpacing/>
        <w:jc w:val="both"/>
        <w:rPr>
          <w:rFonts w:ascii="Cambria" w:hAnsi="Cambria"/>
          <w:lang w:val="es-CR"/>
        </w:rPr>
      </w:pPr>
      <w:r w:rsidRPr="00B657F7">
        <w:rPr>
          <w:rFonts w:ascii="Cambria" w:hAnsi="Cambria"/>
          <w:lang w:val="es-CR"/>
        </w:rPr>
        <w:t>En caso de que la respuesta no sea satisfactoria para la Superintendencia, se devolverá a la entidad supervisada el requerimiento al estado “Por atender”, con la debida justificación, para que la entidad supervisada complete su atención.</w:t>
      </w:r>
    </w:p>
    <w:p w14:paraId="601091FC" w14:textId="77777777" w:rsidR="00636E75" w:rsidRPr="00B657F7" w:rsidRDefault="00636E75" w:rsidP="00636E75">
      <w:pPr>
        <w:contextualSpacing/>
        <w:jc w:val="both"/>
        <w:rPr>
          <w:rFonts w:ascii="Cambria" w:hAnsi="Cambria"/>
          <w:lang w:val="es-CR"/>
        </w:rPr>
      </w:pPr>
    </w:p>
    <w:p w14:paraId="76BD5FAA" w14:textId="77777777" w:rsidR="00636E75" w:rsidRPr="00B657F7" w:rsidRDefault="00636E75" w:rsidP="00636E75">
      <w:pPr>
        <w:contextualSpacing/>
        <w:jc w:val="both"/>
        <w:rPr>
          <w:rFonts w:ascii="Cambria" w:hAnsi="Cambria"/>
          <w:lang w:val="es-CR"/>
        </w:rPr>
      </w:pPr>
      <w:r w:rsidRPr="00B657F7">
        <w:rPr>
          <w:rFonts w:ascii="Cambria" w:hAnsi="Cambria"/>
          <w:lang w:val="es-CR"/>
        </w:rPr>
        <w:t>Si los requerimientos fueron atendidos de conformidad para la SUGESE, el estado del requerimiento cambiará a “Resuelto</w:t>
      </w:r>
      <w:r w:rsidRPr="00B657F7">
        <w:rPr>
          <w:rFonts w:ascii="Cambria" w:hAnsi="Cambria"/>
          <w:b/>
          <w:bCs/>
          <w:lang w:val="es-CR"/>
        </w:rPr>
        <w:t>”</w:t>
      </w:r>
      <w:r w:rsidRPr="00B657F7">
        <w:rPr>
          <w:rFonts w:ascii="Cambria" w:hAnsi="Cambria"/>
          <w:lang w:val="es-CR"/>
        </w:rPr>
        <w:t xml:space="preserve"> y la entidad recibirá una comunicación a las direcciones suscritas en el Servicio de Notificaciones.</w:t>
      </w:r>
    </w:p>
    <w:p w14:paraId="5A0BE4E8" w14:textId="77777777" w:rsidR="00636E75" w:rsidRPr="00B657F7" w:rsidRDefault="00636E75" w:rsidP="00636E75">
      <w:pPr>
        <w:contextualSpacing/>
        <w:jc w:val="both"/>
        <w:rPr>
          <w:rFonts w:ascii="Cambria" w:hAnsi="Cambria"/>
          <w:lang w:val="es-CR"/>
        </w:rPr>
      </w:pPr>
    </w:p>
    <w:p w14:paraId="155984B5" w14:textId="77777777" w:rsidR="00636E75" w:rsidRPr="00B657F7" w:rsidRDefault="00636E75" w:rsidP="00636E75">
      <w:pPr>
        <w:contextualSpacing/>
        <w:jc w:val="both"/>
        <w:rPr>
          <w:rFonts w:ascii="Cambria" w:hAnsi="Cambria"/>
          <w:lang w:val="es-CR"/>
        </w:rPr>
      </w:pPr>
      <w:r w:rsidRPr="00B657F7">
        <w:rPr>
          <w:rFonts w:ascii="Cambria" w:hAnsi="Cambria"/>
          <w:lang w:val="es-CR"/>
        </w:rPr>
        <w:t>En caso de omitirse algún dato o documento o la respuesta no cumple con la totalidad de los requerimientos, habrá una comunicación del Servicio EES a la entidad, para que complete o corrija la información que corresponda, en el plazo que dicte la SUGESE. El requerimiento se actualizará en estado “Por atender”. Si la omisión es sustancial, se considerará que el requerimiento no fue atendido.</w:t>
      </w:r>
    </w:p>
    <w:p w14:paraId="2644C0DD" w14:textId="77777777" w:rsidR="00636E75" w:rsidRPr="00B657F7" w:rsidRDefault="00636E75" w:rsidP="00636E75">
      <w:pPr>
        <w:contextualSpacing/>
        <w:jc w:val="both"/>
        <w:rPr>
          <w:rFonts w:ascii="Cambria" w:hAnsi="Cambria"/>
          <w:lang w:val="es-CR"/>
        </w:rPr>
      </w:pPr>
    </w:p>
    <w:p w14:paraId="36A79F19" w14:textId="77777777" w:rsidR="00636E75" w:rsidRPr="00B657F7" w:rsidRDefault="00636E75" w:rsidP="00636E75">
      <w:pPr>
        <w:pStyle w:val="Default"/>
        <w:jc w:val="both"/>
        <w:rPr>
          <w:b/>
          <w:bCs/>
          <w:color w:val="auto"/>
        </w:rPr>
      </w:pPr>
      <w:r w:rsidRPr="00B657F7">
        <w:rPr>
          <w:b/>
          <w:bCs/>
          <w:color w:val="auto"/>
        </w:rPr>
        <w:lastRenderedPageBreak/>
        <w:t xml:space="preserve">Artículo 13. Servicio de Notificaciones </w:t>
      </w:r>
    </w:p>
    <w:p w14:paraId="578F607E" w14:textId="77777777" w:rsidR="00636E75" w:rsidRPr="00B657F7" w:rsidRDefault="00636E75" w:rsidP="00636E75">
      <w:pPr>
        <w:pStyle w:val="Default"/>
        <w:jc w:val="both"/>
        <w:rPr>
          <w:color w:val="auto"/>
        </w:rPr>
      </w:pPr>
    </w:p>
    <w:p w14:paraId="32759685" w14:textId="77777777" w:rsidR="00636E75" w:rsidRPr="00B657F7" w:rsidRDefault="00636E75" w:rsidP="00636E75">
      <w:pPr>
        <w:pStyle w:val="Default"/>
        <w:jc w:val="both"/>
        <w:rPr>
          <w:color w:val="auto"/>
        </w:rPr>
      </w:pPr>
      <w:r w:rsidRPr="00B657F7">
        <w:rPr>
          <w:color w:val="auto"/>
        </w:rPr>
        <w:t xml:space="preserve">Las entidades supervisadas, deben hacer uso del servicio de notificaciones disponible en el Servicio </w:t>
      </w:r>
      <w:r w:rsidRPr="00B657F7">
        <w:rPr>
          <w:i/>
          <w:color w:val="auto"/>
        </w:rPr>
        <w:t>EES</w:t>
      </w:r>
      <w:r w:rsidRPr="00B657F7">
        <w:rPr>
          <w:color w:val="auto"/>
        </w:rPr>
        <w:t xml:space="preserve">, para lo cual debe suscribir las notificaciones para cada uno de los eventos y los correos electrónicos que la entidad supervisada requiera, con el fin de que les muestre las alertas de las diferentes acciones realizadas en el sistema. </w:t>
      </w:r>
    </w:p>
    <w:p w14:paraId="641C3080" w14:textId="77777777" w:rsidR="00636E75" w:rsidRPr="00B657F7" w:rsidRDefault="00636E75" w:rsidP="00636E75">
      <w:pPr>
        <w:pStyle w:val="Default"/>
        <w:jc w:val="both"/>
        <w:rPr>
          <w:color w:val="auto"/>
        </w:rPr>
      </w:pPr>
    </w:p>
    <w:p w14:paraId="287D8394" w14:textId="77777777" w:rsidR="00636E75" w:rsidRPr="00B657F7" w:rsidRDefault="00636E75" w:rsidP="00636E75">
      <w:pPr>
        <w:pStyle w:val="Default"/>
        <w:jc w:val="both"/>
        <w:rPr>
          <w:color w:val="auto"/>
        </w:rPr>
      </w:pPr>
      <w:r w:rsidRPr="00B657F7">
        <w:rPr>
          <w:color w:val="auto"/>
        </w:rPr>
        <w:t xml:space="preserve">La SUGESE mediante el Servicio EES emitirá de forma automática las siguientes notificaciones: </w:t>
      </w:r>
    </w:p>
    <w:p w14:paraId="722D9FE0" w14:textId="77777777" w:rsidR="00636E75" w:rsidRPr="00B657F7" w:rsidRDefault="00636E75" w:rsidP="00636E75">
      <w:pPr>
        <w:pStyle w:val="Prrafodelista"/>
        <w:numPr>
          <w:ilvl w:val="0"/>
          <w:numId w:val="2"/>
        </w:numPr>
        <w:autoSpaceDE w:val="0"/>
        <w:autoSpaceDN w:val="0"/>
        <w:adjustRightInd w:val="0"/>
        <w:ind w:left="709" w:hanging="283"/>
        <w:jc w:val="both"/>
        <w:rPr>
          <w:rFonts w:ascii="Cambria" w:hAnsi="Cambria" w:cs="Cambria"/>
          <w:lang w:val="es-CR"/>
        </w:rPr>
      </w:pPr>
      <w:r w:rsidRPr="00B657F7">
        <w:rPr>
          <w:rFonts w:ascii="Cambria" w:hAnsi="Cambria" w:cs="Cambria"/>
          <w:lang w:val="es-CR"/>
        </w:rPr>
        <w:t>Cuando la SUGESE remite un requerimiento le informará que tiene algo por atender.</w:t>
      </w:r>
    </w:p>
    <w:p w14:paraId="5B5B4FC8" w14:textId="77777777" w:rsidR="00636E75" w:rsidRPr="00B657F7" w:rsidRDefault="00636E75" w:rsidP="00636E75">
      <w:pPr>
        <w:pStyle w:val="Prrafodelista"/>
        <w:numPr>
          <w:ilvl w:val="0"/>
          <w:numId w:val="2"/>
        </w:numPr>
        <w:autoSpaceDE w:val="0"/>
        <w:autoSpaceDN w:val="0"/>
        <w:adjustRightInd w:val="0"/>
        <w:ind w:left="709" w:hanging="283"/>
        <w:jc w:val="both"/>
        <w:rPr>
          <w:rFonts w:ascii="Cambria" w:hAnsi="Cambria" w:cs="Cambria"/>
          <w:lang w:val="es-CR"/>
        </w:rPr>
      </w:pPr>
      <w:r w:rsidRPr="00B657F7">
        <w:rPr>
          <w:rFonts w:ascii="Cambria" w:hAnsi="Cambria" w:cs="Cambria"/>
          <w:lang w:val="es-CR"/>
        </w:rPr>
        <w:t>Cuando la entidad supervisada atiende un requerimiento.</w:t>
      </w:r>
    </w:p>
    <w:p w14:paraId="59108BCA" w14:textId="77777777" w:rsidR="00636E75" w:rsidRPr="00B657F7" w:rsidRDefault="00636E75" w:rsidP="00636E75">
      <w:pPr>
        <w:pStyle w:val="Prrafodelista"/>
        <w:numPr>
          <w:ilvl w:val="0"/>
          <w:numId w:val="2"/>
        </w:numPr>
        <w:autoSpaceDE w:val="0"/>
        <w:autoSpaceDN w:val="0"/>
        <w:adjustRightInd w:val="0"/>
        <w:ind w:left="709" w:hanging="283"/>
        <w:jc w:val="both"/>
        <w:rPr>
          <w:rFonts w:ascii="Cambria" w:hAnsi="Cambria" w:cs="Cambria"/>
          <w:lang w:val="es-CR"/>
        </w:rPr>
      </w:pPr>
      <w:r w:rsidRPr="00B657F7">
        <w:rPr>
          <w:rFonts w:ascii="Cambria" w:hAnsi="Cambria" w:cs="Cambria"/>
          <w:lang w:val="es-CR"/>
        </w:rPr>
        <w:t>Cuando un requerimiento no ha sido atendido en el plazo se le indicará que tiene requerimientos vencidos.</w:t>
      </w:r>
    </w:p>
    <w:p w14:paraId="6ACF9FF1" w14:textId="77777777" w:rsidR="00636E75" w:rsidRPr="00B657F7" w:rsidRDefault="00636E75" w:rsidP="00636E75">
      <w:pPr>
        <w:pStyle w:val="Prrafodelista"/>
        <w:numPr>
          <w:ilvl w:val="0"/>
          <w:numId w:val="2"/>
        </w:numPr>
        <w:autoSpaceDE w:val="0"/>
        <w:autoSpaceDN w:val="0"/>
        <w:adjustRightInd w:val="0"/>
        <w:ind w:left="709" w:hanging="283"/>
        <w:jc w:val="both"/>
        <w:rPr>
          <w:rFonts w:ascii="Cambria" w:hAnsi="Cambria" w:cs="Cambria"/>
          <w:lang w:val="es-CR"/>
        </w:rPr>
      </w:pPr>
      <w:r w:rsidRPr="00B657F7">
        <w:rPr>
          <w:rFonts w:ascii="Cambria" w:hAnsi="Cambria" w:cs="Cambria"/>
          <w:lang w:val="es-CR"/>
        </w:rPr>
        <w:t xml:space="preserve">Cuando la entidad interpone un recurso de revocación y éste se resuelve a su favor se informa que el requerimiento fue suspendido. </w:t>
      </w:r>
    </w:p>
    <w:p w14:paraId="3A37DF68" w14:textId="77777777" w:rsidR="00636E75" w:rsidRPr="00B657F7" w:rsidRDefault="00636E75" w:rsidP="00636E75">
      <w:pPr>
        <w:pStyle w:val="Prrafodelista"/>
        <w:numPr>
          <w:ilvl w:val="0"/>
          <w:numId w:val="2"/>
        </w:numPr>
        <w:autoSpaceDE w:val="0"/>
        <w:autoSpaceDN w:val="0"/>
        <w:adjustRightInd w:val="0"/>
        <w:ind w:left="709" w:hanging="283"/>
        <w:jc w:val="both"/>
        <w:rPr>
          <w:rFonts w:ascii="Cambria" w:hAnsi="Cambria" w:cs="Cambria"/>
          <w:lang w:val="es-CR"/>
        </w:rPr>
      </w:pPr>
      <w:r w:rsidRPr="00B657F7">
        <w:rPr>
          <w:rFonts w:ascii="Cambria" w:hAnsi="Cambria" w:cs="Cambria"/>
          <w:lang w:val="es-CR"/>
        </w:rPr>
        <w:t xml:space="preserve">Cuando la Superintendencia da por resuelto el requerimiento. </w:t>
      </w:r>
    </w:p>
    <w:p w14:paraId="0C826031" w14:textId="77777777" w:rsidR="00636E75" w:rsidRPr="00B657F7" w:rsidRDefault="00636E75" w:rsidP="00636E75">
      <w:pPr>
        <w:pStyle w:val="Prrafodelista"/>
        <w:numPr>
          <w:ilvl w:val="0"/>
          <w:numId w:val="2"/>
        </w:numPr>
        <w:autoSpaceDE w:val="0"/>
        <w:autoSpaceDN w:val="0"/>
        <w:adjustRightInd w:val="0"/>
        <w:ind w:left="709" w:hanging="283"/>
        <w:jc w:val="both"/>
        <w:rPr>
          <w:rFonts w:ascii="Cambria" w:hAnsi="Cambria" w:cs="Cambria"/>
          <w:lang w:val="es-CR"/>
        </w:rPr>
      </w:pPr>
      <w:r w:rsidRPr="00B657F7">
        <w:rPr>
          <w:rFonts w:ascii="Cambria" w:hAnsi="Cambria" w:cs="Cambria"/>
          <w:lang w:val="es-CR"/>
        </w:rPr>
        <w:t>Cuando la entidad supervisada realiza una solicitud de prórroga, ya sea que se apruebe o se rechace, se comunicará.</w:t>
      </w:r>
    </w:p>
    <w:p w14:paraId="00B0EF40" w14:textId="77777777" w:rsidR="00636E75" w:rsidRPr="00B657F7" w:rsidRDefault="00636E75" w:rsidP="00636E75">
      <w:pPr>
        <w:ind w:left="426"/>
        <w:jc w:val="both"/>
        <w:rPr>
          <w:rFonts w:ascii="Cambria" w:hAnsi="Cambria"/>
          <w:lang w:val="es-CR"/>
        </w:rPr>
      </w:pPr>
    </w:p>
    <w:p w14:paraId="1ED72D9D" w14:textId="77777777" w:rsidR="00636E75" w:rsidRPr="00B657F7" w:rsidRDefault="00636E75" w:rsidP="00636E75">
      <w:pPr>
        <w:jc w:val="both"/>
        <w:rPr>
          <w:rFonts w:ascii="Cambria" w:hAnsi="Cambria"/>
          <w:lang w:val="es-CR"/>
        </w:rPr>
      </w:pPr>
      <w:r w:rsidRPr="00B657F7">
        <w:rPr>
          <w:rFonts w:ascii="Cambria" w:hAnsi="Cambria"/>
          <w:lang w:val="es-CR"/>
        </w:rPr>
        <w:t>Cualquier inconveniente o incidente que se presente por notificaciones no recibidas, originados en inconsistencias o desactualización de los correos electrónicos, así como por falta de capacidad en los buzones o falla en sus sistemas internos, será responsabilidad de la entidad supervisada.</w:t>
      </w:r>
    </w:p>
    <w:p w14:paraId="3FFD9ED4" w14:textId="77777777" w:rsidR="00636E75" w:rsidRPr="00B657F7" w:rsidRDefault="00636E75" w:rsidP="00636E75">
      <w:pPr>
        <w:jc w:val="both"/>
        <w:rPr>
          <w:rFonts w:asciiTheme="majorHAnsi" w:hAnsiTheme="majorHAnsi"/>
          <w:color w:val="000000"/>
          <w:lang w:val="es-CR"/>
        </w:rPr>
      </w:pPr>
    </w:p>
    <w:p w14:paraId="7FC2F23B" w14:textId="77777777" w:rsidR="00636E75" w:rsidRPr="00B657F7" w:rsidRDefault="00636E75" w:rsidP="00636E75">
      <w:pPr>
        <w:jc w:val="both"/>
        <w:rPr>
          <w:rFonts w:asciiTheme="majorHAnsi" w:hAnsiTheme="majorHAnsi"/>
          <w:color w:val="000000"/>
          <w:lang w:val="es-CR"/>
        </w:rPr>
      </w:pPr>
    </w:p>
    <w:p w14:paraId="74D3C767" w14:textId="77777777" w:rsidR="00636E75" w:rsidRPr="00B657F7" w:rsidRDefault="00636E75" w:rsidP="00636E75">
      <w:pPr>
        <w:jc w:val="both"/>
        <w:rPr>
          <w:rFonts w:asciiTheme="majorHAnsi" w:hAnsiTheme="majorHAnsi"/>
          <w:color w:val="000000"/>
          <w:sz w:val="40"/>
          <w:szCs w:val="40"/>
          <w:lang w:val="es-CR"/>
        </w:rPr>
      </w:pPr>
      <w:r w:rsidRPr="00B657F7">
        <w:rPr>
          <w:rFonts w:ascii="Cambria" w:hAnsi="Cambria" w:cs="Arial"/>
          <w:b/>
          <w:bCs/>
          <w:lang w:val="es-CR"/>
        </w:rPr>
        <w:t xml:space="preserve">CUARTO: </w:t>
      </w:r>
      <w:r w:rsidRPr="00B657F7">
        <w:rPr>
          <w:rFonts w:ascii="Cambria" w:hAnsi="Cambria" w:cs="Arial"/>
          <w:lang w:val="es-CR"/>
        </w:rPr>
        <w:t xml:space="preserve">Modificar los artículos 2, 4, 7, 9 y 10 del acuerdo SGS-A-014-2011 con los </w:t>
      </w:r>
      <w:r w:rsidRPr="00B657F7">
        <w:rPr>
          <w:rFonts w:ascii="Cambria" w:hAnsi="Cambria" w:cs="Arial"/>
          <w:i/>
          <w:lang w:val="es-CR"/>
        </w:rPr>
        <w:t>Lineamientos Generales para Uso de Firma Digital Certificada en los Trámites Realizados ante la Superintendencia General de Seguros por parte de Entidades de Seguros, Sociedades Corredoras de Seguros y Sociedades Agencia de Seguros</w:t>
      </w:r>
      <w:r w:rsidRPr="00B657F7">
        <w:rPr>
          <w:rFonts w:ascii="Cambria" w:hAnsi="Cambria" w:cs="Arial"/>
          <w:lang w:val="es-CR"/>
        </w:rPr>
        <w:t xml:space="preserve"> para que se lea de la siguiente forma:</w:t>
      </w:r>
    </w:p>
    <w:p w14:paraId="7B95B1ED" w14:textId="77777777" w:rsidR="00636E75" w:rsidRPr="00B657F7" w:rsidRDefault="00636E75" w:rsidP="00636E75">
      <w:pPr>
        <w:jc w:val="both"/>
        <w:rPr>
          <w:rFonts w:asciiTheme="majorHAnsi" w:hAnsiTheme="majorHAnsi"/>
          <w:color w:val="000000"/>
          <w:lang w:val="es-CR"/>
        </w:rPr>
      </w:pPr>
    </w:p>
    <w:p w14:paraId="38D7C683" w14:textId="77777777" w:rsidR="00636E75" w:rsidRPr="00B657F7" w:rsidRDefault="00636E75" w:rsidP="00636E75">
      <w:pPr>
        <w:jc w:val="both"/>
        <w:rPr>
          <w:rFonts w:asciiTheme="majorHAnsi" w:hAnsiTheme="majorHAnsi" w:cs="Arial"/>
          <w:lang w:val="es-CR"/>
        </w:rPr>
      </w:pPr>
      <w:r w:rsidRPr="00B657F7">
        <w:rPr>
          <w:rFonts w:asciiTheme="majorHAnsi" w:hAnsiTheme="majorHAnsi" w:cs="Arial"/>
          <w:b/>
          <w:bCs/>
          <w:lang w:val="es-CR"/>
        </w:rPr>
        <w:t>ARTÍCULO 2. ALCANCE</w:t>
      </w:r>
      <w:r w:rsidRPr="00B657F7">
        <w:rPr>
          <w:rFonts w:asciiTheme="majorHAnsi" w:hAnsiTheme="majorHAnsi" w:cs="Arial"/>
          <w:lang w:val="es-CR"/>
        </w:rPr>
        <w:t>.</w:t>
      </w:r>
    </w:p>
    <w:p w14:paraId="48E75B58" w14:textId="77777777" w:rsidR="00636E75" w:rsidRPr="00B657F7" w:rsidRDefault="00636E75" w:rsidP="00636E75">
      <w:pPr>
        <w:jc w:val="both"/>
        <w:rPr>
          <w:rFonts w:asciiTheme="majorHAnsi" w:hAnsiTheme="majorHAnsi"/>
          <w:color w:val="000000"/>
          <w:lang w:val="es-CR"/>
        </w:rPr>
      </w:pPr>
      <w:r w:rsidRPr="00B657F7">
        <w:rPr>
          <w:rFonts w:asciiTheme="majorHAnsi" w:hAnsiTheme="majorHAnsi" w:cs="Arial"/>
          <w:lang w:val="es-CR"/>
        </w:rPr>
        <w:t xml:space="preserve">La firma digital certificada es de uso obligatorio, para las entidades supervisadas (entidades de seguros, sociedades corredoras de seguros y sociedades agencia de seguros), en todas las gestiones que realicen ante la Superintendencia General de Seguros, y en los servicios dispuestos en la plataforma denominada </w:t>
      </w:r>
      <w:r w:rsidRPr="00B657F7">
        <w:rPr>
          <w:rFonts w:asciiTheme="majorHAnsi" w:hAnsiTheme="majorHAnsi" w:cs="Arial"/>
          <w:i/>
          <w:iCs/>
          <w:lang w:val="es-CR"/>
        </w:rPr>
        <w:t>Sugese en Línea</w:t>
      </w:r>
      <w:r w:rsidRPr="00B657F7">
        <w:rPr>
          <w:rFonts w:asciiTheme="majorHAnsi" w:hAnsiTheme="majorHAnsi" w:cs="Arial"/>
          <w:lang w:val="es-CR"/>
        </w:rPr>
        <w:t xml:space="preserve">, salvo en aquellos casos mencionados expresamente en este acuerdo.  </w:t>
      </w:r>
    </w:p>
    <w:p w14:paraId="6EA80AF2" w14:textId="77777777" w:rsidR="00636E75" w:rsidRPr="00B657F7" w:rsidRDefault="00636E75" w:rsidP="00636E75">
      <w:pPr>
        <w:jc w:val="both"/>
        <w:rPr>
          <w:rFonts w:asciiTheme="majorHAnsi" w:hAnsiTheme="majorHAnsi"/>
          <w:color w:val="000000"/>
          <w:lang w:val="es-CR"/>
        </w:rPr>
      </w:pPr>
    </w:p>
    <w:p w14:paraId="3FB8C6CC" w14:textId="77777777" w:rsidR="00636E75" w:rsidRPr="00B657F7" w:rsidRDefault="00636E75" w:rsidP="00636E75">
      <w:pPr>
        <w:jc w:val="both"/>
        <w:rPr>
          <w:rFonts w:asciiTheme="majorHAnsi" w:hAnsiTheme="majorHAnsi" w:cs="Arial"/>
          <w:lang w:val="es-CR"/>
        </w:rPr>
      </w:pPr>
      <w:r w:rsidRPr="00B657F7">
        <w:rPr>
          <w:rFonts w:asciiTheme="majorHAnsi" w:hAnsiTheme="majorHAnsi" w:cs="Arial"/>
          <w:lang w:val="es-CR"/>
        </w:rPr>
        <w:t xml:space="preserve">En el caso de actos jurídicos generados dentro de procedimientos administrativos sancionatorios, tanto ordinarios como sumarios, potestativamente los supervisados pueden utilizar para la rúbrica de dichos actos, sea la firma digital certificada o la firma manuscrita. </w:t>
      </w:r>
      <w:r w:rsidRPr="00B657F7">
        <w:rPr>
          <w:rFonts w:asciiTheme="majorHAnsi" w:hAnsiTheme="majorHAnsi" w:cs="Arial"/>
          <w:lang w:val="es-CR"/>
        </w:rPr>
        <w:lastRenderedPageBreak/>
        <w:t>Cuando la emisión de un acto o la celebración de un negocio jurídico en soporte electrónico conlleven el pago de requisitos fiscales, la entidad supervisada debe</w:t>
      </w:r>
      <w:r w:rsidRPr="00B657F7">
        <w:rPr>
          <w:rFonts w:asciiTheme="majorHAnsi" w:hAnsiTheme="majorHAnsi" w:cs="Arial"/>
          <w:strike/>
          <w:lang w:val="es-CR"/>
        </w:rPr>
        <w:t xml:space="preserve"> </w:t>
      </w:r>
      <w:r w:rsidRPr="00B657F7">
        <w:rPr>
          <w:rFonts w:asciiTheme="majorHAnsi" w:hAnsiTheme="majorHAnsi" w:cs="Arial"/>
          <w:lang w:val="es-CR"/>
        </w:rPr>
        <w:t>conservar el comprobante respectivo y exhibirlo cuando la Superintendencia lo requiera para el desarrollo del trámite de que se trate.</w:t>
      </w:r>
    </w:p>
    <w:p w14:paraId="2EAF54B4" w14:textId="77777777" w:rsidR="00636E75" w:rsidRPr="00B657F7" w:rsidRDefault="00636E75" w:rsidP="00636E75">
      <w:pPr>
        <w:jc w:val="both"/>
        <w:rPr>
          <w:rFonts w:asciiTheme="majorHAnsi" w:hAnsiTheme="majorHAnsi" w:cs="Arial"/>
          <w:lang w:val="es-CR"/>
        </w:rPr>
      </w:pPr>
    </w:p>
    <w:p w14:paraId="17515A01" w14:textId="77777777" w:rsidR="00636E75" w:rsidRPr="00B657F7" w:rsidRDefault="00636E75" w:rsidP="00636E75">
      <w:pPr>
        <w:jc w:val="both"/>
        <w:rPr>
          <w:rFonts w:asciiTheme="majorHAnsi" w:hAnsiTheme="majorHAnsi"/>
          <w:color w:val="000000"/>
          <w:lang w:val="es-CR"/>
        </w:rPr>
      </w:pPr>
      <w:r w:rsidRPr="00B657F7">
        <w:rPr>
          <w:rFonts w:asciiTheme="majorHAnsi" w:hAnsiTheme="majorHAnsi"/>
          <w:b/>
          <w:bCs/>
          <w:lang w:val="es-CR"/>
        </w:rPr>
        <w:t>ARTÍCULO 4. FIRMANTES.</w:t>
      </w:r>
    </w:p>
    <w:p w14:paraId="26F69F52" w14:textId="77777777" w:rsidR="00636E75" w:rsidRPr="00B657F7" w:rsidRDefault="00636E75" w:rsidP="00636E75">
      <w:pPr>
        <w:jc w:val="both"/>
        <w:rPr>
          <w:rFonts w:asciiTheme="majorHAnsi" w:hAnsiTheme="majorHAnsi"/>
          <w:lang w:val="es-CR"/>
        </w:rPr>
      </w:pPr>
      <w:r w:rsidRPr="00B657F7">
        <w:rPr>
          <w:rFonts w:asciiTheme="majorHAnsi" w:hAnsiTheme="majorHAnsi"/>
          <w:lang w:val="es-CR"/>
        </w:rPr>
        <w:t xml:space="preserve">Los trámites descritos en el artículo 2 deben ser suscritos por quienes ostenten la representación legal de la entidad supervisada y se encuentren registrados en la Superintendencia en el servicio </w:t>
      </w:r>
      <w:r w:rsidRPr="00B657F7">
        <w:rPr>
          <w:rFonts w:asciiTheme="majorHAnsi" w:hAnsiTheme="majorHAnsi"/>
          <w:i/>
          <w:lang w:val="es-CR"/>
        </w:rPr>
        <w:t>Registro de Roles</w:t>
      </w:r>
      <w:r w:rsidRPr="00B657F7">
        <w:rPr>
          <w:rFonts w:asciiTheme="majorHAnsi" w:hAnsiTheme="majorHAnsi"/>
          <w:lang w:val="es-CR"/>
        </w:rPr>
        <w:t xml:space="preserve"> dispuesto en </w:t>
      </w:r>
      <w:r w:rsidRPr="00B657F7">
        <w:rPr>
          <w:rFonts w:asciiTheme="majorHAnsi" w:hAnsiTheme="majorHAnsi"/>
          <w:i/>
          <w:lang w:val="es-CR"/>
        </w:rPr>
        <w:t>Sugese en Línea</w:t>
      </w:r>
      <w:r w:rsidRPr="00B657F7">
        <w:rPr>
          <w:rFonts w:asciiTheme="majorHAnsi" w:hAnsiTheme="majorHAnsi"/>
          <w:lang w:val="es-CR"/>
        </w:rPr>
        <w:t>.</w:t>
      </w:r>
    </w:p>
    <w:p w14:paraId="5E4AE727" w14:textId="77777777" w:rsidR="00636E75" w:rsidRPr="00B657F7" w:rsidRDefault="00636E75" w:rsidP="00636E75">
      <w:pPr>
        <w:jc w:val="both"/>
        <w:rPr>
          <w:rFonts w:asciiTheme="majorHAnsi" w:hAnsiTheme="majorHAnsi"/>
          <w:lang w:val="es-CR"/>
        </w:rPr>
      </w:pPr>
    </w:p>
    <w:p w14:paraId="7A929F40" w14:textId="77777777" w:rsidR="00636E75" w:rsidRPr="00B657F7" w:rsidRDefault="00636E75" w:rsidP="00636E75">
      <w:pPr>
        <w:jc w:val="both"/>
        <w:rPr>
          <w:rFonts w:asciiTheme="majorHAnsi" w:hAnsiTheme="majorHAnsi"/>
          <w:lang w:val="es-CR"/>
        </w:rPr>
      </w:pPr>
      <w:r w:rsidRPr="00B657F7">
        <w:rPr>
          <w:rFonts w:asciiTheme="majorHAnsi" w:hAnsiTheme="majorHAnsi"/>
          <w:lang w:val="es-CR"/>
        </w:rPr>
        <w:t>Asimismo, cuando la normativa vigente lo requiera, deben firmar además el(los) auditor(es), contador(es), abogado(s) o actuario(s) que se encuentren registrados en dicho servicio.</w:t>
      </w:r>
    </w:p>
    <w:p w14:paraId="65F46384" w14:textId="77777777" w:rsidR="00636E75" w:rsidRPr="00B657F7" w:rsidRDefault="00636E75" w:rsidP="00636E75">
      <w:pPr>
        <w:jc w:val="both"/>
        <w:rPr>
          <w:rFonts w:asciiTheme="majorHAnsi" w:hAnsiTheme="majorHAnsi"/>
          <w:lang w:val="es-CR"/>
        </w:rPr>
      </w:pPr>
    </w:p>
    <w:p w14:paraId="6B9AB629" w14:textId="77777777" w:rsidR="00636E75" w:rsidRPr="00B657F7" w:rsidRDefault="00636E75" w:rsidP="00636E75">
      <w:pPr>
        <w:jc w:val="both"/>
        <w:rPr>
          <w:rFonts w:asciiTheme="majorHAnsi" w:hAnsiTheme="majorHAnsi"/>
          <w:lang w:val="es-CR"/>
        </w:rPr>
      </w:pPr>
      <w:r w:rsidRPr="00B657F7">
        <w:rPr>
          <w:rFonts w:asciiTheme="majorHAnsi" w:hAnsiTheme="majorHAnsi"/>
          <w:lang w:val="es-CR"/>
        </w:rPr>
        <w:t>Es responsabilidad de las entidades supervisadas mantener la información a que se refiere este artículo actualizada ante la Superintendencia.</w:t>
      </w:r>
    </w:p>
    <w:p w14:paraId="294B42B9" w14:textId="77777777" w:rsidR="00636E75" w:rsidRPr="00B657F7" w:rsidRDefault="00636E75" w:rsidP="00636E75">
      <w:pPr>
        <w:jc w:val="both"/>
        <w:rPr>
          <w:rFonts w:asciiTheme="majorHAnsi" w:hAnsiTheme="majorHAnsi"/>
          <w:color w:val="000000"/>
          <w:lang w:val="es-CR"/>
        </w:rPr>
      </w:pPr>
    </w:p>
    <w:p w14:paraId="474B888D" w14:textId="77777777" w:rsidR="00636E75" w:rsidRPr="00B657F7" w:rsidRDefault="00636E75" w:rsidP="00636E75">
      <w:pPr>
        <w:jc w:val="both"/>
        <w:rPr>
          <w:rFonts w:asciiTheme="majorHAnsi" w:hAnsiTheme="majorHAnsi"/>
          <w:b/>
          <w:bCs/>
          <w:lang w:val="es-CR"/>
        </w:rPr>
      </w:pPr>
      <w:r w:rsidRPr="00B657F7">
        <w:rPr>
          <w:rFonts w:asciiTheme="majorHAnsi" w:hAnsiTheme="majorHAnsi"/>
          <w:b/>
          <w:bCs/>
          <w:lang w:val="es-CR"/>
        </w:rPr>
        <w:t>ARTÍCULO 7. COMUNICACIONES DE LA SUPERINTENDENCIA.</w:t>
      </w:r>
    </w:p>
    <w:p w14:paraId="37C25ECB" w14:textId="77777777" w:rsidR="00636E75" w:rsidRPr="00B657F7" w:rsidRDefault="00636E75" w:rsidP="00636E75">
      <w:pPr>
        <w:jc w:val="both"/>
        <w:rPr>
          <w:rFonts w:asciiTheme="majorHAnsi" w:hAnsiTheme="majorHAnsi"/>
          <w:b/>
          <w:bCs/>
          <w:lang w:val="es-CR"/>
        </w:rPr>
      </w:pPr>
    </w:p>
    <w:p w14:paraId="36BB55DB" w14:textId="77777777" w:rsidR="00636E75" w:rsidRPr="00B657F7" w:rsidRDefault="00636E75" w:rsidP="00636E75">
      <w:pPr>
        <w:jc w:val="both"/>
        <w:rPr>
          <w:rFonts w:asciiTheme="majorHAnsi" w:hAnsiTheme="majorHAnsi"/>
          <w:lang w:val="es-CR"/>
        </w:rPr>
      </w:pPr>
      <w:r w:rsidRPr="00B657F7">
        <w:rPr>
          <w:rFonts w:asciiTheme="majorHAnsi" w:hAnsiTheme="majorHAnsi"/>
          <w:lang w:val="es-CR"/>
        </w:rPr>
        <w:t xml:space="preserve">Todos los oficios emitidos por la Superintendencia, relacionados con los trámites descritos en el artículo 2, deben ser suscritos mediante firma digital certificada y remitidos de forma electrónica al correo electrónico registrado para notificaciones por parte de la entidad supervisada; excepto aquellas comunicaciones que por disposición normativa requieran firma manuscrita, otras solemnidades adicionales.  </w:t>
      </w:r>
    </w:p>
    <w:p w14:paraId="4BD990AB" w14:textId="77777777" w:rsidR="00636E75" w:rsidRPr="00B657F7" w:rsidRDefault="00636E75" w:rsidP="00636E75">
      <w:pPr>
        <w:jc w:val="both"/>
        <w:rPr>
          <w:rFonts w:asciiTheme="majorHAnsi" w:hAnsiTheme="majorHAnsi"/>
          <w:lang w:val="es-CR"/>
        </w:rPr>
      </w:pPr>
    </w:p>
    <w:p w14:paraId="748FCF5A" w14:textId="77777777" w:rsidR="00636E75" w:rsidRPr="00B657F7" w:rsidRDefault="00636E75" w:rsidP="00636E75">
      <w:pPr>
        <w:jc w:val="both"/>
        <w:rPr>
          <w:rFonts w:asciiTheme="majorHAnsi" w:hAnsiTheme="majorHAnsi"/>
          <w:lang w:val="es-CR"/>
        </w:rPr>
      </w:pPr>
      <w:r w:rsidRPr="00B657F7">
        <w:rPr>
          <w:rFonts w:asciiTheme="majorHAnsi" w:hAnsiTheme="majorHAnsi"/>
          <w:lang w:val="es-CR"/>
        </w:rPr>
        <w:t xml:space="preserve">De igual forma los actos generados por la Superintendencia, en los servicios dispuestos en la plataforma </w:t>
      </w:r>
      <w:r w:rsidRPr="00B657F7">
        <w:rPr>
          <w:rFonts w:asciiTheme="majorHAnsi" w:hAnsiTheme="majorHAnsi"/>
          <w:i/>
          <w:lang w:val="es-CR"/>
        </w:rPr>
        <w:t>Sugese en Línea</w:t>
      </w:r>
      <w:r w:rsidRPr="00B657F7">
        <w:rPr>
          <w:rFonts w:asciiTheme="majorHAnsi" w:hAnsiTheme="majorHAnsi"/>
          <w:lang w:val="es-CR"/>
        </w:rPr>
        <w:t>, dirigidos a las entidades supervisadas deben llevar la firma digital certificada del funcionario que los emite.</w:t>
      </w:r>
    </w:p>
    <w:p w14:paraId="4C12AABA" w14:textId="77777777" w:rsidR="00636E75" w:rsidRPr="00B657F7" w:rsidRDefault="00636E75" w:rsidP="00636E75">
      <w:pPr>
        <w:pStyle w:val="Default"/>
        <w:jc w:val="both"/>
        <w:rPr>
          <w:rFonts w:asciiTheme="majorHAnsi" w:hAnsiTheme="majorHAnsi"/>
          <w:b/>
          <w:bCs/>
          <w:color w:val="auto"/>
        </w:rPr>
      </w:pPr>
    </w:p>
    <w:p w14:paraId="032C854E" w14:textId="77777777" w:rsidR="00636E75" w:rsidRPr="00B657F7" w:rsidRDefault="00636E75" w:rsidP="00636E75">
      <w:pPr>
        <w:pStyle w:val="Default"/>
        <w:jc w:val="both"/>
        <w:rPr>
          <w:rFonts w:asciiTheme="majorHAnsi" w:hAnsiTheme="majorHAnsi"/>
          <w:b/>
          <w:bCs/>
          <w:color w:val="auto"/>
        </w:rPr>
      </w:pPr>
      <w:r w:rsidRPr="00B657F7">
        <w:rPr>
          <w:rFonts w:asciiTheme="majorHAnsi" w:hAnsiTheme="majorHAnsi"/>
          <w:b/>
          <w:bCs/>
          <w:color w:val="auto"/>
        </w:rPr>
        <w:t>ARTÍCULO 9. MECANISMOS CONTINGENTES DE ENVÍO.</w:t>
      </w:r>
    </w:p>
    <w:p w14:paraId="5E02ABBE" w14:textId="77777777" w:rsidR="00636E75" w:rsidRPr="00B657F7" w:rsidRDefault="00636E75" w:rsidP="00636E75">
      <w:pPr>
        <w:pStyle w:val="Default"/>
        <w:jc w:val="both"/>
        <w:rPr>
          <w:rFonts w:asciiTheme="majorHAnsi" w:hAnsiTheme="majorHAnsi"/>
          <w:color w:val="auto"/>
        </w:rPr>
      </w:pPr>
      <w:r w:rsidRPr="00B657F7">
        <w:rPr>
          <w:rFonts w:asciiTheme="majorHAnsi" w:hAnsiTheme="majorHAnsi"/>
          <w:color w:val="auto"/>
        </w:rPr>
        <w:t xml:space="preserve">Si por dificultades técnicas, atribuibles a fuerza mayor o caso fortuito según lo definido en el artículo 3 de este Acuerdo, es imposible para la entidad supervisada enviar la información al correo electrónico oficial de la Superintendencia, se puede remitir el documento firmado digitalmente en algún medio de almacenamiento digital, el cual debe venir debidamente identificado con el nombre de la entidad supervisada. La información debe acompañarse de una nota explicativa, donde se justifiquen y documenten las razones que motivan el incumplimiento de la presentación de la información, en los términos indicados en este acuerdo. </w:t>
      </w:r>
    </w:p>
    <w:p w14:paraId="278390E3" w14:textId="77777777" w:rsidR="00636E75" w:rsidRPr="00B657F7" w:rsidRDefault="00636E75" w:rsidP="00636E75">
      <w:pPr>
        <w:pStyle w:val="Default"/>
        <w:jc w:val="both"/>
        <w:rPr>
          <w:rFonts w:asciiTheme="majorHAnsi" w:hAnsiTheme="majorHAnsi"/>
          <w:color w:val="auto"/>
        </w:rPr>
      </w:pPr>
    </w:p>
    <w:p w14:paraId="7D5A1E6A" w14:textId="77777777" w:rsidR="00636E75" w:rsidRPr="00B657F7" w:rsidRDefault="00636E75" w:rsidP="00636E75">
      <w:pPr>
        <w:pStyle w:val="Default"/>
        <w:jc w:val="both"/>
        <w:rPr>
          <w:rFonts w:asciiTheme="majorHAnsi" w:hAnsiTheme="majorHAnsi"/>
          <w:color w:val="auto"/>
        </w:rPr>
      </w:pPr>
      <w:r w:rsidRPr="00B657F7">
        <w:rPr>
          <w:rFonts w:asciiTheme="majorHAnsi" w:hAnsiTheme="majorHAnsi"/>
          <w:color w:val="auto"/>
        </w:rPr>
        <w:lastRenderedPageBreak/>
        <w:t xml:space="preserve">Adicionalmente, en el caso de entidades supervisadas cuyo representante legal o alguno de los funcionarios indicados en el Artículo 4, sea extranjero, los trámites señalados en el Artículo 2 deben presentarse ante la Superintendencia mediante documentación física con firma manuscrita y autenticada notarialmente. </w:t>
      </w:r>
    </w:p>
    <w:p w14:paraId="054DD36E" w14:textId="77777777" w:rsidR="00636E75" w:rsidRPr="00B657F7" w:rsidRDefault="00636E75" w:rsidP="00636E75">
      <w:pPr>
        <w:pStyle w:val="Default"/>
        <w:jc w:val="both"/>
        <w:rPr>
          <w:rFonts w:asciiTheme="majorHAnsi" w:hAnsiTheme="majorHAnsi"/>
          <w:color w:val="auto"/>
        </w:rPr>
      </w:pPr>
    </w:p>
    <w:p w14:paraId="15B4CD73" w14:textId="77777777" w:rsidR="00636E75" w:rsidRPr="00B657F7" w:rsidRDefault="00636E75" w:rsidP="00636E75">
      <w:pPr>
        <w:autoSpaceDE w:val="0"/>
        <w:autoSpaceDN w:val="0"/>
        <w:adjustRightInd w:val="0"/>
        <w:jc w:val="both"/>
        <w:rPr>
          <w:rFonts w:asciiTheme="majorHAnsi" w:hAnsiTheme="majorHAnsi"/>
          <w:lang w:val="es-CR"/>
        </w:rPr>
      </w:pPr>
      <w:r w:rsidRPr="00B657F7">
        <w:rPr>
          <w:rFonts w:asciiTheme="majorHAnsi" w:hAnsiTheme="majorHAnsi"/>
          <w:lang w:val="es-CR"/>
        </w:rPr>
        <w:t>Para el trámite de excepción indicado en el párrafo anterior, la entidad supervisada debe informar a la Superintendencia de previo, los casos de las personas firmantes que se encuentran en la situación señalada y cuando se trate de funcionarios que laboran en la entidad, debe explicarse la situación del trámite de obtención de la cédula de residencia de éstos. La entidad está obligada a informar, el último día hábil de cada mes, la situación del trámite de residencia de los funcionarios extranjeros firmantes; de igual forma debe informar, inmediatamente, cuando cambie su condición migratoria de manera tal que le permita obtener el certificado de firma digital.</w:t>
      </w:r>
    </w:p>
    <w:p w14:paraId="543A67E1" w14:textId="77777777" w:rsidR="00636E75" w:rsidRPr="00B657F7" w:rsidRDefault="00636E75" w:rsidP="00636E75">
      <w:pPr>
        <w:autoSpaceDE w:val="0"/>
        <w:autoSpaceDN w:val="0"/>
        <w:adjustRightInd w:val="0"/>
        <w:jc w:val="both"/>
        <w:rPr>
          <w:rFonts w:asciiTheme="majorHAnsi" w:hAnsiTheme="majorHAnsi"/>
          <w:lang w:val="es-CR"/>
        </w:rPr>
      </w:pPr>
    </w:p>
    <w:p w14:paraId="5FAFF7EE" w14:textId="77777777" w:rsidR="00636E75" w:rsidRPr="00B657F7" w:rsidRDefault="00636E75" w:rsidP="00636E75">
      <w:pPr>
        <w:pStyle w:val="Default"/>
        <w:jc w:val="both"/>
        <w:rPr>
          <w:rFonts w:asciiTheme="majorHAnsi" w:hAnsiTheme="majorHAnsi"/>
          <w:b/>
          <w:bCs/>
          <w:color w:val="auto"/>
        </w:rPr>
      </w:pPr>
      <w:r w:rsidRPr="00B657F7">
        <w:rPr>
          <w:rFonts w:asciiTheme="majorHAnsi" w:hAnsiTheme="majorHAnsi"/>
          <w:b/>
          <w:bCs/>
          <w:color w:val="auto"/>
        </w:rPr>
        <w:t xml:space="preserve">ARTÍCULO 10. FORMATO DE LOS ARCHIVOS. </w:t>
      </w:r>
    </w:p>
    <w:p w14:paraId="7CC75374" w14:textId="77777777" w:rsidR="00636E75" w:rsidRPr="00B657F7" w:rsidRDefault="00636E75" w:rsidP="00636E75">
      <w:pPr>
        <w:pStyle w:val="Default"/>
        <w:jc w:val="both"/>
        <w:rPr>
          <w:rFonts w:asciiTheme="majorHAnsi" w:hAnsiTheme="majorHAnsi"/>
          <w:color w:val="auto"/>
        </w:rPr>
      </w:pPr>
      <w:r w:rsidRPr="00B657F7">
        <w:rPr>
          <w:rFonts w:asciiTheme="majorHAnsi" w:hAnsiTheme="majorHAnsi"/>
          <w:color w:val="auto"/>
        </w:rPr>
        <w:t>Los documentos electrónicos relacionados con los trámites mencionados en el artículo 2 de este acuerdo deben presentarse únicamente en las versiones que tengan la funcionalidad de firmar digitalmente en formato Adobe (PDF), Word o Excel.</w:t>
      </w:r>
    </w:p>
    <w:p w14:paraId="05D97BDC" w14:textId="77777777" w:rsidR="00636E75" w:rsidRPr="00B657F7" w:rsidRDefault="00636E75" w:rsidP="00636E75">
      <w:pPr>
        <w:pStyle w:val="Default"/>
        <w:jc w:val="both"/>
        <w:rPr>
          <w:rFonts w:asciiTheme="majorHAnsi" w:hAnsiTheme="majorHAnsi"/>
          <w:color w:val="auto"/>
        </w:rPr>
      </w:pPr>
    </w:p>
    <w:p w14:paraId="03715E00" w14:textId="77777777" w:rsidR="00636E75" w:rsidRPr="00B657F7" w:rsidRDefault="00636E75" w:rsidP="00636E75">
      <w:pPr>
        <w:autoSpaceDE w:val="0"/>
        <w:autoSpaceDN w:val="0"/>
        <w:adjustRightInd w:val="0"/>
        <w:jc w:val="both"/>
        <w:rPr>
          <w:rFonts w:asciiTheme="majorHAnsi" w:hAnsiTheme="majorHAnsi"/>
          <w:lang w:val="es-CR"/>
        </w:rPr>
      </w:pPr>
      <w:r w:rsidRPr="00B657F7">
        <w:rPr>
          <w:rFonts w:asciiTheme="majorHAnsi" w:hAnsiTheme="majorHAnsi"/>
          <w:lang w:val="es-CR"/>
        </w:rPr>
        <w:t>Si la documentación remitida corresponde a una respuesta para atender un oficio de la Superintendencia, se debe indicar en la nota el número y fecha del oficio al que se refiere, al inicio de la nota de remisión.</w:t>
      </w:r>
    </w:p>
    <w:p w14:paraId="2F2FC685" w14:textId="77777777" w:rsidR="00636E75" w:rsidRPr="00B657F7" w:rsidRDefault="00636E75" w:rsidP="00636E75">
      <w:pPr>
        <w:jc w:val="both"/>
        <w:rPr>
          <w:b/>
          <w:bCs/>
          <w:sz w:val="16"/>
          <w:szCs w:val="16"/>
          <w:lang w:val="es-CR"/>
        </w:rPr>
      </w:pPr>
    </w:p>
    <w:p w14:paraId="56DFAFB6" w14:textId="77777777" w:rsidR="00636E75" w:rsidRPr="00B657F7" w:rsidRDefault="00636E75" w:rsidP="00636E75">
      <w:pPr>
        <w:jc w:val="both"/>
        <w:rPr>
          <w:b/>
          <w:bCs/>
          <w:sz w:val="16"/>
          <w:szCs w:val="16"/>
          <w:lang w:val="es-CR"/>
        </w:rPr>
      </w:pPr>
    </w:p>
    <w:p w14:paraId="5E64B953" w14:textId="77777777" w:rsidR="00636E75" w:rsidRPr="00B657F7" w:rsidRDefault="00636E75" w:rsidP="00636E75">
      <w:pPr>
        <w:jc w:val="both"/>
        <w:rPr>
          <w:b/>
          <w:bCs/>
          <w:sz w:val="16"/>
          <w:szCs w:val="16"/>
          <w:lang w:val="es-CR"/>
        </w:rPr>
      </w:pPr>
    </w:p>
    <w:p w14:paraId="592687AF" w14:textId="77777777" w:rsidR="00636E75" w:rsidRPr="00B657F7" w:rsidRDefault="00636E75" w:rsidP="00636E75">
      <w:pPr>
        <w:jc w:val="both"/>
        <w:rPr>
          <w:rFonts w:asciiTheme="majorHAnsi" w:hAnsiTheme="majorHAnsi"/>
          <w:color w:val="000000"/>
          <w:lang w:val="es-CR"/>
        </w:rPr>
      </w:pPr>
      <w:r w:rsidRPr="00B657F7">
        <w:rPr>
          <w:rFonts w:asciiTheme="majorHAnsi" w:hAnsiTheme="majorHAnsi"/>
          <w:b/>
          <w:bCs/>
          <w:color w:val="000000"/>
          <w:lang w:val="es-CR"/>
        </w:rPr>
        <w:t>QUINTO:</w:t>
      </w:r>
      <w:r w:rsidRPr="00B657F7">
        <w:rPr>
          <w:rFonts w:asciiTheme="majorHAnsi" w:hAnsiTheme="majorHAnsi"/>
          <w:color w:val="000000"/>
          <w:lang w:val="es-CR"/>
        </w:rPr>
        <w:t xml:space="preserve">  </w:t>
      </w:r>
      <w:r w:rsidRPr="00B657F7">
        <w:rPr>
          <w:rFonts w:ascii="Cambria" w:hAnsi="Cambria"/>
          <w:lang w:val="es-CR"/>
        </w:rPr>
        <w:t xml:space="preserve">Actualizar la versión publicada de los Acuerdos </w:t>
      </w:r>
      <w:r w:rsidRPr="00B657F7">
        <w:rPr>
          <w:rFonts w:ascii="Cambria" w:hAnsi="Cambria" w:cs="Arial"/>
          <w:lang w:val="es-CR"/>
        </w:rPr>
        <w:t xml:space="preserve">SGS-A-014-2011, </w:t>
      </w:r>
      <w:r w:rsidRPr="00B657F7">
        <w:rPr>
          <w:rFonts w:ascii="Cambria" w:hAnsi="Cambria"/>
          <w:lang w:val="es-CR"/>
        </w:rPr>
        <w:t xml:space="preserve">SGS-DES-A-021-2013 y </w:t>
      </w:r>
      <w:r w:rsidRPr="00B657F7">
        <w:rPr>
          <w:rFonts w:ascii="Cambria" w:hAnsi="Cambria" w:cs="Arial"/>
          <w:lang w:val="es-CR"/>
        </w:rPr>
        <w:t>SGS-A-057-2017</w:t>
      </w:r>
      <w:r w:rsidRPr="00B657F7">
        <w:rPr>
          <w:rFonts w:ascii="Cambria" w:hAnsi="Cambria"/>
          <w:lang w:val="es-CR"/>
        </w:rPr>
        <w:t xml:space="preserve">, </w:t>
      </w:r>
      <w:r w:rsidRPr="00B657F7">
        <w:rPr>
          <w:rFonts w:asciiTheme="majorHAnsi" w:hAnsiTheme="majorHAnsi"/>
          <w:lang w:val="es-CR"/>
        </w:rPr>
        <w:t>para incluir las modificaciones señaladas en este acuerdo.</w:t>
      </w:r>
    </w:p>
    <w:p w14:paraId="363018F2" w14:textId="77777777" w:rsidR="00636E75" w:rsidRPr="00B657F7" w:rsidRDefault="00636E75" w:rsidP="00636E75">
      <w:pPr>
        <w:jc w:val="both"/>
        <w:rPr>
          <w:rFonts w:asciiTheme="majorHAnsi" w:hAnsiTheme="majorHAnsi"/>
          <w:color w:val="000000"/>
          <w:lang w:val="es-CR"/>
        </w:rPr>
      </w:pPr>
    </w:p>
    <w:p w14:paraId="6E39C39E" w14:textId="77777777" w:rsidR="00636E75" w:rsidRPr="00B657F7" w:rsidRDefault="00636E75" w:rsidP="00636E75">
      <w:pPr>
        <w:jc w:val="both"/>
        <w:rPr>
          <w:rFonts w:asciiTheme="majorHAnsi" w:hAnsiTheme="majorHAnsi"/>
          <w:color w:val="000000"/>
          <w:lang w:val="es-CR"/>
        </w:rPr>
      </w:pPr>
    </w:p>
    <w:p w14:paraId="39127E15" w14:textId="77777777" w:rsidR="00636E75" w:rsidRPr="00B657F7" w:rsidRDefault="00636E75" w:rsidP="00636E75">
      <w:pPr>
        <w:jc w:val="both"/>
        <w:rPr>
          <w:rFonts w:asciiTheme="majorHAnsi" w:hAnsiTheme="majorHAnsi"/>
          <w:color w:val="000000"/>
          <w:lang w:val="es-CR"/>
        </w:rPr>
      </w:pPr>
    </w:p>
    <w:p w14:paraId="157BC4DF" w14:textId="77777777" w:rsidR="00636E75" w:rsidRPr="00B657F7" w:rsidRDefault="00636E75" w:rsidP="00636E75">
      <w:pPr>
        <w:jc w:val="both"/>
        <w:rPr>
          <w:rFonts w:asciiTheme="majorHAnsi" w:hAnsiTheme="majorHAnsi"/>
          <w:color w:val="000000"/>
          <w:lang w:val="es-CR"/>
        </w:rPr>
      </w:pPr>
      <w:r w:rsidRPr="00B657F7">
        <w:rPr>
          <w:rFonts w:asciiTheme="majorHAnsi" w:hAnsiTheme="majorHAnsi"/>
          <w:color w:val="000000"/>
          <w:lang w:val="es-CR"/>
        </w:rPr>
        <w:t>Rige a partir del 1° de marzo de 2021.</w:t>
      </w:r>
    </w:p>
    <w:p w14:paraId="483C5F4D" w14:textId="77777777" w:rsidR="00636E75" w:rsidRPr="00B657F7" w:rsidRDefault="00636E75" w:rsidP="00636E75">
      <w:pPr>
        <w:jc w:val="both"/>
        <w:rPr>
          <w:rFonts w:asciiTheme="majorHAnsi" w:hAnsiTheme="majorHAnsi"/>
          <w:color w:val="000000"/>
          <w:lang w:val="es-CR"/>
        </w:rPr>
      </w:pPr>
    </w:p>
    <w:p w14:paraId="4F20E0F7" w14:textId="77777777" w:rsidR="00636E75" w:rsidRPr="00B657F7" w:rsidRDefault="00636E75" w:rsidP="00636E75">
      <w:pPr>
        <w:jc w:val="both"/>
        <w:rPr>
          <w:rFonts w:asciiTheme="majorHAnsi" w:hAnsiTheme="majorHAnsi"/>
          <w:color w:val="000000"/>
          <w:lang w:val="es-CR"/>
        </w:rPr>
      </w:pPr>
    </w:p>
    <w:p w14:paraId="3B635553" w14:textId="77777777" w:rsidR="00636E75" w:rsidRPr="00B657F7" w:rsidRDefault="00636E75" w:rsidP="00636E75">
      <w:pPr>
        <w:jc w:val="both"/>
        <w:rPr>
          <w:rFonts w:asciiTheme="majorHAnsi" w:hAnsiTheme="majorHAnsi"/>
          <w:lang w:val="es-CR"/>
        </w:rPr>
      </w:pPr>
    </w:p>
    <w:p w14:paraId="6CCD12B6" w14:textId="20EDE8EF" w:rsidR="00636E75" w:rsidRPr="006A3734" w:rsidRDefault="00636E75" w:rsidP="00636E75">
      <w:pPr>
        <w:jc w:val="both"/>
        <w:rPr>
          <w:rFonts w:ascii="Cambria" w:hAnsi="Cambria"/>
        </w:rPr>
      </w:pPr>
      <w:r w:rsidRPr="00B657F7">
        <w:rPr>
          <w:rFonts w:asciiTheme="majorHAnsi" w:hAnsiTheme="majorHAnsi"/>
          <w:noProof/>
          <w:lang w:val="es-CR" w:eastAsia="es-CR"/>
        </w:rPr>
        <w:drawing>
          <wp:inline distT="0" distB="0" distL="0" distR="0" wp14:anchorId="1253CDDA" wp14:editId="340CCFE1">
            <wp:extent cx="2499360" cy="524291"/>
            <wp:effectExtent l="0" t="0" r="0" b="9525"/>
            <wp:docPr id="2"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E057B86" w14:textId="6EFDE0E2" w:rsidR="00761D54" w:rsidRPr="006A3734" w:rsidRDefault="00761D54" w:rsidP="007F09F5">
      <w:pPr>
        <w:jc w:val="both"/>
        <w:rPr>
          <w:rFonts w:ascii="Cambria" w:hAnsi="Cambria"/>
        </w:rPr>
      </w:pPr>
    </w:p>
    <w:sectPr w:rsidR="00761D54" w:rsidRPr="006A3734" w:rsidSect="009618C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C9492" w14:textId="77777777" w:rsidR="00FF5B4A" w:rsidRDefault="00FF5B4A" w:rsidP="005A1442">
      <w:r>
        <w:separator/>
      </w:r>
    </w:p>
  </w:endnote>
  <w:endnote w:type="continuationSeparator" w:id="0">
    <w:p w14:paraId="26F7A362" w14:textId="77777777" w:rsidR="00FF5B4A" w:rsidRDefault="00FF5B4A"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DCB60" w14:textId="77777777" w:rsidR="00BE7CC6" w:rsidRDefault="00BE7C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655F" w14:textId="77777777" w:rsidR="00F8332E" w:rsidRPr="00F8332E" w:rsidRDefault="00F8332E" w:rsidP="00F8332E">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52AC8FD4" w14:textId="77777777" w:rsidR="00F8332E" w:rsidRDefault="00F8332E" w:rsidP="00F8332E">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Pr="009E7017">
      <w:rPr>
        <w:rFonts w:asciiTheme="majorHAnsi" w:hAnsiTheme="majorHAnsi"/>
        <w:sz w:val="18"/>
        <w:szCs w:val="18"/>
      </w:rPr>
      <w:t>Edificio ODMs, Barrio T</w:t>
    </w:r>
    <w:r>
      <w:rPr>
        <w:rFonts w:asciiTheme="majorHAnsi" w:hAnsiTheme="majorHAnsi"/>
        <w:sz w:val="18"/>
        <w:szCs w:val="18"/>
      </w:rPr>
      <w:t>o</w:t>
    </w:r>
    <w:r w:rsidRPr="009E7017">
      <w:rPr>
        <w:rFonts w:asciiTheme="majorHAnsi" w:hAnsiTheme="majorHAnsi"/>
        <w:sz w:val="18"/>
        <w:szCs w:val="18"/>
      </w:rPr>
      <w:t>urnón, Piso 4</w:t>
    </w:r>
  </w:p>
  <w:p w14:paraId="41169933" w14:textId="77777777" w:rsidR="00F8332E" w:rsidRPr="00F8332E" w:rsidRDefault="00564D6F" w:rsidP="00F8332E">
    <w:pPr>
      <w:pStyle w:val="Piedepgina"/>
      <w:tabs>
        <w:tab w:val="clear" w:pos="8838"/>
      </w:tabs>
      <w:jc w:val="right"/>
      <w:rPr>
        <w:rFonts w:ascii="Baskerville Old Face" w:hAnsi="Baskerville Old Face"/>
        <w:sz w:val="18"/>
        <w:szCs w:val="18"/>
      </w:rPr>
    </w:pPr>
    <w:hyperlink r:id="rId1" w:history="1">
      <w:r w:rsidR="00F8332E" w:rsidRPr="00121F8C">
        <w:rPr>
          <w:rStyle w:val="Hipervnculo"/>
          <w:rFonts w:ascii="Baskerville Old Face" w:hAnsi="Baskerville Old Face"/>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6DA9" w14:textId="77777777" w:rsidR="00843EE4" w:rsidRDefault="00843EE4" w:rsidP="00A83BA5">
    <w:pPr>
      <w:pStyle w:val="Piedepgina"/>
      <w:pBdr>
        <w:top w:val="single" w:sz="4" w:space="1" w:color="auto"/>
      </w:pBdr>
      <w:rPr>
        <w:sz w:val="16"/>
        <w:szCs w:val="16"/>
      </w:rPr>
    </w:pPr>
  </w:p>
  <w:p w14:paraId="4644A5A4" w14:textId="77777777" w:rsidR="00843EE4" w:rsidRPr="00F8332E" w:rsidRDefault="00843EE4" w:rsidP="00A83BA5">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529355BA" w14:textId="77777777" w:rsidR="00843EE4" w:rsidRDefault="00843EE4" w:rsidP="00A83BA5">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00F8332E" w:rsidRPr="009E7017">
      <w:rPr>
        <w:rFonts w:asciiTheme="majorHAnsi" w:hAnsiTheme="majorHAnsi"/>
        <w:sz w:val="18"/>
        <w:szCs w:val="18"/>
      </w:rPr>
      <w:t>Edificio ODMs, Barrio T</w:t>
    </w:r>
    <w:r w:rsidR="00F8332E">
      <w:rPr>
        <w:rFonts w:asciiTheme="majorHAnsi" w:hAnsiTheme="majorHAnsi"/>
        <w:sz w:val="18"/>
        <w:szCs w:val="18"/>
      </w:rPr>
      <w:t>o</w:t>
    </w:r>
    <w:r w:rsidR="00F8332E" w:rsidRPr="009E7017">
      <w:rPr>
        <w:rFonts w:asciiTheme="majorHAnsi" w:hAnsiTheme="majorHAnsi"/>
        <w:sz w:val="18"/>
        <w:szCs w:val="18"/>
      </w:rPr>
      <w:t>urnón, Piso 4</w:t>
    </w:r>
  </w:p>
  <w:p w14:paraId="794C8F8B" w14:textId="77777777" w:rsidR="00843EE4" w:rsidRPr="00A83BA5" w:rsidRDefault="00564D6F" w:rsidP="00A83BA5">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6D9E6" w14:textId="77777777" w:rsidR="00FF5B4A" w:rsidRDefault="00FF5B4A" w:rsidP="005A1442">
      <w:r>
        <w:separator/>
      </w:r>
    </w:p>
  </w:footnote>
  <w:footnote w:type="continuationSeparator" w:id="0">
    <w:p w14:paraId="1C78C5AD" w14:textId="77777777" w:rsidR="00FF5B4A" w:rsidRDefault="00FF5B4A"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A42E" w14:textId="77777777" w:rsidR="00BE7CC6" w:rsidRDefault="00BE7C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F59B"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5FA2BA1E" wp14:editId="00CB0AD0">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07110A96" w14:textId="77777777" w:rsidR="00373AC0" w:rsidRPr="009618C8" w:rsidRDefault="00373AC0" w:rsidP="00373AC0">
    <w:pPr>
      <w:pStyle w:val="Encabezado"/>
      <w:rPr>
        <w:rFonts w:asciiTheme="majorHAnsi" w:hAnsiTheme="majorHAnsi"/>
        <w:sz w:val="16"/>
        <w:szCs w:val="16"/>
      </w:rPr>
    </w:pPr>
  </w:p>
  <w:p w14:paraId="33CFD6B6" w14:textId="0620AEBB" w:rsidR="00761D54" w:rsidRPr="00373AC0" w:rsidRDefault="00373AC0" w:rsidP="00373AC0">
    <w:pPr>
      <w:jc w:val="both"/>
      <w:rPr>
        <w:rFonts w:asciiTheme="majorHAnsi" w:hAnsiTheme="majorHAnsi"/>
        <w:b/>
        <w:i/>
        <w:color w:val="000000"/>
      </w:rPr>
    </w:pPr>
    <w:r w:rsidRPr="00373AC0">
      <w:rPr>
        <w:rFonts w:asciiTheme="majorHAnsi" w:hAnsiTheme="majorHAnsi"/>
        <w:b/>
        <w:bCs/>
        <w:i/>
      </w:rPr>
      <w:t>SGS-A-0</w:t>
    </w:r>
    <w:r w:rsidR="00BE7CC6">
      <w:rPr>
        <w:rFonts w:asciiTheme="majorHAnsi" w:hAnsiTheme="majorHAnsi"/>
        <w:b/>
        <w:bCs/>
        <w:i/>
      </w:rPr>
      <w:t>076</w:t>
    </w:r>
    <w:r w:rsidRPr="00373AC0">
      <w:rPr>
        <w:rFonts w:asciiTheme="majorHAnsi" w:hAnsiTheme="majorHAnsi"/>
        <w:b/>
        <w:bCs/>
        <w:i/>
      </w:rPr>
      <w:t>-20</w:t>
    </w:r>
    <w:r w:rsidR="00BE7CC6">
      <w:rPr>
        <w:rFonts w:asciiTheme="majorHAnsi" w:hAnsiTheme="majorHAnsi"/>
        <w:b/>
        <w:bCs/>
        <w:i/>
      </w:rPr>
      <w:t>21</w:t>
    </w:r>
  </w:p>
  <w:p w14:paraId="476CE320"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F8332E">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375228C1"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4A1B"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086A6EFC" wp14:editId="76306D78">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7C48E0BF"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55C0"/>
    <w:multiLevelType w:val="hybridMultilevel"/>
    <w:tmpl w:val="D84EE3E8"/>
    <w:lvl w:ilvl="0" w:tplc="7DFA41FE">
      <w:start w:val="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D36002E"/>
    <w:multiLevelType w:val="hybridMultilevel"/>
    <w:tmpl w:val="249A80B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4A"/>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4D6F"/>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36E75"/>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E7CC6"/>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332E"/>
    <w:rsid w:val="00F84235"/>
    <w:rsid w:val="00F87AC4"/>
    <w:rsid w:val="00F952FA"/>
    <w:rsid w:val="00FA4D98"/>
    <w:rsid w:val="00FA56C0"/>
    <w:rsid w:val="00FB25AE"/>
    <w:rsid w:val="00FB6C78"/>
    <w:rsid w:val="00FC2DDB"/>
    <w:rsid w:val="00FC5636"/>
    <w:rsid w:val="00FC7C8A"/>
    <w:rsid w:val="00FD0685"/>
    <w:rsid w:val="00FE165F"/>
    <w:rsid w:val="00FE1C22"/>
    <w:rsid w:val="00FE3A47"/>
    <w:rsid w:val="00FF04DB"/>
    <w:rsid w:val="00FF5B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31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uiPriority w:val="9"/>
    <w:semiHidden/>
    <w:unhideWhenUsed/>
    <w:qFormat/>
    <w:rsid w:val="00636E75"/>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3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tulo5Car">
    <w:name w:val="Título 5 Car"/>
    <w:basedOn w:val="Fuentedeprrafopredeter"/>
    <w:link w:val="Ttulo5"/>
    <w:uiPriority w:val="9"/>
    <w:semiHidden/>
    <w:rsid w:val="00636E75"/>
    <w:rPr>
      <w:rFonts w:asciiTheme="majorHAnsi" w:eastAsiaTheme="majorEastAsia" w:hAnsiTheme="majorHAnsi" w:cstheme="majorBidi"/>
      <w:color w:val="365F91" w:themeColor="accent1" w:themeShade="BF"/>
      <w:sz w:val="24"/>
      <w:szCs w:val="24"/>
      <w:lang w:val="es-ES" w:eastAsia="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636E75"/>
    <w:pPr>
      <w:ind w:left="720"/>
      <w:contextualSpacing/>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34"/>
    <w:locked/>
    <w:rsid w:val="00636E7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636E75"/>
    <w:pPr>
      <w:spacing w:after="120"/>
    </w:pPr>
  </w:style>
  <w:style w:type="character" w:customStyle="1" w:styleId="TextoindependienteCar">
    <w:name w:val="Texto independiente Car"/>
    <w:basedOn w:val="Fuentedeprrafopredeter"/>
    <w:link w:val="Textoindependiente"/>
    <w:uiPriority w:val="99"/>
    <w:semiHidden/>
    <w:rsid w:val="00636E75"/>
    <w:rPr>
      <w:rFonts w:ascii="Times New Roman" w:eastAsia="Times New Roman" w:hAnsi="Times New Roman" w:cs="Times New Roman"/>
      <w:sz w:val="24"/>
      <w:szCs w:val="24"/>
      <w:lang w:val="es-ES" w:eastAsia="es-ES"/>
    </w:rPr>
  </w:style>
  <w:style w:type="paragraph" w:customStyle="1" w:styleId="TextoCentradoTabla">
    <w:name w:val="Texto Centrado Tabla"/>
    <w:basedOn w:val="Normal"/>
    <w:rsid w:val="00636E75"/>
    <w:pPr>
      <w:spacing w:before="60" w:after="60"/>
      <w:ind w:left="57" w:right="57"/>
      <w:jc w:val="center"/>
    </w:pPr>
    <w:rPr>
      <w:rFonts w:ascii="Arial" w:hAnsi="Arial"/>
      <w:snapToGrid w:val="0"/>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2020/PlantillasCorrespondenciaExterna/Plantilla-SGS-A-1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+MU6AechocX/u22MdVtI8hRqlpkCA8kDNAH4Ap5UWms=</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lr2p+mG7QVhT9vWpb6m4cGXSZ32ymBEYBlP2a0qqKQg=</DigestValue>
    </Reference>
  </SignedInfo>
  <SignatureValue>qCiZiwBWUMWbY8Qa4RUlhtfwsFO6Qmoeqj48wsiWQF1A4e2h4CnkUwRcd8dot03tjFOSaxyjnDwO
po5eFc48wTmFf5Z7/7REKkuUE2N+TF+g+56a5u+MlMIixXuE1Yyt/jFh1pggBnR1nVsy00Nn4kRY
USffElIdGmBBg6BJFC1X1FzVnaoiZImaH/ybABKF5IUSD0AEERNtqvpWfZiokB9oz/BfdNpds0Fu
ns81vWXrdAHLhwFp03KaZw8OjSiv8sxi8Ji+NUlwGVPke9ugYRvpyaigavdqWhzYprmnzfUWc8gj
opO2WDcEK5QCzB1ulXJSkJ46uj06XC+30PxH/Q==</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0lA80QtfeFeBfQxPyGsbzoXmrRamSwjubbAtb7N3cfs=</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+2aCAS4Zy5DWm3v3vSXKxN1SgkFmrmMk9h7JtWSp+lU=</DigestValue>
      </Reference>
      <Reference URI="/word/document.xml?ContentType=application/vnd.openxmlformats-officedocument.wordprocessingml.document.main+xml">
        <DigestMethod Algorithm="http://www.w3.org/2001/04/xmlenc#sha256"/>
        <DigestValue>O7kzB2bX1yXWEn7FvX0T8f4i7nJ/HwafZ2f6/f7emmw=</DigestValue>
      </Reference>
      <Reference URI="/word/endnotes.xml?ContentType=application/vnd.openxmlformats-officedocument.wordprocessingml.endnotes+xml">
        <DigestMethod Algorithm="http://www.w3.org/2001/04/xmlenc#sha256"/>
        <DigestValue>zaIsjNeczQ6njX0dykx3IZspu7rLg3m4JaeaE5+39Qk=</DigestValue>
      </Reference>
      <Reference URI="/word/fontTable.xml?ContentType=application/vnd.openxmlformats-officedocument.wordprocessingml.fontTable+xml">
        <DigestMethod Algorithm="http://www.w3.org/2001/04/xmlenc#sha256"/>
        <DigestValue>ZbYSezsDmLGr6JWkfV7Hv6gnuJdVhHJ6jbHqrVwk3Os=</DigestValue>
      </Reference>
      <Reference URI="/word/footer1.xml?ContentType=application/vnd.openxmlformats-officedocument.wordprocessingml.footer+xml">
        <DigestMethod Algorithm="http://www.w3.org/2001/04/xmlenc#sha256"/>
        <DigestValue>ZmC/vj6+ml6hcDcEEZrtnfjV3LAINI0thSYyBZ4w6tU=</DigestValue>
      </Reference>
      <Reference URI="/word/footer2.xml?ContentType=application/vnd.openxmlformats-officedocument.wordprocessingml.footer+xml">
        <DigestMethod Algorithm="http://www.w3.org/2001/04/xmlenc#sha256"/>
        <DigestValue>WU7oFNdYoBzIw5YwNHJHSDdymhUolB/bmC7hVL/lFJQ=</DigestValue>
      </Reference>
      <Reference URI="/word/footer3.xml?ContentType=application/vnd.openxmlformats-officedocument.wordprocessingml.footer+xml">
        <DigestMethod Algorithm="http://www.w3.org/2001/04/xmlenc#sha256"/>
        <DigestValue>Db9buRyCNIKbk0+Crh6PY+fJZRdyqW428w0BwOZekaM=</DigestValue>
      </Reference>
      <Reference URI="/word/footnotes.xml?ContentType=application/vnd.openxmlformats-officedocument.wordprocessingml.footnotes+xml">
        <DigestMethod Algorithm="http://www.w3.org/2001/04/xmlenc#sha256"/>
        <DigestValue>+5byZ52t5wOlP2JGDowky8B3/IPlmk5psD/0N+PbLUM=</DigestValue>
      </Reference>
      <Reference URI="/word/header1.xml?ContentType=application/vnd.openxmlformats-officedocument.wordprocessingml.header+xml">
        <DigestMethod Algorithm="http://www.w3.org/2001/04/xmlenc#sha256"/>
        <DigestValue>AJJiuaFt4POP4YTk7d3S4M5Xn6p45K+2nvq6XVLohTg=</DigestValue>
      </Reference>
      <Reference URI="/word/header2.xml?ContentType=application/vnd.openxmlformats-officedocument.wordprocessingml.header+xml">
        <DigestMethod Algorithm="http://www.w3.org/2001/04/xmlenc#sha256"/>
        <DigestValue>4joa6vthZBvBvy1sRBMfgnR3YcIRs1Kejd0ThS1Pq0A=</DigestValue>
      </Reference>
      <Reference URI="/word/header3.xml?ContentType=application/vnd.openxmlformats-officedocument.wordprocessingml.header+xml">
        <DigestMethod Algorithm="http://www.w3.org/2001/04/xmlenc#sha256"/>
        <DigestValue>doMRM/+6UwdCz78Pw2aMEWBAftMcm+4NlxWFhViFmzw=</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GfD+x/Da6wL0+34TYE51HkfFz5ny6d/FMqY74ni1Q9c=</DigestValue>
      </Reference>
      <Reference URI="/word/settings.xml?ContentType=application/vnd.openxmlformats-officedocument.wordprocessingml.settings+xml">
        <DigestMethod Algorithm="http://www.w3.org/2001/04/xmlenc#sha256"/>
        <DigestValue>3goMJYawQ5VDKVZKYqiwkv4uCQ5ztKUQZdDbH3bjGhs=</DigestValue>
      </Reference>
      <Reference URI="/word/styles.xml?ContentType=application/vnd.openxmlformats-officedocument.wordprocessingml.styles+xml">
        <DigestMethod Algorithm="http://www.w3.org/2001/04/xmlenc#sha256"/>
        <DigestValue>wc+9ak3V1I2JQY8ssN7PAiEXR0VaHKJidOg2xVYO58I=</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1I+YFRt2C63TLidVmLuICOGYkIXdAhym/BJpyrYumWQ=</DigestValue>
      </Reference>
    </Manifest>
    <SignatureProperties>
      <SignatureProperty Id="idSignatureTime" Target="#idPackageSignature">
        <mdssi:SignatureTime xmlns:mdssi="http://schemas.openxmlformats.org/package/2006/digital-signature">
          <mdssi:Format>YYYY-MM-DDThh:mm:ssTZD</mdssi:Format>
          <mdssi:Value>2021-02-24T17:00:10Z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2021-02-24T17:00:10Z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uNf4a8BQgfh6REaF7LFGLxhpAjPM4AGKdoEfWRM9pEsCBAs5nDMYDzIwMjEwMjI0MTcwMD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2yB238xfIEIa1pBc4q0CNbXjYxw=</xd:ByKey>
                  </xd:ResponderID>
                  <xd:ProducedAt>2021-02-24T17:00:08Z</xd:ProducedAt>
                </xd:OCSPIdentifier>
                <xd:DigestAlgAndValue>
                  <DigestMethod Algorithm="http://www.w3.org/2001/04/xmlenc#sha256"/>
                  <DigestValue>t0OU8MI6nE5PxC++kZ9KQRQrxXqTZRz5q2QOGwQxsQ4=</DigestValue>
                </xd:DigestAlgAndValue>
              </xd:OCSPRef>
            </xd:OCSPRefs>
            <xd:CRLRefs>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OCSPValues>
              <xd:EncapsulatedOCSPValue>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dS4WwfJ0reYaw74xq9D84GSSgvSmgpUW+6BBzLXWuoCBAs5nDYYDzIwMjEwMjI0MTcwMD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</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2021-03-03T06:00:00+00:00</FechaPublicacionDocumento>
    <NormativaRelacionada xmlns="b9fc4df0-8f56-46e7-b005-54afe0044df7">&lt;div class="ExternalClass5B12007B45C84EC8B103B08EBFFE2382"&gt;&lt;p&gt;​SGS-A-0057-2017&lt;/p&gt;&lt;/div&gt;</NormativaRelacionada>
    <TipoContenido xmlns="b9fc4df0-8f56-46e7-b005-54afe0044df7">6</TipoContenido>
    <ContenidoMultilineaHTML xmlns="b9fc4df0-8f56-46e7-b005-54afe0044df7">&lt;p&gt;​Presenta modificaciones a los acuerdos del Superintendente&amp;#160;14, 21 y 57 relacinados con la remisión de información por medio del servicio de Ejecución de Estudios de Seguros (EES) en Sugese en Línea&lt;/p&gt;</ContenidoMultilineaHTML>
    <NumeroAcuerdo xmlns="b9fc4df0-8f56-46e7-b005-54afe0044df7">SGS-A-0076-2021</NumeroAcuerdo>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Aseguradoras, Sociedades Agencia de Seguros y Corredoras</TermName>
          <TermId xmlns="http://schemas.microsoft.com/office/infopath/2007/PartnerControls">35c820cc-2e74-4907-8439-32dfa8037acb</TermId>
        </TermInfo>
      </Terms>
    </oe70cbf463ba4d19a6203d9e6cd457e4>
    <l7effaed12754cb5ac10c41f8d7b4c94 xmlns="b875e23b-67d9-4b2e-bdec-edacbf90b326">
      <Terms xmlns="http://schemas.microsoft.com/office/infopath/2007/PartnerControls"/>
    </l7effaed12754cb5ac10c41f8d7b4c94>
    <AcuseRecibo xmlns="b875e23b-67d9-4b2e-bdec-edacbf90b326">Sí</AcuseRecibo>
    <Firmado xmlns="b875e23b-67d9-4b2e-bdec-edacbf90b326">true</Firmado>
    <FirmadoPor xmlns="b875e23b-67d9-4b2e-bdec-edacbf90b326">
      <UserInfo>
        <DisplayName>i:0#.w|sugese\soleypt</DisplayName>
        <AccountId>443</AccountId>
        <AccountType/>
      </UserInfo>
    </FirmadoPor>
    <e78d451c341b4341be14d5956588aac4 xmlns="b875e23b-67d9-4b2e-bdec-edacbf90b326">
      <Terms xmlns="http://schemas.microsoft.com/office/infopath/2007/PartnerControls"/>
    </e78d451c341b4341be14d5956588aac4>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SUGESE - Acuerdos</TermName>
          <TermId xmlns="http://schemas.microsoft.com/office/infopath/2007/PartnerControls">a4c1ee5f-324a-443d-88a9-d7759c9d5e33</TermId>
        </TermInfo>
      </Terms>
    </e698785e6df848ea9657bea28744f893>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FechaEnvio xmlns="b875e23b-67d9-4b2e-bdec-edacbf90b326">2021-02-24T17:27:25+00:00</FechaEnvio>
    <FechaDocumento xmlns="b875e23b-67d9-4b2e-bdec-edacbf90b326">2021-02-24T06:00:00+00:00</FechaDocumento>
    <Responsable xmlns="b875e23b-67d9-4b2e-bdec-edacbf90b326">
      <UserInfo>
        <DisplayName>GONZALEZ HAUG CELIA MARIA</DisplayName>
        <AccountId>444</AccountId>
        <AccountType/>
      </UserInfo>
    </Responsable>
    <EstadoCorrespondencia xmlns="b875e23b-67d9-4b2e-bdec-edacbf90b326">Enviado con acuse de recibo</EstadoCorrespondencia>
    <Subject1 xmlns="b875e23b-67d9-4b2e-bdec-edacbf90b326">Aseguradoras e Intermediarios - Modificación de Acuerdos SGS-A-014-2011, SGS-DES-A-021-2013 y SGS-A-057-2017 para la remisión de información mediante Requerimientos del Servicio de Ejecución de Estudios (EES)</Subject1>
    <InformativoResolutivo xmlns="b875e23b-67d9-4b2e-bdec-edacbf90b326">Informativo</InformativoResolutivo>
    <Año xmlns="b875e23b-67d9-4b2e-bdec-edacbf90b326">2021</Año>
    <OtraEntidadExterna xmlns="b875e23b-67d9-4b2e-bdec-edacbf90b326" xsi:nil="true"/>
    <PlazoArchivo xmlns="b875e23b-67d9-4b2e-bdec-edacbf90b326">84</PlazoArchivo>
    <InformarA xmlns="b875e23b-67d9-4b2e-bdec-edacbf90b326">
      <UserInfo>
        <DisplayName/>
        <AccountId xsi:nil="true"/>
        <AccountType/>
      </UserInfo>
    </InformarA>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_dlc_ExpireDateSaved xmlns="http://schemas.microsoft.com/sharepoint/v3" xsi:nil="true"/>
    <_dlc_Exempt xmlns="http://schemas.microsoft.com/sharepoint/v3" xsi:nil="true"/>
    <TaxCatchAll xmlns="b875e23b-67d9-4b2e-bdec-edacbf90b326">
      <Value>130</Value>
      <Value>128</Value>
      <Value>161</Value>
      <Value>446</Value>
      <Value>257</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h924ef3e1de042ccb3dddc0bf72d8fc0 xmlns="233f2551-3930-43c2-a744-679e70430545">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h924ef3e1de042ccb3dddc0bf72d8fc0>
    <lb0b7da792b243d9bfa96ad7487ad734 xmlns="b875e23b-67d9-4b2e-bdec-edacbf90b326" xsi:nil="true"/>
    <_dlc_ExpireDate xmlns="http://schemas.microsoft.com/sharepoint/v3">2021-03-10T17:27:25+00:00</_dlc_ExpireDate>
  </documentManagement>
</p:propertie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D3815969-63F4-4888-B997-F3F725999CD8}"/>
</file>

<file path=customXml/itemProps2.xml><?xml version="1.0" encoding="utf-8"?>
<ds:datastoreItem xmlns:ds="http://schemas.openxmlformats.org/officeDocument/2006/customXml" ds:itemID="{E978F7B0-99C1-4AD6-B342-463D551A1B96}"/>
</file>

<file path=customXml/itemProps3.xml><?xml version="1.0" encoding="utf-8"?>
<ds:datastoreItem xmlns:ds="http://schemas.openxmlformats.org/officeDocument/2006/customXml" ds:itemID="{A464F4DF-72CE-4A40-9D1C-3D5035855E0E}"/>
</file>

<file path=customXml/itemProps4.xml><?xml version="1.0" encoding="utf-8"?>
<ds:datastoreItem xmlns:ds="http://schemas.openxmlformats.org/officeDocument/2006/customXml" ds:itemID="{3503DE95-5581-4BD5-B7FC-1EF6E009C2A3}">
  <ds:schemaRefs>
    <ds:schemaRef ds:uri="http://schemas.microsoft.com/sharepoint/events"/>
  </ds:schemaRefs>
</ds:datastoreItem>
</file>

<file path=customXml/itemProps5.xml><?xml version="1.0" encoding="utf-8"?>
<ds:datastoreItem xmlns:ds="http://schemas.openxmlformats.org/officeDocument/2006/customXml" ds:itemID="{A464F4DF-72CE-4A40-9D1C-3D5035855E0E}">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233f2551-3930-43c2-a744-679e70430545"/>
    <ds:schemaRef ds:uri="b875e23b-67d9-4b2e-bdec-edacbf90b326"/>
    <ds:schemaRef ds:uri="http://schemas.microsoft.com/sharepoint/v3"/>
    <ds:schemaRef ds:uri="http://purl.org/dc/elements/1.1/"/>
  </ds:schemaRefs>
</ds:datastoreItem>
</file>

<file path=customXml/itemProps6.xml><?xml version="1.0" encoding="utf-8"?>
<ds:datastoreItem xmlns:ds="http://schemas.openxmlformats.org/officeDocument/2006/customXml" ds:itemID="{13D722A3-4C67-46AF-8C9A-7D0E13644C7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Plantilla-SGS-A-13.dotm</Template>
  <TotalTime>0</TotalTime>
  <Pages>13</Pages>
  <Words>4475</Words>
  <Characters>24615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SGS-A-0076-2021</dc:title>
  <dc:creator/>
  <cp:lastModifiedBy/>
  <cp:revision>1</cp:revision>
  <dcterms:created xsi:type="dcterms:W3CDTF">2021-02-24T15:29:00Z</dcterms:created>
  <dcterms:modified xsi:type="dcterms:W3CDTF">2021-02-24T17:00:00Z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
  </property>
  <property fmtid="{D5CDD505-2E9C-101B-9397-08002B2CF9AE}" pid="5" name="ContentTypeId">
    <vt:lpwstr>0x0101002C5259700016054FB9EF02CC18F40A60</vt:lpwstr>
  </property>
  <property fmtid="{D5CDD505-2E9C-101B-9397-08002B2CF9AE}" pid="6" name="Dirigido a (entidad externa)">
    <vt:lpwstr>446;#Aseguradoras, Sociedades Agencia de Seguros y Corredoras|35c820cc-2e74-4907-8439-32dfa8037acb</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161;#Alta|7fca731c-4c62-4f1c-9061-e9f164c964b2</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lb0b7da792b243d9bfa96ad7487ad734">
    <vt:lpwstr/>
  </property>
  <property fmtid="{D5CDD505-2E9C-101B-9397-08002B2CF9AE}" pid="13" name="ConfidencialidadNueva">
    <vt:lpwstr>130;#Confidencial|d19c5cf3-f0e9-4d18-86d2-7bee4000e1ea</vt:lpwstr>
  </property>
  <property fmtid="{D5CDD505-2E9C-101B-9397-08002B2CF9AE}" pid="14" name="Confidencialidad">
    <vt:lpwstr>130;#Confidencial|d19c5cf3-f0e9-4d18-86d2-7bee4000e1ea</vt:lpwstr>
  </property>
  <property fmtid="{D5CDD505-2E9C-101B-9397-08002B2CF9AE}" pid="15" name="WorkflowChangePath">
    <vt:lpwstr>f6450479-5807-46c0-9a19-480fcd7573ae,5;f53beb82-3a64-483b-83ba-ca097d8a31d5,9;f0cb250b-c1ef-4893-9022-2aaf0b532c25,10;</vt:lpwstr>
  </property>
  <property fmtid="{D5CDD505-2E9C-101B-9397-08002B2CF9AE}" pid="16" name="_MarkAsFinal">
    <vt:bool>true</vt:bool>
  </property>
  <property fmtid="{D5CDD505-2E9C-101B-9397-08002B2CF9AE}" pid="17" name="ecm_ItemDeleteBlockHolders">
    <vt:lpwstr>ecm_InPlaceRecordLock</vt:lpwstr>
  </property>
  <property fmtid="{D5CDD505-2E9C-101B-9397-08002B2CF9AE}" pid="18" name="_vti_ItemDeclaredRecord">
    <vt:filetime>2021-02-24T17:27:29Z</vt:filetime>
  </property>
  <property fmtid="{D5CDD505-2E9C-101B-9397-08002B2CF9AE}" pid="19" name="_vti_ItemHoldRecordStatus">
    <vt:i4>273</vt:i4>
  </property>
  <property fmtid="{D5CDD505-2E9C-101B-9397-08002B2CF9AE}" pid="20" name="IconOverlay">
    <vt:lpwstr>|docx|lockoverlay.png</vt:lpwstr>
  </property>
  <property fmtid="{D5CDD505-2E9C-101B-9397-08002B2CF9AE}" pid="21" name="ecm_RecordRestrictions">
    <vt:lpwstr>BlockDelete, BlockEdit</vt:lpwstr>
  </property>
  <property fmtid="{D5CDD505-2E9C-101B-9397-08002B2CF9AE}" pid="22" name="ecm_ItemLockHolders">
    <vt:lpwstr>ecm_InPlaceRecordLock</vt:lpwstr>
  </property>
</Properties>
</file>