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384E9" w14:textId="77777777" w:rsidR="006A3734" w:rsidRPr="006A3734" w:rsidRDefault="006A3734" w:rsidP="006A3734">
      <w:pPr>
        <w:ind w:hanging="567"/>
        <w:jc w:val="both"/>
        <w:rPr>
          <w:rFonts w:ascii="Cambria" w:hAnsi="Cambria"/>
          <w:i/>
          <w:color w:val="000000"/>
        </w:rPr>
      </w:pPr>
      <w:bookmarkStart w:id="0" w:name="_GoBack"/>
      <w:bookmarkEnd w:id="0"/>
      <w:r w:rsidRPr="006A3734">
        <w:rPr>
          <w:rFonts w:ascii="Cambria" w:hAnsi="Cambria"/>
          <w:i/>
          <w:color w:val="000000"/>
        </w:rPr>
        <w:t>Tomas Soley Pérez</w:t>
      </w:r>
    </w:p>
    <w:p w14:paraId="724E84C8" w14:textId="77777777" w:rsidR="006A3734" w:rsidRPr="006A3734" w:rsidRDefault="006A3734" w:rsidP="006A3734">
      <w:pPr>
        <w:ind w:hanging="567"/>
        <w:jc w:val="both"/>
        <w:rPr>
          <w:rFonts w:ascii="Cambria" w:hAnsi="Cambria"/>
          <w:i/>
          <w:color w:val="000000"/>
        </w:rPr>
      </w:pPr>
      <w:r w:rsidRPr="006A3734">
        <w:rPr>
          <w:rFonts w:ascii="Cambria" w:hAnsi="Cambria"/>
          <w:i/>
          <w:color w:val="000000"/>
        </w:rPr>
        <w:t>Superintendente de Seguros</w:t>
      </w:r>
    </w:p>
    <w:p w14:paraId="4948D7F4" w14:textId="77777777" w:rsidR="00B330AC" w:rsidRDefault="00B330AC" w:rsidP="009618C8">
      <w:pPr>
        <w:jc w:val="both"/>
        <w:rPr>
          <w:rFonts w:ascii="Cambria" w:hAnsi="Cambria"/>
          <w:color w:val="000000"/>
        </w:rPr>
      </w:pPr>
    </w:p>
    <w:p w14:paraId="0A9189AE" w14:textId="77777777" w:rsidR="009618C8" w:rsidRDefault="009618C8" w:rsidP="009618C8">
      <w:pPr>
        <w:jc w:val="both"/>
        <w:rPr>
          <w:rFonts w:ascii="Cambria" w:hAnsi="Cambria"/>
          <w:color w:val="000000"/>
        </w:rPr>
      </w:pPr>
    </w:p>
    <w:p w14:paraId="0C5B8A1E" w14:textId="77777777" w:rsidR="009618C8" w:rsidRDefault="009618C8" w:rsidP="009618C8">
      <w:pPr>
        <w:jc w:val="both"/>
        <w:rPr>
          <w:rFonts w:asciiTheme="majorHAnsi" w:hAnsiTheme="majorHAnsi"/>
          <w:b/>
          <w:bCs/>
        </w:rPr>
      </w:pPr>
    </w:p>
    <w:p w14:paraId="2A423EC8" w14:textId="77777777" w:rsidR="00516BB1" w:rsidRDefault="00516BB1" w:rsidP="00516BB1">
      <w:pPr>
        <w:jc w:val="center"/>
        <w:rPr>
          <w:rFonts w:asciiTheme="majorHAnsi" w:hAnsiTheme="majorHAnsi"/>
          <w:b/>
          <w:bCs/>
          <w:sz w:val="28"/>
          <w:szCs w:val="28"/>
        </w:rPr>
      </w:pPr>
      <w:bookmarkStart w:id="1" w:name="_Hlk56433667"/>
      <w:bookmarkStart w:id="2" w:name="OLE_LINK1"/>
      <w:r>
        <w:rPr>
          <w:rFonts w:asciiTheme="majorHAnsi" w:hAnsiTheme="majorHAnsi"/>
          <w:b/>
          <w:bCs/>
          <w:sz w:val="28"/>
          <w:szCs w:val="28"/>
        </w:rPr>
        <w:t>ACUERDO DE SUPERINTENDENTE</w:t>
      </w:r>
    </w:p>
    <w:p w14:paraId="4A6F46F6" w14:textId="67AC4EC3" w:rsidR="00516BB1" w:rsidRDefault="00516BB1" w:rsidP="00516BB1">
      <w:pPr>
        <w:jc w:val="center"/>
        <w:rPr>
          <w:rFonts w:asciiTheme="majorHAnsi" w:hAnsiTheme="majorHAnsi"/>
          <w:b/>
          <w:bCs/>
          <w:sz w:val="28"/>
          <w:szCs w:val="28"/>
        </w:rPr>
      </w:pPr>
      <w:r w:rsidRPr="001F044E">
        <w:rPr>
          <w:rFonts w:asciiTheme="majorHAnsi" w:hAnsiTheme="majorHAnsi"/>
          <w:b/>
          <w:bCs/>
          <w:sz w:val="28"/>
          <w:szCs w:val="28"/>
        </w:rPr>
        <w:t>SGS-A-00</w:t>
      </w:r>
      <w:r w:rsidR="001F044E" w:rsidRPr="001F044E">
        <w:rPr>
          <w:rFonts w:asciiTheme="majorHAnsi" w:hAnsiTheme="majorHAnsi"/>
          <w:b/>
          <w:bCs/>
          <w:sz w:val="28"/>
          <w:szCs w:val="28"/>
        </w:rPr>
        <w:t>75</w:t>
      </w:r>
      <w:r w:rsidRPr="001F044E">
        <w:rPr>
          <w:rFonts w:asciiTheme="majorHAnsi" w:hAnsiTheme="majorHAnsi"/>
          <w:b/>
          <w:bCs/>
          <w:sz w:val="28"/>
          <w:szCs w:val="28"/>
        </w:rPr>
        <w:t>-2020</w:t>
      </w:r>
    </w:p>
    <w:p w14:paraId="2A023013" w14:textId="77777777" w:rsidR="00516BB1" w:rsidRDefault="00516BB1" w:rsidP="00516BB1">
      <w:pPr>
        <w:jc w:val="both"/>
        <w:rPr>
          <w:rFonts w:ascii="Cambria" w:hAnsi="Cambria"/>
        </w:rPr>
      </w:pPr>
    </w:p>
    <w:p w14:paraId="30FB012D" w14:textId="77777777" w:rsidR="00516BB1" w:rsidRPr="00253EDF" w:rsidRDefault="00516BB1" w:rsidP="00516BB1">
      <w:pPr>
        <w:jc w:val="both"/>
        <w:rPr>
          <w:rFonts w:asciiTheme="majorHAnsi" w:hAnsiTheme="majorHAnsi"/>
          <w:color w:val="000000"/>
        </w:rPr>
      </w:pPr>
    </w:p>
    <w:p w14:paraId="0DFA1BA7" w14:textId="77777777" w:rsidR="00516BB1" w:rsidRDefault="00516BB1" w:rsidP="00516BB1">
      <w:pPr>
        <w:jc w:val="center"/>
        <w:rPr>
          <w:rFonts w:asciiTheme="majorHAnsi" w:hAnsiTheme="majorHAnsi"/>
          <w:b/>
          <w:iCs/>
          <w:lang w:val="es-CR"/>
        </w:rPr>
      </w:pPr>
      <w:r w:rsidRPr="00083972">
        <w:rPr>
          <w:rFonts w:asciiTheme="majorHAnsi" w:hAnsiTheme="majorHAnsi"/>
          <w:b/>
          <w:bCs/>
          <w:lang w:val="es-CR"/>
        </w:rPr>
        <w:t>Modificación del Acuerdo de Superintendente</w:t>
      </w:r>
      <w:r w:rsidRPr="00083972">
        <w:rPr>
          <w:rFonts w:asciiTheme="majorHAnsi" w:hAnsiTheme="majorHAnsi"/>
          <w:b/>
          <w:lang w:val="es-CR"/>
        </w:rPr>
        <w:t xml:space="preserve"> SGS-DES-A-021-2013</w:t>
      </w:r>
      <w:r w:rsidRPr="00083972">
        <w:rPr>
          <w:rFonts w:asciiTheme="majorHAnsi" w:hAnsiTheme="majorHAnsi"/>
          <w:b/>
          <w:i/>
          <w:lang w:val="es-CR"/>
        </w:rPr>
        <w:t xml:space="preserve"> </w:t>
      </w:r>
      <w:r w:rsidRPr="00083972">
        <w:rPr>
          <w:rFonts w:asciiTheme="majorHAnsi" w:hAnsiTheme="majorHAnsi"/>
          <w:b/>
          <w:iCs/>
          <w:lang w:val="es-CR"/>
        </w:rPr>
        <w:t>con el propósito de remitir mediante el SSS los modelos de Aportes al INEC, Primas y Siniestros y los relacionados con el Seguro de Riesgos del Trabajo y</w:t>
      </w:r>
    </w:p>
    <w:p w14:paraId="2868DEA3" w14:textId="60007E4C" w:rsidR="00516BB1" w:rsidRPr="00083972" w:rsidRDefault="00516BB1" w:rsidP="00516BB1">
      <w:pPr>
        <w:jc w:val="center"/>
        <w:rPr>
          <w:rFonts w:asciiTheme="majorHAnsi" w:hAnsiTheme="majorHAnsi"/>
          <w:b/>
          <w:iCs/>
          <w:lang w:val="es-CR"/>
        </w:rPr>
      </w:pPr>
      <w:r w:rsidRPr="00083972">
        <w:rPr>
          <w:rFonts w:asciiTheme="majorHAnsi" w:hAnsiTheme="majorHAnsi"/>
          <w:b/>
          <w:iCs/>
          <w:lang w:val="es-CR"/>
        </w:rPr>
        <w:t>modificación del Modelo de Canales</w:t>
      </w:r>
    </w:p>
    <w:p w14:paraId="5A31CB09" w14:textId="77777777" w:rsidR="00516BB1" w:rsidRPr="004B1441" w:rsidRDefault="00516BB1" w:rsidP="00516BB1">
      <w:pPr>
        <w:rPr>
          <w:rFonts w:asciiTheme="majorHAnsi" w:hAnsiTheme="majorHAnsi"/>
          <w:b/>
          <w:lang w:val="es-CR"/>
        </w:rPr>
      </w:pPr>
    </w:p>
    <w:p w14:paraId="4346FE79" w14:textId="77777777" w:rsidR="00516BB1" w:rsidRPr="00253EDF" w:rsidRDefault="00516BB1" w:rsidP="00516BB1">
      <w:pPr>
        <w:jc w:val="both"/>
        <w:rPr>
          <w:rFonts w:asciiTheme="majorHAnsi" w:hAnsiTheme="majorHAnsi"/>
          <w:color w:val="000000"/>
        </w:rPr>
      </w:pPr>
    </w:p>
    <w:p w14:paraId="159D3882" w14:textId="0D1D959B" w:rsidR="00516BB1" w:rsidRDefault="00516BB1" w:rsidP="00516BB1">
      <w:pPr>
        <w:jc w:val="both"/>
        <w:rPr>
          <w:rFonts w:ascii="Cambria" w:hAnsi="Cambria" w:cs="Arial"/>
          <w:lang w:val="es-CR"/>
        </w:rPr>
      </w:pPr>
      <w:r>
        <w:rPr>
          <w:rFonts w:ascii="Cambria" w:hAnsi="Cambria" w:cs="Arial"/>
          <w:lang w:val="es-CR"/>
        </w:rPr>
        <w:t>El Superintendente General de Seguros, a las once horas del veintitrés de diciembre de dos mil veinte.</w:t>
      </w:r>
    </w:p>
    <w:p w14:paraId="4B8D90D1" w14:textId="77777777" w:rsidR="00516BB1" w:rsidRDefault="00516BB1" w:rsidP="00516BB1">
      <w:pPr>
        <w:jc w:val="both"/>
        <w:rPr>
          <w:rFonts w:ascii="Cambria" w:hAnsi="Cambria" w:cs="Arial"/>
          <w:b/>
          <w:lang w:val="es-CR"/>
        </w:rPr>
      </w:pPr>
    </w:p>
    <w:p w14:paraId="10F9879B" w14:textId="77777777" w:rsidR="00516BB1" w:rsidRDefault="00516BB1" w:rsidP="00516BB1">
      <w:pPr>
        <w:jc w:val="both"/>
        <w:rPr>
          <w:rFonts w:ascii="Cambria" w:hAnsi="Cambria" w:cs="Arial"/>
          <w:b/>
          <w:lang w:val="es-CR"/>
        </w:rPr>
      </w:pPr>
    </w:p>
    <w:p w14:paraId="4FD40B71" w14:textId="77777777" w:rsidR="00516BB1" w:rsidRDefault="00516BB1" w:rsidP="00516BB1">
      <w:pPr>
        <w:jc w:val="center"/>
        <w:rPr>
          <w:rFonts w:ascii="Cambria" w:hAnsi="Cambria" w:cs="Arial"/>
          <w:b/>
          <w:sz w:val="28"/>
          <w:szCs w:val="28"/>
          <w:lang w:val="es-CR"/>
        </w:rPr>
      </w:pPr>
      <w:r>
        <w:rPr>
          <w:rFonts w:ascii="Cambria" w:hAnsi="Cambria" w:cs="Arial"/>
          <w:b/>
          <w:sz w:val="28"/>
          <w:szCs w:val="28"/>
          <w:lang w:val="es-CR"/>
        </w:rPr>
        <w:t>Considerando que:</w:t>
      </w:r>
    </w:p>
    <w:p w14:paraId="14C7C87E" w14:textId="77777777" w:rsidR="00516BB1" w:rsidRDefault="00516BB1" w:rsidP="00516BB1">
      <w:pPr>
        <w:jc w:val="both"/>
        <w:rPr>
          <w:rFonts w:asciiTheme="majorHAnsi" w:hAnsiTheme="majorHAnsi"/>
          <w:color w:val="000000"/>
        </w:rPr>
      </w:pPr>
    </w:p>
    <w:p w14:paraId="4F634677" w14:textId="77777777" w:rsidR="00516BB1" w:rsidRDefault="00516BB1" w:rsidP="00516BB1">
      <w:pPr>
        <w:jc w:val="both"/>
        <w:rPr>
          <w:rFonts w:asciiTheme="majorHAnsi" w:hAnsiTheme="majorHAnsi"/>
          <w:color w:val="000000"/>
        </w:rPr>
      </w:pPr>
    </w:p>
    <w:p w14:paraId="2E932204" w14:textId="77777777" w:rsidR="00516BB1" w:rsidRPr="00083972" w:rsidRDefault="00516BB1" w:rsidP="00516BB1">
      <w:pPr>
        <w:pStyle w:val="Prrafodelista"/>
        <w:numPr>
          <w:ilvl w:val="0"/>
          <w:numId w:val="1"/>
        </w:numPr>
        <w:ind w:left="567" w:hanging="567"/>
        <w:jc w:val="both"/>
        <w:rPr>
          <w:rFonts w:asciiTheme="majorHAnsi" w:hAnsiTheme="majorHAnsi" w:cs="Arial"/>
          <w:lang w:val="es-CR" w:eastAsia="en-US"/>
        </w:rPr>
      </w:pPr>
      <w:r w:rsidRPr="00083972">
        <w:rPr>
          <w:rFonts w:asciiTheme="majorHAnsi" w:hAnsiTheme="majorHAnsi" w:cs="Arial"/>
          <w:lang w:val="es-CR"/>
        </w:rPr>
        <w:t xml:space="preserve">La Superintendencia General de Seguros (en adelante SUGESE) debe disponer de información, en los plazos, formatos y medios que le permita realizar una evaluación exhaustiva y rigurosa de cada uno de los participantes del mercado de seguros, con el fin de cumplir con el objetivo definido en el artículo 29 de la </w:t>
      </w:r>
      <w:r w:rsidRPr="00083972">
        <w:rPr>
          <w:rFonts w:asciiTheme="majorHAnsi" w:hAnsiTheme="majorHAnsi" w:cs="Arial"/>
          <w:i/>
          <w:lang w:val="es-CR"/>
        </w:rPr>
        <w:t>Ley Reguladora del Mercado de Seguros</w:t>
      </w:r>
      <w:r w:rsidRPr="00083972">
        <w:rPr>
          <w:rFonts w:asciiTheme="majorHAnsi" w:hAnsiTheme="majorHAnsi" w:cs="Arial"/>
          <w:lang w:val="es-CR"/>
        </w:rPr>
        <w:t xml:space="preserve">, Ley N° 8653, de </w:t>
      </w:r>
      <w:r w:rsidRPr="00083972">
        <w:rPr>
          <w:rFonts w:asciiTheme="majorHAnsi" w:hAnsiTheme="majorHAnsi" w:cs="Arial"/>
          <w:i/>
          <w:lang w:val="es-CR"/>
        </w:rPr>
        <w:t xml:space="preserve">“velar por la estabilidad y el eficiente funcionamiento del mercado de seguros, así como entregar la más amplia información a los asegurados”.  </w:t>
      </w:r>
    </w:p>
    <w:p w14:paraId="5D8CC4AD" w14:textId="77777777" w:rsidR="00516BB1" w:rsidRPr="00083972" w:rsidRDefault="00516BB1" w:rsidP="00516BB1">
      <w:pPr>
        <w:ind w:left="567" w:hanging="567"/>
        <w:jc w:val="both"/>
        <w:rPr>
          <w:rFonts w:asciiTheme="majorHAnsi" w:hAnsiTheme="majorHAnsi" w:cs="Arial"/>
          <w:lang w:val="es-CR" w:eastAsia="en-US"/>
        </w:rPr>
      </w:pPr>
    </w:p>
    <w:p w14:paraId="7C61F6C9" w14:textId="77777777" w:rsidR="00516BB1" w:rsidRPr="00083972" w:rsidRDefault="00516BB1" w:rsidP="00516BB1">
      <w:pPr>
        <w:pStyle w:val="Prrafodelista"/>
        <w:numPr>
          <w:ilvl w:val="0"/>
          <w:numId w:val="1"/>
        </w:numPr>
        <w:ind w:left="567" w:hanging="567"/>
        <w:jc w:val="both"/>
        <w:rPr>
          <w:rFonts w:asciiTheme="majorHAnsi" w:hAnsiTheme="majorHAnsi" w:cs="Arial"/>
          <w:lang w:val="es-CR" w:eastAsia="en-US"/>
        </w:rPr>
      </w:pPr>
      <w:r w:rsidRPr="00083972">
        <w:rPr>
          <w:rFonts w:asciiTheme="majorHAnsi" w:hAnsiTheme="majorHAnsi" w:cs="Arial"/>
          <w:lang w:val="es-CR"/>
        </w:rPr>
        <w:t>De conformidad con el artículo 25, inciso c) de la Ley N° 8653, las entidades aseguradoras y reaseguradoras están obligadas a proporcionar a la Superintendencia la información correcta y completa, dentro de los plazos y las formalidades requeridos.</w:t>
      </w:r>
    </w:p>
    <w:p w14:paraId="55458A55" w14:textId="77777777" w:rsidR="00516BB1" w:rsidRPr="00083972" w:rsidRDefault="00516BB1" w:rsidP="00516BB1">
      <w:pPr>
        <w:ind w:left="567" w:hanging="567"/>
        <w:jc w:val="both"/>
        <w:rPr>
          <w:rFonts w:asciiTheme="majorHAnsi" w:hAnsiTheme="majorHAnsi" w:cs="Arial"/>
          <w:lang w:val="es-CR"/>
        </w:rPr>
      </w:pPr>
    </w:p>
    <w:p w14:paraId="67D8CEE5" w14:textId="77777777" w:rsidR="00516BB1" w:rsidRPr="00083972" w:rsidRDefault="00516BB1" w:rsidP="00516BB1">
      <w:pPr>
        <w:pStyle w:val="Prrafodelista"/>
        <w:numPr>
          <w:ilvl w:val="0"/>
          <w:numId w:val="1"/>
        </w:numPr>
        <w:ind w:left="567" w:hanging="567"/>
        <w:jc w:val="both"/>
        <w:rPr>
          <w:rFonts w:asciiTheme="majorHAnsi" w:hAnsiTheme="majorHAnsi" w:cs="Arial"/>
          <w:lang w:val="es-CR"/>
        </w:rPr>
      </w:pPr>
      <w:r w:rsidRPr="00083972">
        <w:rPr>
          <w:rFonts w:asciiTheme="majorHAnsi" w:hAnsiTheme="majorHAnsi" w:cs="Arial"/>
          <w:lang w:val="es-CR"/>
        </w:rPr>
        <w:t xml:space="preserve">La remisión de información de manera periódica constituye una herramienta fundamental para las labores de supervisión y control desarrolladas por la Superintendencia y el objetivo de entregar la más amplia información al asegurado, en cumplimiento de lo requerido por el ordenamiento jurídico.  </w:t>
      </w:r>
    </w:p>
    <w:p w14:paraId="0386163D" w14:textId="43010425" w:rsidR="00516BB1" w:rsidRDefault="00516BB1">
      <w:pPr>
        <w:spacing w:after="200" w:line="276" w:lineRule="auto"/>
        <w:rPr>
          <w:rFonts w:asciiTheme="majorHAnsi" w:hAnsiTheme="majorHAnsi" w:cs="Arial"/>
          <w:lang w:val="es-CR"/>
        </w:rPr>
      </w:pPr>
      <w:r>
        <w:rPr>
          <w:rFonts w:asciiTheme="majorHAnsi" w:hAnsiTheme="majorHAnsi" w:cs="Arial"/>
          <w:lang w:val="es-CR"/>
        </w:rPr>
        <w:br w:type="page"/>
      </w:r>
    </w:p>
    <w:p w14:paraId="1908D90F" w14:textId="77777777" w:rsidR="00516BB1" w:rsidRPr="00083972" w:rsidRDefault="00516BB1" w:rsidP="00516BB1">
      <w:pPr>
        <w:pStyle w:val="Prrafodelista"/>
        <w:ind w:left="567" w:hanging="567"/>
        <w:rPr>
          <w:rFonts w:asciiTheme="majorHAnsi" w:hAnsiTheme="majorHAnsi" w:cs="Arial"/>
          <w:lang w:val="es-CR"/>
        </w:rPr>
      </w:pPr>
    </w:p>
    <w:p w14:paraId="4A0FDCFB" w14:textId="77777777" w:rsidR="00516BB1" w:rsidRPr="00083972" w:rsidRDefault="00516BB1" w:rsidP="00516BB1">
      <w:pPr>
        <w:pStyle w:val="Prrafodelista"/>
        <w:numPr>
          <w:ilvl w:val="0"/>
          <w:numId w:val="1"/>
        </w:numPr>
        <w:ind w:left="567" w:hanging="567"/>
        <w:jc w:val="both"/>
        <w:rPr>
          <w:rFonts w:asciiTheme="majorHAnsi" w:hAnsiTheme="majorHAnsi" w:cs="Arial"/>
          <w:lang w:val="es-CR"/>
        </w:rPr>
      </w:pPr>
      <w:r w:rsidRPr="00083972">
        <w:rPr>
          <w:rFonts w:asciiTheme="majorHAnsi" w:hAnsiTheme="majorHAnsi" w:cs="Arial"/>
          <w:lang w:val="es-CR"/>
        </w:rPr>
        <w:t>De acuerdo con el principio 9 de IAIS, relacionado con la Revisión del supervisor, para una supervisión efectiva, la entidad supervisora debe obtener la información necesaria para llevar a cabo sus labores de supervisar y analizar a las aseguradoras y evaluar el mercado de seguros.  Para cumplir con lo señalado en ese mismo principio se indican</w:t>
      </w:r>
      <w:r>
        <w:rPr>
          <w:rFonts w:asciiTheme="majorHAnsi" w:hAnsiTheme="majorHAnsi" w:cs="Arial"/>
          <w:lang w:val="es-CR"/>
        </w:rPr>
        <w:t>,</w:t>
      </w:r>
      <w:r w:rsidRPr="00083972">
        <w:rPr>
          <w:rFonts w:asciiTheme="majorHAnsi" w:hAnsiTheme="majorHAnsi" w:cs="Arial"/>
          <w:lang w:val="es-CR"/>
        </w:rPr>
        <w:t xml:space="preserve"> como prácticas adecuadas</w:t>
      </w:r>
      <w:r>
        <w:rPr>
          <w:rFonts w:asciiTheme="majorHAnsi" w:hAnsiTheme="majorHAnsi" w:cs="Arial"/>
          <w:lang w:val="es-CR"/>
        </w:rPr>
        <w:t>,</w:t>
      </w:r>
      <w:r w:rsidRPr="00083972">
        <w:rPr>
          <w:rFonts w:asciiTheme="majorHAnsi" w:hAnsiTheme="majorHAnsi" w:cs="Arial"/>
          <w:lang w:val="es-CR"/>
        </w:rPr>
        <w:t xml:space="preserve"> las siguientes:  establecer requisitos para la presentación de información financiera y estadística, informes actuariales, informes de solvencia y otro tipo de información, en forma regular, sistemática e integral para la totalidad de las entidades participantes; definir el alcance, contenido y frecuencia de los referidos informes e información; solicitar información adicional de manera más frecuente y detallada según ello sea oportuno y establecer procedimientos y pautas escritas para la realización de informes entregados al supervisor.</w:t>
      </w:r>
    </w:p>
    <w:p w14:paraId="5D9D5336" w14:textId="77777777" w:rsidR="00516BB1" w:rsidRPr="00083972" w:rsidRDefault="00516BB1" w:rsidP="00516BB1">
      <w:pPr>
        <w:pStyle w:val="Prrafodelista"/>
        <w:ind w:left="567" w:hanging="567"/>
        <w:jc w:val="both"/>
        <w:rPr>
          <w:rFonts w:asciiTheme="majorHAnsi" w:hAnsiTheme="majorHAnsi" w:cs="Arial"/>
          <w:lang w:val="es-CR"/>
        </w:rPr>
      </w:pPr>
    </w:p>
    <w:p w14:paraId="778E2A23" w14:textId="77777777" w:rsidR="00516BB1" w:rsidRPr="00083972" w:rsidRDefault="00516BB1" w:rsidP="00516BB1">
      <w:pPr>
        <w:pStyle w:val="Prrafodelista"/>
        <w:numPr>
          <w:ilvl w:val="0"/>
          <w:numId w:val="1"/>
        </w:numPr>
        <w:ind w:left="567" w:hanging="567"/>
        <w:jc w:val="both"/>
        <w:rPr>
          <w:rFonts w:asciiTheme="majorHAnsi" w:hAnsiTheme="majorHAnsi" w:cs="Arial"/>
          <w:lang w:val="es-CR"/>
        </w:rPr>
      </w:pPr>
      <w:r w:rsidRPr="00083972">
        <w:rPr>
          <w:rFonts w:asciiTheme="majorHAnsi" w:hAnsiTheme="majorHAnsi" w:cs="Arial"/>
          <w:lang w:val="es-CR"/>
        </w:rPr>
        <w:t xml:space="preserve">Según el artículo 29 de la Ley N° 8653, al Superintendente de seguros le aplica el artículo 180 de la Ley Reguladora del Mercado de Valores, el cual </w:t>
      </w:r>
      <w:r>
        <w:rPr>
          <w:rFonts w:asciiTheme="majorHAnsi" w:hAnsiTheme="majorHAnsi" w:cs="Arial"/>
          <w:lang w:val="es-CR"/>
        </w:rPr>
        <w:t>faculta</w:t>
      </w:r>
      <w:r w:rsidRPr="00083972">
        <w:rPr>
          <w:rFonts w:asciiTheme="majorHAnsi" w:hAnsiTheme="majorHAnsi" w:cs="Arial"/>
          <w:lang w:val="es-CR"/>
        </w:rPr>
        <w:t xml:space="preserve"> a la SUGESE </w:t>
      </w:r>
      <w:r>
        <w:rPr>
          <w:rFonts w:asciiTheme="majorHAnsi" w:hAnsiTheme="majorHAnsi" w:cs="Arial"/>
          <w:lang w:val="es-CR"/>
        </w:rPr>
        <w:t>a</w:t>
      </w:r>
      <w:r w:rsidRPr="00083972">
        <w:rPr>
          <w:rFonts w:asciiTheme="majorHAnsi" w:hAnsiTheme="majorHAnsi" w:cs="Arial"/>
          <w:lang w:val="es-CR"/>
        </w:rPr>
        <w:t xml:space="preserve"> utilizar medios electrónicos o magnéticos de transmisión y almacenamiento de datos, para solicitar información a las entidades supervisadas y para mantener sus archivos, actas y demás documentos. La información así mantenida tiene valor probatorio equivalente al de los documentos para todos los efectos legales.</w:t>
      </w:r>
    </w:p>
    <w:p w14:paraId="23F373A8" w14:textId="77777777" w:rsidR="00516BB1" w:rsidRPr="00083972" w:rsidRDefault="00516BB1" w:rsidP="00516BB1">
      <w:pPr>
        <w:pStyle w:val="Prrafodelista"/>
        <w:ind w:left="567" w:hanging="567"/>
        <w:jc w:val="both"/>
        <w:rPr>
          <w:rFonts w:asciiTheme="majorHAnsi" w:hAnsiTheme="majorHAnsi" w:cs="Arial"/>
          <w:lang w:val="es-CR"/>
        </w:rPr>
      </w:pPr>
    </w:p>
    <w:p w14:paraId="4DA8C015" w14:textId="77777777" w:rsidR="00516BB1" w:rsidRPr="00083972" w:rsidRDefault="00516BB1" w:rsidP="00516BB1">
      <w:pPr>
        <w:pStyle w:val="Prrafodelista"/>
        <w:numPr>
          <w:ilvl w:val="0"/>
          <w:numId w:val="1"/>
        </w:numPr>
        <w:ind w:left="567" w:hanging="567"/>
        <w:jc w:val="both"/>
        <w:rPr>
          <w:rFonts w:asciiTheme="majorHAnsi" w:hAnsiTheme="majorHAnsi" w:cs="Arial"/>
          <w:lang w:val="es-CR"/>
        </w:rPr>
      </w:pPr>
      <w:r w:rsidRPr="00083972">
        <w:rPr>
          <w:rFonts w:asciiTheme="majorHAnsi" w:hAnsiTheme="majorHAnsi" w:cs="Arial"/>
          <w:lang w:val="es-CR"/>
        </w:rPr>
        <w:t xml:space="preserve">El Superintendente de Seguros, mediante acuerdo SGS-DES-A-021-2013, de diecisiete horas del 23 de mayo de 2013, emitió las </w:t>
      </w:r>
      <w:r w:rsidRPr="00083972">
        <w:rPr>
          <w:rFonts w:asciiTheme="majorHAnsi" w:hAnsiTheme="majorHAnsi" w:cs="Arial"/>
          <w:i/>
          <w:iCs/>
          <w:lang w:val="es-CR"/>
        </w:rPr>
        <w:t>Disposiciones para la Remisión de la Información Contable y Estadística a la Superintendencia General de Seguros por parte de las Entidades Supervisadas</w:t>
      </w:r>
      <w:r w:rsidRPr="00083972">
        <w:rPr>
          <w:rFonts w:asciiTheme="majorHAnsi" w:hAnsiTheme="majorHAnsi" w:cs="Arial"/>
          <w:lang w:val="es-CR"/>
        </w:rPr>
        <w:t>, cuyo alcance se refiere a la remisión de información contable y estadística y es aplicable a las entidades de seguros y a los intermediarios de seguros supervisados por la Superintendencia General de Seguros.</w:t>
      </w:r>
    </w:p>
    <w:p w14:paraId="5DDDCD7A" w14:textId="77777777" w:rsidR="00516BB1" w:rsidRPr="00516BB1" w:rsidRDefault="00516BB1" w:rsidP="00516BB1">
      <w:pPr>
        <w:jc w:val="both"/>
        <w:rPr>
          <w:rFonts w:asciiTheme="majorHAnsi" w:hAnsiTheme="majorHAnsi" w:cs="Arial"/>
          <w:lang w:val="es-CR"/>
        </w:rPr>
      </w:pPr>
    </w:p>
    <w:p w14:paraId="2120B815" w14:textId="77777777" w:rsidR="00516BB1" w:rsidRPr="00083972" w:rsidRDefault="00516BB1" w:rsidP="00516BB1">
      <w:pPr>
        <w:pStyle w:val="Prrafodelista"/>
        <w:numPr>
          <w:ilvl w:val="0"/>
          <w:numId w:val="1"/>
        </w:numPr>
        <w:ind w:left="567" w:hanging="567"/>
        <w:jc w:val="both"/>
        <w:rPr>
          <w:rFonts w:asciiTheme="majorHAnsi" w:hAnsiTheme="majorHAnsi"/>
          <w:lang w:val="es-CR"/>
        </w:rPr>
      </w:pPr>
      <w:r w:rsidRPr="00083972">
        <w:rPr>
          <w:rFonts w:asciiTheme="majorHAnsi" w:hAnsiTheme="majorHAnsi"/>
          <w:lang w:val="es-CR"/>
        </w:rPr>
        <w:t xml:space="preserve">La SUGESE tiene el Sistema de Supervisión de Seguros (en adelante SSS), cuyo objetivo principal es contar con una infraestructura tecnológica que le permita la captura automatizada, el procesamiento, la generación de alertas, reportes y estadísticas, relativos a la información financiero contable de las entidades supervisadas, para lo cual se utiliza una plataforma directa de comunicación o de servicio en web (en adelante </w:t>
      </w:r>
      <w:r w:rsidRPr="00083972">
        <w:rPr>
          <w:rFonts w:asciiTheme="majorHAnsi" w:hAnsiTheme="majorHAnsi"/>
          <w:i/>
          <w:lang w:val="es-CR"/>
        </w:rPr>
        <w:t>“web service”</w:t>
      </w:r>
      <w:r w:rsidRPr="00083972">
        <w:rPr>
          <w:rFonts w:asciiTheme="majorHAnsi" w:hAnsiTheme="majorHAnsi"/>
          <w:lang w:val="es-CR"/>
        </w:rPr>
        <w:t>).</w:t>
      </w:r>
    </w:p>
    <w:p w14:paraId="7F42D3A5" w14:textId="77777777" w:rsidR="00516BB1" w:rsidRPr="00083972" w:rsidRDefault="00516BB1" w:rsidP="00516BB1">
      <w:pPr>
        <w:pStyle w:val="Prrafodelista"/>
        <w:spacing w:line="276" w:lineRule="auto"/>
        <w:ind w:left="567" w:hanging="567"/>
        <w:jc w:val="both"/>
        <w:rPr>
          <w:rFonts w:asciiTheme="majorHAnsi" w:hAnsiTheme="majorHAnsi"/>
          <w:lang w:val="es-CR"/>
        </w:rPr>
      </w:pPr>
    </w:p>
    <w:p w14:paraId="41BE4EDD" w14:textId="77777777" w:rsidR="00516BB1" w:rsidRPr="00083972" w:rsidRDefault="00516BB1" w:rsidP="00516BB1">
      <w:pPr>
        <w:pStyle w:val="Prrafodelista"/>
        <w:numPr>
          <w:ilvl w:val="0"/>
          <w:numId w:val="1"/>
        </w:numPr>
        <w:ind w:left="567" w:hanging="567"/>
        <w:jc w:val="both"/>
        <w:rPr>
          <w:rFonts w:asciiTheme="majorHAnsi" w:hAnsiTheme="majorHAnsi" w:cs="Arial"/>
          <w:lang w:val="es-CR"/>
        </w:rPr>
      </w:pPr>
      <w:r w:rsidRPr="00083972">
        <w:rPr>
          <w:rFonts w:asciiTheme="majorHAnsi" w:hAnsiTheme="majorHAnsi" w:cs="Arial"/>
          <w:lang w:val="es-CR"/>
        </w:rPr>
        <w:t xml:space="preserve">La Superintendencia ha puesto a disposición de las entidades supervisadas los documentos denominados </w:t>
      </w:r>
      <w:r w:rsidRPr="00083972">
        <w:rPr>
          <w:rFonts w:asciiTheme="majorHAnsi" w:hAnsiTheme="majorHAnsi" w:cs="Arial"/>
          <w:i/>
          <w:iCs/>
          <w:lang w:val="es-CR"/>
        </w:rPr>
        <w:t>Estándar de Negocio</w:t>
      </w:r>
      <w:r w:rsidRPr="00083972">
        <w:rPr>
          <w:rFonts w:asciiTheme="majorHAnsi" w:hAnsiTheme="majorHAnsi" w:cs="Arial"/>
          <w:lang w:val="es-CR"/>
        </w:rPr>
        <w:t xml:space="preserve"> y </w:t>
      </w:r>
      <w:r w:rsidRPr="00083972">
        <w:rPr>
          <w:rFonts w:asciiTheme="majorHAnsi" w:hAnsiTheme="majorHAnsi" w:cs="Arial"/>
          <w:i/>
          <w:iCs/>
          <w:lang w:val="es-CR"/>
        </w:rPr>
        <w:t>Estándar Electrónico</w:t>
      </w:r>
      <w:r w:rsidRPr="00083972">
        <w:rPr>
          <w:rFonts w:asciiTheme="majorHAnsi" w:hAnsiTheme="majorHAnsi" w:cs="Arial"/>
          <w:lang w:val="es-CR"/>
        </w:rPr>
        <w:t xml:space="preserve"> con el propósito de proporcionar el detalle de cada uno de los modelos de información solicitados mediante el SSS.  Esta plataforma tecnológica permite la recepción de la información financiero contable solicitada por la Superintendencia a las entidades supervisadas, lo </w:t>
      </w:r>
      <w:r w:rsidRPr="00083972">
        <w:rPr>
          <w:rFonts w:asciiTheme="majorHAnsi" w:hAnsiTheme="majorHAnsi" w:cs="Arial"/>
          <w:lang w:val="es-CR"/>
        </w:rPr>
        <w:lastRenderedPageBreak/>
        <w:t>que le permite cumplir con las labores de supervisión, así como poner a disposición del público información relevante sobre la actividad de seguros y de las entidades aseguradoras.</w:t>
      </w:r>
    </w:p>
    <w:p w14:paraId="3CE439BF" w14:textId="77777777" w:rsidR="00516BB1" w:rsidRPr="00083972" w:rsidRDefault="00516BB1" w:rsidP="00516BB1">
      <w:pPr>
        <w:pStyle w:val="Prrafodelista"/>
        <w:ind w:left="567" w:hanging="567"/>
        <w:jc w:val="both"/>
        <w:rPr>
          <w:rFonts w:asciiTheme="majorHAnsi" w:hAnsiTheme="majorHAnsi" w:cs="Arial"/>
          <w:lang w:val="es-CR"/>
        </w:rPr>
      </w:pPr>
    </w:p>
    <w:p w14:paraId="1A88167A" w14:textId="77777777" w:rsidR="00516BB1" w:rsidRPr="00083972" w:rsidRDefault="00516BB1" w:rsidP="00516BB1">
      <w:pPr>
        <w:pStyle w:val="Prrafodelista"/>
        <w:numPr>
          <w:ilvl w:val="0"/>
          <w:numId w:val="1"/>
        </w:numPr>
        <w:ind w:left="567" w:hanging="567"/>
        <w:jc w:val="both"/>
        <w:rPr>
          <w:rFonts w:asciiTheme="majorHAnsi" w:hAnsiTheme="majorHAnsi"/>
          <w:bCs/>
          <w:lang w:val="es-CR"/>
        </w:rPr>
      </w:pPr>
      <w:r w:rsidRPr="00083972">
        <w:rPr>
          <w:rFonts w:asciiTheme="majorHAnsi" w:hAnsiTheme="majorHAnsi"/>
          <w:bCs/>
          <w:lang w:val="es-CR"/>
        </w:rPr>
        <w:t>Mediante la emisión del acuerdo de Superintendente SGS-DES-A-051-2016, se modificó el Acuerdo SGS-DES-A-021-2013</w:t>
      </w:r>
      <w:r w:rsidRPr="00083972">
        <w:rPr>
          <w:rFonts w:asciiTheme="majorHAnsi" w:hAnsiTheme="majorHAnsi"/>
          <w:b/>
          <w:lang w:val="es-CR"/>
        </w:rPr>
        <w:t xml:space="preserve">, </w:t>
      </w:r>
      <w:r w:rsidRPr="00083972">
        <w:rPr>
          <w:rFonts w:asciiTheme="majorHAnsi" w:hAnsiTheme="majorHAnsi"/>
          <w:bCs/>
          <w:lang w:val="es-CR"/>
        </w:rPr>
        <w:t xml:space="preserve">a efectos de incorporar el envío anual de las estadísticas del Seguro Obligatorio de Riesgos del Trabajo. De acuerdo con lo dispuesto en el artículo 2, de la normativa en cita, las estadísticas de siniestralidad del Seguro de Riesgos del Trabajo se remitirían en forma anual, en hoja electrónica de Excel, por medio de correo electrónico, según formato establecido en el Anexo 12 y en el plazo de 3 meses después del cierre del año.   </w:t>
      </w:r>
    </w:p>
    <w:p w14:paraId="71D301BC" w14:textId="77777777" w:rsidR="00516BB1" w:rsidRPr="00083972" w:rsidRDefault="00516BB1" w:rsidP="00516BB1">
      <w:pPr>
        <w:pStyle w:val="Prrafodelista"/>
        <w:ind w:left="567" w:hanging="567"/>
        <w:jc w:val="both"/>
        <w:rPr>
          <w:rFonts w:asciiTheme="majorHAnsi" w:hAnsiTheme="majorHAnsi" w:cs="Arial"/>
          <w:lang w:val="es-CR"/>
        </w:rPr>
      </w:pPr>
    </w:p>
    <w:p w14:paraId="46F68B13" w14:textId="77777777" w:rsidR="00516BB1" w:rsidRPr="00083972" w:rsidRDefault="00516BB1" w:rsidP="00516BB1">
      <w:pPr>
        <w:pStyle w:val="Prrafodelista"/>
        <w:numPr>
          <w:ilvl w:val="0"/>
          <w:numId w:val="1"/>
        </w:numPr>
        <w:ind w:left="567" w:hanging="567"/>
        <w:jc w:val="both"/>
        <w:rPr>
          <w:sz w:val="22"/>
          <w:szCs w:val="22"/>
          <w:lang w:val="es-CR" w:eastAsia="en-US"/>
        </w:rPr>
      </w:pPr>
      <w:r w:rsidRPr="00083972">
        <w:rPr>
          <w:rFonts w:asciiTheme="majorHAnsi" w:hAnsiTheme="majorHAnsi" w:cs="Arial"/>
          <w:lang w:val="es-CR"/>
        </w:rPr>
        <w:t xml:space="preserve">La información contenida en los modelos solicitados a las entidades mediante el SSS, está sujeta a cambios y mejoras, para fortalecer las labores de supervisión y de generación de estadísticas de la Superintendencia y hacer más eficiente la entrega de información para ello, así como para atender las solicitudes de las entidades aseguradoras de aclarar aspectos de los diferentes modelos.  En virtud de lo anterior, y con el propósito de mejorar la calidad de la información entregada a la Superintendencia, disminuir posibles reprocesos mediante la validación automática de la información antes de tenerse por recibida, reducir los riesgos operacionales y mejorar la oportunidad en la entrega de la información, se propone automatizar  </w:t>
      </w:r>
      <w:r w:rsidRPr="00083972">
        <w:rPr>
          <w:lang w:val="es-CR"/>
        </w:rPr>
        <w:t xml:space="preserve">la remisión y procesamiento por medio del SSS, de los modelos de </w:t>
      </w:r>
      <w:r w:rsidRPr="00083972">
        <w:rPr>
          <w:i/>
          <w:iCs/>
          <w:lang w:val="es-CR"/>
        </w:rPr>
        <w:t>Aportes al INEC</w:t>
      </w:r>
      <w:r w:rsidRPr="00083972">
        <w:rPr>
          <w:lang w:val="es-CR"/>
        </w:rPr>
        <w:t xml:space="preserve">, el de </w:t>
      </w:r>
      <w:r w:rsidRPr="00083972">
        <w:rPr>
          <w:i/>
          <w:iCs/>
          <w:lang w:val="es-CR"/>
        </w:rPr>
        <w:t>Primas y Siniestros</w:t>
      </w:r>
      <w:r w:rsidRPr="00083972">
        <w:rPr>
          <w:lang w:val="es-CR"/>
        </w:rPr>
        <w:t xml:space="preserve"> y la remisión de información del Seguro de Riesgos del Trabajo, mencionada en el apartado previo.  </w:t>
      </w:r>
    </w:p>
    <w:p w14:paraId="7B422274" w14:textId="77777777" w:rsidR="00516BB1" w:rsidRPr="00516BB1" w:rsidRDefault="00516BB1" w:rsidP="00516BB1">
      <w:pPr>
        <w:rPr>
          <w:sz w:val="22"/>
          <w:szCs w:val="22"/>
          <w:lang w:val="es-CR" w:eastAsia="en-US"/>
        </w:rPr>
      </w:pPr>
    </w:p>
    <w:p w14:paraId="3330B214" w14:textId="77777777" w:rsidR="00516BB1" w:rsidRPr="007319BF" w:rsidRDefault="00516BB1" w:rsidP="00516BB1">
      <w:pPr>
        <w:ind w:left="567"/>
        <w:jc w:val="both"/>
        <w:rPr>
          <w:rFonts w:asciiTheme="majorHAnsi" w:hAnsiTheme="majorHAnsi" w:cs="Arial"/>
          <w:lang w:val="es-CR"/>
        </w:rPr>
      </w:pPr>
      <w:r w:rsidRPr="00083972">
        <w:rPr>
          <w:rFonts w:asciiTheme="majorHAnsi" w:hAnsiTheme="majorHAnsi" w:cs="Arial"/>
          <w:lang w:val="es-CR"/>
        </w:rPr>
        <w:t xml:space="preserve">También, en línea con lo anterior, es necesario incorporar en el </w:t>
      </w:r>
      <w:r w:rsidRPr="00083972">
        <w:rPr>
          <w:rFonts w:asciiTheme="majorHAnsi" w:hAnsiTheme="majorHAnsi" w:cs="Arial"/>
          <w:i/>
          <w:iCs/>
          <w:lang w:val="es-CR"/>
        </w:rPr>
        <w:t>Modelo de Canales</w:t>
      </w:r>
      <w:r w:rsidRPr="00083972">
        <w:rPr>
          <w:rFonts w:asciiTheme="majorHAnsi" w:hAnsiTheme="majorHAnsi" w:cs="Arial"/>
          <w:lang w:val="es-CR"/>
        </w:rPr>
        <w:t xml:space="preserve"> información adicional, en particular el monto de las primas colocadas por sociedad corredora y por ramo, pues el canal más utilizado por las aseguradoras para colocar sus </w:t>
      </w:r>
      <w:r w:rsidRPr="007319BF">
        <w:rPr>
          <w:rFonts w:asciiTheme="majorHAnsi" w:hAnsiTheme="majorHAnsi" w:cs="Arial"/>
          <w:lang w:val="es-CR"/>
        </w:rPr>
        <w:t>pólizas es mediante las sociedades corredoras de seguros.</w:t>
      </w:r>
    </w:p>
    <w:p w14:paraId="6E2C7F81" w14:textId="77777777" w:rsidR="00516BB1" w:rsidRPr="007319BF" w:rsidRDefault="00516BB1" w:rsidP="00516BB1">
      <w:pPr>
        <w:jc w:val="both"/>
        <w:rPr>
          <w:rFonts w:asciiTheme="majorHAnsi" w:hAnsiTheme="majorHAnsi" w:cs="Arial"/>
          <w:lang w:val="es-CR"/>
        </w:rPr>
      </w:pPr>
    </w:p>
    <w:p w14:paraId="3C247AB0" w14:textId="77777777" w:rsidR="00516BB1" w:rsidRPr="007319BF" w:rsidRDefault="00516BB1" w:rsidP="00516BB1">
      <w:pPr>
        <w:pStyle w:val="Prrafodelista"/>
        <w:numPr>
          <w:ilvl w:val="0"/>
          <w:numId w:val="1"/>
        </w:numPr>
        <w:ind w:left="567" w:hanging="567"/>
        <w:jc w:val="both"/>
        <w:rPr>
          <w:rFonts w:asciiTheme="majorHAnsi" w:hAnsiTheme="majorHAnsi" w:cs="Arial"/>
          <w:lang w:val="es-CR"/>
        </w:rPr>
      </w:pPr>
      <w:r w:rsidRPr="007319BF">
        <w:rPr>
          <w:rFonts w:asciiTheme="majorHAnsi" w:hAnsiTheme="majorHAnsi" w:cstheme="majorHAnsi"/>
          <w:lang w:val="es-CR"/>
        </w:rPr>
        <w:t xml:space="preserve">El Superintendente mediante oficio SGS-0778-2020 del 17 de noviembre de 2020, envió a consulta el proyecto de Acuerdo de Superintendente denominado </w:t>
      </w:r>
      <w:r w:rsidRPr="007319BF">
        <w:rPr>
          <w:rFonts w:asciiTheme="majorHAnsi" w:hAnsiTheme="majorHAnsi" w:cstheme="majorHAnsi"/>
          <w:i/>
          <w:iCs/>
          <w:lang w:val="es-CR"/>
        </w:rPr>
        <w:t>Modificación del Acuerdo de Superintendente SGS-DES-A-021-2013 con el propósito de remitir mediante el SSS los modelos de Aportes al INEC, Primas y Siniestros y los relacionados con el Seguro de Riesgos del Trabajo y modificación del Modelo de Canales</w:t>
      </w:r>
      <w:r w:rsidRPr="007319BF">
        <w:rPr>
          <w:rFonts w:asciiTheme="majorHAnsi" w:hAnsiTheme="majorHAnsi" w:cstheme="majorHAnsi"/>
          <w:lang w:val="es-CR"/>
        </w:rPr>
        <w:t xml:space="preserve">, a efecto de que en el plazo de 10 días hábiles contados a partir de su  comunicación, las entidades aseguradoras remitieran sus comentarios y observaciones, sobre el texto normativo propuesto. Finalizado el plazo de consulta, los comentarios y observaciones recibidos por la Superintendencia fueron analizados e incorporados, en lo que resulta </w:t>
      </w:r>
      <w:r w:rsidRPr="007319BF">
        <w:rPr>
          <w:rFonts w:asciiTheme="majorHAnsi" w:hAnsiTheme="majorHAnsi" w:cstheme="majorHAnsi"/>
          <w:lang w:val="es-CR"/>
        </w:rPr>
        <w:lastRenderedPageBreak/>
        <w:t>procedente, en la versión final del acuerdo. Por lo tanto, lo que procede es la emisión en firme del acuerdo.</w:t>
      </w:r>
    </w:p>
    <w:p w14:paraId="5E839178" w14:textId="528BAF79" w:rsidR="00516BB1" w:rsidRDefault="00516BB1" w:rsidP="00516BB1">
      <w:pPr>
        <w:jc w:val="both"/>
        <w:rPr>
          <w:rFonts w:asciiTheme="majorHAnsi" w:hAnsiTheme="majorHAnsi" w:cs="Arial"/>
          <w:lang w:val="es-CR"/>
        </w:rPr>
      </w:pPr>
    </w:p>
    <w:p w14:paraId="53D79889" w14:textId="77777777" w:rsidR="00516BB1" w:rsidRDefault="00516BB1" w:rsidP="00516BB1">
      <w:pPr>
        <w:jc w:val="both"/>
        <w:rPr>
          <w:rFonts w:asciiTheme="majorHAnsi" w:hAnsiTheme="majorHAnsi" w:cs="Arial"/>
          <w:lang w:val="es-CR"/>
        </w:rPr>
      </w:pPr>
    </w:p>
    <w:p w14:paraId="78709922" w14:textId="77777777" w:rsidR="00516BB1" w:rsidRDefault="00516BB1" w:rsidP="00516BB1">
      <w:pPr>
        <w:pStyle w:val="Prrafodelista"/>
        <w:ind w:left="0"/>
        <w:jc w:val="center"/>
        <w:rPr>
          <w:rFonts w:ascii="Cambria" w:hAnsi="Cambria" w:cs="Arial"/>
          <w:b/>
          <w:sz w:val="28"/>
          <w:szCs w:val="28"/>
          <w:lang w:val="es-CR" w:eastAsia="en-US"/>
        </w:rPr>
      </w:pPr>
      <w:r>
        <w:rPr>
          <w:rFonts w:ascii="Cambria" w:hAnsi="Cambria" w:cs="Arial"/>
          <w:b/>
          <w:sz w:val="28"/>
          <w:szCs w:val="28"/>
          <w:lang w:val="es-CR"/>
        </w:rPr>
        <w:t>Acuerda:</w:t>
      </w:r>
    </w:p>
    <w:p w14:paraId="12AFA6D0" w14:textId="6FA5A824" w:rsidR="00516BB1" w:rsidRDefault="00516BB1" w:rsidP="00516BB1">
      <w:pPr>
        <w:jc w:val="both"/>
        <w:rPr>
          <w:rFonts w:asciiTheme="majorHAnsi" w:hAnsiTheme="majorHAnsi"/>
          <w:color w:val="000000"/>
          <w:lang w:val="es-CR"/>
        </w:rPr>
      </w:pPr>
    </w:p>
    <w:p w14:paraId="41306470" w14:textId="77777777" w:rsidR="00516BB1" w:rsidRDefault="00516BB1" w:rsidP="00516BB1">
      <w:pPr>
        <w:jc w:val="both"/>
        <w:rPr>
          <w:rFonts w:asciiTheme="majorHAnsi" w:hAnsiTheme="majorHAnsi"/>
          <w:color w:val="000000"/>
          <w:lang w:val="es-CR"/>
        </w:rPr>
      </w:pPr>
    </w:p>
    <w:p w14:paraId="779F3DF8" w14:textId="77777777" w:rsidR="00516BB1" w:rsidRPr="00083972" w:rsidRDefault="00516BB1" w:rsidP="00516BB1">
      <w:pPr>
        <w:jc w:val="both"/>
        <w:rPr>
          <w:rFonts w:asciiTheme="majorHAnsi" w:hAnsiTheme="majorHAnsi"/>
          <w:bCs/>
          <w:iCs/>
          <w:lang w:val="es-CR"/>
        </w:rPr>
      </w:pPr>
      <w:r w:rsidRPr="00FF2307">
        <w:rPr>
          <w:rFonts w:asciiTheme="majorHAnsi" w:hAnsiTheme="majorHAnsi"/>
          <w:b/>
          <w:lang w:val="es-ES_tradnl"/>
        </w:rPr>
        <w:t>Primero:</w:t>
      </w:r>
      <w:r w:rsidRPr="00FF2307">
        <w:rPr>
          <w:rFonts w:asciiTheme="majorHAnsi" w:hAnsiTheme="majorHAnsi"/>
          <w:lang w:val="es-ES_tradnl"/>
        </w:rPr>
        <w:t xml:space="preserve"> </w:t>
      </w:r>
      <w:r w:rsidRPr="00083972">
        <w:rPr>
          <w:rFonts w:asciiTheme="majorHAnsi" w:hAnsiTheme="majorHAnsi"/>
          <w:lang w:val="es-CR"/>
        </w:rPr>
        <w:t xml:space="preserve">Sustituir el cuadro dispuesto en el artículo 2 del acuerdo SGS-DES-A-021-2013 denominado </w:t>
      </w:r>
      <w:r w:rsidRPr="00083972">
        <w:rPr>
          <w:rFonts w:asciiTheme="majorHAnsi" w:hAnsiTheme="majorHAnsi"/>
          <w:bCs/>
          <w:i/>
          <w:lang w:val="es-CR"/>
        </w:rPr>
        <w:t xml:space="preserve">Disposiciones para la Remisión de la Información Contable y Estadística a la Superintendencia General de Seguros por parte de las Entidades Supervisadas, </w:t>
      </w:r>
      <w:r w:rsidRPr="00083972">
        <w:rPr>
          <w:rFonts w:asciiTheme="majorHAnsi" w:hAnsiTheme="majorHAnsi"/>
          <w:bCs/>
          <w:iCs/>
          <w:lang w:val="es-CR"/>
        </w:rPr>
        <w:t>por el siguiente:</w:t>
      </w:r>
    </w:p>
    <w:p w14:paraId="33194D14" w14:textId="77777777" w:rsidR="00516BB1" w:rsidRDefault="00516BB1" w:rsidP="00516BB1">
      <w:pPr>
        <w:rPr>
          <w:rFonts w:asciiTheme="majorHAnsi" w:hAnsiTheme="majorHAnsi"/>
          <w:b/>
        </w:rPr>
      </w:pP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2386"/>
        <w:gridCol w:w="1310"/>
        <w:gridCol w:w="2199"/>
        <w:gridCol w:w="3693"/>
      </w:tblGrid>
      <w:tr w:rsidR="00516BB1" w:rsidRPr="00083972" w14:paraId="120704EA" w14:textId="77777777" w:rsidTr="00F0100F">
        <w:trPr>
          <w:trHeight w:val="43"/>
          <w:tblHeader/>
          <w:jc w:val="center"/>
        </w:trPr>
        <w:tc>
          <w:tcPr>
            <w:tcW w:w="1244" w:type="pct"/>
            <w:shd w:val="clear" w:color="auto" w:fill="8DB3E2" w:themeFill="text2" w:themeFillTint="66"/>
            <w:noWrap/>
          </w:tcPr>
          <w:p w14:paraId="6CAEC703" w14:textId="77777777" w:rsidR="00516BB1" w:rsidRPr="00083972" w:rsidRDefault="00516BB1" w:rsidP="00F0100F">
            <w:pPr>
              <w:widowControl w:val="0"/>
              <w:jc w:val="center"/>
              <w:rPr>
                <w:rFonts w:asciiTheme="majorHAnsi" w:hAnsiTheme="majorHAnsi"/>
                <w:b/>
                <w:i/>
                <w:snapToGrid w:val="0"/>
                <w:sz w:val="16"/>
                <w:szCs w:val="16"/>
                <w:lang w:val="es-CR"/>
              </w:rPr>
            </w:pPr>
            <w:r w:rsidRPr="00083972">
              <w:rPr>
                <w:rFonts w:asciiTheme="majorHAnsi" w:hAnsiTheme="majorHAnsi"/>
                <w:b/>
                <w:i/>
                <w:snapToGrid w:val="0"/>
                <w:sz w:val="16"/>
                <w:szCs w:val="16"/>
                <w:lang w:val="es-CR"/>
              </w:rPr>
              <w:t>Información</w:t>
            </w:r>
          </w:p>
        </w:tc>
        <w:tc>
          <w:tcPr>
            <w:tcW w:w="683" w:type="pct"/>
            <w:shd w:val="clear" w:color="auto" w:fill="8DB3E2" w:themeFill="text2" w:themeFillTint="66"/>
            <w:noWrap/>
          </w:tcPr>
          <w:p w14:paraId="0815BAA0" w14:textId="77777777" w:rsidR="00516BB1" w:rsidRPr="00083972" w:rsidRDefault="00516BB1" w:rsidP="00F0100F">
            <w:pPr>
              <w:pStyle w:val="Ttulo5"/>
              <w:rPr>
                <w:sz w:val="16"/>
                <w:szCs w:val="16"/>
              </w:rPr>
            </w:pPr>
            <w:r w:rsidRPr="00083972">
              <w:rPr>
                <w:sz w:val="16"/>
                <w:szCs w:val="16"/>
              </w:rPr>
              <w:t>Periodicidad</w:t>
            </w:r>
          </w:p>
        </w:tc>
        <w:tc>
          <w:tcPr>
            <w:tcW w:w="1147" w:type="pct"/>
            <w:shd w:val="clear" w:color="auto" w:fill="8DB3E2" w:themeFill="text2" w:themeFillTint="66"/>
            <w:noWrap/>
          </w:tcPr>
          <w:p w14:paraId="44A53B68" w14:textId="77777777" w:rsidR="00516BB1" w:rsidRPr="00083972" w:rsidRDefault="00516BB1" w:rsidP="00F0100F">
            <w:pPr>
              <w:widowControl w:val="0"/>
              <w:jc w:val="center"/>
              <w:rPr>
                <w:rFonts w:asciiTheme="majorHAnsi" w:hAnsiTheme="majorHAnsi"/>
                <w:b/>
                <w:i/>
                <w:snapToGrid w:val="0"/>
                <w:sz w:val="16"/>
                <w:szCs w:val="16"/>
                <w:lang w:val="es-CR"/>
              </w:rPr>
            </w:pPr>
            <w:r w:rsidRPr="00083972">
              <w:rPr>
                <w:rFonts w:asciiTheme="majorHAnsi" w:hAnsiTheme="majorHAnsi"/>
                <w:b/>
                <w:i/>
                <w:snapToGrid w:val="0"/>
                <w:sz w:val="16"/>
                <w:szCs w:val="16"/>
                <w:lang w:val="es-CR"/>
              </w:rPr>
              <w:t>Plazo de entrega</w:t>
            </w:r>
          </w:p>
        </w:tc>
        <w:tc>
          <w:tcPr>
            <w:tcW w:w="1926" w:type="pct"/>
            <w:shd w:val="clear" w:color="auto" w:fill="8DB3E2" w:themeFill="text2" w:themeFillTint="66"/>
            <w:noWrap/>
          </w:tcPr>
          <w:p w14:paraId="11E4CFDD" w14:textId="77777777" w:rsidR="00516BB1" w:rsidRPr="00083972" w:rsidRDefault="00516BB1" w:rsidP="00F0100F">
            <w:pPr>
              <w:widowControl w:val="0"/>
              <w:jc w:val="center"/>
              <w:rPr>
                <w:rFonts w:asciiTheme="majorHAnsi" w:hAnsiTheme="majorHAnsi"/>
                <w:b/>
                <w:i/>
                <w:snapToGrid w:val="0"/>
                <w:sz w:val="16"/>
                <w:szCs w:val="16"/>
                <w:lang w:val="es-CR"/>
              </w:rPr>
            </w:pPr>
            <w:r w:rsidRPr="00083972">
              <w:rPr>
                <w:rFonts w:asciiTheme="majorHAnsi" w:hAnsiTheme="majorHAnsi"/>
                <w:b/>
                <w:i/>
                <w:snapToGrid w:val="0"/>
                <w:sz w:val="16"/>
                <w:szCs w:val="16"/>
                <w:lang w:val="es-CR"/>
              </w:rPr>
              <w:t>Medio</w:t>
            </w:r>
          </w:p>
        </w:tc>
      </w:tr>
      <w:tr w:rsidR="00516BB1" w:rsidRPr="00083972" w14:paraId="05B11759" w14:textId="77777777" w:rsidTr="00F0100F">
        <w:trPr>
          <w:trHeight w:val="43"/>
          <w:jc w:val="center"/>
        </w:trPr>
        <w:tc>
          <w:tcPr>
            <w:tcW w:w="1244" w:type="pct"/>
            <w:noWrap/>
          </w:tcPr>
          <w:p w14:paraId="32543E41" w14:textId="77777777" w:rsidR="00516BB1" w:rsidRPr="00083972" w:rsidRDefault="00516BB1" w:rsidP="00F0100F">
            <w:pPr>
              <w:widowControl w:val="0"/>
              <w:rPr>
                <w:rFonts w:asciiTheme="majorHAnsi" w:hAnsiTheme="majorHAnsi"/>
                <w:b/>
                <w:sz w:val="16"/>
                <w:szCs w:val="16"/>
                <w:lang w:val="es-CR"/>
              </w:rPr>
            </w:pPr>
            <w:r w:rsidRPr="00083972">
              <w:rPr>
                <w:rFonts w:asciiTheme="majorHAnsi" w:hAnsiTheme="majorHAnsi"/>
                <w:b/>
                <w:sz w:val="16"/>
                <w:szCs w:val="16"/>
                <w:lang w:val="es-CR"/>
              </w:rPr>
              <w:t>Régimen de suficiencia de capital y solvencia</w:t>
            </w:r>
          </w:p>
        </w:tc>
        <w:tc>
          <w:tcPr>
            <w:tcW w:w="683" w:type="pct"/>
            <w:noWrap/>
          </w:tcPr>
          <w:p w14:paraId="64E514C2" w14:textId="77777777" w:rsidR="00516BB1" w:rsidRPr="00083972" w:rsidRDefault="00516BB1" w:rsidP="00F0100F">
            <w:pPr>
              <w:widowControl w:val="0"/>
              <w:jc w:val="both"/>
              <w:rPr>
                <w:rFonts w:asciiTheme="majorHAnsi" w:hAnsiTheme="majorHAnsi" w:cstheme="minorHAnsi"/>
                <w:b/>
                <w:strike/>
                <w:snapToGrid w:val="0"/>
                <w:sz w:val="16"/>
                <w:szCs w:val="16"/>
                <w:lang w:val="es-CR"/>
              </w:rPr>
            </w:pPr>
            <w:r w:rsidRPr="00083972">
              <w:rPr>
                <w:rFonts w:asciiTheme="majorHAnsi" w:hAnsiTheme="majorHAnsi"/>
                <w:bCs/>
                <w:sz w:val="16"/>
                <w:szCs w:val="16"/>
                <w:lang w:val="es-CR"/>
              </w:rPr>
              <w:t>Mensual</w:t>
            </w:r>
          </w:p>
        </w:tc>
        <w:tc>
          <w:tcPr>
            <w:tcW w:w="1147" w:type="pct"/>
            <w:noWrap/>
          </w:tcPr>
          <w:p w14:paraId="435A4BD0" w14:textId="77777777" w:rsidR="00516BB1" w:rsidRPr="00083972" w:rsidRDefault="00516BB1" w:rsidP="00F0100F">
            <w:pPr>
              <w:widowControl w:val="0"/>
              <w:rPr>
                <w:rFonts w:asciiTheme="majorHAnsi" w:hAnsiTheme="majorHAnsi"/>
                <w:bCs/>
                <w:sz w:val="16"/>
                <w:szCs w:val="16"/>
                <w:lang w:val="es-CR"/>
              </w:rPr>
            </w:pPr>
            <w:r w:rsidRPr="00083972">
              <w:rPr>
                <w:rFonts w:asciiTheme="majorHAnsi" w:hAnsiTheme="majorHAnsi"/>
                <w:bCs/>
                <w:sz w:val="16"/>
                <w:szCs w:val="16"/>
                <w:lang w:val="es-CR"/>
              </w:rPr>
              <w:t>15 días hábiles después del cierre mensual</w:t>
            </w:r>
          </w:p>
        </w:tc>
        <w:tc>
          <w:tcPr>
            <w:tcW w:w="1926" w:type="pct"/>
            <w:noWrap/>
          </w:tcPr>
          <w:p w14:paraId="7A1B55A2" w14:textId="77777777" w:rsidR="00516BB1" w:rsidRPr="00083972" w:rsidRDefault="00516BB1" w:rsidP="00F0100F">
            <w:pPr>
              <w:widowControl w:val="0"/>
              <w:jc w:val="both"/>
              <w:rPr>
                <w:rFonts w:asciiTheme="majorHAnsi" w:hAnsiTheme="majorHAnsi" w:cstheme="minorHAnsi"/>
                <w:b/>
                <w:strike/>
                <w:snapToGrid w:val="0"/>
                <w:sz w:val="16"/>
                <w:szCs w:val="16"/>
                <w:lang w:val="es-CR"/>
              </w:rPr>
            </w:pPr>
            <w:r w:rsidRPr="00083972">
              <w:rPr>
                <w:rFonts w:asciiTheme="majorHAnsi" w:hAnsiTheme="majorHAnsi"/>
                <w:bCs/>
                <w:sz w:val="16"/>
                <w:szCs w:val="16"/>
                <w:lang w:val="es-CR"/>
              </w:rPr>
              <w:t>En hoja electrónica, por correo electrónico, según formato establecido en el Anexo</w:t>
            </w:r>
            <w:r w:rsidRPr="00083972">
              <w:rPr>
                <w:rFonts w:asciiTheme="majorHAnsi" w:hAnsiTheme="majorHAnsi"/>
                <w:b/>
                <w:bCs/>
                <w:sz w:val="16"/>
                <w:szCs w:val="16"/>
                <w:lang w:val="es-CR"/>
              </w:rPr>
              <w:t xml:space="preserve"> 4.</w:t>
            </w:r>
          </w:p>
        </w:tc>
      </w:tr>
      <w:tr w:rsidR="00516BB1" w:rsidRPr="00083972" w14:paraId="6C6ED570" w14:textId="77777777" w:rsidTr="00F0100F">
        <w:trPr>
          <w:trHeight w:val="43"/>
          <w:jc w:val="center"/>
        </w:trPr>
        <w:tc>
          <w:tcPr>
            <w:tcW w:w="1244" w:type="pct"/>
            <w:noWrap/>
          </w:tcPr>
          <w:p w14:paraId="75D96F98" w14:textId="77777777" w:rsidR="00516BB1" w:rsidRPr="00083972" w:rsidRDefault="00516BB1" w:rsidP="00F0100F">
            <w:pPr>
              <w:pStyle w:val="Textoindependiente"/>
              <w:spacing w:after="0" w:line="240" w:lineRule="auto"/>
              <w:jc w:val="both"/>
              <w:rPr>
                <w:rFonts w:asciiTheme="majorHAnsi" w:hAnsiTheme="majorHAnsi"/>
                <w:b/>
                <w:sz w:val="16"/>
                <w:szCs w:val="16"/>
              </w:rPr>
            </w:pPr>
            <w:r w:rsidRPr="00083972">
              <w:rPr>
                <w:rFonts w:asciiTheme="majorHAnsi" w:hAnsiTheme="majorHAnsi"/>
                <w:b/>
                <w:sz w:val="16"/>
                <w:szCs w:val="16"/>
              </w:rPr>
              <w:t>Modelo 1 SSS: Balance General (Activo, Pasivo y Patrimonio)</w:t>
            </w:r>
          </w:p>
        </w:tc>
        <w:tc>
          <w:tcPr>
            <w:tcW w:w="683" w:type="pct"/>
            <w:noWrap/>
          </w:tcPr>
          <w:p w14:paraId="319B1840" w14:textId="77777777" w:rsidR="00516BB1" w:rsidRPr="00083972" w:rsidRDefault="00516BB1" w:rsidP="00F0100F">
            <w:pPr>
              <w:widowControl w:val="0"/>
              <w:jc w:val="both"/>
              <w:rPr>
                <w:rFonts w:asciiTheme="majorHAnsi" w:hAnsiTheme="majorHAnsi"/>
                <w:bCs/>
                <w:sz w:val="16"/>
                <w:szCs w:val="16"/>
                <w:lang w:val="es-CR"/>
              </w:rPr>
            </w:pPr>
            <w:r w:rsidRPr="00083972">
              <w:rPr>
                <w:rFonts w:asciiTheme="majorHAnsi" w:hAnsiTheme="majorHAnsi"/>
                <w:bCs/>
                <w:sz w:val="16"/>
                <w:szCs w:val="16"/>
                <w:lang w:val="es-CR"/>
              </w:rPr>
              <w:t>Trimestral</w:t>
            </w:r>
          </w:p>
          <w:p w14:paraId="25FE16CF" w14:textId="77777777" w:rsidR="00516BB1" w:rsidRPr="00083972" w:rsidRDefault="00516BB1" w:rsidP="00F0100F">
            <w:pPr>
              <w:rPr>
                <w:rFonts w:asciiTheme="majorHAnsi" w:hAnsiTheme="majorHAnsi"/>
                <w:sz w:val="16"/>
                <w:szCs w:val="16"/>
                <w:lang w:val="es-CR"/>
              </w:rPr>
            </w:pPr>
          </w:p>
          <w:p w14:paraId="1FBDC896" w14:textId="77777777" w:rsidR="00516BB1" w:rsidRPr="00083972" w:rsidRDefault="00516BB1" w:rsidP="00F0100F">
            <w:pPr>
              <w:jc w:val="center"/>
              <w:rPr>
                <w:rFonts w:asciiTheme="majorHAnsi" w:hAnsiTheme="majorHAnsi"/>
                <w:sz w:val="16"/>
                <w:szCs w:val="16"/>
                <w:lang w:val="es-CR"/>
              </w:rPr>
            </w:pPr>
          </w:p>
        </w:tc>
        <w:tc>
          <w:tcPr>
            <w:tcW w:w="1147" w:type="pct"/>
            <w:noWrap/>
          </w:tcPr>
          <w:p w14:paraId="4EC4DD9C" w14:textId="77777777" w:rsidR="00516BB1" w:rsidRPr="00083972" w:rsidRDefault="00516BB1" w:rsidP="00F0100F">
            <w:pPr>
              <w:widowControl w:val="0"/>
              <w:rPr>
                <w:rFonts w:asciiTheme="majorHAnsi" w:hAnsiTheme="majorHAnsi"/>
                <w:bCs/>
                <w:sz w:val="16"/>
                <w:szCs w:val="16"/>
                <w:lang w:val="es-CR"/>
              </w:rPr>
            </w:pPr>
            <w:r w:rsidRPr="00083972">
              <w:rPr>
                <w:rFonts w:asciiTheme="majorHAnsi" w:hAnsiTheme="majorHAnsi"/>
                <w:bCs/>
                <w:sz w:val="16"/>
                <w:szCs w:val="16"/>
                <w:lang w:val="es-CR"/>
              </w:rPr>
              <w:t>15 días hábiles después del cierre de los meses de marzo, junio, setiembre y diciembre</w:t>
            </w:r>
          </w:p>
        </w:tc>
        <w:tc>
          <w:tcPr>
            <w:tcW w:w="1926" w:type="pct"/>
            <w:noWrap/>
          </w:tcPr>
          <w:p w14:paraId="71768F92" w14:textId="77777777" w:rsidR="00516BB1" w:rsidRPr="00083972" w:rsidRDefault="00516BB1" w:rsidP="00F0100F">
            <w:pPr>
              <w:widowControl w:val="0"/>
              <w:jc w:val="both"/>
              <w:rPr>
                <w:rFonts w:asciiTheme="majorHAnsi" w:hAnsiTheme="majorHAnsi"/>
                <w:bCs/>
                <w:sz w:val="16"/>
                <w:szCs w:val="16"/>
                <w:lang w:val="es-CR"/>
              </w:rPr>
            </w:pPr>
            <w:r w:rsidRPr="00083972">
              <w:rPr>
                <w:rFonts w:asciiTheme="majorHAnsi" w:hAnsiTheme="majorHAnsi"/>
                <w:bCs/>
                <w:sz w:val="16"/>
                <w:szCs w:val="16"/>
                <w:lang w:val="es-CR"/>
              </w:rPr>
              <w:t xml:space="preserve">Web Service, a través de archivos *.xml, de conformidad con </w:t>
            </w:r>
            <w:r w:rsidRPr="00083972">
              <w:rPr>
                <w:rFonts w:asciiTheme="majorHAnsi" w:hAnsiTheme="majorHAnsi"/>
                <w:bCs/>
                <w:i/>
                <w:sz w:val="16"/>
                <w:szCs w:val="16"/>
                <w:lang w:val="es-CR"/>
              </w:rPr>
              <w:t>Estándar de Negocio para Entidades de Seguros,</w:t>
            </w:r>
            <w:r w:rsidRPr="00083972">
              <w:rPr>
                <w:rFonts w:asciiTheme="majorHAnsi" w:hAnsiTheme="majorHAnsi"/>
                <w:bCs/>
                <w:sz w:val="16"/>
                <w:szCs w:val="16"/>
                <w:lang w:val="es-CR"/>
              </w:rPr>
              <w:t xml:space="preserve"> incluido en el </w:t>
            </w:r>
            <w:r w:rsidRPr="00083972">
              <w:rPr>
                <w:rFonts w:asciiTheme="majorHAnsi" w:hAnsiTheme="majorHAnsi"/>
                <w:b/>
                <w:bCs/>
                <w:sz w:val="16"/>
                <w:szCs w:val="16"/>
                <w:lang w:val="es-CR"/>
              </w:rPr>
              <w:t>Anexo 5</w:t>
            </w:r>
          </w:p>
        </w:tc>
      </w:tr>
      <w:tr w:rsidR="00516BB1" w:rsidRPr="00083972" w14:paraId="228FBA5F" w14:textId="77777777" w:rsidTr="00F0100F">
        <w:trPr>
          <w:trHeight w:val="43"/>
          <w:jc w:val="center"/>
        </w:trPr>
        <w:tc>
          <w:tcPr>
            <w:tcW w:w="1244" w:type="pct"/>
            <w:noWrap/>
          </w:tcPr>
          <w:p w14:paraId="72FF1E33" w14:textId="77777777" w:rsidR="00516BB1" w:rsidRPr="00083972" w:rsidRDefault="00516BB1" w:rsidP="00F0100F">
            <w:pPr>
              <w:pStyle w:val="Textoindependiente"/>
              <w:spacing w:after="0" w:line="240" w:lineRule="auto"/>
              <w:jc w:val="both"/>
              <w:rPr>
                <w:rFonts w:asciiTheme="majorHAnsi" w:hAnsiTheme="majorHAnsi"/>
                <w:b/>
                <w:sz w:val="16"/>
                <w:szCs w:val="16"/>
              </w:rPr>
            </w:pPr>
            <w:r w:rsidRPr="00083972">
              <w:rPr>
                <w:rFonts w:asciiTheme="majorHAnsi" w:hAnsiTheme="majorHAnsi"/>
                <w:b/>
                <w:sz w:val="16"/>
                <w:szCs w:val="16"/>
              </w:rPr>
              <w:t>Modelo 2 SSS: Estado de Resultados y Cuenta de Resultados Técnico Financiera</w:t>
            </w:r>
          </w:p>
        </w:tc>
        <w:tc>
          <w:tcPr>
            <w:tcW w:w="683" w:type="pct"/>
            <w:noWrap/>
          </w:tcPr>
          <w:p w14:paraId="403675C0" w14:textId="77777777" w:rsidR="00516BB1" w:rsidRPr="00083972" w:rsidRDefault="00516BB1" w:rsidP="00F0100F">
            <w:pPr>
              <w:widowControl w:val="0"/>
              <w:jc w:val="both"/>
              <w:rPr>
                <w:rFonts w:asciiTheme="majorHAnsi" w:hAnsiTheme="majorHAnsi"/>
                <w:bCs/>
                <w:sz w:val="16"/>
                <w:szCs w:val="16"/>
                <w:lang w:val="es-CR"/>
              </w:rPr>
            </w:pPr>
            <w:r w:rsidRPr="00083972">
              <w:rPr>
                <w:rFonts w:asciiTheme="majorHAnsi" w:hAnsiTheme="majorHAnsi"/>
                <w:bCs/>
                <w:sz w:val="16"/>
                <w:szCs w:val="16"/>
                <w:lang w:val="es-CR"/>
              </w:rPr>
              <w:t>Trimestral</w:t>
            </w:r>
          </w:p>
        </w:tc>
        <w:tc>
          <w:tcPr>
            <w:tcW w:w="1147" w:type="pct"/>
            <w:noWrap/>
          </w:tcPr>
          <w:p w14:paraId="04501DE5" w14:textId="77777777" w:rsidR="00516BB1" w:rsidRPr="00083972" w:rsidRDefault="00516BB1" w:rsidP="00F0100F">
            <w:pPr>
              <w:widowControl w:val="0"/>
              <w:rPr>
                <w:rFonts w:asciiTheme="majorHAnsi" w:hAnsiTheme="majorHAnsi"/>
                <w:bCs/>
                <w:sz w:val="16"/>
                <w:szCs w:val="16"/>
                <w:lang w:val="es-CR"/>
              </w:rPr>
            </w:pPr>
            <w:r w:rsidRPr="00083972">
              <w:rPr>
                <w:rFonts w:asciiTheme="majorHAnsi" w:hAnsiTheme="majorHAnsi"/>
                <w:bCs/>
                <w:sz w:val="16"/>
                <w:szCs w:val="16"/>
                <w:lang w:val="es-CR"/>
              </w:rPr>
              <w:t>15 días hábiles después del cierre de los meses de marzo, junio, setiembre y diciembre</w:t>
            </w:r>
          </w:p>
        </w:tc>
        <w:tc>
          <w:tcPr>
            <w:tcW w:w="1926" w:type="pct"/>
            <w:noWrap/>
          </w:tcPr>
          <w:p w14:paraId="10979730" w14:textId="77777777" w:rsidR="00516BB1" w:rsidRPr="00083972" w:rsidRDefault="00516BB1" w:rsidP="00F0100F">
            <w:pPr>
              <w:widowControl w:val="0"/>
              <w:jc w:val="both"/>
              <w:rPr>
                <w:rFonts w:asciiTheme="majorHAnsi" w:hAnsiTheme="majorHAnsi"/>
                <w:bCs/>
                <w:sz w:val="16"/>
                <w:szCs w:val="16"/>
                <w:lang w:val="es-CR"/>
              </w:rPr>
            </w:pPr>
            <w:r w:rsidRPr="00083972">
              <w:rPr>
                <w:rFonts w:asciiTheme="majorHAnsi" w:hAnsiTheme="majorHAnsi"/>
                <w:bCs/>
                <w:sz w:val="16"/>
                <w:szCs w:val="16"/>
                <w:lang w:val="es-CR"/>
              </w:rPr>
              <w:t xml:space="preserve">Web Service, a través de archivos *.xml, de conformidad con </w:t>
            </w:r>
            <w:r w:rsidRPr="00083972">
              <w:rPr>
                <w:rFonts w:asciiTheme="majorHAnsi" w:hAnsiTheme="majorHAnsi"/>
                <w:bCs/>
                <w:i/>
                <w:sz w:val="16"/>
                <w:szCs w:val="16"/>
                <w:lang w:val="es-CR"/>
              </w:rPr>
              <w:t>Estándar de Negocio para Entidades de Seguros,</w:t>
            </w:r>
            <w:r w:rsidRPr="00083972">
              <w:rPr>
                <w:rFonts w:asciiTheme="majorHAnsi" w:hAnsiTheme="majorHAnsi"/>
                <w:bCs/>
                <w:sz w:val="16"/>
                <w:szCs w:val="16"/>
                <w:lang w:val="es-CR"/>
              </w:rPr>
              <w:t xml:space="preserve"> incluido en el </w:t>
            </w:r>
            <w:r w:rsidRPr="00083972">
              <w:rPr>
                <w:rFonts w:asciiTheme="majorHAnsi" w:hAnsiTheme="majorHAnsi"/>
                <w:b/>
                <w:bCs/>
                <w:sz w:val="16"/>
                <w:szCs w:val="16"/>
                <w:lang w:val="es-CR"/>
              </w:rPr>
              <w:t>Anexo 5</w:t>
            </w:r>
          </w:p>
        </w:tc>
      </w:tr>
      <w:tr w:rsidR="00516BB1" w:rsidRPr="00083972" w14:paraId="49266B53" w14:textId="77777777" w:rsidTr="00F0100F">
        <w:trPr>
          <w:trHeight w:val="43"/>
          <w:jc w:val="center"/>
        </w:trPr>
        <w:tc>
          <w:tcPr>
            <w:tcW w:w="1244" w:type="pct"/>
            <w:noWrap/>
          </w:tcPr>
          <w:p w14:paraId="7EED8F3F" w14:textId="77777777" w:rsidR="00516BB1" w:rsidRPr="00083972" w:rsidRDefault="00516BB1" w:rsidP="00F0100F">
            <w:pPr>
              <w:pStyle w:val="Textoindependiente"/>
              <w:spacing w:after="0" w:line="240" w:lineRule="auto"/>
              <w:jc w:val="both"/>
              <w:rPr>
                <w:rFonts w:asciiTheme="majorHAnsi" w:hAnsiTheme="majorHAnsi"/>
                <w:b/>
                <w:sz w:val="16"/>
                <w:szCs w:val="16"/>
              </w:rPr>
            </w:pPr>
            <w:r w:rsidRPr="00083972">
              <w:rPr>
                <w:rFonts w:asciiTheme="majorHAnsi" w:hAnsiTheme="majorHAnsi"/>
                <w:b/>
                <w:sz w:val="16"/>
                <w:szCs w:val="16"/>
              </w:rPr>
              <w:t>Modelo 3 SSS: Inversiones Financieras</w:t>
            </w:r>
          </w:p>
        </w:tc>
        <w:tc>
          <w:tcPr>
            <w:tcW w:w="683" w:type="pct"/>
            <w:noWrap/>
          </w:tcPr>
          <w:p w14:paraId="7A9D61B0" w14:textId="77777777" w:rsidR="00516BB1" w:rsidRPr="00083972" w:rsidRDefault="00516BB1" w:rsidP="00F0100F">
            <w:pPr>
              <w:widowControl w:val="0"/>
              <w:jc w:val="both"/>
              <w:rPr>
                <w:rFonts w:asciiTheme="majorHAnsi" w:hAnsiTheme="majorHAnsi"/>
                <w:bCs/>
                <w:sz w:val="16"/>
                <w:szCs w:val="16"/>
                <w:lang w:val="es-CR"/>
              </w:rPr>
            </w:pPr>
            <w:r w:rsidRPr="00083972">
              <w:rPr>
                <w:rFonts w:asciiTheme="majorHAnsi" w:hAnsiTheme="majorHAnsi"/>
                <w:bCs/>
                <w:sz w:val="16"/>
                <w:szCs w:val="16"/>
                <w:lang w:val="es-CR"/>
              </w:rPr>
              <w:t>Mensual</w:t>
            </w:r>
          </w:p>
        </w:tc>
        <w:tc>
          <w:tcPr>
            <w:tcW w:w="1147" w:type="pct"/>
            <w:noWrap/>
          </w:tcPr>
          <w:p w14:paraId="02B99C3F" w14:textId="77777777" w:rsidR="00516BB1" w:rsidRPr="00083972" w:rsidRDefault="00516BB1" w:rsidP="00F0100F">
            <w:pPr>
              <w:widowControl w:val="0"/>
              <w:rPr>
                <w:rFonts w:asciiTheme="majorHAnsi" w:hAnsiTheme="majorHAnsi"/>
                <w:bCs/>
                <w:sz w:val="16"/>
                <w:szCs w:val="16"/>
                <w:lang w:val="es-CR"/>
              </w:rPr>
            </w:pPr>
            <w:r w:rsidRPr="00083972">
              <w:rPr>
                <w:rFonts w:asciiTheme="majorHAnsi" w:hAnsiTheme="majorHAnsi"/>
                <w:bCs/>
                <w:sz w:val="16"/>
                <w:szCs w:val="16"/>
                <w:lang w:val="es-CR"/>
              </w:rPr>
              <w:t>5 días hábiles después del cierre de cada mes.</w:t>
            </w:r>
          </w:p>
        </w:tc>
        <w:tc>
          <w:tcPr>
            <w:tcW w:w="1926" w:type="pct"/>
            <w:noWrap/>
          </w:tcPr>
          <w:p w14:paraId="25ABC161" w14:textId="77777777" w:rsidR="00516BB1" w:rsidRPr="00083972" w:rsidRDefault="00516BB1" w:rsidP="00F0100F">
            <w:pPr>
              <w:widowControl w:val="0"/>
              <w:jc w:val="both"/>
              <w:rPr>
                <w:rFonts w:asciiTheme="majorHAnsi" w:hAnsiTheme="majorHAnsi"/>
                <w:b/>
                <w:bCs/>
                <w:sz w:val="16"/>
                <w:szCs w:val="16"/>
                <w:lang w:val="es-CR"/>
              </w:rPr>
            </w:pPr>
            <w:r w:rsidRPr="00083972">
              <w:rPr>
                <w:rFonts w:asciiTheme="majorHAnsi" w:hAnsiTheme="majorHAnsi"/>
                <w:bCs/>
                <w:sz w:val="16"/>
                <w:szCs w:val="16"/>
                <w:lang w:val="es-CR"/>
              </w:rPr>
              <w:t xml:space="preserve">Web Service, a través de archivos *.xml, de conformidad con </w:t>
            </w:r>
            <w:r w:rsidRPr="00083972">
              <w:rPr>
                <w:rFonts w:asciiTheme="majorHAnsi" w:hAnsiTheme="majorHAnsi"/>
                <w:bCs/>
                <w:i/>
                <w:sz w:val="16"/>
                <w:szCs w:val="16"/>
                <w:lang w:val="es-CR"/>
              </w:rPr>
              <w:t>Estándar de Negocio para Entidades de Seguros,</w:t>
            </w:r>
            <w:r w:rsidRPr="00083972">
              <w:rPr>
                <w:rFonts w:asciiTheme="majorHAnsi" w:hAnsiTheme="majorHAnsi"/>
                <w:bCs/>
                <w:sz w:val="16"/>
                <w:szCs w:val="16"/>
                <w:lang w:val="es-CR"/>
              </w:rPr>
              <w:t xml:space="preserve"> incluido en el </w:t>
            </w:r>
            <w:r w:rsidRPr="00083972">
              <w:rPr>
                <w:rFonts w:asciiTheme="majorHAnsi" w:hAnsiTheme="majorHAnsi"/>
                <w:b/>
                <w:bCs/>
                <w:sz w:val="16"/>
                <w:szCs w:val="16"/>
                <w:lang w:val="es-CR"/>
              </w:rPr>
              <w:t>Anexo 5.</w:t>
            </w:r>
          </w:p>
        </w:tc>
      </w:tr>
      <w:tr w:rsidR="00516BB1" w:rsidRPr="00083972" w14:paraId="19E318B8" w14:textId="77777777" w:rsidTr="00F0100F">
        <w:trPr>
          <w:trHeight w:val="43"/>
          <w:jc w:val="center"/>
        </w:trPr>
        <w:tc>
          <w:tcPr>
            <w:tcW w:w="1244" w:type="pct"/>
            <w:noWrap/>
          </w:tcPr>
          <w:p w14:paraId="61F02BC3" w14:textId="77777777" w:rsidR="00516BB1" w:rsidRPr="00083972" w:rsidRDefault="00516BB1" w:rsidP="00F0100F">
            <w:pPr>
              <w:pStyle w:val="Textoindependiente"/>
              <w:spacing w:after="0" w:line="240" w:lineRule="auto"/>
              <w:jc w:val="both"/>
              <w:rPr>
                <w:rFonts w:asciiTheme="majorHAnsi" w:hAnsiTheme="majorHAnsi"/>
                <w:b/>
                <w:sz w:val="16"/>
                <w:szCs w:val="16"/>
              </w:rPr>
            </w:pPr>
            <w:r w:rsidRPr="00083972">
              <w:rPr>
                <w:rFonts w:asciiTheme="majorHAnsi" w:hAnsiTheme="majorHAnsi"/>
                <w:b/>
                <w:sz w:val="16"/>
                <w:szCs w:val="16"/>
              </w:rPr>
              <w:t xml:space="preserve">Modelo 4 SSS: Estado de Cambios en el Patrimonio </w:t>
            </w:r>
          </w:p>
        </w:tc>
        <w:tc>
          <w:tcPr>
            <w:tcW w:w="683" w:type="pct"/>
            <w:noWrap/>
          </w:tcPr>
          <w:p w14:paraId="55CBC529" w14:textId="77777777" w:rsidR="00516BB1" w:rsidRPr="00083972" w:rsidRDefault="00516BB1" w:rsidP="00F0100F">
            <w:pPr>
              <w:widowControl w:val="0"/>
              <w:jc w:val="both"/>
              <w:rPr>
                <w:rFonts w:asciiTheme="majorHAnsi" w:hAnsiTheme="majorHAnsi"/>
                <w:bCs/>
                <w:sz w:val="16"/>
                <w:szCs w:val="16"/>
                <w:lang w:val="es-CR"/>
              </w:rPr>
            </w:pPr>
            <w:r w:rsidRPr="00083972">
              <w:rPr>
                <w:rFonts w:asciiTheme="majorHAnsi" w:hAnsiTheme="majorHAnsi"/>
                <w:bCs/>
                <w:sz w:val="16"/>
                <w:szCs w:val="16"/>
                <w:lang w:val="es-CR"/>
              </w:rPr>
              <w:t>Trimestral</w:t>
            </w:r>
          </w:p>
        </w:tc>
        <w:tc>
          <w:tcPr>
            <w:tcW w:w="1147" w:type="pct"/>
            <w:noWrap/>
          </w:tcPr>
          <w:p w14:paraId="05579043" w14:textId="77777777" w:rsidR="00516BB1" w:rsidRPr="00083972" w:rsidRDefault="00516BB1" w:rsidP="00F0100F">
            <w:pPr>
              <w:widowControl w:val="0"/>
              <w:rPr>
                <w:rFonts w:asciiTheme="majorHAnsi" w:hAnsiTheme="majorHAnsi"/>
                <w:bCs/>
                <w:sz w:val="16"/>
                <w:szCs w:val="16"/>
                <w:highlight w:val="yellow"/>
                <w:lang w:val="es-CR"/>
              </w:rPr>
            </w:pPr>
            <w:r w:rsidRPr="00083972">
              <w:rPr>
                <w:rFonts w:asciiTheme="majorHAnsi" w:hAnsiTheme="majorHAnsi"/>
                <w:bCs/>
                <w:sz w:val="16"/>
                <w:szCs w:val="16"/>
                <w:lang w:val="es-CR"/>
              </w:rPr>
              <w:t>15 días hábiles después del cierre de los meses de marzo, junio, setiembre y diciembre</w:t>
            </w:r>
          </w:p>
        </w:tc>
        <w:tc>
          <w:tcPr>
            <w:tcW w:w="1926" w:type="pct"/>
            <w:noWrap/>
          </w:tcPr>
          <w:p w14:paraId="0B461011" w14:textId="77777777" w:rsidR="00516BB1" w:rsidRPr="00083972" w:rsidRDefault="00516BB1" w:rsidP="00F0100F">
            <w:pPr>
              <w:widowControl w:val="0"/>
              <w:jc w:val="both"/>
              <w:rPr>
                <w:rFonts w:asciiTheme="majorHAnsi" w:hAnsiTheme="majorHAnsi"/>
                <w:bCs/>
                <w:sz w:val="16"/>
                <w:szCs w:val="16"/>
                <w:lang w:val="es-CR"/>
              </w:rPr>
            </w:pPr>
            <w:r w:rsidRPr="00083972">
              <w:rPr>
                <w:rFonts w:asciiTheme="majorHAnsi" w:hAnsiTheme="majorHAnsi"/>
                <w:bCs/>
                <w:sz w:val="16"/>
                <w:szCs w:val="16"/>
                <w:lang w:val="es-CR"/>
              </w:rPr>
              <w:t xml:space="preserve">Web Service, a través de archivos *.xml, de conformidad con </w:t>
            </w:r>
            <w:r w:rsidRPr="00083972">
              <w:rPr>
                <w:rFonts w:asciiTheme="majorHAnsi" w:hAnsiTheme="majorHAnsi"/>
                <w:bCs/>
                <w:i/>
                <w:sz w:val="16"/>
                <w:szCs w:val="16"/>
                <w:lang w:val="es-CR"/>
              </w:rPr>
              <w:t>Estándar de Negocio para Entidades de Seguros,</w:t>
            </w:r>
            <w:r w:rsidRPr="00083972">
              <w:rPr>
                <w:rFonts w:asciiTheme="majorHAnsi" w:hAnsiTheme="majorHAnsi"/>
                <w:bCs/>
                <w:sz w:val="16"/>
                <w:szCs w:val="16"/>
                <w:lang w:val="es-CR"/>
              </w:rPr>
              <w:t xml:space="preserve"> incluido en el </w:t>
            </w:r>
            <w:r w:rsidRPr="00083972">
              <w:rPr>
                <w:rFonts w:asciiTheme="majorHAnsi" w:hAnsiTheme="majorHAnsi"/>
                <w:b/>
                <w:bCs/>
                <w:sz w:val="16"/>
                <w:szCs w:val="16"/>
                <w:lang w:val="es-CR"/>
              </w:rPr>
              <w:t>Anexo 5.</w:t>
            </w:r>
          </w:p>
        </w:tc>
      </w:tr>
      <w:tr w:rsidR="00516BB1" w:rsidRPr="00083972" w14:paraId="56E7B64A" w14:textId="77777777" w:rsidTr="00F0100F">
        <w:trPr>
          <w:trHeight w:val="43"/>
          <w:jc w:val="center"/>
        </w:trPr>
        <w:tc>
          <w:tcPr>
            <w:tcW w:w="1244" w:type="pct"/>
            <w:noWrap/>
          </w:tcPr>
          <w:p w14:paraId="38381BB1" w14:textId="77777777" w:rsidR="00516BB1" w:rsidRPr="00083972" w:rsidRDefault="00516BB1" w:rsidP="00F0100F">
            <w:pPr>
              <w:pStyle w:val="Textoindependiente"/>
              <w:spacing w:after="0" w:line="240" w:lineRule="auto"/>
              <w:jc w:val="both"/>
              <w:rPr>
                <w:rFonts w:asciiTheme="majorHAnsi" w:hAnsiTheme="majorHAnsi"/>
                <w:b/>
                <w:sz w:val="16"/>
                <w:szCs w:val="16"/>
              </w:rPr>
            </w:pPr>
            <w:r w:rsidRPr="00083972">
              <w:rPr>
                <w:rFonts w:asciiTheme="majorHAnsi" w:hAnsiTheme="majorHAnsi"/>
                <w:b/>
                <w:sz w:val="16"/>
                <w:szCs w:val="16"/>
              </w:rPr>
              <w:t>Modelo 5 SSS: Saldos Contables</w:t>
            </w:r>
          </w:p>
        </w:tc>
        <w:tc>
          <w:tcPr>
            <w:tcW w:w="683" w:type="pct"/>
            <w:noWrap/>
          </w:tcPr>
          <w:p w14:paraId="5B8B2EC4" w14:textId="77777777" w:rsidR="00516BB1" w:rsidRPr="00083972" w:rsidRDefault="00516BB1" w:rsidP="00F0100F">
            <w:pPr>
              <w:widowControl w:val="0"/>
              <w:jc w:val="both"/>
              <w:rPr>
                <w:rFonts w:asciiTheme="majorHAnsi" w:hAnsiTheme="majorHAnsi"/>
                <w:bCs/>
                <w:sz w:val="16"/>
                <w:szCs w:val="16"/>
                <w:lang w:val="es-CR"/>
              </w:rPr>
            </w:pPr>
            <w:r w:rsidRPr="00083972">
              <w:rPr>
                <w:rFonts w:asciiTheme="majorHAnsi" w:hAnsiTheme="majorHAnsi"/>
                <w:sz w:val="16"/>
                <w:szCs w:val="16"/>
                <w:lang w:val="es-CR"/>
              </w:rPr>
              <w:t>Mensual</w:t>
            </w:r>
          </w:p>
        </w:tc>
        <w:tc>
          <w:tcPr>
            <w:tcW w:w="1147" w:type="pct"/>
            <w:noWrap/>
          </w:tcPr>
          <w:p w14:paraId="058DEA67" w14:textId="77777777" w:rsidR="00516BB1" w:rsidRPr="00083972" w:rsidRDefault="00516BB1" w:rsidP="00F0100F">
            <w:pPr>
              <w:widowControl w:val="0"/>
              <w:rPr>
                <w:rFonts w:asciiTheme="majorHAnsi" w:hAnsiTheme="majorHAnsi"/>
                <w:bCs/>
                <w:sz w:val="16"/>
                <w:szCs w:val="16"/>
                <w:lang w:val="es-CR"/>
              </w:rPr>
            </w:pPr>
            <w:r w:rsidRPr="00083972">
              <w:rPr>
                <w:rFonts w:asciiTheme="majorHAnsi" w:hAnsiTheme="majorHAnsi"/>
                <w:sz w:val="16"/>
                <w:szCs w:val="16"/>
                <w:lang w:val="es-CR"/>
              </w:rPr>
              <w:t>5 días hábiles después del cierre de cada mes.</w:t>
            </w:r>
          </w:p>
        </w:tc>
        <w:tc>
          <w:tcPr>
            <w:tcW w:w="1926" w:type="pct"/>
            <w:noWrap/>
          </w:tcPr>
          <w:p w14:paraId="306612B0" w14:textId="77777777" w:rsidR="00516BB1" w:rsidRPr="00083972" w:rsidRDefault="00516BB1" w:rsidP="00F0100F">
            <w:pPr>
              <w:widowControl w:val="0"/>
              <w:jc w:val="both"/>
              <w:rPr>
                <w:rFonts w:asciiTheme="majorHAnsi" w:hAnsiTheme="majorHAnsi"/>
                <w:bCs/>
                <w:sz w:val="16"/>
                <w:szCs w:val="16"/>
                <w:lang w:val="es-CR"/>
              </w:rPr>
            </w:pPr>
            <w:r w:rsidRPr="00083972">
              <w:rPr>
                <w:rFonts w:asciiTheme="majorHAnsi" w:hAnsiTheme="majorHAnsi"/>
                <w:sz w:val="16"/>
                <w:szCs w:val="16"/>
                <w:lang w:val="es-CR"/>
              </w:rPr>
              <w:t xml:space="preserve">Web Service, a través de archivos *.xml, de conformidad con Estándar de Negocio para Entidades de Seguros, incluido en el </w:t>
            </w:r>
            <w:r w:rsidRPr="00083972">
              <w:rPr>
                <w:rFonts w:asciiTheme="majorHAnsi" w:hAnsiTheme="majorHAnsi"/>
                <w:b/>
                <w:sz w:val="16"/>
                <w:szCs w:val="16"/>
                <w:lang w:val="es-CR"/>
              </w:rPr>
              <w:t>Anexo 5.</w:t>
            </w:r>
          </w:p>
        </w:tc>
      </w:tr>
      <w:tr w:rsidR="00516BB1" w:rsidRPr="00083972" w14:paraId="360D4D27" w14:textId="77777777" w:rsidTr="00F0100F">
        <w:trPr>
          <w:trHeight w:val="526"/>
          <w:jc w:val="center"/>
        </w:trPr>
        <w:tc>
          <w:tcPr>
            <w:tcW w:w="1244" w:type="pct"/>
            <w:noWrap/>
          </w:tcPr>
          <w:p w14:paraId="1249123F" w14:textId="77777777" w:rsidR="00516BB1" w:rsidRPr="00083972" w:rsidRDefault="00516BB1" w:rsidP="00F0100F">
            <w:pPr>
              <w:pStyle w:val="Textoindependiente"/>
              <w:spacing w:after="0" w:line="240" w:lineRule="auto"/>
              <w:jc w:val="both"/>
              <w:rPr>
                <w:rFonts w:asciiTheme="majorHAnsi" w:hAnsiTheme="majorHAnsi"/>
                <w:b/>
                <w:sz w:val="16"/>
                <w:szCs w:val="16"/>
              </w:rPr>
            </w:pPr>
            <w:r w:rsidRPr="00083972">
              <w:rPr>
                <w:rFonts w:asciiTheme="majorHAnsi" w:hAnsiTheme="majorHAnsi"/>
                <w:b/>
                <w:sz w:val="16"/>
                <w:szCs w:val="16"/>
              </w:rPr>
              <w:t xml:space="preserve">Modelo 6 SSS: Aporte a Bomberos </w:t>
            </w:r>
          </w:p>
        </w:tc>
        <w:tc>
          <w:tcPr>
            <w:tcW w:w="683" w:type="pct"/>
            <w:noWrap/>
          </w:tcPr>
          <w:p w14:paraId="184DBACE" w14:textId="77777777" w:rsidR="00516BB1" w:rsidRPr="00083972" w:rsidRDefault="00516BB1" w:rsidP="00F0100F">
            <w:pPr>
              <w:pStyle w:val="Textoindependiente"/>
              <w:spacing w:after="0" w:line="240" w:lineRule="auto"/>
              <w:jc w:val="both"/>
              <w:rPr>
                <w:rFonts w:asciiTheme="majorHAnsi" w:hAnsiTheme="majorHAnsi"/>
                <w:sz w:val="16"/>
                <w:szCs w:val="16"/>
              </w:rPr>
            </w:pPr>
            <w:r w:rsidRPr="00083972">
              <w:rPr>
                <w:rFonts w:asciiTheme="majorHAnsi" w:hAnsiTheme="majorHAnsi"/>
                <w:bCs/>
                <w:sz w:val="16"/>
                <w:szCs w:val="16"/>
              </w:rPr>
              <w:t>Mensual</w:t>
            </w:r>
          </w:p>
        </w:tc>
        <w:tc>
          <w:tcPr>
            <w:tcW w:w="1147" w:type="pct"/>
            <w:noWrap/>
          </w:tcPr>
          <w:p w14:paraId="790421FC" w14:textId="77777777" w:rsidR="00516BB1" w:rsidRPr="00083972" w:rsidRDefault="00516BB1" w:rsidP="00F0100F">
            <w:pPr>
              <w:pStyle w:val="Textoindependiente"/>
              <w:spacing w:after="0" w:line="240" w:lineRule="auto"/>
              <w:rPr>
                <w:rFonts w:asciiTheme="majorHAnsi" w:hAnsiTheme="majorHAnsi"/>
                <w:sz w:val="16"/>
                <w:szCs w:val="16"/>
              </w:rPr>
            </w:pPr>
            <w:r w:rsidRPr="00083972">
              <w:rPr>
                <w:rFonts w:asciiTheme="majorHAnsi" w:hAnsiTheme="majorHAnsi"/>
                <w:bCs/>
                <w:sz w:val="16"/>
                <w:szCs w:val="16"/>
              </w:rPr>
              <w:t>5 días hábiles después del cierre de cada mes.</w:t>
            </w:r>
          </w:p>
        </w:tc>
        <w:tc>
          <w:tcPr>
            <w:tcW w:w="1926" w:type="pct"/>
            <w:noWrap/>
          </w:tcPr>
          <w:p w14:paraId="2E98C6BF" w14:textId="77777777" w:rsidR="00516BB1" w:rsidRPr="00083972" w:rsidRDefault="00516BB1" w:rsidP="00F0100F">
            <w:pPr>
              <w:pStyle w:val="Textoindependiente"/>
              <w:spacing w:after="0" w:line="240" w:lineRule="auto"/>
              <w:jc w:val="both"/>
              <w:rPr>
                <w:rFonts w:asciiTheme="majorHAnsi" w:hAnsiTheme="majorHAnsi"/>
                <w:sz w:val="16"/>
                <w:szCs w:val="16"/>
              </w:rPr>
            </w:pPr>
            <w:r w:rsidRPr="00083972">
              <w:rPr>
                <w:rFonts w:asciiTheme="majorHAnsi" w:hAnsiTheme="majorHAnsi"/>
                <w:bCs/>
                <w:sz w:val="16"/>
                <w:szCs w:val="16"/>
              </w:rPr>
              <w:t xml:space="preserve">Web Service, a través de archivos *.xml, de conformidad con </w:t>
            </w:r>
            <w:r w:rsidRPr="00083972">
              <w:rPr>
                <w:rFonts w:asciiTheme="majorHAnsi" w:hAnsiTheme="majorHAnsi"/>
                <w:bCs/>
                <w:i/>
                <w:sz w:val="16"/>
                <w:szCs w:val="16"/>
              </w:rPr>
              <w:t>Estándar de Negocio para Entidades de Seguros,</w:t>
            </w:r>
            <w:r w:rsidRPr="00083972">
              <w:rPr>
                <w:rFonts w:asciiTheme="majorHAnsi" w:hAnsiTheme="majorHAnsi"/>
                <w:bCs/>
                <w:sz w:val="16"/>
                <w:szCs w:val="16"/>
              </w:rPr>
              <w:t xml:space="preserve"> incluido en el </w:t>
            </w:r>
            <w:r w:rsidRPr="00083972">
              <w:rPr>
                <w:rFonts w:asciiTheme="majorHAnsi" w:hAnsiTheme="majorHAnsi"/>
                <w:b/>
                <w:bCs/>
                <w:sz w:val="16"/>
                <w:szCs w:val="16"/>
              </w:rPr>
              <w:t>Anexo 5.</w:t>
            </w:r>
          </w:p>
        </w:tc>
      </w:tr>
      <w:tr w:rsidR="00516BB1" w:rsidRPr="00083972" w14:paraId="37FC2A42" w14:textId="77777777" w:rsidTr="00F0100F">
        <w:trPr>
          <w:trHeight w:val="43"/>
          <w:jc w:val="center"/>
        </w:trPr>
        <w:tc>
          <w:tcPr>
            <w:tcW w:w="1244" w:type="pct"/>
            <w:noWrap/>
          </w:tcPr>
          <w:p w14:paraId="37559AC0" w14:textId="77777777" w:rsidR="00516BB1" w:rsidRPr="00083972" w:rsidRDefault="00516BB1" w:rsidP="00F0100F">
            <w:pPr>
              <w:pStyle w:val="Textoindependiente"/>
              <w:spacing w:after="0" w:line="240" w:lineRule="auto"/>
              <w:jc w:val="both"/>
              <w:rPr>
                <w:rFonts w:asciiTheme="majorHAnsi" w:hAnsiTheme="majorHAnsi"/>
                <w:b/>
                <w:sz w:val="16"/>
                <w:szCs w:val="16"/>
              </w:rPr>
            </w:pPr>
            <w:r w:rsidRPr="00083972">
              <w:rPr>
                <w:rFonts w:asciiTheme="majorHAnsi" w:hAnsiTheme="majorHAnsi"/>
                <w:b/>
                <w:sz w:val="16"/>
                <w:szCs w:val="16"/>
              </w:rPr>
              <w:t xml:space="preserve">Modelo 7 SSS: Canales de Comercialización </w:t>
            </w:r>
          </w:p>
        </w:tc>
        <w:tc>
          <w:tcPr>
            <w:tcW w:w="683" w:type="pct"/>
            <w:noWrap/>
          </w:tcPr>
          <w:p w14:paraId="6A1E7976" w14:textId="77777777" w:rsidR="00516BB1" w:rsidRPr="00083972" w:rsidRDefault="00516BB1" w:rsidP="00F0100F">
            <w:pPr>
              <w:widowControl w:val="0"/>
              <w:jc w:val="both"/>
              <w:rPr>
                <w:rFonts w:asciiTheme="majorHAnsi" w:hAnsiTheme="majorHAnsi"/>
                <w:bCs/>
                <w:sz w:val="16"/>
                <w:szCs w:val="16"/>
                <w:lang w:val="es-CR"/>
              </w:rPr>
            </w:pPr>
            <w:r w:rsidRPr="00083972">
              <w:rPr>
                <w:rFonts w:asciiTheme="majorHAnsi" w:hAnsiTheme="majorHAnsi"/>
                <w:bCs/>
                <w:sz w:val="16"/>
                <w:szCs w:val="16"/>
                <w:lang w:val="es-CR"/>
              </w:rPr>
              <w:t>Trimestral</w:t>
            </w:r>
          </w:p>
        </w:tc>
        <w:tc>
          <w:tcPr>
            <w:tcW w:w="1147" w:type="pct"/>
            <w:noWrap/>
          </w:tcPr>
          <w:p w14:paraId="2E26892C" w14:textId="77777777" w:rsidR="00516BB1" w:rsidRPr="00083972" w:rsidRDefault="00516BB1" w:rsidP="00F0100F">
            <w:pPr>
              <w:widowControl w:val="0"/>
              <w:rPr>
                <w:rFonts w:asciiTheme="majorHAnsi" w:hAnsiTheme="majorHAnsi"/>
                <w:bCs/>
                <w:sz w:val="16"/>
                <w:szCs w:val="16"/>
                <w:lang w:val="es-CR"/>
              </w:rPr>
            </w:pPr>
            <w:r w:rsidRPr="00083972">
              <w:rPr>
                <w:rFonts w:asciiTheme="majorHAnsi" w:hAnsiTheme="majorHAnsi"/>
                <w:bCs/>
                <w:sz w:val="16"/>
                <w:szCs w:val="16"/>
                <w:lang w:val="es-CR"/>
              </w:rPr>
              <w:t>15 días hábiles después del cierre de los meses de marzo, junio, setiembre y diciembre</w:t>
            </w:r>
          </w:p>
        </w:tc>
        <w:tc>
          <w:tcPr>
            <w:tcW w:w="1926" w:type="pct"/>
            <w:noWrap/>
          </w:tcPr>
          <w:p w14:paraId="176926A4" w14:textId="77777777" w:rsidR="00516BB1" w:rsidRPr="00083972" w:rsidRDefault="00516BB1" w:rsidP="00F0100F">
            <w:pPr>
              <w:widowControl w:val="0"/>
              <w:jc w:val="both"/>
              <w:rPr>
                <w:rFonts w:asciiTheme="majorHAnsi" w:hAnsiTheme="majorHAnsi"/>
                <w:bCs/>
                <w:sz w:val="16"/>
                <w:szCs w:val="16"/>
                <w:lang w:val="es-CR"/>
              </w:rPr>
            </w:pPr>
            <w:r w:rsidRPr="00083972">
              <w:rPr>
                <w:rFonts w:asciiTheme="majorHAnsi" w:hAnsiTheme="majorHAnsi"/>
                <w:bCs/>
                <w:sz w:val="16"/>
                <w:szCs w:val="16"/>
                <w:lang w:val="es-CR"/>
              </w:rPr>
              <w:t xml:space="preserve">Web Service, a través de archivos *.xml, de conformidad con </w:t>
            </w:r>
            <w:r w:rsidRPr="00083972">
              <w:rPr>
                <w:rFonts w:asciiTheme="majorHAnsi" w:hAnsiTheme="majorHAnsi"/>
                <w:bCs/>
                <w:i/>
                <w:sz w:val="16"/>
                <w:szCs w:val="16"/>
                <w:lang w:val="es-CR"/>
              </w:rPr>
              <w:t>Estándar de Negocio para Entidades de Seguros,</w:t>
            </w:r>
            <w:r w:rsidRPr="00083972">
              <w:rPr>
                <w:rFonts w:asciiTheme="majorHAnsi" w:hAnsiTheme="majorHAnsi"/>
                <w:bCs/>
                <w:sz w:val="16"/>
                <w:szCs w:val="16"/>
                <w:lang w:val="es-CR"/>
              </w:rPr>
              <w:t xml:space="preserve"> incluido en el </w:t>
            </w:r>
            <w:r w:rsidRPr="00083972">
              <w:rPr>
                <w:rFonts w:asciiTheme="majorHAnsi" w:hAnsiTheme="majorHAnsi"/>
                <w:b/>
                <w:bCs/>
                <w:sz w:val="16"/>
                <w:szCs w:val="16"/>
                <w:lang w:val="es-CR"/>
              </w:rPr>
              <w:t>Anexo 5.</w:t>
            </w:r>
          </w:p>
        </w:tc>
      </w:tr>
      <w:tr w:rsidR="00516BB1" w:rsidRPr="00083972" w14:paraId="37C1B17D" w14:textId="77777777" w:rsidTr="00F0100F">
        <w:trPr>
          <w:trHeight w:val="514"/>
          <w:jc w:val="center"/>
        </w:trPr>
        <w:tc>
          <w:tcPr>
            <w:tcW w:w="1244" w:type="pct"/>
            <w:noWrap/>
          </w:tcPr>
          <w:p w14:paraId="5FEE0728" w14:textId="77777777" w:rsidR="00516BB1" w:rsidRPr="00083972" w:rsidRDefault="00516BB1" w:rsidP="00F0100F">
            <w:pPr>
              <w:pStyle w:val="Textoindependiente"/>
              <w:spacing w:after="0" w:line="240" w:lineRule="auto"/>
              <w:jc w:val="both"/>
              <w:rPr>
                <w:rFonts w:asciiTheme="majorHAnsi" w:hAnsiTheme="majorHAnsi"/>
                <w:b/>
                <w:sz w:val="16"/>
                <w:szCs w:val="16"/>
              </w:rPr>
            </w:pPr>
            <w:r w:rsidRPr="00083972">
              <w:rPr>
                <w:rFonts w:asciiTheme="majorHAnsi" w:hAnsiTheme="majorHAnsi"/>
                <w:b/>
                <w:sz w:val="16"/>
                <w:szCs w:val="16"/>
              </w:rPr>
              <w:t>Modelo 8 SSS: Producción y Población Asegurada</w:t>
            </w:r>
          </w:p>
        </w:tc>
        <w:tc>
          <w:tcPr>
            <w:tcW w:w="683" w:type="pct"/>
            <w:noWrap/>
          </w:tcPr>
          <w:p w14:paraId="499579EC" w14:textId="77777777" w:rsidR="00516BB1" w:rsidRPr="00083972" w:rsidRDefault="00516BB1" w:rsidP="00F0100F">
            <w:pPr>
              <w:widowControl w:val="0"/>
              <w:jc w:val="both"/>
              <w:rPr>
                <w:rFonts w:asciiTheme="majorHAnsi" w:hAnsiTheme="majorHAnsi"/>
                <w:bCs/>
                <w:sz w:val="16"/>
                <w:szCs w:val="16"/>
                <w:lang w:val="es-CR"/>
              </w:rPr>
            </w:pPr>
            <w:r w:rsidRPr="00083972">
              <w:rPr>
                <w:rFonts w:asciiTheme="majorHAnsi" w:hAnsiTheme="majorHAnsi"/>
                <w:bCs/>
                <w:sz w:val="16"/>
                <w:szCs w:val="16"/>
                <w:lang w:val="es-CR"/>
              </w:rPr>
              <w:t>Trimestral</w:t>
            </w:r>
          </w:p>
        </w:tc>
        <w:tc>
          <w:tcPr>
            <w:tcW w:w="1147" w:type="pct"/>
            <w:noWrap/>
          </w:tcPr>
          <w:p w14:paraId="06733E43" w14:textId="77777777" w:rsidR="00516BB1" w:rsidRPr="00083972" w:rsidRDefault="00516BB1" w:rsidP="00F0100F">
            <w:pPr>
              <w:widowControl w:val="0"/>
              <w:rPr>
                <w:rFonts w:asciiTheme="majorHAnsi" w:hAnsiTheme="majorHAnsi"/>
                <w:bCs/>
                <w:sz w:val="16"/>
                <w:szCs w:val="16"/>
                <w:lang w:val="es-CR"/>
              </w:rPr>
            </w:pPr>
            <w:r w:rsidRPr="00083972">
              <w:rPr>
                <w:rFonts w:asciiTheme="majorHAnsi" w:hAnsiTheme="majorHAnsi"/>
                <w:bCs/>
                <w:sz w:val="16"/>
                <w:szCs w:val="16"/>
                <w:lang w:val="es-CR"/>
              </w:rPr>
              <w:t>15 días hábiles después del cierre de los meses de marzo, junio, setiembre y diciembre</w:t>
            </w:r>
          </w:p>
        </w:tc>
        <w:tc>
          <w:tcPr>
            <w:tcW w:w="1926" w:type="pct"/>
            <w:noWrap/>
          </w:tcPr>
          <w:p w14:paraId="0E28368F" w14:textId="77777777" w:rsidR="00516BB1" w:rsidRPr="00083972" w:rsidRDefault="00516BB1" w:rsidP="00F0100F">
            <w:pPr>
              <w:widowControl w:val="0"/>
              <w:jc w:val="both"/>
              <w:rPr>
                <w:rFonts w:asciiTheme="majorHAnsi" w:hAnsiTheme="majorHAnsi"/>
                <w:bCs/>
                <w:sz w:val="16"/>
                <w:szCs w:val="16"/>
                <w:lang w:val="es-CR"/>
              </w:rPr>
            </w:pPr>
            <w:r w:rsidRPr="00083972">
              <w:rPr>
                <w:rFonts w:asciiTheme="majorHAnsi" w:hAnsiTheme="majorHAnsi"/>
                <w:bCs/>
                <w:sz w:val="16"/>
                <w:szCs w:val="16"/>
                <w:lang w:val="es-CR"/>
              </w:rPr>
              <w:t xml:space="preserve">Web Service, a través de archivos *.xml, de conformidad con </w:t>
            </w:r>
            <w:r w:rsidRPr="00083972">
              <w:rPr>
                <w:rFonts w:asciiTheme="majorHAnsi" w:hAnsiTheme="majorHAnsi"/>
                <w:bCs/>
                <w:i/>
                <w:sz w:val="16"/>
                <w:szCs w:val="16"/>
                <w:lang w:val="es-CR"/>
              </w:rPr>
              <w:t>Estándar de Negocio para Entidades de Seguros,</w:t>
            </w:r>
            <w:r w:rsidRPr="00083972">
              <w:rPr>
                <w:rFonts w:asciiTheme="majorHAnsi" w:hAnsiTheme="majorHAnsi"/>
                <w:bCs/>
                <w:sz w:val="16"/>
                <w:szCs w:val="16"/>
                <w:lang w:val="es-CR"/>
              </w:rPr>
              <w:t xml:space="preserve"> incluido en el </w:t>
            </w:r>
            <w:r w:rsidRPr="00083972">
              <w:rPr>
                <w:rFonts w:asciiTheme="majorHAnsi" w:hAnsiTheme="majorHAnsi"/>
                <w:b/>
                <w:bCs/>
                <w:sz w:val="16"/>
                <w:szCs w:val="16"/>
                <w:lang w:val="es-CR"/>
              </w:rPr>
              <w:t>Anexo 5</w:t>
            </w:r>
          </w:p>
        </w:tc>
      </w:tr>
      <w:tr w:rsidR="00516BB1" w:rsidRPr="00083972" w14:paraId="731D5C0E" w14:textId="77777777" w:rsidTr="00F0100F">
        <w:trPr>
          <w:trHeight w:val="43"/>
          <w:jc w:val="center"/>
        </w:trPr>
        <w:tc>
          <w:tcPr>
            <w:tcW w:w="1244" w:type="pct"/>
            <w:shd w:val="clear" w:color="auto" w:fill="auto"/>
            <w:noWrap/>
          </w:tcPr>
          <w:p w14:paraId="1CC2E254" w14:textId="77777777" w:rsidR="00516BB1" w:rsidRPr="000C0D6F" w:rsidRDefault="00516BB1" w:rsidP="00F0100F">
            <w:pPr>
              <w:pStyle w:val="Textoindependiente"/>
              <w:spacing w:after="0" w:line="240" w:lineRule="auto"/>
              <w:jc w:val="both"/>
              <w:rPr>
                <w:rFonts w:asciiTheme="majorHAnsi" w:hAnsiTheme="majorHAnsi"/>
                <w:b/>
                <w:sz w:val="16"/>
                <w:szCs w:val="16"/>
              </w:rPr>
            </w:pPr>
            <w:r w:rsidRPr="000C0D6F">
              <w:rPr>
                <w:rFonts w:asciiTheme="majorHAnsi" w:hAnsiTheme="majorHAnsi"/>
                <w:b/>
                <w:sz w:val="16"/>
                <w:szCs w:val="16"/>
              </w:rPr>
              <w:t>Modelo 9: Run Off</w:t>
            </w:r>
          </w:p>
        </w:tc>
        <w:tc>
          <w:tcPr>
            <w:tcW w:w="683" w:type="pct"/>
            <w:shd w:val="clear" w:color="auto" w:fill="auto"/>
            <w:noWrap/>
          </w:tcPr>
          <w:p w14:paraId="7B7162CA" w14:textId="77777777" w:rsidR="00516BB1" w:rsidRPr="000C0D6F" w:rsidRDefault="00516BB1" w:rsidP="00F0100F">
            <w:pPr>
              <w:widowControl w:val="0"/>
              <w:jc w:val="both"/>
              <w:rPr>
                <w:rFonts w:asciiTheme="majorHAnsi" w:hAnsiTheme="majorHAnsi"/>
                <w:bCs/>
                <w:sz w:val="16"/>
                <w:szCs w:val="16"/>
                <w:lang w:val="es-CR"/>
              </w:rPr>
            </w:pPr>
            <w:r w:rsidRPr="000C0D6F">
              <w:rPr>
                <w:rFonts w:asciiTheme="majorHAnsi" w:hAnsiTheme="majorHAnsi"/>
                <w:bCs/>
                <w:sz w:val="16"/>
                <w:szCs w:val="16"/>
                <w:lang w:val="es-CR"/>
              </w:rPr>
              <w:t>Trimestral</w:t>
            </w:r>
          </w:p>
        </w:tc>
        <w:tc>
          <w:tcPr>
            <w:tcW w:w="1147" w:type="pct"/>
            <w:shd w:val="clear" w:color="auto" w:fill="auto"/>
            <w:noWrap/>
          </w:tcPr>
          <w:p w14:paraId="47E7DB04" w14:textId="77777777" w:rsidR="00516BB1" w:rsidRPr="000C0D6F" w:rsidRDefault="00516BB1" w:rsidP="00F0100F">
            <w:pPr>
              <w:widowControl w:val="0"/>
              <w:rPr>
                <w:rFonts w:asciiTheme="majorHAnsi" w:hAnsiTheme="majorHAnsi"/>
                <w:bCs/>
                <w:sz w:val="16"/>
                <w:szCs w:val="16"/>
                <w:lang w:val="es-CR"/>
              </w:rPr>
            </w:pPr>
            <w:r w:rsidRPr="000C0D6F">
              <w:rPr>
                <w:rFonts w:asciiTheme="majorHAnsi" w:hAnsiTheme="majorHAnsi"/>
                <w:bCs/>
                <w:sz w:val="16"/>
                <w:szCs w:val="16"/>
                <w:lang w:val="es-CR"/>
              </w:rPr>
              <w:t>15 días hábiles después del cierre de los meses de marzo, junio, setiembre y diciembre</w:t>
            </w:r>
          </w:p>
        </w:tc>
        <w:tc>
          <w:tcPr>
            <w:tcW w:w="1926" w:type="pct"/>
            <w:shd w:val="clear" w:color="auto" w:fill="auto"/>
            <w:noWrap/>
          </w:tcPr>
          <w:p w14:paraId="24C9F734" w14:textId="77777777" w:rsidR="00516BB1" w:rsidRPr="000C0D6F" w:rsidRDefault="00516BB1" w:rsidP="00F0100F">
            <w:pPr>
              <w:widowControl w:val="0"/>
              <w:jc w:val="both"/>
              <w:rPr>
                <w:rFonts w:asciiTheme="majorHAnsi" w:hAnsiTheme="majorHAnsi"/>
                <w:bCs/>
                <w:sz w:val="16"/>
                <w:szCs w:val="16"/>
                <w:lang w:val="es-CR"/>
              </w:rPr>
            </w:pPr>
            <w:r w:rsidRPr="000C0D6F">
              <w:rPr>
                <w:rFonts w:asciiTheme="majorHAnsi" w:hAnsiTheme="majorHAnsi"/>
                <w:bCs/>
                <w:sz w:val="16"/>
                <w:szCs w:val="16"/>
                <w:lang w:val="es-CR"/>
              </w:rPr>
              <w:t xml:space="preserve">Web Service, a través de archivos *.xml, de conformidad con </w:t>
            </w:r>
            <w:r w:rsidRPr="000C0D6F">
              <w:rPr>
                <w:rFonts w:asciiTheme="majorHAnsi" w:hAnsiTheme="majorHAnsi"/>
                <w:bCs/>
                <w:i/>
                <w:sz w:val="16"/>
                <w:szCs w:val="16"/>
                <w:lang w:val="es-CR"/>
              </w:rPr>
              <w:t>Estándar de Negocio para Entidades de Seguros,</w:t>
            </w:r>
            <w:r w:rsidRPr="000C0D6F">
              <w:rPr>
                <w:rFonts w:asciiTheme="majorHAnsi" w:hAnsiTheme="majorHAnsi"/>
                <w:bCs/>
                <w:sz w:val="16"/>
                <w:szCs w:val="16"/>
                <w:lang w:val="es-CR"/>
              </w:rPr>
              <w:t xml:space="preserve"> incluido en el </w:t>
            </w:r>
            <w:r w:rsidRPr="000C0D6F">
              <w:rPr>
                <w:rFonts w:asciiTheme="majorHAnsi" w:hAnsiTheme="majorHAnsi"/>
                <w:b/>
                <w:bCs/>
                <w:sz w:val="16"/>
                <w:szCs w:val="16"/>
                <w:lang w:val="es-CR"/>
              </w:rPr>
              <w:t>Anexo 5</w:t>
            </w:r>
          </w:p>
        </w:tc>
      </w:tr>
      <w:tr w:rsidR="00516BB1" w:rsidRPr="00083972" w14:paraId="35AE6AEA" w14:textId="77777777" w:rsidTr="00F0100F">
        <w:trPr>
          <w:trHeight w:val="427"/>
          <w:jc w:val="center"/>
        </w:trPr>
        <w:tc>
          <w:tcPr>
            <w:tcW w:w="1244" w:type="pct"/>
            <w:shd w:val="clear" w:color="auto" w:fill="auto"/>
            <w:noWrap/>
          </w:tcPr>
          <w:p w14:paraId="486180F1" w14:textId="77777777" w:rsidR="00516BB1" w:rsidRPr="000C0D6F" w:rsidRDefault="00516BB1" w:rsidP="00F0100F">
            <w:pPr>
              <w:pStyle w:val="Textoindependiente"/>
              <w:spacing w:after="0" w:line="240" w:lineRule="auto"/>
              <w:jc w:val="both"/>
              <w:rPr>
                <w:rFonts w:asciiTheme="majorHAnsi" w:hAnsiTheme="majorHAnsi"/>
                <w:b/>
                <w:sz w:val="16"/>
                <w:szCs w:val="16"/>
              </w:rPr>
            </w:pPr>
            <w:r w:rsidRPr="000C0D6F">
              <w:rPr>
                <w:rFonts w:asciiTheme="majorHAnsi" w:hAnsiTheme="majorHAnsi"/>
                <w:b/>
                <w:sz w:val="16"/>
                <w:szCs w:val="16"/>
              </w:rPr>
              <w:t>Modelo 10 SSS: Seguros paritarios</w:t>
            </w:r>
          </w:p>
        </w:tc>
        <w:tc>
          <w:tcPr>
            <w:tcW w:w="683" w:type="pct"/>
            <w:shd w:val="clear" w:color="auto" w:fill="auto"/>
            <w:noWrap/>
          </w:tcPr>
          <w:p w14:paraId="5F9C8121" w14:textId="77777777" w:rsidR="00516BB1" w:rsidRPr="000C0D6F" w:rsidRDefault="00516BB1" w:rsidP="00F0100F">
            <w:pPr>
              <w:widowControl w:val="0"/>
              <w:jc w:val="both"/>
              <w:rPr>
                <w:rFonts w:asciiTheme="majorHAnsi" w:hAnsiTheme="majorHAnsi"/>
                <w:bCs/>
                <w:sz w:val="16"/>
                <w:szCs w:val="16"/>
                <w:lang w:val="es-CR"/>
              </w:rPr>
            </w:pPr>
            <w:r w:rsidRPr="000C0D6F">
              <w:rPr>
                <w:rFonts w:asciiTheme="majorHAnsi" w:hAnsiTheme="majorHAnsi"/>
                <w:bCs/>
                <w:sz w:val="16"/>
                <w:szCs w:val="16"/>
                <w:lang w:val="es-CR"/>
              </w:rPr>
              <w:t>Trimestral</w:t>
            </w:r>
          </w:p>
        </w:tc>
        <w:tc>
          <w:tcPr>
            <w:tcW w:w="1147" w:type="pct"/>
            <w:shd w:val="clear" w:color="auto" w:fill="auto"/>
            <w:noWrap/>
          </w:tcPr>
          <w:p w14:paraId="1212B831" w14:textId="77777777" w:rsidR="00516BB1" w:rsidRPr="000C0D6F" w:rsidRDefault="00516BB1" w:rsidP="00F0100F">
            <w:pPr>
              <w:widowControl w:val="0"/>
              <w:rPr>
                <w:rFonts w:asciiTheme="majorHAnsi" w:hAnsiTheme="majorHAnsi"/>
                <w:bCs/>
                <w:sz w:val="16"/>
                <w:szCs w:val="16"/>
                <w:lang w:val="es-CR"/>
              </w:rPr>
            </w:pPr>
            <w:r w:rsidRPr="000C0D6F">
              <w:rPr>
                <w:rFonts w:asciiTheme="majorHAnsi" w:hAnsiTheme="majorHAnsi"/>
                <w:bCs/>
                <w:sz w:val="16"/>
                <w:szCs w:val="16"/>
                <w:lang w:val="es-CR"/>
              </w:rPr>
              <w:t>15 días hábiles después del cierre de los meses de marzo, junio, setiembre y diciembre</w:t>
            </w:r>
          </w:p>
        </w:tc>
        <w:tc>
          <w:tcPr>
            <w:tcW w:w="1926" w:type="pct"/>
            <w:shd w:val="clear" w:color="auto" w:fill="auto"/>
            <w:noWrap/>
          </w:tcPr>
          <w:p w14:paraId="7330E42C" w14:textId="77777777" w:rsidR="00516BB1" w:rsidRPr="000C0D6F" w:rsidRDefault="00516BB1" w:rsidP="00F0100F">
            <w:pPr>
              <w:widowControl w:val="0"/>
              <w:jc w:val="both"/>
              <w:rPr>
                <w:rFonts w:asciiTheme="majorHAnsi" w:hAnsiTheme="majorHAnsi"/>
                <w:bCs/>
                <w:sz w:val="16"/>
                <w:szCs w:val="16"/>
                <w:lang w:val="es-CR"/>
              </w:rPr>
            </w:pPr>
            <w:r w:rsidRPr="000C0D6F">
              <w:rPr>
                <w:rFonts w:asciiTheme="majorHAnsi" w:hAnsiTheme="majorHAnsi"/>
                <w:bCs/>
                <w:sz w:val="16"/>
                <w:szCs w:val="16"/>
                <w:lang w:val="es-CR"/>
              </w:rPr>
              <w:t xml:space="preserve">Web Service, a través de archivos *.xml, de conformidad con </w:t>
            </w:r>
            <w:r w:rsidRPr="000C0D6F">
              <w:rPr>
                <w:rFonts w:asciiTheme="majorHAnsi" w:hAnsiTheme="majorHAnsi"/>
                <w:bCs/>
                <w:i/>
                <w:sz w:val="16"/>
                <w:szCs w:val="16"/>
                <w:lang w:val="es-CR"/>
              </w:rPr>
              <w:t>Estándar de Negocio para Entidades de Seguros,</w:t>
            </w:r>
            <w:r w:rsidRPr="000C0D6F">
              <w:rPr>
                <w:rFonts w:asciiTheme="majorHAnsi" w:hAnsiTheme="majorHAnsi"/>
                <w:bCs/>
                <w:sz w:val="16"/>
                <w:szCs w:val="16"/>
                <w:lang w:val="es-CR"/>
              </w:rPr>
              <w:t xml:space="preserve"> incluido en el </w:t>
            </w:r>
            <w:r w:rsidRPr="000C0D6F">
              <w:rPr>
                <w:rFonts w:asciiTheme="majorHAnsi" w:hAnsiTheme="majorHAnsi"/>
                <w:b/>
                <w:bCs/>
                <w:sz w:val="16"/>
                <w:szCs w:val="16"/>
                <w:lang w:val="es-CR"/>
              </w:rPr>
              <w:t>Anexo 5</w:t>
            </w:r>
          </w:p>
        </w:tc>
      </w:tr>
      <w:tr w:rsidR="00516BB1" w:rsidRPr="00083972" w14:paraId="01B6FC88" w14:textId="77777777" w:rsidTr="00F0100F">
        <w:trPr>
          <w:trHeight w:val="249"/>
          <w:jc w:val="center"/>
        </w:trPr>
        <w:tc>
          <w:tcPr>
            <w:tcW w:w="1244" w:type="pct"/>
            <w:shd w:val="clear" w:color="auto" w:fill="auto"/>
            <w:noWrap/>
          </w:tcPr>
          <w:p w14:paraId="7F486174" w14:textId="77777777" w:rsidR="00516BB1" w:rsidRPr="000C0D6F" w:rsidRDefault="00516BB1" w:rsidP="00F0100F">
            <w:pPr>
              <w:widowControl w:val="0"/>
              <w:jc w:val="both"/>
              <w:rPr>
                <w:rFonts w:asciiTheme="majorHAnsi" w:hAnsiTheme="majorHAnsi"/>
                <w:b/>
                <w:sz w:val="16"/>
                <w:szCs w:val="16"/>
                <w:lang w:val="es-CR"/>
              </w:rPr>
            </w:pPr>
            <w:r w:rsidRPr="000C0D6F">
              <w:rPr>
                <w:rFonts w:asciiTheme="majorHAnsi" w:hAnsiTheme="majorHAnsi"/>
                <w:b/>
                <w:sz w:val="16"/>
                <w:szCs w:val="16"/>
                <w:lang w:val="es-CR"/>
              </w:rPr>
              <w:t>Modelo 11 SSS: Primas y Siniestros</w:t>
            </w:r>
          </w:p>
        </w:tc>
        <w:tc>
          <w:tcPr>
            <w:tcW w:w="683" w:type="pct"/>
            <w:shd w:val="clear" w:color="auto" w:fill="auto"/>
            <w:noWrap/>
          </w:tcPr>
          <w:p w14:paraId="16CFA62A" w14:textId="77777777" w:rsidR="00516BB1" w:rsidRPr="000C0D6F" w:rsidRDefault="00516BB1" w:rsidP="00F0100F">
            <w:pPr>
              <w:widowControl w:val="0"/>
              <w:jc w:val="both"/>
              <w:rPr>
                <w:rFonts w:asciiTheme="majorHAnsi" w:hAnsiTheme="majorHAnsi"/>
                <w:sz w:val="16"/>
                <w:szCs w:val="16"/>
                <w:lang w:val="es-CR"/>
              </w:rPr>
            </w:pPr>
            <w:r w:rsidRPr="000C0D6F">
              <w:rPr>
                <w:rFonts w:asciiTheme="majorHAnsi" w:hAnsiTheme="majorHAnsi"/>
                <w:sz w:val="16"/>
                <w:szCs w:val="16"/>
                <w:lang w:val="es-CR"/>
              </w:rPr>
              <w:t>Mensual</w:t>
            </w:r>
          </w:p>
        </w:tc>
        <w:tc>
          <w:tcPr>
            <w:tcW w:w="1147" w:type="pct"/>
            <w:shd w:val="clear" w:color="auto" w:fill="auto"/>
            <w:noWrap/>
          </w:tcPr>
          <w:p w14:paraId="37265906" w14:textId="77777777" w:rsidR="00516BB1" w:rsidRPr="000C0D6F" w:rsidRDefault="00516BB1" w:rsidP="00F0100F">
            <w:pPr>
              <w:widowControl w:val="0"/>
              <w:ind w:left="53"/>
              <w:rPr>
                <w:rFonts w:asciiTheme="majorHAnsi" w:hAnsiTheme="majorHAnsi"/>
                <w:sz w:val="16"/>
                <w:szCs w:val="16"/>
                <w:lang w:val="es-CR"/>
              </w:rPr>
            </w:pPr>
            <w:r w:rsidRPr="000C0D6F">
              <w:rPr>
                <w:rFonts w:asciiTheme="majorHAnsi" w:hAnsiTheme="majorHAnsi"/>
                <w:sz w:val="16"/>
                <w:szCs w:val="16"/>
                <w:lang w:val="es-CR"/>
              </w:rPr>
              <w:t>10 días hábiles después del cierre de cada mes.</w:t>
            </w:r>
          </w:p>
          <w:p w14:paraId="553204C2" w14:textId="77777777" w:rsidR="00516BB1" w:rsidRPr="000C0D6F" w:rsidRDefault="00516BB1" w:rsidP="00F0100F">
            <w:pPr>
              <w:widowControl w:val="0"/>
              <w:ind w:left="53"/>
              <w:rPr>
                <w:rFonts w:asciiTheme="majorHAnsi" w:hAnsiTheme="majorHAnsi"/>
                <w:sz w:val="16"/>
                <w:szCs w:val="16"/>
                <w:lang w:val="es-CR"/>
              </w:rPr>
            </w:pPr>
          </w:p>
        </w:tc>
        <w:tc>
          <w:tcPr>
            <w:tcW w:w="1926" w:type="pct"/>
            <w:shd w:val="clear" w:color="auto" w:fill="auto"/>
            <w:noWrap/>
          </w:tcPr>
          <w:p w14:paraId="7AED6E8C" w14:textId="77777777" w:rsidR="00516BB1" w:rsidRPr="000C0D6F" w:rsidRDefault="00516BB1" w:rsidP="00F0100F">
            <w:pPr>
              <w:widowControl w:val="0"/>
              <w:jc w:val="both"/>
              <w:rPr>
                <w:rFonts w:asciiTheme="majorHAnsi" w:hAnsiTheme="majorHAnsi"/>
                <w:sz w:val="16"/>
                <w:szCs w:val="16"/>
                <w:lang w:val="es-CR"/>
              </w:rPr>
            </w:pPr>
            <w:r w:rsidRPr="000C0D6F">
              <w:rPr>
                <w:rFonts w:asciiTheme="majorHAnsi" w:hAnsiTheme="majorHAnsi"/>
                <w:bCs/>
                <w:sz w:val="16"/>
                <w:szCs w:val="16"/>
                <w:lang w:val="es-CR"/>
              </w:rPr>
              <w:t xml:space="preserve">Web Service, a través de archivos *.xml, de conformidad con </w:t>
            </w:r>
            <w:r w:rsidRPr="000C0D6F">
              <w:rPr>
                <w:rFonts w:asciiTheme="majorHAnsi" w:hAnsiTheme="majorHAnsi"/>
                <w:bCs/>
                <w:i/>
                <w:sz w:val="16"/>
                <w:szCs w:val="16"/>
                <w:lang w:val="es-CR"/>
              </w:rPr>
              <w:t>Estándar de Negocio para Entidades de Seguros,</w:t>
            </w:r>
            <w:r w:rsidRPr="000C0D6F">
              <w:rPr>
                <w:rFonts w:asciiTheme="majorHAnsi" w:hAnsiTheme="majorHAnsi"/>
                <w:bCs/>
                <w:sz w:val="16"/>
                <w:szCs w:val="16"/>
                <w:lang w:val="es-CR"/>
              </w:rPr>
              <w:t xml:space="preserve"> incluido en el </w:t>
            </w:r>
            <w:r w:rsidRPr="000C0D6F">
              <w:rPr>
                <w:rFonts w:asciiTheme="majorHAnsi" w:hAnsiTheme="majorHAnsi"/>
                <w:b/>
                <w:bCs/>
                <w:sz w:val="16"/>
                <w:szCs w:val="16"/>
                <w:lang w:val="es-CR"/>
              </w:rPr>
              <w:t>Anexo 5.</w:t>
            </w:r>
          </w:p>
        </w:tc>
      </w:tr>
      <w:tr w:rsidR="00516BB1" w:rsidRPr="00083972" w14:paraId="392FD9F0" w14:textId="77777777" w:rsidTr="00F0100F">
        <w:trPr>
          <w:trHeight w:val="545"/>
          <w:jc w:val="center"/>
        </w:trPr>
        <w:tc>
          <w:tcPr>
            <w:tcW w:w="1244" w:type="pct"/>
            <w:shd w:val="clear" w:color="auto" w:fill="auto"/>
            <w:noWrap/>
          </w:tcPr>
          <w:p w14:paraId="640290B2" w14:textId="77777777" w:rsidR="00516BB1" w:rsidRPr="000C0D6F" w:rsidRDefault="00516BB1" w:rsidP="00F0100F">
            <w:pPr>
              <w:widowControl w:val="0"/>
              <w:jc w:val="both"/>
              <w:rPr>
                <w:rFonts w:asciiTheme="majorHAnsi" w:hAnsiTheme="majorHAnsi"/>
                <w:b/>
                <w:sz w:val="16"/>
                <w:szCs w:val="16"/>
                <w:lang w:val="es-CR"/>
              </w:rPr>
            </w:pPr>
            <w:r w:rsidRPr="000C0D6F">
              <w:rPr>
                <w:rFonts w:asciiTheme="majorHAnsi" w:hAnsiTheme="majorHAnsi"/>
                <w:b/>
                <w:sz w:val="16"/>
                <w:szCs w:val="16"/>
                <w:lang w:val="es-CR"/>
              </w:rPr>
              <w:t>Modelo 12 SSS: Aporte a INEC</w:t>
            </w:r>
            <w:r w:rsidRPr="000C0D6F">
              <w:rPr>
                <w:rStyle w:val="Refdenotaalpie"/>
                <w:rFonts w:asciiTheme="majorHAnsi" w:hAnsiTheme="majorHAnsi"/>
                <w:sz w:val="16"/>
                <w:szCs w:val="16"/>
                <w:lang w:val="es-CR"/>
              </w:rPr>
              <w:footnoteReference w:id="1"/>
            </w:r>
          </w:p>
        </w:tc>
        <w:tc>
          <w:tcPr>
            <w:tcW w:w="683" w:type="pct"/>
            <w:shd w:val="clear" w:color="auto" w:fill="auto"/>
            <w:noWrap/>
          </w:tcPr>
          <w:p w14:paraId="5175EBB6" w14:textId="77777777" w:rsidR="00516BB1" w:rsidRPr="000C0D6F" w:rsidRDefault="00516BB1" w:rsidP="00F0100F">
            <w:pPr>
              <w:widowControl w:val="0"/>
              <w:jc w:val="both"/>
              <w:rPr>
                <w:rFonts w:asciiTheme="majorHAnsi" w:hAnsiTheme="majorHAnsi"/>
                <w:bCs/>
                <w:sz w:val="16"/>
                <w:szCs w:val="16"/>
                <w:lang w:val="es-CR"/>
              </w:rPr>
            </w:pPr>
            <w:r w:rsidRPr="000C0D6F">
              <w:rPr>
                <w:rFonts w:asciiTheme="majorHAnsi" w:hAnsiTheme="majorHAnsi"/>
                <w:bCs/>
                <w:sz w:val="16"/>
                <w:szCs w:val="16"/>
                <w:lang w:val="es-CR"/>
              </w:rPr>
              <w:t>Mensual</w:t>
            </w:r>
          </w:p>
        </w:tc>
        <w:tc>
          <w:tcPr>
            <w:tcW w:w="1147" w:type="pct"/>
            <w:shd w:val="clear" w:color="auto" w:fill="auto"/>
            <w:noWrap/>
          </w:tcPr>
          <w:p w14:paraId="33E076F1" w14:textId="77777777" w:rsidR="00516BB1" w:rsidRPr="000C0D6F" w:rsidRDefault="00516BB1" w:rsidP="00F0100F">
            <w:pPr>
              <w:widowControl w:val="0"/>
              <w:jc w:val="both"/>
              <w:rPr>
                <w:rFonts w:asciiTheme="majorHAnsi" w:hAnsiTheme="majorHAnsi"/>
                <w:bCs/>
                <w:sz w:val="16"/>
                <w:szCs w:val="16"/>
                <w:lang w:val="es-CR"/>
              </w:rPr>
            </w:pPr>
            <w:r w:rsidRPr="000C0D6F">
              <w:rPr>
                <w:rFonts w:asciiTheme="majorHAnsi" w:hAnsiTheme="majorHAnsi"/>
                <w:bCs/>
                <w:sz w:val="16"/>
                <w:szCs w:val="16"/>
                <w:lang w:val="es-CR"/>
              </w:rPr>
              <w:t>5 días hábiles después del cierre de cada mes.</w:t>
            </w:r>
          </w:p>
        </w:tc>
        <w:tc>
          <w:tcPr>
            <w:tcW w:w="1926" w:type="pct"/>
            <w:shd w:val="clear" w:color="auto" w:fill="auto"/>
            <w:noWrap/>
          </w:tcPr>
          <w:p w14:paraId="453FBC83" w14:textId="77777777" w:rsidR="00516BB1" w:rsidRPr="000C0D6F" w:rsidRDefault="00516BB1" w:rsidP="00F0100F">
            <w:pPr>
              <w:widowControl w:val="0"/>
              <w:jc w:val="both"/>
              <w:rPr>
                <w:rFonts w:asciiTheme="majorHAnsi" w:hAnsiTheme="majorHAnsi"/>
                <w:bCs/>
                <w:sz w:val="16"/>
                <w:szCs w:val="16"/>
                <w:lang w:val="es-CR"/>
              </w:rPr>
            </w:pPr>
            <w:r w:rsidRPr="000C0D6F">
              <w:rPr>
                <w:rFonts w:asciiTheme="majorHAnsi" w:hAnsiTheme="majorHAnsi"/>
                <w:bCs/>
                <w:sz w:val="16"/>
                <w:szCs w:val="16"/>
                <w:lang w:val="es-CR"/>
              </w:rPr>
              <w:t xml:space="preserve">Web Service, a través de archivos *.xml, de conformidad con </w:t>
            </w:r>
            <w:r w:rsidRPr="000C0D6F">
              <w:rPr>
                <w:rFonts w:asciiTheme="majorHAnsi" w:hAnsiTheme="majorHAnsi"/>
                <w:bCs/>
                <w:i/>
                <w:sz w:val="16"/>
                <w:szCs w:val="16"/>
                <w:lang w:val="es-CR"/>
              </w:rPr>
              <w:t>Estándar de Negocio para Entidades de Seguros,</w:t>
            </w:r>
            <w:r w:rsidRPr="000C0D6F">
              <w:rPr>
                <w:rFonts w:asciiTheme="majorHAnsi" w:hAnsiTheme="majorHAnsi"/>
                <w:bCs/>
                <w:sz w:val="16"/>
                <w:szCs w:val="16"/>
                <w:lang w:val="es-CR"/>
              </w:rPr>
              <w:t xml:space="preserve"> incluido en el </w:t>
            </w:r>
            <w:r w:rsidRPr="000C0D6F">
              <w:rPr>
                <w:rFonts w:asciiTheme="majorHAnsi" w:hAnsiTheme="majorHAnsi"/>
                <w:b/>
                <w:bCs/>
                <w:sz w:val="16"/>
                <w:szCs w:val="16"/>
                <w:lang w:val="es-CR"/>
              </w:rPr>
              <w:t>Anexo 5.</w:t>
            </w:r>
          </w:p>
        </w:tc>
      </w:tr>
      <w:tr w:rsidR="00516BB1" w:rsidRPr="00083972" w14:paraId="1A30E749" w14:textId="77777777" w:rsidTr="00F0100F">
        <w:trPr>
          <w:trHeight w:val="1438"/>
          <w:jc w:val="center"/>
        </w:trPr>
        <w:tc>
          <w:tcPr>
            <w:tcW w:w="1244" w:type="pct"/>
            <w:shd w:val="clear" w:color="auto" w:fill="auto"/>
            <w:noWrap/>
          </w:tcPr>
          <w:p w14:paraId="7BC898B0" w14:textId="77777777" w:rsidR="00516BB1" w:rsidRPr="000C0D6F" w:rsidRDefault="00516BB1" w:rsidP="00F0100F">
            <w:pPr>
              <w:widowControl w:val="0"/>
              <w:jc w:val="both"/>
              <w:rPr>
                <w:rFonts w:asciiTheme="majorHAnsi" w:hAnsiTheme="majorHAnsi"/>
                <w:b/>
                <w:bCs/>
                <w:sz w:val="16"/>
                <w:szCs w:val="16"/>
                <w:lang w:val="es-CR"/>
              </w:rPr>
            </w:pPr>
            <w:r w:rsidRPr="000C0D6F">
              <w:rPr>
                <w:rFonts w:asciiTheme="majorHAnsi" w:hAnsiTheme="majorHAnsi"/>
                <w:b/>
                <w:bCs/>
                <w:sz w:val="16"/>
                <w:szCs w:val="16"/>
                <w:lang w:val="es-CR"/>
              </w:rPr>
              <w:lastRenderedPageBreak/>
              <w:t>Estadísticas Seguro de Riesgos del trabajo:</w:t>
            </w:r>
          </w:p>
          <w:p w14:paraId="5996833C" w14:textId="77777777" w:rsidR="00516BB1" w:rsidRPr="000C0D6F" w:rsidRDefault="00516BB1" w:rsidP="00F0100F">
            <w:pPr>
              <w:widowControl w:val="0"/>
              <w:jc w:val="both"/>
              <w:rPr>
                <w:rFonts w:asciiTheme="majorHAnsi" w:hAnsiTheme="majorHAnsi"/>
                <w:b/>
                <w:bCs/>
                <w:sz w:val="16"/>
                <w:szCs w:val="16"/>
                <w:lang w:val="es-CR"/>
              </w:rPr>
            </w:pPr>
            <w:r w:rsidRPr="000C0D6F">
              <w:rPr>
                <w:rFonts w:asciiTheme="majorHAnsi" w:hAnsiTheme="majorHAnsi"/>
                <w:b/>
                <w:bCs/>
                <w:sz w:val="16"/>
                <w:szCs w:val="16"/>
                <w:lang w:val="es-CR"/>
              </w:rPr>
              <w:t>Modelo 13 SSS: Accidentes Laborales por Rama de Actividad Económica.</w:t>
            </w:r>
          </w:p>
          <w:p w14:paraId="7E3572D4" w14:textId="77777777" w:rsidR="00516BB1" w:rsidRPr="000C0D6F" w:rsidRDefault="00516BB1" w:rsidP="00F0100F">
            <w:pPr>
              <w:widowControl w:val="0"/>
              <w:jc w:val="both"/>
              <w:rPr>
                <w:rFonts w:asciiTheme="majorHAnsi" w:hAnsiTheme="majorHAnsi"/>
                <w:b/>
                <w:bCs/>
                <w:sz w:val="16"/>
                <w:szCs w:val="16"/>
                <w:lang w:val="es-CR"/>
              </w:rPr>
            </w:pPr>
            <w:r w:rsidRPr="000C0D6F">
              <w:rPr>
                <w:rFonts w:asciiTheme="majorHAnsi" w:hAnsiTheme="majorHAnsi"/>
                <w:b/>
                <w:bCs/>
                <w:sz w:val="16"/>
                <w:szCs w:val="16"/>
                <w:lang w:val="es-CR"/>
              </w:rPr>
              <w:t>Modelo 14 SSS: Accidentes Laborales.</w:t>
            </w:r>
          </w:p>
          <w:p w14:paraId="63832DA5" w14:textId="77777777" w:rsidR="00516BB1" w:rsidRPr="000C0D6F" w:rsidRDefault="00516BB1" w:rsidP="00F0100F">
            <w:pPr>
              <w:widowControl w:val="0"/>
              <w:jc w:val="both"/>
              <w:rPr>
                <w:rFonts w:asciiTheme="majorHAnsi" w:hAnsiTheme="majorHAnsi"/>
                <w:b/>
                <w:bCs/>
                <w:sz w:val="16"/>
                <w:szCs w:val="16"/>
                <w:lang w:val="es-CR"/>
              </w:rPr>
            </w:pPr>
            <w:r w:rsidRPr="000C0D6F">
              <w:rPr>
                <w:rFonts w:asciiTheme="majorHAnsi" w:hAnsiTheme="majorHAnsi"/>
                <w:b/>
                <w:bCs/>
                <w:sz w:val="16"/>
                <w:szCs w:val="16"/>
                <w:lang w:val="es-CR"/>
              </w:rPr>
              <w:t>Modelo 15 SSS: Enfermedades Profesionales.</w:t>
            </w:r>
          </w:p>
          <w:p w14:paraId="3A7AEBE2" w14:textId="77777777" w:rsidR="00516BB1" w:rsidRPr="000C0D6F" w:rsidRDefault="00516BB1" w:rsidP="00F0100F">
            <w:pPr>
              <w:widowControl w:val="0"/>
              <w:jc w:val="both"/>
              <w:rPr>
                <w:rFonts w:asciiTheme="majorHAnsi" w:hAnsiTheme="majorHAnsi"/>
                <w:b/>
                <w:bCs/>
                <w:sz w:val="16"/>
                <w:szCs w:val="16"/>
                <w:lang w:val="es-CR"/>
              </w:rPr>
            </w:pPr>
            <w:r w:rsidRPr="000C0D6F">
              <w:rPr>
                <w:rFonts w:asciiTheme="majorHAnsi" w:hAnsiTheme="majorHAnsi"/>
                <w:b/>
                <w:bCs/>
                <w:sz w:val="16"/>
                <w:szCs w:val="16"/>
                <w:lang w:val="es-CR"/>
              </w:rPr>
              <w:t>Modelo 16 SSS: Fallecidos.</w:t>
            </w:r>
          </w:p>
          <w:p w14:paraId="18B807E2" w14:textId="77777777" w:rsidR="00516BB1" w:rsidRPr="000C0D6F" w:rsidRDefault="00516BB1" w:rsidP="00F0100F">
            <w:pPr>
              <w:widowControl w:val="0"/>
              <w:jc w:val="both"/>
              <w:rPr>
                <w:rFonts w:asciiTheme="majorHAnsi" w:hAnsiTheme="majorHAnsi"/>
                <w:b/>
                <w:sz w:val="16"/>
                <w:szCs w:val="16"/>
                <w:lang w:val="es-CR"/>
              </w:rPr>
            </w:pPr>
            <w:r w:rsidRPr="000C0D6F">
              <w:rPr>
                <w:rFonts w:asciiTheme="majorHAnsi" w:hAnsiTheme="majorHAnsi"/>
                <w:b/>
                <w:bCs/>
                <w:sz w:val="16"/>
                <w:szCs w:val="16"/>
                <w:lang w:val="es-CR"/>
              </w:rPr>
              <w:t>Modelo 17 SSS: Patronos Asegurados.</w:t>
            </w:r>
            <w:r w:rsidRPr="000C0D6F">
              <w:rPr>
                <w:rStyle w:val="Refdenotaalpie"/>
                <w:rFonts w:asciiTheme="majorHAnsi" w:hAnsiTheme="majorHAnsi"/>
                <w:sz w:val="16"/>
                <w:szCs w:val="16"/>
                <w:lang w:val="es-CR"/>
              </w:rPr>
              <w:footnoteReference w:id="2"/>
            </w:r>
          </w:p>
        </w:tc>
        <w:tc>
          <w:tcPr>
            <w:tcW w:w="683" w:type="pct"/>
            <w:shd w:val="clear" w:color="auto" w:fill="auto"/>
            <w:noWrap/>
          </w:tcPr>
          <w:p w14:paraId="67132737" w14:textId="77777777" w:rsidR="00516BB1" w:rsidRPr="000C0D6F" w:rsidRDefault="00516BB1" w:rsidP="00F0100F">
            <w:pPr>
              <w:widowControl w:val="0"/>
              <w:jc w:val="both"/>
              <w:rPr>
                <w:rFonts w:asciiTheme="majorHAnsi" w:hAnsiTheme="majorHAnsi"/>
                <w:sz w:val="16"/>
                <w:szCs w:val="16"/>
                <w:lang w:val="es-CR"/>
              </w:rPr>
            </w:pPr>
            <w:r w:rsidRPr="000C0D6F">
              <w:rPr>
                <w:rFonts w:asciiTheme="majorHAnsi" w:hAnsiTheme="majorHAnsi"/>
                <w:bCs/>
                <w:sz w:val="16"/>
                <w:szCs w:val="16"/>
                <w:lang w:val="es-CR"/>
              </w:rPr>
              <w:t>Anual</w:t>
            </w:r>
          </w:p>
        </w:tc>
        <w:tc>
          <w:tcPr>
            <w:tcW w:w="1147" w:type="pct"/>
            <w:shd w:val="clear" w:color="auto" w:fill="auto"/>
            <w:noWrap/>
          </w:tcPr>
          <w:p w14:paraId="64D45912" w14:textId="77777777" w:rsidR="00516BB1" w:rsidRPr="000C0D6F" w:rsidRDefault="00516BB1" w:rsidP="00F0100F">
            <w:pPr>
              <w:widowControl w:val="0"/>
              <w:ind w:left="53"/>
              <w:rPr>
                <w:rFonts w:asciiTheme="majorHAnsi" w:hAnsiTheme="majorHAnsi"/>
                <w:sz w:val="16"/>
                <w:szCs w:val="16"/>
                <w:lang w:val="es-CR"/>
              </w:rPr>
            </w:pPr>
            <w:r w:rsidRPr="000C0D6F">
              <w:rPr>
                <w:rFonts w:asciiTheme="majorHAnsi" w:hAnsiTheme="majorHAnsi"/>
                <w:bCs/>
                <w:sz w:val="16"/>
                <w:szCs w:val="16"/>
                <w:lang w:val="es-CR"/>
              </w:rPr>
              <w:t>A más tardar el 31 de marzo, después del cierre del año.</w:t>
            </w:r>
          </w:p>
        </w:tc>
        <w:tc>
          <w:tcPr>
            <w:tcW w:w="1926" w:type="pct"/>
            <w:shd w:val="clear" w:color="auto" w:fill="auto"/>
            <w:noWrap/>
          </w:tcPr>
          <w:p w14:paraId="4169FD8D" w14:textId="77777777" w:rsidR="00516BB1" w:rsidRPr="000C0D6F" w:rsidRDefault="00516BB1" w:rsidP="00F0100F">
            <w:pPr>
              <w:widowControl w:val="0"/>
              <w:jc w:val="both"/>
              <w:rPr>
                <w:rFonts w:asciiTheme="majorHAnsi" w:hAnsiTheme="majorHAnsi"/>
                <w:sz w:val="16"/>
                <w:szCs w:val="16"/>
                <w:lang w:val="es-CR"/>
              </w:rPr>
            </w:pPr>
            <w:r w:rsidRPr="000C0D6F">
              <w:rPr>
                <w:rFonts w:asciiTheme="majorHAnsi" w:hAnsiTheme="majorHAnsi"/>
                <w:bCs/>
                <w:sz w:val="16"/>
                <w:szCs w:val="16"/>
                <w:lang w:val="es-CR"/>
              </w:rPr>
              <w:t xml:space="preserve">Web Service, a través de archivos *.xml, de conformidad con </w:t>
            </w:r>
            <w:r w:rsidRPr="000C0D6F">
              <w:rPr>
                <w:rFonts w:asciiTheme="majorHAnsi" w:hAnsiTheme="majorHAnsi"/>
                <w:bCs/>
                <w:i/>
                <w:sz w:val="16"/>
                <w:szCs w:val="16"/>
                <w:lang w:val="es-CR"/>
              </w:rPr>
              <w:t>Estándar de Negocio para Entidades de Seguros,</w:t>
            </w:r>
            <w:r w:rsidRPr="000C0D6F">
              <w:rPr>
                <w:rFonts w:asciiTheme="majorHAnsi" w:hAnsiTheme="majorHAnsi"/>
                <w:bCs/>
                <w:sz w:val="16"/>
                <w:szCs w:val="16"/>
                <w:lang w:val="es-CR"/>
              </w:rPr>
              <w:t xml:space="preserve"> incluido en el </w:t>
            </w:r>
            <w:r w:rsidRPr="000C0D6F">
              <w:rPr>
                <w:rFonts w:asciiTheme="majorHAnsi" w:hAnsiTheme="majorHAnsi"/>
                <w:b/>
                <w:bCs/>
                <w:sz w:val="16"/>
                <w:szCs w:val="16"/>
                <w:lang w:val="es-CR"/>
              </w:rPr>
              <w:t>Anexo 5.</w:t>
            </w:r>
          </w:p>
        </w:tc>
      </w:tr>
      <w:tr w:rsidR="00516BB1" w:rsidRPr="00083972" w14:paraId="4AF8FE57" w14:textId="77777777" w:rsidTr="00F0100F">
        <w:trPr>
          <w:trHeight w:val="2397"/>
          <w:jc w:val="center"/>
        </w:trPr>
        <w:tc>
          <w:tcPr>
            <w:tcW w:w="1244" w:type="pct"/>
            <w:shd w:val="clear" w:color="auto" w:fill="auto"/>
            <w:noWrap/>
          </w:tcPr>
          <w:p w14:paraId="6125A5EC" w14:textId="77777777" w:rsidR="00516BB1" w:rsidRPr="000C0D6F" w:rsidRDefault="00516BB1" w:rsidP="00F0100F">
            <w:pPr>
              <w:pStyle w:val="Textoindependiente"/>
              <w:spacing w:after="0" w:line="240" w:lineRule="auto"/>
              <w:jc w:val="both"/>
              <w:rPr>
                <w:rFonts w:asciiTheme="majorHAnsi" w:hAnsiTheme="majorHAnsi"/>
                <w:b/>
                <w:sz w:val="16"/>
                <w:szCs w:val="16"/>
              </w:rPr>
            </w:pPr>
            <w:r w:rsidRPr="000C0D6F">
              <w:rPr>
                <w:rFonts w:asciiTheme="majorHAnsi" w:hAnsiTheme="majorHAnsi"/>
                <w:b/>
                <w:sz w:val="16"/>
                <w:szCs w:val="16"/>
              </w:rPr>
              <w:t>Registro Público de Vehículos Asegurados con el Seguro Obligatorio de Vehículos Automotores</w:t>
            </w:r>
          </w:p>
        </w:tc>
        <w:tc>
          <w:tcPr>
            <w:tcW w:w="683" w:type="pct"/>
            <w:shd w:val="clear" w:color="auto" w:fill="auto"/>
            <w:noWrap/>
          </w:tcPr>
          <w:p w14:paraId="7C5B36BB" w14:textId="77777777" w:rsidR="00516BB1" w:rsidRPr="000C0D6F" w:rsidRDefault="00516BB1" w:rsidP="00F0100F">
            <w:pPr>
              <w:widowControl w:val="0"/>
              <w:jc w:val="both"/>
              <w:rPr>
                <w:rFonts w:asciiTheme="majorHAnsi" w:hAnsiTheme="majorHAnsi"/>
                <w:b/>
                <w:sz w:val="16"/>
                <w:szCs w:val="16"/>
                <w:lang w:val="es-CR"/>
              </w:rPr>
            </w:pPr>
            <w:r w:rsidRPr="000C0D6F">
              <w:rPr>
                <w:rFonts w:asciiTheme="majorHAnsi" w:hAnsiTheme="majorHAnsi"/>
                <w:sz w:val="16"/>
                <w:szCs w:val="16"/>
                <w:lang w:val="es-CR"/>
              </w:rPr>
              <w:t>Semanal</w:t>
            </w:r>
          </w:p>
        </w:tc>
        <w:tc>
          <w:tcPr>
            <w:tcW w:w="1147" w:type="pct"/>
            <w:shd w:val="clear" w:color="auto" w:fill="auto"/>
            <w:noWrap/>
          </w:tcPr>
          <w:p w14:paraId="524FA8A1" w14:textId="77777777" w:rsidR="00516BB1" w:rsidRPr="000C0D6F" w:rsidRDefault="00516BB1" w:rsidP="00F0100F">
            <w:pPr>
              <w:pStyle w:val="Textoindependiente"/>
              <w:spacing w:after="0" w:line="240" w:lineRule="auto"/>
              <w:rPr>
                <w:rFonts w:asciiTheme="majorHAnsi" w:hAnsiTheme="majorHAnsi"/>
                <w:b/>
                <w:sz w:val="16"/>
                <w:szCs w:val="16"/>
              </w:rPr>
            </w:pPr>
            <w:r w:rsidRPr="000C0D6F">
              <w:rPr>
                <w:rFonts w:asciiTheme="majorHAnsi" w:hAnsiTheme="majorHAnsi"/>
                <w:sz w:val="16"/>
                <w:szCs w:val="16"/>
              </w:rPr>
              <w:t>El tercer día hábil de la semana siguiente con corte de movimientos a las 11:59 p.m. del domingo anterior.</w:t>
            </w:r>
          </w:p>
        </w:tc>
        <w:tc>
          <w:tcPr>
            <w:tcW w:w="1926" w:type="pct"/>
            <w:shd w:val="clear" w:color="auto" w:fill="auto"/>
            <w:noWrap/>
          </w:tcPr>
          <w:p w14:paraId="55051CB3" w14:textId="77777777" w:rsidR="00516BB1" w:rsidRPr="000C0D6F" w:rsidRDefault="00516BB1" w:rsidP="00F0100F">
            <w:pPr>
              <w:pStyle w:val="Textoindependiente"/>
              <w:spacing w:after="0" w:line="240" w:lineRule="auto"/>
              <w:jc w:val="both"/>
              <w:rPr>
                <w:rFonts w:asciiTheme="majorHAnsi" w:hAnsiTheme="majorHAnsi"/>
                <w:sz w:val="16"/>
                <w:szCs w:val="16"/>
              </w:rPr>
            </w:pPr>
            <w:r w:rsidRPr="000C0D6F">
              <w:rPr>
                <w:rFonts w:asciiTheme="majorHAnsi" w:hAnsiTheme="majorHAnsi"/>
                <w:sz w:val="16"/>
                <w:szCs w:val="16"/>
              </w:rPr>
              <w:t xml:space="preserve">Carga a través de Web Service de archivos *.xml o *.zip que contengan *.xml, de conformidad con el Estándar para Registro Seguro Obligatorio de Vehículos Automotores (SOA), incluido en el </w:t>
            </w:r>
            <w:r w:rsidRPr="000C0D6F">
              <w:rPr>
                <w:rFonts w:asciiTheme="majorHAnsi" w:hAnsiTheme="majorHAnsi"/>
                <w:b/>
                <w:sz w:val="16"/>
                <w:szCs w:val="16"/>
              </w:rPr>
              <w:t>Anexo 9</w:t>
            </w:r>
            <w:r w:rsidRPr="000C0D6F">
              <w:rPr>
                <w:rFonts w:asciiTheme="majorHAnsi" w:hAnsiTheme="majorHAnsi"/>
                <w:sz w:val="16"/>
                <w:szCs w:val="16"/>
              </w:rPr>
              <w:t>, a través de SUGESE en Línea; o bien carga manual de los mismos archivos ante una eventualidad previamente justificada.</w:t>
            </w:r>
          </w:p>
          <w:p w14:paraId="402AF4AA" w14:textId="77777777" w:rsidR="00516BB1" w:rsidRPr="000C0D6F" w:rsidRDefault="00516BB1" w:rsidP="00F0100F">
            <w:pPr>
              <w:pStyle w:val="Textoindependiente"/>
              <w:spacing w:after="0" w:line="240" w:lineRule="auto"/>
              <w:jc w:val="both"/>
              <w:rPr>
                <w:rFonts w:asciiTheme="majorHAnsi" w:hAnsiTheme="majorHAnsi"/>
                <w:b/>
                <w:sz w:val="16"/>
                <w:szCs w:val="16"/>
              </w:rPr>
            </w:pPr>
          </w:p>
        </w:tc>
      </w:tr>
      <w:tr w:rsidR="00516BB1" w:rsidRPr="00083972" w14:paraId="32A4CEF9" w14:textId="77777777" w:rsidTr="00F0100F">
        <w:trPr>
          <w:trHeight w:val="43"/>
          <w:jc w:val="center"/>
        </w:trPr>
        <w:tc>
          <w:tcPr>
            <w:tcW w:w="1244" w:type="pct"/>
            <w:noWrap/>
          </w:tcPr>
          <w:p w14:paraId="4D422E9D" w14:textId="77777777" w:rsidR="00516BB1" w:rsidRPr="00083972" w:rsidRDefault="00516BB1" w:rsidP="00F0100F">
            <w:pPr>
              <w:widowControl w:val="0"/>
              <w:jc w:val="both"/>
              <w:rPr>
                <w:rFonts w:asciiTheme="majorHAnsi" w:hAnsiTheme="majorHAnsi" w:cstheme="minorHAnsi"/>
                <w:bCs/>
                <w:sz w:val="16"/>
                <w:szCs w:val="16"/>
                <w:lang w:val="es-CR"/>
              </w:rPr>
            </w:pPr>
            <w:r w:rsidRPr="00083972">
              <w:rPr>
                <w:rFonts w:asciiTheme="majorHAnsi" w:hAnsiTheme="majorHAnsi"/>
                <w:b/>
                <w:sz w:val="16"/>
                <w:szCs w:val="16"/>
                <w:lang w:val="es-CR"/>
              </w:rPr>
              <w:t>Asegurados y Siniestralidad del Seguro Obligatorio de Vehículos Automotores</w:t>
            </w:r>
          </w:p>
        </w:tc>
        <w:tc>
          <w:tcPr>
            <w:tcW w:w="683" w:type="pct"/>
            <w:noWrap/>
          </w:tcPr>
          <w:p w14:paraId="7F032329" w14:textId="77777777" w:rsidR="00516BB1" w:rsidRPr="00083972" w:rsidRDefault="00516BB1" w:rsidP="00F0100F">
            <w:pPr>
              <w:widowControl w:val="0"/>
              <w:jc w:val="both"/>
              <w:rPr>
                <w:rFonts w:asciiTheme="majorHAnsi" w:hAnsiTheme="majorHAnsi" w:cstheme="minorHAnsi"/>
                <w:snapToGrid w:val="0"/>
                <w:sz w:val="16"/>
                <w:szCs w:val="16"/>
                <w:lang w:val="es-CR"/>
              </w:rPr>
            </w:pPr>
            <w:r w:rsidRPr="00083972">
              <w:rPr>
                <w:rFonts w:asciiTheme="majorHAnsi" w:hAnsiTheme="majorHAnsi"/>
                <w:sz w:val="16"/>
                <w:szCs w:val="16"/>
                <w:lang w:val="es-CR"/>
              </w:rPr>
              <w:t>Mensual</w:t>
            </w:r>
          </w:p>
        </w:tc>
        <w:tc>
          <w:tcPr>
            <w:tcW w:w="1147" w:type="pct"/>
            <w:noWrap/>
          </w:tcPr>
          <w:p w14:paraId="3668CBD7" w14:textId="77777777" w:rsidR="00516BB1" w:rsidRPr="00083972" w:rsidRDefault="00516BB1" w:rsidP="00F0100F">
            <w:pPr>
              <w:widowControl w:val="0"/>
              <w:rPr>
                <w:rFonts w:asciiTheme="majorHAnsi" w:hAnsiTheme="majorHAnsi" w:cstheme="minorHAnsi"/>
                <w:bCs/>
                <w:sz w:val="16"/>
                <w:szCs w:val="16"/>
                <w:lang w:val="es-CR"/>
              </w:rPr>
            </w:pPr>
            <w:r w:rsidRPr="00083972">
              <w:rPr>
                <w:rFonts w:asciiTheme="majorHAnsi" w:hAnsiTheme="majorHAnsi" w:cstheme="minorHAnsi"/>
                <w:bCs/>
                <w:sz w:val="16"/>
                <w:szCs w:val="16"/>
                <w:lang w:val="es-CR"/>
              </w:rPr>
              <w:t>15 días hábiles después del cierre mensual, según corresponda</w:t>
            </w:r>
          </w:p>
        </w:tc>
        <w:tc>
          <w:tcPr>
            <w:tcW w:w="1926" w:type="pct"/>
            <w:noWrap/>
          </w:tcPr>
          <w:p w14:paraId="6D60B8F7" w14:textId="77777777" w:rsidR="00516BB1" w:rsidRPr="00083972" w:rsidRDefault="00516BB1" w:rsidP="00F0100F">
            <w:pPr>
              <w:widowControl w:val="0"/>
              <w:jc w:val="both"/>
              <w:rPr>
                <w:rFonts w:asciiTheme="majorHAnsi" w:hAnsiTheme="majorHAnsi" w:cstheme="minorHAnsi"/>
                <w:snapToGrid w:val="0"/>
                <w:sz w:val="16"/>
                <w:szCs w:val="16"/>
                <w:lang w:val="es-CR"/>
              </w:rPr>
            </w:pPr>
            <w:r w:rsidRPr="00083972">
              <w:rPr>
                <w:rFonts w:asciiTheme="majorHAnsi" w:hAnsiTheme="majorHAnsi" w:cstheme="minorHAnsi"/>
                <w:snapToGrid w:val="0"/>
                <w:sz w:val="16"/>
                <w:szCs w:val="16"/>
                <w:lang w:val="es-CR"/>
              </w:rPr>
              <w:t>En hoja electrónica, por correo electrónico, según formato establecido en el Anexo</w:t>
            </w:r>
            <w:r w:rsidRPr="00083972">
              <w:rPr>
                <w:rFonts w:asciiTheme="majorHAnsi" w:hAnsiTheme="majorHAnsi" w:cstheme="minorHAnsi"/>
                <w:b/>
                <w:snapToGrid w:val="0"/>
                <w:sz w:val="16"/>
                <w:szCs w:val="16"/>
                <w:lang w:val="es-CR"/>
              </w:rPr>
              <w:t xml:space="preserve"> 10</w:t>
            </w:r>
            <w:r w:rsidRPr="00083972">
              <w:rPr>
                <w:rFonts w:asciiTheme="majorHAnsi" w:hAnsiTheme="majorHAnsi" w:cstheme="minorHAnsi"/>
                <w:snapToGrid w:val="0"/>
                <w:sz w:val="16"/>
                <w:szCs w:val="16"/>
                <w:lang w:val="es-CR"/>
              </w:rPr>
              <w:t>.</w:t>
            </w:r>
          </w:p>
        </w:tc>
      </w:tr>
      <w:tr w:rsidR="00516BB1" w:rsidRPr="00083972" w14:paraId="79A460F8" w14:textId="77777777" w:rsidTr="00F0100F">
        <w:trPr>
          <w:trHeight w:val="710"/>
          <w:jc w:val="center"/>
        </w:trPr>
        <w:tc>
          <w:tcPr>
            <w:tcW w:w="1244" w:type="pct"/>
            <w:noWrap/>
          </w:tcPr>
          <w:p w14:paraId="77A4E804" w14:textId="77777777" w:rsidR="00516BB1" w:rsidRPr="00083972" w:rsidRDefault="00516BB1" w:rsidP="00F0100F">
            <w:pPr>
              <w:widowControl w:val="0"/>
              <w:jc w:val="both"/>
              <w:rPr>
                <w:rFonts w:asciiTheme="majorHAnsi" w:hAnsiTheme="majorHAnsi" w:cstheme="minorHAnsi"/>
                <w:b/>
                <w:bCs/>
                <w:sz w:val="16"/>
                <w:szCs w:val="16"/>
                <w:lang w:val="es-CR"/>
              </w:rPr>
            </w:pPr>
            <w:r w:rsidRPr="00083972">
              <w:rPr>
                <w:rFonts w:asciiTheme="majorHAnsi" w:hAnsiTheme="majorHAnsi"/>
                <w:b/>
                <w:sz w:val="16"/>
                <w:szCs w:val="16"/>
                <w:lang w:val="es-CR"/>
              </w:rPr>
              <w:t>Registro Único de Personas Beneficiarias</w:t>
            </w:r>
          </w:p>
        </w:tc>
        <w:tc>
          <w:tcPr>
            <w:tcW w:w="683" w:type="pct"/>
            <w:noWrap/>
          </w:tcPr>
          <w:p w14:paraId="0C65DF30" w14:textId="77777777" w:rsidR="00516BB1" w:rsidRPr="00083972" w:rsidRDefault="00516BB1" w:rsidP="00F0100F">
            <w:pPr>
              <w:widowControl w:val="0"/>
              <w:jc w:val="both"/>
              <w:rPr>
                <w:rFonts w:asciiTheme="majorHAnsi" w:hAnsiTheme="majorHAnsi" w:cstheme="minorHAnsi"/>
                <w:snapToGrid w:val="0"/>
                <w:sz w:val="16"/>
                <w:szCs w:val="16"/>
                <w:lang w:val="es-CR"/>
              </w:rPr>
            </w:pPr>
            <w:r w:rsidRPr="00083972">
              <w:rPr>
                <w:rFonts w:asciiTheme="majorHAnsi" w:hAnsiTheme="majorHAnsi"/>
                <w:sz w:val="16"/>
                <w:szCs w:val="16"/>
                <w:lang w:val="es-CR"/>
              </w:rPr>
              <w:t>Al menos una vez al mes</w:t>
            </w:r>
          </w:p>
        </w:tc>
        <w:tc>
          <w:tcPr>
            <w:tcW w:w="1147" w:type="pct"/>
            <w:noWrap/>
          </w:tcPr>
          <w:p w14:paraId="3B2FE01F" w14:textId="77777777" w:rsidR="00516BB1" w:rsidRPr="00083972" w:rsidRDefault="00516BB1" w:rsidP="00F0100F">
            <w:pPr>
              <w:widowControl w:val="0"/>
              <w:ind w:left="53"/>
              <w:rPr>
                <w:rFonts w:asciiTheme="majorHAnsi" w:hAnsiTheme="majorHAnsi" w:cstheme="minorHAnsi"/>
                <w:bCs/>
                <w:sz w:val="16"/>
                <w:szCs w:val="16"/>
                <w:lang w:val="es-CR"/>
              </w:rPr>
            </w:pPr>
            <w:r w:rsidRPr="00083972">
              <w:rPr>
                <w:rFonts w:asciiTheme="majorHAnsi" w:hAnsiTheme="majorHAnsi"/>
                <w:sz w:val="16"/>
                <w:szCs w:val="16"/>
                <w:lang w:val="es-CR"/>
              </w:rPr>
              <w:t>A más tardar diez días hábiles después de finalizar cada mes</w:t>
            </w:r>
          </w:p>
        </w:tc>
        <w:tc>
          <w:tcPr>
            <w:tcW w:w="1926" w:type="pct"/>
            <w:noWrap/>
          </w:tcPr>
          <w:p w14:paraId="36B5DB21" w14:textId="77777777" w:rsidR="00516BB1" w:rsidRPr="00083972" w:rsidRDefault="00516BB1" w:rsidP="00F0100F">
            <w:pPr>
              <w:widowControl w:val="0"/>
              <w:jc w:val="both"/>
              <w:rPr>
                <w:rFonts w:asciiTheme="majorHAnsi" w:hAnsiTheme="majorHAnsi" w:cstheme="minorHAnsi"/>
                <w:snapToGrid w:val="0"/>
                <w:sz w:val="16"/>
                <w:szCs w:val="16"/>
                <w:lang w:val="es-CR"/>
              </w:rPr>
            </w:pPr>
            <w:r w:rsidRPr="00083972">
              <w:rPr>
                <w:rFonts w:asciiTheme="majorHAnsi" w:hAnsiTheme="majorHAnsi"/>
                <w:sz w:val="16"/>
                <w:szCs w:val="16"/>
                <w:lang w:val="es-CR"/>
              </w:rPr>
              <w:t>Web Service, a través de archivos *.xml o *.zip que contengan *.xml, de conformidad con Estándar electrónico para Registro Único de Personas Beneficiarias, disponible en el sitio web de SUGESE.</w:t>
            </w:r>
            <w:r w:rsidRPr="00083972">
              <w:rPr>
                <w:rFonts w:asciiTheme="majorHAnsi" w:hAnsiTheme="majorHAnsi"/>
                <w:b/>
                <w:sz w:val="16"/>
                <w:szCs w:val="16"/>
                <w:lang w:val="es-CR"/>
              </w:rPr>
              <w:t xml:space="preserve"> </w:t>
            </w:r>
          </w:p>
        </w:tc>
      </w:tr>
      <w:tr w:rsidR="00516BB1" w:rsidRPr="00083972" w14:paraId="6E1129AC" w14:textId="77777777" w:rsidTr="00F0100F">
        <w:trPr>
          <w:trHeight w:val="43"/>
          <w:jc w:val="center"/>
        </w:trPr>
        <w:tc>
          <w:tcPr>
            <w:tcW w:w="1244" w:type="pct"/>
            <w:noWrap/>
          </w:tcPr>
          <w:p w14:paraId="3228FE15" w14:textId="77777777" w:rsidR="00516BB1" w:rsidRPr="00083972" w:rsidRDefault="00516BB1" w:rsidP="00F0100F">
            <w:pPr>
              <w:widowControl w:val="0"/>
              <w:jc w:val="both"/>
              <w:rPr>
                <w:rFonts w:asciiTheme="majorHAnsi" w:hAnsiTheme="majorHAnsi"/>
                <w:b/>
                <w:bCs/>
                <w:sz w:val="16"/>
                <w:szCs w:val="16"/>
                <w:lang w:val="es-CR"/>
              </w:rPr>
            </w:pPr>
            <w:r w:rsidRPr="00083972">
              <w:rPr>
                <w:rFonts w:asciiTheme="majorHAnsi" w:hAnsiTheme="majorHAnsi"/>
                <w:b/>
                <w:sz w:val="16"/>
                <w:szCs w:val="16"/>
                <w:lang w:val="es-CR"/>
              </w:rPr>
              <w:t>Provisión de riesgos catastróficos (PRCAT)</w:t>
            </w:r>
            <w:r w:rsidRPr="00083972">
              <w:rPr>
                <w:rStyle w:val="Refdenotaalpie"/>
                <w:rFonts w:asciiTheme="majorHAnsi" w:hAnsiTheme="majorHAnsi"/>
                <w:sz w:val="16"/>
                <w:szCs w:val="16"/>
                <w:lang w:val="es-CR"/>
              </w:rPr>
              <w:footnoteReference w:id="3"/>
            </w:r>
          </w:p>
        </w:tc>
        <w:tc>
          <w:tcPr>
            <w:tcW w:w="683" w:type="pct"/>
            <w:noWrap/>
          </w:tcPr>
          <w:p w14:paraId="69A84C5C" w14:textId="77777777" w:rsidR="00516BB1" w:rsidRPr="00083972" w:rsidRDefault="00516BB1" w:rsidP="00F0100F">
            <w:pPr>
              <w:widowControl w:val="0"/>
              <w:jc w:val="both"/>
              <w:rPr>
                <w:rFonts w:asciiTheme="majorHAnsi" w:hAnsiTheme="majorHAnsi"/>
                <w:bCs/>
                <w:sz w:val="16"/>
                <w:szCs w:val="16"/>
                <w:lang w:val="es-CR"/>
              </w:rPr>
            </w:pPr>
            <w:r w:rsidRPr="00083972">
              <w:rPr>
                <w:rFonts w:asciiTheme="majorHAnsi" w:hAnsiTheme="majorHAnsi"/>
                <w:bCs/>
                <w:sz w:val="16"/>
                <w:szCs w:val="16"/>
                <w:lang w:val="es-CR"/>
              </w:rPr>
              <w:t>Mensual</w:t>
            </w:r>
          </w:p>
        </w:tc>
        <w:tc>
          <w:tcPr>
            <w:tcW w:w="1147" w:type="pct"/>
            <w:noWrap/>
          </w:tcPr>
          <w:p w14:paraId="7886525D" w14:textId="77777777" w:rsidR="00516BB1" w:rsidRPr="00083972" w:rsidRDefault="00516BB1" w:rsidP="00F0100F">
            <w:pPr>
              <w:widowControl w:val="0"/>
              <w:ind w:left="53"/>
              <w:rPr>
                <w:rFonts w:asciiTheme="majorHAnsi" w:hAnsiTheme="majorHAnsi"/>
                <w:bCs/>
                <w:sz w:val="16"/>
                <w:szCs w:val="16"/>
                <w:lang w:val="es-CR"/>
              </w:rPr>
            </w:pPr>
            <w:r w:rsidRPr="00083972">
              <w:rPr>
                <w:rFonts w:asciiTheme="majorHAnsi" w:hAnsiTheme="majorHAnsi"/>
                <w:bCs/>
                <w:sz w:val="16"/>
                <w:szCs w:val="16"/>
                <w:lang w:val="es-CR"/>
              </w:rPr>
              <w:t>15 días hábiles después del cierre mensual.</w:t>
            </w:r>
          </w:p>
        </w:tc>
        <w:tc>
          <w:tcPr>
            <w:tcW w:w="1926" w:type="pct"/>
            <w:noWrap/>
          </w:tcPr>
          <w:p w14:paraId="5412BE08" w14:textId="77777777" w:rsidR="00516BB1" w:rsidRPr="00083972" w:rsidRDefault="00516BB1" w:rsidP="00F0100F">
            <w:pPr>
              <w:widowControl w:val="0"/>
              <w:jc w:val="both"/>
              <w:rPr>
                <w:rFonts w:asciiTheme="majorHAnsi" w:hAnsiTheme="majorHAnsi"/>
                <w:sz w:val="16"/>
                <w:szCs w:val="16"/>
                <w:lang w:val="es-CR"/>
              </w:rPr>
            </w:pPr>
            <w:r w:rsidRPr="00083972">
              <w:rPr>
                <w:rFonts w:asciiTheme="majorHAnsi" w:hAnsiTheme="majorHAnsi"/>
                <w:sz w:val="16"/>
                <w:szCs w:val="16"/>
                <w:lang w:val="es-CR"/>
              </w:rPr>
              <w:t xml:space="preserve">En hoja electrónica (Excel), por correo electrónico, según formato establecido en el </w:t>
            </w:r>
            <w:r w:rsidRPr="00083972">
              <w:rPr>
                <w:rFonts w:asciiTheme="majorHAnsi" w:hAnsiTheme="majorHAnsi"/>
                <w:b/>
                <w:sz w:val="16"/>
                <w:szCs w:val="16"/>
                <w:lang w:val="es-CR"/>
              </w:rPr>
              <w:t>Anexo 13.</w:t>
            </w:r>
          </w:p>
        </w:tc>
      </w:tr>
    </w:tbl>
    <w:p w14:paraId="2378937D" w14:textId="77777777" w:rsidR="00516BB1" w:rsidRDefault="00516BB1" w:rsidP="00516BB1">
      <w:pPr>
        <w:rPr>
          <w:rFonts w:asciiTheme="majorHAnsi" w:hAnsiTheme="majorHAnsi"/>
          <w:color w:val="000000"/>
        </w:rPr>
      </w:pPr>
    </w:p>
    <w:p w14:paraId="63BEDA61" w14:textId="77777777" w:rsidR="00516BB1" w:rsidRDefault="00516BB1" w:rsidP="00516BB1">
      <w:pPr>
        <w:jc w:val="both"/>
        <w:rPr>
          <w:rFonts w:asciiTheme="majorHAnsi" w:hAnsiTheme="majorHAnsi"/>
          <w:color w:val="000000"/>
        </w:rPr>
      </w:pPr>
    </w:p>
    <w:p w14:paraId="2BCCAF61" w14:textId="77777777" w:rsidR="00516BB1" w:rsidRDefault="00516BB1" w:rsidP="00516BB1">
      <w:pPr>
        <w:jc w:val="both"/>
      </w:pPr>
      <w:r>
        <w:rPr>
          <w:rFonts w:asciiTheme="majorHAnsi" w:hAnsiTheme="majorHAnsi"/>
          <w:b/>
        </w:rPr>
        <w:t>Segundo</w:t>
      </w:r>
      <w:r w:rsidRPr="00B239D4">
        <w:rPr>
          <w:rFonts w:asciiTheme="majorHAnsi" w:hAnsiTheme="majorHAnsi"/>
          <w:b/>
        </w:rPr>
        <w:t>:</w:t>
      </w:r>
      <w:r w:rsidRPr="00B239D4">
        <w:rPr>
          <w:rFonts w:asciiTheme="majorHAnsi" w:hAnsiTheme="majorHAnsi"/>
        </w:rPr>
        <w:t xml:space="preserve"> </w:t>
      </w:r>
      <w:r w:rsidRPr="00083972">
        <w:rPr>
          <w:rFonts w:asciiTheme="majorHAnsi" w:hAnsiTheme="majorHAnsi"/>
        </w:rPr>
        <w:t xml:space="preserve">Eliminar los Anexos 11, 12 y 14 del </w:t>
      </w:r>
      <w:r w:rsidRPr="00083972">
        <w:rPr>
          <w:sz w:val="23"/>
          <w:szCs w:val="23"/>
        </w:rPr>
        <w:t>Acuerdo SGS-DES-A-021-2013.</w:t>
      </w:r>
    </w:p>
    <w:p w14:paraId="6670E48B" w14:textId="77777777" w:rsidR="00516BB1" w:rsidRDefault="00516BB1" w:rsidP="00516BB1">
      <w:pPr>
        <w:jc w:val="both"/>
        <w:rPr>
          <w:rFonts w:asciiTheme="majorHAnsi" w:hAnsiTheme="majorHAnsi"/>
          <w:b/>
          <w:color w:val="000000"/>
        </w:rPr>
      </w:pPr>
    </w:p>
    <w:p w14:paraId="13FC8D34" w14:textId="77777777" w:rsidR="00516BB1" w:rsidRDefault="00516BB1" w:rsidP="00516BB1">
      <w:pPr>
        <w:jc w:val="both"/>
        <w:rPr>
          <w:rFonts w:asciiTheme="majorHAnsi" w:hAnsiTheme="majorHAnsi"/>
          <w:b/>
          <w:color w:val="000000"/>
        </w:rPr>
      </w:pPr>
    </w:p>
    <w:p w14:paraId="5AC1BC29" w14:textId="77777777" w:rsidR="00516BB1" w:rsidRPr="00BF79EB" w:rsidRDefault="00516BB1" w:rsidP="00516BB1">
      <w:pPr>
        <w:jc w:val="both"/>
        <w:rPr>
          <w:rFonts w:asciiTheme="majorHAnsi" w:hAnsiTheme="majorHAnsi"/>
        </w:rPr>
      </w:pPr>
      <w:r w:rsidRPr="00BF79EB">
        <w:rPr>
          <w:rFonts w:asciiTheme="majorHAnsi" w:hAnsiTheme="majorHAnsi"/>
          <w:b/>
        </w:rPr>
        <w:t>Tercero:</w:t>
      </w:r>
      <w:r w:rsidRPr="00BF79EB">
        <w:rPr>
          <w:rFonts w:asciiTheme="majorHAnsi" w:hAnsiTheme="majorHAnsi"/>
        </w:rPr>
        <w:t xml:space="preserve"> Sustituir el Estándar de Negocio para Entidades de Seguros, que se presenta en el Anexo 5 del Acuerdo SGS-DES-A-021-2013.</w:t>
      </w:r>
    </w:p>
    <w:p w14:paraId="555C5A8B" w14:textId="77777777" w:rsidR="00516BB1" w:rsidRPr="00BF79EB" w:rsidRDefault="00516BB1" w:rsidP="00516BB1">
      <w:pPr>
        <w:jc w:val="both"/>
        <w:rPr>
          <w:rFonts w:asciiTheme="majorHAnsi" w:hAnsiTheme="majorHAnsi"/>
        </w:rPr>
      </w:pPr>
    </w:p>
    <w:bookmarkStart w:id="3" w:name="_MON_1669803853"/>
    <w:bookmarkEnd w:id="3"/>
    <w:p w14:paraId="530A64AE" w14:textId="77777777" w:rsidR="00516BB1" w:rsidRDefault="00516BB1" w:rsidP="00516BB1">
      <w:pPr>
        <w:jc w:val="center"/>
        <w:rPr>
          <w:sz w:val="23"/>
          <w:szCs w:val="23"/>
        </w:rPr>
      </w:pPr>
      <w:r>
        <w:rPr>
          <w:rFonts w:asciiTheme="majorHAnsi" w:hAnsiTheme="majorHAnsi" w:cstheme="majorHAnsi"/>
          <w:sz w:val="18"/>
          <w:szCs w:val="18"/>
        </w:rPr>
        <w:object w:dxaOrig="1533" w:dyaOrig="990" w14:anchorId="559402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Word.Document.12" ShapeID="_x0000_i1025" DrawAspect="Icon" ObjectID="_1670232295" r:id="rId15">
            <o:FieldCodes>\s</o:FieldCodes>
          </o:OLEObject>
        </w:object>
      </w:r>
    </w:p>
    <w:p w14:paraId="50C54D6A" w14:textId="788A0429" w:rsidR="00516BB1" w:rsidRDefault="00516BB1">
      <w:pPr>
        <w:spacing w:after="200" w:line="276" w:lineRule="auto"/>
        <w:rPr>
          <w:rFonts w:asciiTheme="majorHAnsi" w:eastAsiaTheme="minorHAnsi" w:hAnsiTheme="majorHAnsi" w:cs="Cambria"/>
          <w:b/>
          <w:bCs/>
          <w:color w:val="000000"/>
          <w:lang w:val="es-CR" w:eastAsia="en-US"/>
        </w:rPr>
      </w:pPr>
      <w:r>
        <w:rPr>
          <w:rFonts w:asciiTheme="majorHAnsi" w:eastAsiaTheme="minorHAnsi" w:hAnsiTheme="majorHAnsi" w:cs="Cambria"/>
          <w:b/>
          <w:bCs/>
          <w:color w:val="000000"/>
          <w:lang w:val="es-CR" w:eastAsia="en-US"/>
        </w:rPr>
        <w:br w:type="page"/>
      </w:r>
    </w:p>
    <w:p w14:paraId="61CE932D" w14:textId="77777777" w:rsidR="00516BB1" w:rsidRPr="000C1B66" w:rsidRDefault="00516BB1" w:rsidP="00516BB1">
      <w:pPr>
        <w:jc w:val="both"/>
        <w:rPr>
          <w:rFonts w:asciiTheme="majorHAnsi" w:eastAsiaTheme="minorHAnsi" w:hAnsiTheme="majorHAnsi" w:cs="Cambria"/>
          <w:b/>
          <w:bCs/>
          <w:color w:val="000000"/>
          <w:lang w:val="es-CR" w:eastAsia="en-US"/>
        </w:rPr>
      </w:pPr>
    </w:p>
    <w:p w14:paraId="3C37AC0E" w14:textId="77777777" w:rsidR="00516BB1" w:rsidRDefault="00516BB1" w:rsidP="00516BB1">
      <w:pPr>
        <w:jc w:val="both"/>
        <w:rPr>
          <w:rFonts w:asciiTheme="majorHAnsi" w:hAnsiTheme="majorHAnsi"/>
        </w:rPr>
      </w:pPr>
      <w:r w:rsidRPr="00BF79EB">
        <w:rPr>
          <w:rFonts w:asciiTheme="majorHAnsi" w:hAnsiTheme="majorHAnsi"/>
          <w:b/>
          <w:bCs/>
          <w:color w:val="000000"/>
        </w:rPr>
        <w:t>Cuarto:</w:t>
      </w:r>
      <w:r w:rsidRPr="00BF79EB">
        <w:rPr>
          <w:rFonts w:asciiTheme="majorHAnsi" w:hAnsiTheme="majorHAnsi"/>
          <w:color w:val="000000"/>
        </w:rPr>
        <w:t xml:space="preserve"> </w:t>
      </w:r>
      <w:r w:rsidRPr="00BF79EB">
        <w:rPr>
          <w:rFonts w:asciiTheme="majorHAnsi" w:hAnsiTheme="majorHAnsi"/>
        </w:rPr>
        <w:t>Actualizar la versión publicada del Acuerdo SGS-DES-A-021-2013 para incluir las modificaciones señaladas en este acuerdo.</w:t>
      </w:r>
    </w:p>
    <w:p w14:paraId="3ED0790A" w14:textId="56FE8924" w:rsidR="00516BB1" w:rsidRDefault="00516BB1" w:rsidP="00516BB1">
      <w:pPr>
        <w:jc w:val="both"/>
        <w:rPr>
          <w:rFonts w:asciiTheme="majorHAnsi" w:hAnsiTheme="majorHAnsi"/>
          <w:color w:val="000000"/>
        </w:rPr>
      </w:pPr>
    </w:p>
    <w:p w14:paraId="7DE00111" w14:textId="77777777" w:rsidR="00516BB1" w:rsidRPr="00BF79EB" w:rsidRDefault="00516BB1" w:rsidP="00516BB1">
      <w:pPr>
        <w:jc w:val="both"/>
        <w:rPr>
          <w:rFonts w:asciiTheme="majorHAnsi" w:hAnsiTheme="majorHAnsi"/>
          <w:color w:val="000000"/>
        </w:rPr>
      </w:pPr>
    </w:p>
    <w:p w14:paraId="5EC05A4F" w14:textId="4CF10FF8" w:rsidR="00516BB1" w:rsidRPr="00516BB1" w:rsidRDefault="00516BB1" w:rsidP="00516BB1">
      <w:pPr>
        <w:jc w:val="center"/>
        <w:rPr>
          <w:rFonts w:asciiTheme="majorHAnsi" w:hAnsiTheme="majorHAnsi"/>
          <w:color w:val="000000"/>
          <w:sz w:val="28"/>
          <w:szCs w:val="28"/>
          <w:lang w:val="es-CR"/>
        </w:rPr>
      </w:pPr>
      <w:r w:rsidRPr="00516BB1">
        <w:rPr>
          <w:rFonts w:asciiTheme="majorHAnsi" w:hAnsiTheme="majorHAnsi"/>
          <w:b/>
          <w:bCs/>
          <w:color w:val="000000"/>
          <w:sz w:val="28"/>
          <w:szCs w:val="28"/>
        </w:rPr>
        <w:t>Rige:</w:t>
      </w:r>
    </w:p>
    <w:p w14:paraId="14557533" w14:textId="1595E4F6" w:rsidR="00516BB1" w:rsidRDefault="00516BB1" w:rsidP="00516BB1">
      <w:pPr>
        <w:jc w:val="both"/>
        <w:rPr>
          <w:rFonts w:asciiTheme="majorHAnsi" w:hAnsiTheme="majorHAnsi"/>
          <w:color w:val="000000"/>
        </w:rPr>
      </w:pPr>
    </w:p>
    <w:p w14:paraId="327D678B" w14:textId="77777777" w:rsidR="00516BB1" w:rsidRPr="00FF6E35" w:rsidRDefault="00516BB1" w:rsidP="00516BB1">
      <w:pPr>
        <w:jc w:val="both"/>
        <w:rPr>
          <w:rFonts w:asciiTheme="majorHAnsi" w:hAnsiTheme="majorHAnsi"/>
          <w:color w:val="000000"/>
        </w:rPr>
      </w:pPr>
    </w:p>
    <w:p w14:paraId="2D7DD99B" w14:textId="77777777" w:rsidR="00516BB1" w:rsidRPr="00FF6E35" w:rsidRDefault="00516BB1" w:rsidP="00516BB1">
      <w:pPr>
        <w:jc w:val="both"/>
        <w:rPr>
          <w:rFonts w:asciiTheme="majorHAnsi" w:hAnsiTheme="majorHAnsi"/>
          <w:color w:val="000000"/>
          <w:lang w:val="es-CR"/>
        </w:rPr>
      </w:pPr>
      <w:r w:rsidRPr="00FF6E35">
        <w:rPr>
          <w:rFonts w:asciiTheme="majorHAnsi" w:hAnsiTheme="majorHAnsi"/>
          <w:color w:val="000000"/>
          <w:lang w:val="es-CR"/>
        </w:rPr>
        <w:t>La remisión de información de los siguientes modelos mediante el Sistema de Supervisión de Seguros debe hacerse conforme a las siguientes fechas de corte:</w:t>
      </w:r>
    </w:p>
    <w:p w14:paraId="5011CC00" w14:textId="77777777" w:rsidR="00516BB1" w:rsidRPr="00516BB1" w:rsidRDefault="00516BB1" w:rsidP="00516BB1">
      <w:pPr>
        <w:jc w:val="both"/>
        <w:rPr>
          <w:rFonts w:asciiTheme="majorHAnsi" w:hAnsiTheme="majorHAnsi"/>
          <w:color w:val="000000"/>
          <w:lang w:val="es-CR"/>
        </w:rPr>
      </w:pPr>
    </w:p>
    <w:tbl>
      <w:tblPr>
        <w:tblStyle w:val="Tablaconcuadrcula"/>
        <w:tblW w:w="7935" w:type="dxa"/>
        <w:jc w:val="center"/>
        <w:tblLook w:val="04A0" w:firstRow="1" w:lastRow="0" w:firstColumn="1" w:lastColumn="0" w:noHBand="0" w:noVBand="1"/>
      </w:tblPr>
      <w:tblGrid>
        <w:gridCol w:w="5950"/>
        <w:gridCol w:w="1985"/>
      </w:tblGrid>
      <w:tr w:rsidR="00516BB1" w:rsidRPr="00BE4B49" w14:paraId="54089A77" w14:textId="77777777" w:rsidTr="00516BB1">
        <w:trPr>
          <w:jc w:val="center"/>
        </w:trPr>
        <w:tc>
          <w:tcPr>
            <w:tcW w:w="5950" w:type="dxa"/>
            <w:shd w:val="clear" w:color="auto" w:fill="95B3D7" w:themeFill="accent1" w:themeFillTint="99"/>
            <w:vAlign w:val="center"/>
          </w:tcPr>
          <w:p w14:paraId="55CBFAC9" w14:textId="77777777" w:rsidR="00516BB1" w:rsidRPr="00A450CC" w:rsidRDefault="00516BB1" w:rsidP="00F0100F">
            <w:pPr>
              <w:jc w:val="center"/>
              <w:rPr>
                <w:rFonts w:asciiTheme="majorHAnsi" w:hAnsiTheme="majorHAnsi"/>
                <w:b/>
                <w:bCs/>
                <w:i/>
                <w:iCs/>
                <w:color w:val="000000"/>
                <w:sz w:val="20"/>
                <w:szCs w:val="20"/>
                <w:lang w:val="es-CR"/>
              </w:rPr>
            </w:pPr>
            <w:r w:rsidRPr="00A450CC">
              <w:rPr>
                <w:rFonts w:asciiTheme="majorHAnsi" w:hAnsiTheme="majorHAnsi"/>
                <w:b/>
                <w:bCs/>
                <w:i/>
                <w:iCs/>
                <w:color w:val="000000"/>
                <w:sz w:val="20"/>
                <w:szCs w:val="20"/>
                <w:lang w:val="es-CR"/>
              </w:rPr>
              <w:t>Modelo</w:t>
            </w:r>
          </w:p>
        </w:tc>
        <w:tc>
          <w:tcPr>
            <w:tcW w:w="1985" w:type="dxa"/>
            <w:shd w:val="clear" w:color="auto" w:fill="95B3D7" w:themeFill="accent1" w:themeFillTint="99"/>
            <w:vAlign w:val="center"/>
          </w:tcPr>
          <w:p w14:paraId="0D60C23F" w14:textId="77777777" w:rsidR="00516BB1" w:rsidRPr="00A450CC" w:rsidRDefault="00516BB1" w:rsidP="00F0100F">
            <w:pPr>
              <w:jc w:val="center"/>
              <w:rPr>
                <w:rFonts w:asciiTheme="majorHAnsi" w:hAnsiTheme="majorHAnsi"/>
                <w:b/>
                <w:bCs/>
                <w:i/>
                <w:iCs/>
                <w:color w:val="000000"/>
                <w:sz w:val="20"/>
                <w:szCs w:val="20"/>
                <w:lang w:val="es-CR"/>
              </w:rPr>
            </w:pPr>
            <w:r w:rsidRPr="00A450CC">
              <w:rPr>
                <w:rFonts w:asciiTheme="majorHAnsi" w:hAnsiTheme="majorHAnsi"/>
                <w:b/>
                <w:bCs/>
                <w:i/>
                <w:iCs/>
                <w:color w:val="000000"/>
                <w:sz w:val="20"/>
                <w:szCs w:val="20"/>
                <w:lang w:val="es-CR"/>
              </w:rPr>
              <w:t>Fecha de corte de la información</w:t>
            </w:r>
          </w:p>
        </w:tc>
      </w:tr>
      <w:tr w:rsidR="00516BB1" w:rsidRPr="00BE4B49" w14:paraId="6D37B0DF" w14:textId="77777777" w:rsidTr="00516BB1">
        <w:trPr>
          <w:jc w:val="center"/>
        </w:trPr>
        <w:tc>
          <w:tcPr>
            <w:tcW w:w="5950" w:type="dxa"/>
          </w:tcPr>
          <w:p w14:paraId="691AAE2E" w14:textId="77777777" w:rsidR="00516BB1" w:rsidRPr="00BE4B49" w:rsidRDefault="00516BB1" w:rsidP="00F0100F">
            <w:pPr>
              <w:jc w:val="both"/>
              <w:rPr>
                <w:rFonts w:asciiTheme="majorHAnsi" w:hAnsiTheme="majorHAnsi"/>
                <w:i/>
                <w:iCs/>
                <w:color w:val="000000"/>
                <w:sz w:val="20"/>
                <w:szCs w:val="20"/>
                <w:lang w:val="es-CR"/>
              </w:rPr>
            </w:pPr>
            <w:r w:rsidRPr="00BE4B49">
              <w:rPr>
                <w:i/>
                <w:iCs/>
                <w:sz w:val="20"/>
                <w:szCs w:val="20"/>
              </w:rPr>
              <w:t>Modelo 11 SSS: Primas y Siniestros</w:t>
            </w:r>
          </w:p>
        </w:tc>
        <w:tc>
          <w:tcPr>
            <w:tcW w:w="1985" w:type="dxa"/>
          </w:tcPr>
          <w:p w14:paraId="3F990A94" w14:textId="77777777" w:rsidR="00516BB1" w:rsidRPr="00BE4B49" w:rsidRDefault="00516BB1" w:rsidP="00F0100F">
            <w:pPr>
              <w:jc w:val="center"/>
              <w:rPr>
                <w:rFonts w:asciiTheme="majorHAnsi" w:hAnsiTheme="majorHAnsi"/>
                <w:i/>
                <w:iCs/>
                <w:color w:val="000000"/>
                <w:sz w:val="20"/>
                <w:szCs w:val="20"/>
                <w:lang w:val="es-CR"/>
              </w:rPr>
            </w:pPr>
            <w:r w:rsidRPr="00FF6E35">
              <w:rPr>
                <w:rFonts w:asciiTheme="majorHAnsi" w:hAnsiTheme="majorHAnsi"/>
                <w:i/>
                <w:iCs/>
                <w:color w:val="000000"/>
                <w:sz w:val="20"/>
                <w:szCs w:val="20"/>
                <w:lang w:val="es-CR"/>
              </w:rPr>
              <w:t>30 /Abr/2021</w:t>
            </w:r>
          </w:p>
        </w:tc>
      </w:tr>
      <w:tr w:rsidR="00516BB1" w:rsidRPr="00BE4B49" w14:paraId="4372E72B" w14:textId="77777777" w:rsidTr="00516BB1">
        <w:trPr>
          <w:jc w:val="center"/>
        </w:trPr>
        <w:tc>
          <w:tcPr>
            <w:tcW w:w="5950" w:type="dxa"/>
          </w:tcPr>
          <w:p w14:paraId="0C894470" w14:textId="77777777" w:rsidR="00516BB1" w:rsidRPr="00BE4B49" w:rsidRDefault="00516BB1" w:rsidP="00F0100F">
            <w:pPr>
              <w:jc w:val="both"/>
              <w:rPr>
                <w:rFonts w:asciiTheme="majorHAnsi" w:hAnsiTheme="majorHAnsi"/>
                <w:i/>
                <w:iCs/>
                <w:color w:val="000000"/>
                <w:sz w:val="20"/>
                <w:szCs w:val="20"/>
                <w:lang w:val="es-CR"/>
              </w:rPr>
            </w:pPr>
            <w:r w:rsidRPr="00BE4B49">
              <w:rPr>
                <w:i/>
                <w:iCs/>
                <w:sz w:val="20"/>
                <w:szCs w:val="20"/>
              </w:rPr>
              <w:t xml:space="preserve">Modelo 12 SSS: Aporte a INEC </w:t>
            </w:r>
          </w:p>
        </w:tc>
        <w:tc>
          <w:tcPr>
            <w:tcW w:w="1985" w:type="dxa"/>
          </w:tcPr>
          <w:p w14:paraId="0913460C" w14:textId="77777777" w:rsidR="00516BB1" w:rsidRPr="00BE4B49" w:rsidRDefault="00516BB1" w:rsidP="00F0100F">
            <w:pPr>
              <w:jc w:val="center"/>
              <w:rPr>
                <w:rFonts w:asciiTheme="majorHAnsi" w:hAnsiTheme="majorHAnsi"/>
                <w:i/>
                <w:iCs/>
                <w:color w:val="000000"/>
                <w:sz w:val="20"/>
                <w:szCs w:val="20"/>
                <w:lang w:val="es-CR"/>
              </w:rPr>
            </w:pPr>
            <w:r w:rsidRPr="00FF6E35">
              <w:rPr>
                <w:rFonts w:asciiTheme="majorHAnsi" w:hAnsiTheme="majorHAnsi"/>
                <w:i/>
                <w:iCs/>
                <w:color w:val="000000"/>
                <w:sz w:val="20"/>
                <w:szCs w:val="20"/>
                <w:lang w:val="es-CR"/>
              </w:rPr>
              <w:t>30 /Abr/2021</w:t>
            </w:r>
          </w:p>
        </w:tc>
      </w:tr>
      <w:tr w:rsidR="00516BB1" w:rsidRPr="00BE4B49" w14:paraId="79B9DB5F" w14:textId="77777777" w:rsidTr="00516BB1">
        <w:trPr>
          <w:jc w:val="center"/>
        </w:trPr>
        <w:tc>
          <w:tcPr>
            <w:tcW w:w="5950" w:type="dxa"/>
          </w:tcPr>
          <w:p w14:paraId="2A1B27ED" w14:textId="77777777" w:rsidR="00516BB1" w:rsidRPr="00BE4B49" w:rsidRDefault="00516BB1" w:rsidP="00F0100F">
            <w:pPr>
              <w:jc w:val="both"/>
              <w:rPr>
                <w:rFonts w:asciiTheme="majorHAnsi" w:hAnsiTheme="majorHAnsi"/>
                <w:i/>
                <w:iCs/>
                <w:color w:val="000000"/>
                <w:sz w:val="20"/>
                <w:szCs w:val="20"/>
                <w:lang w:val="es-CR"/>
              </w:rPr>
            </w:pPr>
            <w:r w:rsidRPr="00BE4B49">
              <w:rPr>
                <w:rFonts w:asciiTheme="majorHAnsi" w:hAnsiTheme="majorHAnsi"/>
                <w:i/>
                <w:iCs/>
                <w:color w:val="000000"/>
                <w:sz w:val="20"/>
                <w:szCs w:val="20"/>
                <w:lang w:val="es-CR"/>
              </w:rPr>
              <w:t>Estadísticas Seguro de Riesgos del trabajo:</w:t>
            </w:r>
          </w:p>
          <w:p w14:paraId="6ED777A0" w14:textId="77777777" w:rsidR="00516BB1" w:rsidRPr="00BE4B49" w:rsidRDefault="00516BB1" w:rsidP="00F0100F">
            <w:pPr>
              <w:jc w:val="both"/>
              <w:rPr>
                <w:rFonts w:asciiTheme="majorHAnsi" w:hAnsiTheme="majorHAnsi"/>
                <w:i/>
                <w:iCs/>
                <w:color w:val="000000"/>
                <w:sz w:val="20"/>
                <w:szCs w:val="20"/>
                <w:lang w:val="es-CR"/>
              </w:rPr>
            </w:pPr>
            <w:r w:rsidRPr="00BE4B49">
              <w:rPr>
                <w:rFonts w:asciiTheme="majorHAnsi" w:hAnsiTheme="majorHAnsi"/>
                <w:i/>
                <w:iCs/>
                <w:color w:val="000000"/>
                <w:sz w:val="20"/>
                <w:szCs w:val="20"/>
                <w:lang w:val="es-CR"/>
              </w:rPr>
              <w:t>Modelo 13 SSS: Accidentes Laborales por Rama de Actividad Económica.</w:t>
            </w:r>
          </w:p>
          <w:p w14:paraId="5B152EBB" w14:textId="77777777" w:rsidR="00516BB1" w:rsidRPr="00BE4B49" w:rsidRDefault="00516BB1" w:rsidP="00F0100F">
            <w:pPr>
              <w:jc w:val="both"/>
              <w:rPr>
                <w:rFonts w:asciiTheme="majorHAnsi" w:hAnsiTheme="majorHAnsi"/>
                <w:i/>
                <w:iCs/>
                <w:color w:val="000000"/>
                <w:sz w:val="20"/>
                <w:szCs w:val="20"/>
                <w:lang w:val="es-CR"/>
              </w:rPr>
            </w:pPr>
            <w:r w:rsidRPr="00BE4B49">
              <w:rPr>
                <w:rFonts w:asciiTheme="majorHAnsi" w:hAnsiTheme="majorHAnsi"/>
                <w:i/>
                <w:iCs/>
                <w:color w:val="000000"/>
                <w:sz w:val="20"/>
                <w:szCs w:val="20"/>
                <w:lang w:val="es-CR"/>
              </w:rPr>
              <w:t>Modelo 14 SSS: Accidentes Laborales.</w:t>
            </w:r>
          </w:p>
          <w:p w14:paraId="56AEB4A4" w14:textId="77777777" w:rsidR="00516BB1" w:rsidRPr="00BE4B49" w:rsidRDefault="00516BB1" w:rsidP="00F0100F">
            <w:pPr>
              <w:jc w:val="both"/>
              <w:rPr>
                <w:rFonts w:asciiTheme="majorHAnsi" w:hAnsiTheme="majorHAnsi"/>
                <w:i/>
                <w:iCs/>
                <w:color w:val="000000"/>
                <w:sz w:val="20"/>
                <w:szCs w:val="20"/>
                <w:lang w:val="es-CR"/>
              </w:rPr>
            </w:pPr>
            <w:r w:rsidRPr="00BE4B49">
              <w:rPr>
                <w:rFonts w:asciiTheme="majorHAnsi" w:hAnsiTheme="majorHAnsi"/>
                <w:i/>
                <w:iCs/>
                <w:color w:val="000000"/>
                <w:sz w:val="20"/>
                <w:szCs w:val="20"/>
                <w:lang w:val="es-CR"/>
              </w:rPr>
              <w:t>Modelo 15 SSS: Enfermedades Profesionales.</w:t>
            </w:r>
          </w:p>
          <w:p w14:paraId="0754E953" w14:textId="77777777" w:rsidR="00516BB1" w:rsidRPr="00BE4B49" w:rsidRDefault="00516BB1" w:rsidP="00F0100F">
            <w:pPr>
              <w:jc w:val="both"/>
              <w:rPr>
                <w:rFonts w:asciiTheme="majorHAnsi" w:hAnsiTheme="majorHAnsi"/>
                <w:i/>
                <w:iCs/>
                <w:color w:val="000000"/>
                <w:sz w:val="20"/>
                <w:szCs w:val="20"/>
                <w:lang w:val="es-CR"/>
              </w:rPr>
            </w:pPr>
            <w:r w:rsidRPr="00BE4B49">
              <w:rPr>
                <w:rFonts w:asciiTheme="majorHAnsi" w:hAnsiTheme="majorHAnsi"/>
                <w:i/>
                <w:iCs/>
                <w:color w:val="000000"/>
                <w:sz w:val="20"/>
                <w:szCs w:val="20"/>
                <w:lang w:val="es-CR"/>
              </w:rPr>
              <w:t>Modelo 16 SSS: Fallecidos.</w:t>
            </w:r>
          </w:p>
          <w:p w14:paraId="5F87BE49" w14:textId="77777777" w:rsidR="00516BB1" w:rsidRPr="00BE4B49" w:rsidRDefault="00516BB1" w:rsidP="00F0100F">
            <w:pPr>
              <w:jc w:val="both"/>
              <w:rPr>
                <w:rFonts w:asciiTheme="majorHAnsi" w:hAnsiTheme="majorHAnsi"/>
                <w:i/>
                <w:iCs/>
                <w:color w:val="000000"/>
                <w:sz w:val="20"/>
                <w:szCs w:val="20"/>
                <w:lang w:val="es-CR"/>
              </w:rPr>
            </w:pPr>
            <w:r w:rsidRPr="00BE4B49">
              <w:rPr>
                <w:rFonts w:asciiTheme="majorHAnsi" w:hAnsiTheme="majorHAnsi"/>
                <w:i/>
                <w:iCs/>
                <w:color w:val="000000"/>
                <w:sz w:val="20"/>
                <w:szCs w:val="20"/>
                <w:lang w:val="es-CR"/>
              </w:rPr>
              <w:t>Modelo 17 SSS: Patronos Asegurados.</w:t>
            </w:r>
          </w:p>
        </w:tc>
        <w:tc>
          <w:tcPr>
            <w:tcW w:w="1985" w:type="dxa"/>
          </w:tcPr>
          <w:p w14:paraId="759BEC01" w14:textId="77777777" w:rsidR="00516BB1" w:rsidRPr="00BE4B49" w:rsidRDefault="00516BB1" w:rsidP="00F0100F">
            <w:pPr>
              <w:jc w:val="center"/>
              <w:rPr>
                <w:rFonts w:asciiTheme="majorHAnsi" w:hAnsiTheme="majorHAnsi"/>
                <w:i/>
                <w:iCs/>
                <w:color w:val="000000"/>
                <w:sz w:val="20"/>
                <w:szCs w:val="20"/>
                <w:lang w:val="es-CR"/>
              </w:rPr>
            </w:pPr>
            <w:r w:rsidRPr="00BE4B49">
              <w:rPr>
                <w:rFonts w:asciiTheme="majorHAnsi" w:hAnsiTheme="majorHAnsi"/>
                <w:i/>
                <w:iCs/>
                <w:color w:val="000000"/>
                <w:sz w:val="20"/>
                <w:szCs w:val="20"/>
                <w:lang w:val="es-CR"/>
              </w:rPr>
              <w:t xml:space="preserve">31/Dic </w:t>
            </w:r>
            <w:r>
              <w:rPr>
                <w:rFonts w:asciiTheme="majorHAnsi" w:hAnsiTheme="majorHAnsi"/>
                <w:i/>
                <w:iCs/>
                <w:color w:val="000000"/>
                <w:sz w:val="20"/>
                <w:szCs w:val="20"/>
                <w:lang w:val="es-CR"/>
              </w:rPr>
              <w:t>/</w:t>
            </w:r>
            <w:r w:rsidRPr="00BE4B49">
              <w:rPr>
                <w:rFonts w:asciiTheme="majorHAnsi" w:hAnsiTheme="majorHAnsi"/>
                <w:i/>
                <w:iCs/>
                <w:color w:val="000000"/>
                <w:sz w:val="20"/>
                <w:szCs w:val="20"/>
                <w:lang w:val="es-CR"/>
              </w:rPr>
              <w:t xml:space="preserve"> 202</w:t>
            </w:r>
            <w:r>
              <w:rPr>
                <w:rFonts w:asciiTheme="majorHAnsi" w:hAnsiTheme="majorHAnsi"/>
                <w:i/>
                <w:iCs/>
                <w:color w:val="000000"/>
                <w:sz w:val="20"/>
                <w:szCs w:val="20"/>
                <w:lang w:val="es-CR"/>
              </w:rPr>
              <w:t>0</w:t>
            </w:r>
          </w:p>
        </w:tc>
      </w:tr>
    </w:tbl>
    <w:p w14:paraId="6A21B2D6" w14:textId="77777777" w:rsidR="00516BB1" w:rsidRPr="00516BB1" w:rsidRDefault="00516BB1" w:rsidP="00516BB1">
      <w:pPr>
        <w:jc w:val="both"/>
        <w:rPr>
          <w:rFonts w:asciiTheme="majorHAnsi" w:hAnsiTheme="majorHAnsi"/>
          <w:color w:val="000000"/>
          <w:lang w:val="es-CR"/>
        </w:rPr>
      </w:pPr>
    </w:p>
    <w:p w14:paraId="29D6A82A" w14:textId="77777777" w:rsidR="00516BB1" w:rsidRPr="00FF6E35" w:rsidRDefault="00516BB1" w:rsidP="00516BB1">
      <w:pPr>
        <w:jc w:val="both"/>
      </w:pPr>
      <w:r w:rsidRPr="00FF6E35">
        <w:rPr>
          <w:rFonts w:asciiTheme="majorHAnsi" w:hAnsiTheme="majorHAnsi"/>
          <w:color w:val="000000"/>
          <w:lang w:val="es-CR"/>
        </w:rPr>
        <w:t>La modificación del Modelo de Canales rige para la entrega de información con corte al 31 de marzo de 2021.</w:t>
      </w:r>
    </w:p>
    <w:bookmarkEnd w:id="1"/>
    <w:bookmarkEnd w:id="2"/>
    <w:p w14:paraId="732094BE" w14:textId="77777777" w:rsidR="00516BB1" w:rsidRDefault="00516BB1" w:rsidP="00516BB1">
      <w:pPr>
        <w:jc w:val="both"/>
        <w:rPr>
          <w:rFonts w:asciiTheme="majorHAnsi" w:hAnsiTheme="majorHAnsi"/>
          <w:color w:val="000000"/>
        </w:rPr>
      </w:pPr>
    </w:p>
    <w:p w14:paraId="43F741CC" w14:textId="1497D5D3" w:rsidR="00516BB1" w:rsidRDefault="00516BB1" w:rsidP="00516BB1">
      <w:pPr>
        <w:jc w:val="both"/>
        <w:rPr>
          <w:rFonts w:asciiTheme="majorHAnsi" w:hAnsiTheme="majorHAnsi"/>
          <w:color w:val="000000"/>
        </w:rPr>
      </w:pPr>
    </w:p>
    <w:p w14:paraId="1FF2CB55" w14:textId="77777777" w:rsidR="00516BB1" w:rsidRDefault="00516BB1" w:rsidP="00516BB1">
      <w:pPr>
        <w:jc w:val="both"/>
        <w:rPr>
          <w:rFonts w:asciiTheme="majorHAnsi" w:hAnsiTheme="majorHAnsi"/>
          <w:color w:val="000000"/>
        </w:rPr>
      </w:pPr>
    </w:p>
    <w:p w14:paraId="7FA403DA" w14:textId="77777777" w:rsidR="00516BB1" w:rsidRDefault="00516BB1" w:rsidP="00516BB1">
      <w:pPr>
        <w:jc w:val="both"/>
        <w:rPr>
          <w:rFonts w:asciiTheme="majorHAnsi" w:hAnsiTheme="majorHAnsi"/>
        </w:rPr>
      </w:pPr>
      <w:r w:rsidRPr="00253EDF">
        <w:rPr>
          <w:rFonts w:asciiTheme="majorHAnsi" w:hAnsiTheme="majorHAnsi"/>
          <w:noProof/>
          <w:lang w:val="es-CR" w:eastAsia="es-CR"/>
        </w:rPr>
        <w:drawing>
          <wp:inline distT="0" distB="0" distL="0" distR="0" wp14:anchorId="74FA1F3C" wp14:editId="3A8D2A4C">
            <wp:extent cx="2499360" cy="524291"/>
            <wp:effectExtent l="0" t="0" r="0" b="9525"/>
            <wp:docPr id="4" name="0 Imagen"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descr="image00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9360" cy="524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sectPr w:rsidR="00516BB1" w:rsidSect="009618C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DFB52" w14:textId="77777777" w:rsidR="00F862A1" w:rsidRDefault="00F862A1" w:rsidP="005A1442">
      <w:r>
        <w:separator/>
      </w:r>
    </w:p>
  </w:endnote>
  <w:endnote w:type="continuationSeparator" w:id="0">
    <w:p w14:paraId="10B3719D" w14:textId="77777777" w:rsidR="00F862A1" w:rsidRDefault="00F862A1" w:rsidP="005A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F4430" w14:textId="77777777" w:rsidR="001F044E" w:rsidRDefault="001F044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AE681" w14:textId="77777777" w:rsidR="00F8332E" w:rsidRPr="00F8332E" w:rsidRDefault="00F8332E" w:rsidP="00516BB1">
    <w:pPr>
      <w:pStyle w:val="Piedepgina"/>
      <w:pBdr>
        <w:top w:val="single" w:sz="4" w:space="1" w:color="auto"/>
      </w:pBdr>
      <w:tabs>
        <w:tab w:val="clear" w:pos="8838"/>
      </w:tabs>
      <w:jc w:val="right"/>
      <w:rPr>
        <w:rFonts w:asciiTheme="majorHAnsi" w:hAnsiTheme="majorHAnsi"/>
        <w:sz w:val="18"/>
        <w:szCs w:val="18"/>
      </w:rPr>
    </w:pPr>
    <w:r w:rsidRPr="00F8332E">
      <w:rPr>
        <w:rFonts w:asciiTheme="majorHAnsi" w:hAnsiTheme="majorHAnsi"/>
        <w:sz w:val="18"/>
        <w:szCs w:val="18"/>
      </w:rPr>
      <w:t>Teléfonos: 2243-5108, 2243-5103  •  Fax: 2243-5151</w:t>
    </w:r>
  </w:p>
  <w:p w14:paraId="5D69B283" w14:textId="77777777" w:rsidR="00F8332E" w:rsidRDefault="00F8332E" w:rsidP="00F8332E">
    <w:pPr>
      <w:pStyle w:val="Piedepgina"/>
      <w:tabs>
        <w:tab w:val="clear" w:pos="8838"/>
      </w:tabs>
      <w:jc w:val="right"/>
      <w:rPr>
        <w:rFonts w:ascii="Baskerville Old Face" w:hAnsi="Baskerville Old Face"/>
        <w:sz w:val="18"/>
        <w:szCs w:val="18"/>
      </w:rPr>
    </w:pPr>
    <w:r w:rsidRPr="00F8332E">
      <w:rPr>
        <w:rFonts w:asciiTheme="majorHAnsi" w:hAnsiTheme="majorHAnsi"/>
        <w:sz w:val="18"/>
        <w:szCs w:val="18"/>
      </w:rPr>
      <w:t>Dirección:</w:t>
    </w:r>
    <w:r w:rsidRPr="00121F8C">
      <w:rPr>
        <w:rFonts w:ascii="Baskerville Old Face" w:hAnsi="Baskerville Old Face"/>
        <w:sz w:val="18"/>
        <w:szCs w:val="18"/>
      </w:rPr>
      <w:t xml:space="preserve"> </w:t>
    </w:r>
    <w:r w:rsidRPr="009E7017">
      <w:rPr>
        <w:rFonts w:asciiTheme="majorHAnsi" w:hAnsiTheme="majorHAnsi"/>
        <w:sz w:val="18"/>
        <w:szCs w:val="18"/>
      </w:rPr>
      <w:t>Edificio ODMs, Barrio T</w:t>
    </w:r>
    <w:r>
      <w:rPr>
        <w:rFonts w:asciiTheme="majorHAnsi" w:hAnsiTheme="majorHAnsi"/>
        <w:sz w:val="18"/>
        <w:szCs w:val="18"/>
      </w:rPr>
      <w:t>o</w:t>
    </w:r>
    <w:r w:rsidRPr="009E7017">
      <w:rPr>
        <w:rFonts w:asciiTheme="majorHAnsi" w:hAnsiTheme="majorHAnsi"/>
        <w:sz w:val="18"/>
        <w:szCs w:val="18"/>
      </w:rPr>
      <w:t>urnón, Piso 4</w:t>
    </w:r>
  </w:p>
  <w:p w14:paraId="3AF228A7" w14:textId="77777777" w:rsidR="00F8332E" w:rsidRPr="00F8332E" w:rsidRDefault="0038636D" w:rsidP="00F8332E">
    <w:pPr>
      <w:pStyle w:val="Piedepgina"/>
      <w:tabs>
        <w:tab w:val="clear" w:pos="8838"/>
      </w:tabs>
      <w:jc w:val="right"/>
      <w:rPr>
        <w:rFonts w:ascii="Baskerville Old Face" w:hAnsi="Baskerville Old Face"/>
        <w:sz w:val="18"/>
        <w:szCs w:val="18"/>
      </w:rPr>
    </w:pPr>
    <w:hyperlink r:id="rId1" w:history="1">
      <w:r w:rsidR="00F8332E" w:rsidRPr="00121F8C">
        <w:rPr>
          <w:rStyle w:val="Hipervnculo"/>
          <w:rFonts w:ascii="Baskerville Old Face" w:hAnsi="Baskerville Old Face"/>
          <w:sz w:val="18"/>
          <w:szCs w:val="18"/>
        </w:rPr>
        <w:t>sugese@sugese.fi.cr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980B0" w14:textId="77777777" w:rsidR="00843EE4" w:rsidRDefault="00843EE4" w:rsidP="00A83BA5">
    <w:pPr>
      <w:pStyle w:val="Piedepgina"/>
      <w:pBdr>
        <w:top w:val="single" w:sz="4" w:space="1" w:color="auto"/>
      </w:pBdr>
      <w:rPr>
        <w:sz w:val="16"/>
        <w:szCs w:val="16"/>
      </w:rPr>
    </w:pPr>
  </w:p>
  <w:p w14:paraId="60CAC0AB" w14:textId="77777777" w:rsidR="00843EE4" w:rsidRPr="00F8332E" w:rsidRDefault="00843EE4" w:rsidP="00A83BA5">
    <w:pPr>
      <w:pStyle w:val="Piedepgina"/>
      <w:tabs>
        <w:tab w:val="clear" w:pos="8838"/>
      </w:tabs>
      <w:jc w:val="right"/>
      <w:rPr>
        <w:rFonts w:asciiTheme="majorHAnsi" w:hAnsiTheme="majorHAnsi"/>
        <w:sz w:val="18"/>
        <w:szCs w:val="18"/>
      </w:rPr>
    </w:pPr>
    <w:r w:rsidRPr="00F8332E">
      <w:rPr>
        <w:rFonts w:asciiTheme="majorHAnsi" w:hAnsiTheme="majorHAnsi"/>
        <w:sz w:val="18"/>
        <w:szCs w:val="18"/>
      </w:rPr>
      <w:t>Teléfonos: 2243-5108, 2243-5103  •  Fax: 2243-5151</w:t>
    </w:r>
  </w:p>
  <w:p w14:paraId="5D4E4D11" w14:textId="77777777" w:rsidR="00843EE4" w:rsidRDefault="00843EE4" w:rsidP="00A83BA5">
    <w:pPr>
      <w:pStyle w:val="Piedepgina"/>
      <w:tabs>
        <w:tab w:val="clear" w:pos="8838"/>
      </w:tabs>
      <w:jc w:val="right"/>
      <w:rPr>
        <w:rFonts w:ascii="Baskerville Old Face" w:hAnsi="Baskerville Old Face"/>
        <w:sz w:val="18"/>
        <w:szCs w:val="18"/>
      </w:rPr>
    </w:pPr>
    <w:r w:rsidRPr="00F8332E">
      <w:rPr>
        <w:rFonts w:asciiTheme="majorHAnsi" w:hAnsiTheme="majorHAnsi"/>
        <w:sz w:val="18"/>
        <w:szCs w:val="18"/>
      </w:rPr>
      <w:t>Dirección:</w:t>
    </w:r>
    <w:r w:rsidRPr="00121F8C">
      <w:rPr>
        <w:rFonts w:ascii="Baskerville Old Face" w:hAnsi="Baskerville Old Face"/>
        <w:sz w:val="18"/>
        <w:szCs w:val="18"/>
      </w:rPr>
      <w:t xml:space="preserve"> </w:t>
    </w:r>
    <w:r w:rsidR="00F8332E" w:rsidRPr="009E7017">
      <w:rPr>
        <w:rFonts w:asciiTheme="majorHAnsi" w:hAnsiTheme="majorHAnsi"/>
        <w:sz w:val="18"/>
        <w:szCs w:val="18"/>
      </w:rPr>
      <w:t>Edificio ODMs, Barrio T</w:t>
    </w:r>
    <w:r w:rsidR="00F8332E">
      <w:rPr>
        <w:rFonts w:asciiTheme="majorHAnsi" w:hAnsiTheme="majorHAnsi"/>
        <w:sz w:val="18"/>
        <w:szCs w:val="18"/>
      </w:rPr>
      <w:t>o</w:t>
    </w:r>
    <w:r w:rsidR="00F8332E" w:rsidRPr="009E7017">
      <w:rPr>
        <w:rFonts w:asciiTheme="majorHAnsi" w:hAnsiTheme="majorHAnsi"/>
        <w:sz w:val="18"/>
        <w:szCs w:val="18"/>
      </w:rPr>
      <w:t>urnón, Piso 4</w:t>
    </w:r>
  </w:p>
  <w:p w14:paraId="1FEF6310" w14:textId="77777777" w:rsidR="00843EE4" w:rsidRPr="00A83BA5" w:rsidRDefault="0038636D" w:rsidP="00A83BA5">
    <w:pPr>
      <w:pStyle w:val="Piedepgina"/>
      <w:tabs>
        <w:tab w:val="clear" w:pos="8838"/>
      </w:tabs>
      <w:jc w:val="right"/>
      <w:rPr>
        <w:rFonts w:ascii="Baskerville Old Face" w:hAnsi="Baskerville Old Face"/>
        <w:sz w:val="18"/>
        <w:szCs w:val="18"/>
      </w:rPr>
    </w:pPr>
    <w:hyperlink r:id="rId1" w:history="1">
      <w:r w:rsidR="00843EE4" w:rsidRPr="00121F8C">
        <w:rPr>
          <w:rStyle w:val="Hipervnculo"/>
          <w:rFonts w:ascii="Baskerville Old Face" w:hAnsi="Baskerville Old Face"/>
          <w:sz w:val="18"/>
          <w:szCs w:val="18"/>
        </w:rPr>
        <w:t>sugese@sugese.fi.cr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9ADF1" w14:textId="77777777" w:rsidR="00F862A1" w:rsidRDefault="00F862A1" w:rsidP="005A1442">
      <w:r>
        <w:separator/>
      </w:r>
    </w:p>
  </w:footnote>
  <w:footnote w:type="continuationSeparator" w:id="0">
    <w:p w14:paraId="2101BF6D" w14:textId="77777777" w:rsidR="00F862A1" w:rsidRDefault="00F862A1" w:rsidP="005A1442">
      <w:r>
        <w:continuationSeparator/>
      </w:r>
    </w:p>
  </w:footnote>
  <w:footnote w:id="1">
    <w:p w14:paraId="0164932B" w14:textId="77777777" w:rsidR="00516BB1" w:rsidRPr="005244DC" w:rsidRDefault="00516BB1" w:rsidP="00516BB1">
      <w:pPr>
        <w:pStyle w:val="Textonotapie"/>
        <w:rPr>
          <w:lang w:val="es-CR"/>
        </w:rPr>
      </w:pPr>
      <w:r>
        <w:rPr>
          <w:rStyle w:val="Refdenotaalpie"/>
        </w:rPr>
        <w:footnoteRef/>
      </w:r>
      <w:r>
        <w:t xml:space="preserve"> </w:t>
      </w:r>
      <w:r>
        <w:rPr>
          <w:lang w:val="es-CR"/>
        </w:rPr>
        <w:t>Adicionado mediante acuerdo SGS-A-0069-2019 del 19/12/2019.</w:t>
      </w:r>
    </w:p>
  </w:footnote>
  <w:footnote w:id="2">
    <w:p w14:paraId="0A6E76E5" w14:textId="77777777" w:rsidR="00516BB1" w:rsidRPr="003F4998" w:rsidRDefault="00516BB1" w:rsidP="00516BB1">
      <w:pPr>
        <w:pStyle w:val="Textonotapie"/>
        <w:jc w:val="both"/>
      </w:pPr>
      <w:r>
        <w:rPr>
          <w:rStyle w:val="Refdenotaalpie"/>
        </w:rPr>
        <w:footnoteRef/>
      </w:r>
      <w:r>
        <w:t xml:space="preserve"> </w:t>
      </w:r>
      <w:r w:rsidRPr="003F4998">
        <w:t>A</w:t>
      </w:r>
      <w:r>
        <w:t>diciona</w:t>
      </w:r>
      <w:r w:rsidRPr="003F4998">
        <w:t>do mediante acuerdo SGS-DES-A-051-2016 del 14/04/2016. Publicado en la Gaceta N°114 del 14/06/2016.</w:t>
      </w:r>
    </w:p>
  </w:footnote>
  <w:footnote w:id="3">
    <w:p w14:paraId="4AD3F15B" w14:textId="77777777" w:rsidR="00516BB1" w:rsidRPr="001844D9" w:rsidRDefault="00516BB1" w:rsidP="00516BB1">
      <w:pPr>
        <w:pStyle w:val="Textonotapie"/>
        <w:rPr>
          <w:lang w:val="es-CR"/>
        </w:rPr>
      </w:pPr>
      <w:r>
        <w:rPr>
          <w:rStyle w:val="Refdenotaalpie"/>
        </w:rPr>
        <w:footnoteRef/>
      </w:r>
      <w:r>
        <w:t xml:space="preserve"> </w:t>
      </w:r>
      <w:r>
        <w:rPr>
          <w:lang w:val="es-CR"/>
        </w:rPr>
        <w:t>Adicionado mediante acuerdo SGS-A-0059-2017 del 5/12/2017.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0BEAD" w14:textId="77777777" w:rsidR="001F044E" w:rsidRDefault="001F044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3AC46" w14:textId="77777777" w:rsidR="00373AC0" w:rsidRPr="009618C8" w:rsidRDefault="00373AC0" w:rsidP="00373AC0">
    <w:pPr>
      <w:pStyle w:val="Encabezado"/>
      <w:jc w:val="center"/>
      <w:rPr>
        <w:rFonts w:asciiTheme="majorHAnsi" w:hAnsiTheme="majorHAnsi"/>
        <w:sz w:val="24"/>
        <w:szCs w:val="24"/>
      </w:rPr>
    </w:pPr>
    <w:r w:rsidRPr="009618C8">
      <w:rPr>
        <w:rFonts w:asciiTheme="majorHAnsi" w:hAnsiTheme="majorHAnsi"/>
        <w:noProof/>
        <w:sz w:val="24"/>
        <w:szCs w:val="24"/>
        <w:lang w:eastAsia="es-CR"/>
      </w:rPr>
      <w:drawing>
        <wp:inline distT="0" distB="0" distL="0" distR="0" wp14:anchorId="2A7A21A1" wp14:editId="2A68EAE4">
          <wp:extent cx="1209580" cy="971550"/>
          <wp:effectExtent l="19050" t="0" r="0" b="0"/>
          <wp:docPr id="3"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1"/>
                  <a:stretch>
                    <a:fillRect/>
                  </a:stretch>
                </pic:blipFill>
                <pic:spPr>
                  <a:xfrm>
                    <a:off x="0" y="0"/>
                    <a:ext cx="1209580" cy="971550"/>
                  </a:xfrm>
                  <a:prstGeom prst="rect">
                    <a:avLst/>
                  </a:prstGeom>
                </pic:spPr>
              </pic:pic>
            </a:graphicData>
          </a:graphic>
        </wp:inline>
      </w:drawing>
    </w:r>
  </w:p>
  <w:p w14:paraId="5364DCC9" w14:textId="77777777" w:rsidR="00373AC0" w:rsidRPr="009618C8" w:rsidRDefault="00373AC0" w:rsidP="00373AC0">
    <w:pPr>
      <w:pStyle w:val="Encabezado"/>
      <w:rPr>
        <w:rFonts w:asciiTheme="majorHAnsi" w:hAnsiTheme="majorHAnsi"/>
        <w:sz w:val="16"/>
        <w:szCs w:val="16"/>
      </w:rPr>
    </w:pPr>
  </w:p>
  <w:p w14:paraId="5F76DF50" w14:textId="6D3A7F86" w:rsidR="00761D54" w:rsidRPr="00373AC0" w:rsidRDefault="00373AC0" w:rsidP="00373AC0">
    <w:pPr>
      <w:jc w:val="both"/>
      <w:rPr>
        <w:rFonts w:asciiTheme="majorHAnsi" w:hAnsiTheme="majorHAnsi"/>
        <w:b/>
        <w:i/>
        <w:color w:val="000000"/>
      </w:rPr>
    </w:pPr>
    <w:r w:rsidRPr="00373AC0">
      <w:rPr>
        <w:rFonts w:asciiTheme="majorHAnsi" w:hAnsiTheme="majorHAnsi"/>
        <w:b/>
        <w:bCs/>
        <w:i/>
      </w:rPr>
      <w:t>SGS-A-0</w:t>
    </w:r>
    <w:r w:rsidR="001F044E">
      <w:rPr>
        <w:rFonts w:asciiTheme="majorHAnsi" w:hAnsiTheme="majorHAnsi"/>
        <w:b/>
        <w:bCs/>
        <w:i/>
      </w:rPr>
      <w:t>075</w:t>
    </w:r>
    <w:r w:rsidRPr="00373AC0">
      <w:rPr>
        <w:rFonts w:asciiTheme="majorHAnsi" w:hAnsiTheme="majorHAnsi"/>
        <w:b/>
        <w:bCs/>
        <w:i/>
      </w:rPr>
      <w:t>-20</w:t>
    </w:r>
    <w:r w:rsidR="001F044E">
      <w:rPr>
        <w:rFonts w:asciiTheme="majorHAnsi" w:hAnsiTheme="majorHAnsi"/>
        <w:b/>
        <w:bCs/>
        <w:i/>
      </w:rPr>
      <w:t>20</w:t>
    </w:r>
  </w:p>
  <w:p w14:paraId="6E61E729" w14:textId="77777777" w:rsidR="00843EE4" w:rsidRPr="00373AC0" w:rsidRDefault="00843EE4" w:rsidP="00373AC0">
    <w:pPr>
      <w:pStyle w:val="Encabezado"/>
      <w:jc w:val="both"/>
      <w:rPr>
        <w:rFonts w:asciiTheme="majorHAnsi" w:hAnsiTheme="majorHAnsi"/>
        <w:sz w:val="24"/>
        <w:szCs w:val="24"/>
        <w:lang w:val="es-MX"/>
      </w:rPr>
    </w:pPr>
    <w:r w:rsidRPr="00373AC0">
      <w:rPr>
        <w:rFonts w:asciiTheme="majorHAnsi" w:hAnsiTheme="majorHAnsi"/>
        <w:sz w:val="24"/>
        <w:szCs w:val="24"/>
        <w:lang w:val="es-MX"/>
      </w:rPr>
      <w:t xml:space="preserve">Página </w:t>
    </w:r>
    <w:r w:rsidRPr="00373AC0">
      <w:rPr>
        <w:rFonts w:asciiTheme="majorHAnsi" w:hAnsiTheme="majorHAnsi"/>
        <w:sz w:val="24"/>
        <w:szCs w:val="24"/>
        <w:lang w:val="es-MX"/>
      </w:rPr>
      <w:fldChar w:fldCharType="begin"/>
    </w:r>
    <w:r w:rsidRPr="00373AC0">
      <w:rPr>
        <w:rFonts w:asciiTheme="majorHAnsi" w:hAnsiTheme="majorHAnsi"/>
        <w:sz w:val="24"/>
        <w:szCs w:val="24"/>
        <w:lang w:val="es-MX"/>
      </w:rPr>
      <w:instrText xml:space="preserve"> PAGE   \* MERGEFORMAT </w:instrText>
    </w:r>
    <w:r w:rsidRPr="00373AC0">
      <w:rPr>
        <w:rFonts w:asciiTheme="majorHAnsi" w:hAnsiTheme="majorHAnsi"/>
        <w:sz w:val="24"/>
        <w:szCs w:val="24"/>
        <w:lang w:val="es-MX"/>
      </w:rPr>
      <w:fldChar w:fldCharType="separate"/>
    </w:r>
    <w:r w:rsidR="00F8332E">
      <w:rPr>
        <w:rFonts w:asciiTheme="majorHAnsi" w:hAnsiTheme="majorHAnsi"/>
        <w:noProof/>
        <w:sz w:val="24"/>
        <w:szCs w:val="24"/>
        <w:lang w:val="es-MX"/>
      </w:rPr>
      <w:t>2</w:t>
    </w:r>
    <w:r w:rsidRPr="00373AC0">
      <w:rPr>
        <w:rFonts w:asciiTheme="majorHAnsi" w:hAnsiTheme="majorHAnsi"/>
        <w:sz w:val="24"/>
        <w:szCs w:val="24"/>
        <w:lang w:val="es-MX"/>
      </w:rPr>
      <w:fldChar w:fldCharType="end"/>
    </w:r>
  </w:p>
  <w:p w14:paraId="3CEE0DB3" w14:textId="77777777" w:rsidR="00843EE4" w:rsidRPr="00373AC0" w:rsidRDefault="00843EE4" w:rsidP="00373AC0">
    <w:pPr>
      <w:pStyle w:val="Encabezado"/>
      <w:jc w:val="both"/>
      <w:rPr>
        <w:rFonts w:asciiTheme="majorHAnsi" w:hAnsiTheme="majorHAnsi"/>
        <w:sz w:val="24"/>
        <w:szCs w:val="24"/>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BEF89" w14:textId="77777777" w:rsidR="00843EE4" w:rsidRPr="009618C8" w:rsidRDefault="00843EE4" w:rsidP="009618C8">
    <w:pPr>
      <w:pStyle w:val="Encabezado"/>
      <w:jc w:val="center"/>
      <w:rPr>
        <w:rFonts w:asciiTheme="majorHAnsi" w:hAnsiTheme="majorHAnsi"/>
        <w:sz w:val="24"/>
        <w:szCs w:val="24"/>
      </w:rPr>
    </w:pPr>
    <w:r w:rsidRPr="009618C8">
      <w:rPr>
        <w:rFonts w:asciiTheme="majorHAnsi" w:hAnsiTheme="majorHAnsi"/>
        <w:noProof/>
        <w:sz w:val="24"/>
        <w:szCs w:val="24"/>
        <w:lang w:eastAsia="es-CR"/>
      </w:rPr>
      <w:drawing>
        <wp:inline distT="0" distB="0" distL="0" distR="0" wp14:anchorId="1607F8A9" wp14:editId="4ADB17FA">
          <wp:extent cx="1209580" cy="971550"/>
          <wp:effectExtent l="19050" t="0" r="0" b="0"/>
          <wp:docPr id="5"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1"/>
                  <a:stretch>
                    <a:fillRect/>
                  </a:stretch>
                </pic:blipFill>
                <pic:spPr>
                  <a:xfrm>
                    <a:off x="0" y="0"/>
                    <a:ext cx="1209580" cy="971550"/>
                  </a:xfrm>
                  <a:prstGeom prst="rect">
                    <a:avLst/>
                  </a:prstGeom>
                </pic:spPr>
              </pic:pic>
            </a:graphicData>
          </a:graphic>
        </wp:inline>
      </w:drawing>
    </w:r>
  </w:p>
  <w:p w14:paraId="39A15F78" w14:textId="77777777" w:rsidR="00843EE4" w:rsidRPr="009618C8" w:rsidRDefault="00843EE4">
    <w:pPr>
      <w:pStyle w:val="Encabezado"/>
      <w:rPr>
        <w:rFonts w:asciiTheme="majorHAnsi" w:hAnsiTheme="maj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447B"/>
    <w:multiLevelType w:val="hybridMultilevel"/>
    <w:tmpl w:val="B17436E0"/>
    <w:lvl w:ilvl="0" w:tplc="81947EAA">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2A1"/>
    <w:rsid w:val="00003EEF"/>
    <w:rsid w:val="000076D1"/>
    <w:rsid w:val="000105FD"/>
    <w:rsid w:val="00015CC4"/>
    <w:rsid w:val="000230EC"/>
    <w:rsid w:val="00037F14"/>
    <w:rsid w:val="00043989"/>
    <w:rsid w:val="000476C1"/>
    <w:rsid w:val="00055413"/>
    <w:rsid w:val="00067CF6"/>
    <w:rsid w:val="000752F9"/>
    <w:rsid w:val="000760ED"/>
    <w:rsid w:val="00083A78"/>
    <w:rsid w:val="0008604D"/>
    <w:rsid w:val="000A2288"/>
    <w:rsid w:val="000B2E1D"/>
    <w:rsid w:val="000B4150"/>
    <w:rsid w:val="000C7644"/>
    <w:rsid w:val="000D4883"/>
    <w:rsid w:val="000E78B1"/>
    <w:rsid w:val="000F4177"/>
    <w:rsid w:val="00104DC9"/>
    <w:rsid w:val="00107380"/>
    <w:rsid w:val="00112325"/>
    <w:rsid w:val="00133DA2"/>
    <w:rsid w:val="00135FBF"/>
    <w:rsid w:val="00140B90"/>
    <w:rsid w:val="00146B1D"/>
    <w:rsid w:val="001551CB"/>
    <w:rsid w:val="0016515C"/>
    <w:rsid w:val="00167B6E"/>
    <w:rsid w:val="0017138C"/>
    <w:rsid w:val="00180BA2"/>
    <w:rsid w:val="0018143B"/>
    <w:rsid w:val="001A29D3"/>
    <w:rsid w:val="001A6FE9"/>
    <w:rsid w:val="001B3C85"/>
    <w:rsid w:val="001B6EE9"/>
    <w:rsid w:val="001C344D"/>
    <w:rsid w:val="001D2BCA"/>
    <w:rsid w:val="001F044E"/>
    <w:rsid w:val="001F362F"/>
    <w:rsid w:val="002048C0"/>
    <w:rsid w:val="00221996"/>
    <w:rsid w:val="00222862"/>
    <w:rsid w:val="00234ECC"/>
    <w:rsid w:val="0023647D"/>
    <w:rsid w:val="002440B8"/>
    <w:rsid w:val="00247E9E"/>
    <w:rsid w:val="00267429"/>
    <w:rsid w:val="0028286F"/>
    <w:rsid w:val="00286975"/>
    <w:rsid w:val="002878BA"/>
    <w:rsid w:val="00291CE7"/>
    <w:rsid w:val="002A04A2"/>
    <w:rsid w:val="002C3B80"/>
    <w:rsid w:val="002C3DDE"/>
    <w:rsid w:val="002C572C"/>
    <w:rsid w:val="002C76DF"/>
    <w:rsid w:val="002D7832"/>
    <w:rsid w:val="002E02EC"/>
    <w:rsid w:val="002E6AFE"/>
    <w:rsid w:val="002F22F3"/>
    <w:rsid w:val="002F2345"/>
    <w:rsid w:val="002F51B5"/>
    <w:rsid w:val="00304DCB"/>
    <w:rsid w:val="0030537C"/>
    <w:rsid w:val="00305398"/>
    <w:rsid w:val="00317C1E"/>
    <w:rsid w:val="00333BA8"/>
    <w:rsid w:val="00336659"/>
    <w:rsid w:val="00343523"/>
    <w:rsid w:val="00343D0D"/>
    <w:rsid w:val="003623F7"/>
    <w:rsid w:val="0036475D"/>
    <w:rsid w:val="00366016"/>
    <w:rsid w:val="00373AC0"/>
    <w:rsid w:val="003758F1"/>
    <w:rsid w:val="00376DE7"/>
    <w:rsid w:val="00385D10"/>
    <w:rsid w:val="0038636D"/>
    <w:rsid w:val="00391C88"/>
    <w:rsid w:val="003947BB"/>
    <w:rsid w:val="003A39BC"/>
    <w:rsid w:val="003A53B0"/>
    <w:rsid w:val="003B043B"/>
    <w:rsid w:val="003B6304"/>
    <w:rsid w:val="003B721F"/>
    <w:rsid w:val="003B7CC2"/>
    <w:rsid w:val="003D3009"/>
    <w:rsid w:val="003E469F"/>
    <w:rsid w:val="003E62CB"/>
    <w:rsid w:val="003E721F"/>
    <w:rsid w:val="004263F9"/>
    <w:rsid w:val="004277B9"/>
    <w:rsid w:val="00432474"/>
    <w:rsid w:val="00450703"/>
    <w:rsid w:val="00454C55"/>
    <w:rsid w:val="004715C7"/>
    <w:rsid w:val="0047219D"/>
    <w:rsid w:val="004948D8"/>
    <w:rsid w:val="00495470"/>
    <w:rsid w:val="00496C81"/>
    <w:rsid w:val="004A03B7"/>
    <w:rsid w:val="004A495A"/>
    <w:rsid w:val="004B767D"/>
    <w:rsid w:val="004C3B15"/>
    <w:rsid w:val="004C4D3C"/>
    <w:rsid w:val="004D2EB0"/>
    <w:rsid w:val="004D3D77"/>
    <w:rsid w:val="004D7196"/>
    <w:rsid w:val="004E7104"/>
    <w:rsid w:val="004F5023"/>
    <w:rsid w:val="004F6969"/>
    <w:rsid w:val="0050151B"/>
    <w:rsid w:val="0050185B"/>
    <w:rsid w:val="00501E0F"/>
    <w:rsid w:val="005078E4"/>
    <w:rsid w:val="00514940"/>
    <w:rsid w:val="00516BB1"/>
    <w:rsid w:val="005241EE"/>
    <w:rsid w:val="00524C83"/>
    <w:rsid w:val="0053290C"/>
    <w:rsid w:val="00533746"/>
    <w:rsid w:val="005442FF"/>
    <w:rsid w:val="00545CD6"/>
    <w:rsid w:val="00556620"/>
    <w:rsid w:val="00560026"/>
    <w:rsid w:val="0056158A"/>
    <w:rsid w:val="0056224B"/>
    <w:rsid w:val="0056751A"/>
    <w:rsid w:val="00576230"/>
    <w:rsid w:val="005876B5"/>
    <w:rsid w:val="005A1442"/>
    <w:rsid w:val="005B70A7"/>
    <w:rsid w:val="005C5B11"/>
    <w:rsid w:val="005C69FA"/>
    <w:rsid w:val="005C7CD2"/>
    <w:rsid w:val="005D13DD"/>
    <w:rsid w:val="005E7FD4"/>
    <w:rsid w:val="005F395A"/>
    <w:rsid w:val="00602EC0"/>
    <w:rsid w:val="00604DED"/>
    <w:rsid w:val="00621BF4"/>
    <w:rsid w:val="00621E9B"/>
    <w:rsid w:val="00626ECF"/>
    <w:rsid w:val="00632C9E"/>
    <w:rsid w:val="006428F4"/>
    <w:rsid w:val="00646CD3"/>
    <w:rsid w:val="00650488"/>
    <w:rsid w:val="00650E64"/>
    <w:rsid w:val="00652E5B"/>
    <w:rsid w:val="00663DB8"/>
    <w:rsid w:val="00664692"/>
    <w:rsid w:val="0066556D"/>
    <w:rsid w:val="006655C3"/>
    <w:rsid w:val="006678C2"/>
    <w:rsid w:val="006679E1"/>
    <w:rsid w:val="00671DEB"/>
    <w:rsid w:val="00672C4A"/>
    <w:rsid w:val="00673269"/>
    <w:rsid w:val="00674F4F"/>
    <w:rsid w:val="006772DD"/>
    <w:rsid w:val="006829C1"/>
    <w:rsid w:val="0068417D"/>
    <w:rsid w:val="006848D6"/>
    <w:rsid w:val="006943A2"/>
    <w:rsid w:val="006A1A25"/>
    <w:rsid w:val="006A3734"/>
    <w:rsid w:val="006B0031"/>
    <w:rsid w:val="006B4EA1"/>
    <w:rsid w:val="006C12D6"/>
    <w:rsid w:val="006C624C"/>
    <w:rsid w:val="006C76B1"/>
    <w:rsid w:val="006D0952"/>
    <w:rsid w:val="006E01DB"/>
    <w:rsid w:val="006E1EC2"/>
    <w:rsid w:val="006F4CAF"/>
    <w:rsid w:val="006F4D20"/>
    <w:rsid w:val="006F64FC"/>
    <w:rsid w:val="00706543"/>
    <w:rsid w:val="00712FFB"/>
    <w:rsid w:val="00715BD0"/>
    <w:rsid w:val="007170ED"/>
    <w:rsid w:val="00717F1A"/>
    <w:rsid w:val="00725048"/>
    <w:rsid w:val="00725493"/>
    <w:rsid w:val="00726CEB"/>
    <w:rsid w:val="007272CC"/>
    <w:rsid w:val="007324F8"/>
    <w:rsid w:val="007327C9"/>
    <w:rsid w:val="0074198B"/>
    <w:rsid w:val="007437E6"/>
    <w:rsid w:val="00744A2C"/>
    <w:rsid w:val="00746E52"/>
    <w:rsid w:val="00761D54"/>
    <w:rsid w:val="007636BD"/>
    <w:rsid w:val="00771580"/>
    <w:rsid w:val="00792726"/>
    <w:rsid w:val="007A0A2A"/>
    <w:rsid w:val="007A1E7F"/>
    <w:rsid w:val="007A22EA"/>
    <w:rsid w:val="007A2A51"/>
    <w:rsid w:val="007B04A5"/>
    <w:rsid w:val="007C19A7"/>
    <w:rsid w:val="007C2114"/>
    <w:rsid w:val="007D2DAF"/>
    <w:rsid w:val="007E41E5"/>
    <w:rsid w:val="007E46F1"/>
    <w:rsid w:val="007E5094"/>
    <w:rsid w:val="007E66C6"/>
    <w:rsid w:val="007F09F5"/>
    <w:rsid w:val="008022A8"/>
    <w:rsid w:val="0080328F"/>
    <w:rsid w:val="00821436"/>
    <w:rsid w:val="008259A0"/>
    <w:rsid w:val="008370FF"/>
    <w:rsid w:val="00843EE4"/>
    <w:rsid w:val="0085586B"/>
    <w:rsid w:val="00857125"/>
    <w:rsid w:val="00857848"/>
    <w:rsid w:val="00857AD8"/>
    <w:rsid w:val="008605C0"/>
    <w:rsid w:val="00866B92"/>
    <w:rsid w:val="008704B7"/>
    <w:rsid w:val="008747C3"/>
    <w:rsid w:val="008778EF"/>
    <w:rsid w:val="00877EB5"/>
    <w:rsid w:val="00895D99"/>
    <w:rsid w:val="008962DC"/>
    <w:rsid w:val="00896B04"/>
    <w:rsid w:val="008974D8"/>
    <w:rsid w:val="008A3070"/>
    <w:rsid w:val="008A591C"/>
    <w:rsid w:val="008D17A9"/>
    <w:rsid w:val="008D2116"/>
    <w:rsid w:val="008D2BC8"/>
    <w:rsid w:val="008F727F"/>
    <w:rsid w:val="00901240"/>
    <w:rsid w:val="00915452"/>
    <w:rsid w:val="00922C3E"/>
    <w:rsid w:val="00947CCD"/>
    <w:rsid w:val="0095414B"/>
    <w:rsid w:val="009565BF"/>
    <w:rsid w:val="009618C8"/>
    <w:rsid w:val="00963CA8"/>
    <w:rsid w:val="00964169"/>
    <w:rsid w:val="00975A49"/>
    <w:rsid w:val="00987B3B"/>
    <w:rsid w:val="009A2106"/>
    <w:rsid w:val="009A6A84"/>
    <w:rsid w:val="009B35A6"/>
    <w:rsid w:val="009D11AB"/>
    <w:rsid w:val="009D5FAF"/>
    <w:rsid w:val="009F37D9"/>
    <w:rsid w:val="00A07AB5"/>
    <w:rsid w:val="00A12AE9"/>
    <w:rsid w:val="00A16168"/>
    <w:rsid w:val="00A2009B"/>
    <w:rsid w:val="00A33527"/>
    <w:rsid w:val="00A46328"/>
    <w:rsid w:val="00A57156"/>
    <w:rsid w:val="00A66E6E"/>
    <w:rsid w:val="00A81FF0"/>
    <w:rsid w:val="00A83BA5"/>
    <w:rsid w:val="00A8710B"/>
    <w:rsid w:val="00AA35AB"/>
    <w:rsid w:val="00AA4CA2"/>
    <w:rsid w:val="00AB1CD0"/>
    <w:rsid w:val="00AB33C3"/>
    <w:rsid w:val="00AC0D3F"/>
    <w:rsid w:val="00AD00BB"/>
    <w:rsid w:val="00AE0313"/>
    <w:rsid w:val="00B04011"/>
    <w:rsid w:val="00B12501"/>
    <w:rsid w:val="00B15956"/>
    <w:rsid w:val="00B21C1A"/>
    <w:rsid w:val="00B2475F"/>
    <w:rsid w:val="00B25C9B"/>
    <w:rsid w:val="00B300E9"/>
    <w:rsid w:val="00B32651"/>
    <w:rsid w:val="00B32EEB"/>
    <w:rsid w:val="00B330AC"/>
    <w:rsid w:val="00B40526"/>
    <w:rsid w:val="00B45FD8"/>
    <w:rsid w:val="00B50514"/>
    <w:rsid w:val="00B70578"/>
    <w:rsid w:val="00B73C42"/>
    <w:rsid w:val="00B826E2"/>
    <w:rsid w:val="00B910A3"/>
    <w:rsid w:val="00B95233"/>
    <w:rsid w:val="00B96A9E"/>
    <w:rsid w:val="00BA2A3A"/>
    <w:rsid w:val="00BA4095"/>
    <w:rsid w:val="00BA4EB8"/>
    <w:rsid w:val="00BB64F2"/>
    <w:rsid w:val="00BB759F"/>
    <w:rsid w:val="00BC2F23"/>
    <w:rsid w:val="00BC5BBE"/>
    <w:rsid w:val="00BD18FF"/>
    <w:rsid w:val="00BE08B6"/>
    <w:rsid w:val="00BE61CE"/>
    <w:rsid w:val="00BF28E2"/>
    <w:rsid w:val="00BF581F"/>
    <w:rsid w:val="00BF5BF7"/>
    <w:rsid w:val="00BF67A7"/>
    <w:rsid w:val="00C00485"/>
    <w:rsid w:val="00C05704"/>
    <w:rsid w:val="00C240F2"/>
    <w:rsid w:val="00C276E6"/>
    <w:rsid w:val="00C505F6"/>
    <w:rsid w:val="00C52BC9"/>
    <w:rsid w:val="00C64061"/>
    <w:rsid w:val="00C73E1C"/>
    <w:rsid w:val="00C7547D"/>
    <w:rsid w:val="00C82150"/>
    <w:rsid w:val="00C846AA"/>
    <w:rsid w:val="00C85E4F"/>
    <w:rsid w:val="00CA7870"/>
    <w:rsid w:val="00CA7AE4"/>
    <w:rsid w:val="00CB0CC5"/>
    <w:rsid w:val="00CC4427"/>
    <w:rsid w:val="00CC5D7F"/>
    <w:rsid w:val="00CE3032"/>
    <w:rsid w:val="00CF181A"/>
    <w:rsid w:val="00CF516F"/>
    <w:rsid w:val="00D06152"/>
    <w:rsid w:val="00D13047"/>
    <w:rsid w:val="00D15050"/>
    <w:rsid w:val="00D15CCE"/>
    <w:rsid w:val="00D20E5C"/>
    <w:rsid w:val="00D24975"/>
    <w:rsid w:val="00D27227"/>
    <w:rsid w:val="00D332E9"/>
    <w:rsid w:val="00D36B9F"/>
    <w:rsid w:val="00D6484A"/>
    <w:rsid w:val="00D70C14"/>
    <w:rsid w:val="00D74E1D"/>
    <w:rsid w:val="00D84595"/>
    <w:rsid w:val="00D858A4"/>
    <w:rsid w:val="00D92485"/>
    <w:rsid w:val="00D92CD1"/>
    <w:rsid w:val="00DA2D4F"/>
    <w:rsid w:val="00DA5032"/>
    <w:rsid w:val="00DB041E"/>
    <w:rsid w:val="00DB1CE2"/>
    <w:rsid w:val="00DB4D57"/>
    <w:rsid w:val="00DB63A8"/>
    <w:rsid w:val="00DC1346"/>
    <w:rsid w:val="00DC26B0"/>
    <w:rsid w:val="00DC2FD3"/>
    <w:rsid w:val="00DC37EE"/>
    <w:rsid w:val="00DD035E"/>
    <w:rsid w:val="00DD1A0E"/>
    <w:rsid w:val="00DD480F"/>
    <w:rsid w:val="00DD4EE4"/>
    <w:rsid w:val="00DF1CE6"/>
    <w:rsid w:val="00DF2BE9"/>
    <w:rsid w:val="00DF3ABA"/>
    <w:rsid w:val="00E04EAD"/>
    <w:rsid w:val="00E06E7D"/>
    <w:rsid w:val="00E06F9A"/>
    <w:rsid w:val="00E157FF"/>
    <w:rsid w:val="00E20D65"/>
    <w:rsid w:val="00E25B90"/>
    <w:rsid w:val="00E2643F"/>
    <w:rsid w:val="00E320DA"/>
    <w:rsid w:val="00E37A14"/>
    <w:rsid w:val="00E40FF3"/>
    <w:rsid w:val="00E42E5A"/>
    <w:rsid w:val="00E43276"/>
    <w:rsid w:val="00E51B7E"/>
    <w:rsid w:val="00E645D5"/>
    <w:rsid w:val="00E67EDC"/>
    <w:rsid w:val="00E75421"/>
    <w:rsid w:val="00E8166D"/>
    <w:rsid w:val="00E86F7B"/>
    <w:rsid w:val="00E913C9"/>
    <w:rsid w:val="00E93FB0"/>
    <w:rsid w:val="00EA03A0"/>
    <w:rsid w:val="00EA0A06"/>
    <w:rsid w:val="00EA1A46"/>
    <w:rsid w:val="00EB1C88"/>
    <w:rsid w:val="00EB5517"/>
    <w:rsid w:val="00EC0737"/>
    <w:rsid w:val="00EC1421"/>
    <w:rsid w:val="00EE6EF6"/>
    <w:rsid w:val="00EF0B3D"/>
    <w:rsid w:val="00EF5858"/>
    <w:rsid w:val="00F04463"/>
    <w:rsid w:val="00F046DF"/>
    <w:rsid w:val="00F0751F"/>
    <w:rsid w:val="00F14C3C"/>
    <w:rsid w:val="00F17004"/>
    <w:rsid w:val="00F1744F"/>
    <w:rsid w:val="00F178E2"/>
    <w:rsid w:val="00F17E74"/>
    <w:rsid w:val="00F30C6B"/>
    <w:rsid w:val="00F33704"/>
    <w:rsid w:val="00F34196"/>
    <w:rsid w:val="00F36332"/>
    <w:rsid w:val="00F41D5A"/>
    <w:rsid w:val="00F43651"/>
    <w:rsid w:val="00F465B9"/>
    <w:rsid w:val="00F46E76"/>
    <w:rsid w:val="00F47064"/>
    <w:rsid w:val="00F5139D"/>
    <w:rsid w:val="00F5386D"/>
    <w:rsid w:val="00F53C64"/>
    <w:rsid w:val="00F611D6"/>
    <w:rsid w:val="00F615EE"/>
    <w:rsid w:val="00F6508B"/>
    <w:rsid w:val="00F8332E"/>
    <w:rsid w:val="00F84235"/>
    <w:rsid w:val="00F862A1"/>
    <w:rsid w:val="00F87AC4"/>
    <w:rsid w:val="00F952FA"/>
    <w:rsid w:val="00FA4D98"/>
    <w:rsid w:val="00FA56C0"/>
    <w:rsid w:val="00FB25AE"/>
    <w:rsid w:val="00FB6C78"/>
    <w:rsid w:val="00FC2DDB"/>
    <w:rsid w:val="00FC5636"/>
    <w:rsid w:val="00FC7C8A"/>
    <w:rsid w:val="00FD0685"/>
    <w:rsid w:val="00FE165F"/>
    <w:rsid w:val="00FE1C22"/>
    <w:rsid w:val="00FE3A47"/>
    <w:rsid w:val="00FF04D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BD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1442"/>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uiPriority w:val="9"/>
    <w:qFormat/>
    <w:rsid w:val="00516BB1"/>
    <w:pPr>
      <w:keepNext/>
      <w:widowControl w:val="0"/>
      <w:jc w:val="center"/>
      <w:outlineLvl w:val="4"/>
    </w:pPr>
    <w:rPr>
      <w:b/>
      <w:i/>
      <w:snapToGrid w:val="0"/>
      <w:sz w:val="22"/>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1442"/>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EncabezadoCar">
    <w:name w:val="Encabezado Car"/>
    <w:basedOn w:val="Fuentedeprrafopredeter"/>
    <w:link w:val="Encabezado"/>
    <w:uiPriority w:val="99"/>
    <w:rsid w:val="005A1442"/>
  </w:style>
  <w:style w:type="paragraph" w:styleId="Piedepgina">
    <w:name w:val="footer"/>
    <w:basedOn w:val="Normal"/>
    <w:link w:val="PiedepginaCar"/>
    <w:unhideWhenUsed/>
    <w:rsid w:val="005A1442"/>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PiedepginaCar">
    <w:name w:val="Pie de página Car"/>
    <w:basedOn w:val="Fuentedeprrafopredeter"/>
    <w:link w:val="Piedepgina"/>
    <w:rsid w:val="005A1442"/>
  </w:style>
  <w:style w:type="paragraph" w:styleId="Textodeglobo">
    <w:name w:val="Balloon Text"/>
    <w:basedOn w:val="Normal"/>
    <w:link w:val="TextodegloboCar"/>
    <w:uiPriority w:val="99"/>
    <w:semiHidden/>
    <w:unhideWhenUsed/>
    <w:rsid w:val="005A1442"/>
    <w:rPr>
      <w:rFonts w:ascii="Tahoma" w:eastAsiaTheme="minorHAnsi" w:hAnsi="Tahoma" w:cs="Tahoma"/>
      <w:sz w:val="16"/>
      <w:szCs w:val="16"/>
      <w:lang w:val="es-CR" w:eastAsia="en-US"/>
    </w:rPr>
  </w:style>
  <w:style w:type="character" w:customStyle="1" w:styleId="TextodegloboCar">
    <w:name w:val="Texto de globo Car"/>
    <w:basedOn w:val="Fuentedeprrafopredeter"/>
    <w:link w:val="Textodeglobo"/>
    <w:uiPriority w:val="99"/>
    <w:semiHidden/>
    <w:rsid w:val="005A1442"/>
    <w:rPr>
      <w:rFonts w:ascii="Tahoma" w:hAnsi="Tahoma" w:cs="Tahoma"/>
      <w:sz w:val="16"/>
      <w:szCs w:val="16"/>
    </w:rPr>
  </w:style>
  <w:style w:type="character" w:styleId="Hipervnculo">
    <w:name w:val="Hyperlink"/>
    <w:basedOn w:val="Fuentedeprrafopredeter"/>
    <w:uiPriority w:val="99"/>
    <w:rsid w:val="005A1442"/>
    <w:rPr>
      <w:color w:val="0000FF"/>
      <w:u w:val="single"/>
    </w:rPr>
  </w:style>
  <w:style w:type="paragraph" w:styleId="Textonotapie">
    <w:name w:val="footnote text"/>
    <w:basedOn w:val="Normal"/>
    <w:link w:val="TextonotapieCar"/>
    <w:uiPriority w:val="99"/>
    <w:rsid w:val="004C3B15"/>
    <w:rPr>
      <w:sz w:val="20"/>
    </w:rPr>
  </w:style>
  <w:style w:type="character" w:customStyle="1" w:styleId="TextonotapieCar">
    <w:name w:val="Texto nota pie Car"/>
    <w:basedOn w:val="Fuentedeprrafopredeter"/>
    <w:link w:val="Textonotapie"/>
    <w:uiPriority w:val="99"/>
    <w:rsid w:val="004C3B15"/>
    <w:rPr>
      <w:rFonts w:ascii="Times New Roman" w:eastAsia="Times New Roman" w:hAnsi="Times New Roman" w:cs="Times New Roman"/>
      <w:sz w:val="20"/>
      <w:szCs w:val="24"/>
      <w:lang w:val="es-ES" w:eastAsia="es-ES"/>
    </w:rPr>
  </w:style>
  <w:style w:type="character" w:styleId="Refdenotaalpie">
    <w:name w:val="footnote reference"/>
    <w:basedOn w:val="Fuentedeprrafopredeter"/>
    <w:uiPriority w:val="99"/>
    <w:rsid w:val="004C3B15"/>
    <w:rPr>
      <w:vertAlign w:val="superscript"/>
    </w:rPr>
  </w:style>
  <w:style w:type="table" w:styleId="Tablaconcuadrcula">
    <w:name w:val="Table Grid"/>
    <w:basedOn w:val="Tablanormal"/>
    <w:uiPriority w:val="59"/>
    <w:rsid w:val="004C3B1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09F5"/>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Ttulo5Car">
    <w:name w:val="Título 5 Car"/>
    <w:basedOn w:val="Fuentedeprrafopredeter"/>
    <w:link w:val="Ttulo5"/>
    <w:uiPriority w:val="9"/>
    <w:rsid w:val="00516BB1"/>
    <w:rPr>
      <w:rFonts w:ascii="Times New Roman" w:eastAsia="Times New Roman" w:hAnsi="Times New Roman" w:cs="Times New Roman"/>
      <w:b/>
      <w:i/>
      <w:snapToGrid w:val="0"/>
      <w:szCs w:val="24"/>
      <w:lang w:eastAsia="es-CR"/>
    </w:rPr>
  </w:style>
  <w:style w:type="paragraph" w:styleId="Prrafodelista">
    <w:name w:val="List Paragraph"/>
    <w:aliases w:val="Informe,Con viñetas,Normal con viñetas,3,Use Case List Paragraph,Bullet 1"/>
    <w:basedOn w:val="Normal"/>
    <w:link w:val="PrrafodelistaCar"/>
    <w:uiPriority w:val="34"/>
    <w:qFormat/>
    <w:rsid w:val="00516BB1"/>
    <w:pPr>
      <w:ind w:left="720"/>
      <w:contextualSpacing/>
    </w:pPr>
  </w:style>
  <w:style w:type="character" w:customStyle="1" w:styleId="PrrafodelistaCar">
    <w:name w:val="Párrafo de lista Car"/>
    <w:aliases w:val="Informe Car,Con viñetas Car,Normal con viñetas Car,3 Car,Use Case List Paragraph Car,Bullet 1 Car"/>
    <w:basedOn w:val="Fuentedeprrafopredeter"/>
    <w:link w:val="Prrafodelista"/>
    <w:uiPriority w:val="34"/>
    <w:locked/>
    <w:rsid w:val="00516BB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rsid w:val="00516BB1"/>
    <w:pPr>
      <w:spacing w:after="120" w:line="276" w:lineRule="auto"/>
    </w:pPr>
    <w:rPr>
      <w:rFonts w:asciiTheme="minorHAnsi" w:eastAsiaTheme="minorEastAsia" w:hAnsiTheme="minorHAnsi" w:cstheme="minorBidi"/>
      <w:sz w:val="22"/>
      <w:szCs w:val="22"/>
      <w:lang w:val="es-CR" w:eastAsia="es-CR"/>
    </w:rPr>
  </w:style>
  <w:style w:type="character" w:customStyle="1" w:styleId="TextoindependienteCar">
    <w:name w:val="Texto independiente Car"/>
    <w:basedOn w:val="Fuentedeprrafopredeter"/>
    <w:link w:val="Textoindependiente"/>
    <w:rsid w:val="00516BB1"/>
    <w:rPr>
      <w:rFonts w:eastAsiaTheme="minorEastAsia"/>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28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24" Type="http://schemas.openxmlformats.org/officeDocument/2006/relationships/theme" Target="theme/theme1.xml"/><Relationship Id="rId11" Type="http://schemas.openxmlformats.org/officeDocument/2006/relationships/webSettings" Target="webSettings.xml"/><Relationship Id="rId23" Type="http://schemas.openxmlformats.org/officeDocument/2006/relationships/fontTable" Target="fontTable.xml"/><Relationship Id="rId15" Type="http://schemas.openxmlformats.org/officeDocument/2006/relationships/package" Target="embeddings/Microsoft_Word_Document.docx"/><Relationship Id="rId10" Type="http://schemas.openxmlformats.org/officeDocument/2006/relationships/settings" Target="settings.xml"/><Relationship Id="rId19" Type="http://schemas.openxmlformats.org/officeDocument/2006/relationships/footer" Target="footer1.xml"/><Relationship Id="rId22" Type="http://schemas.openxmlformats.org/officeDocument/2006/relationships/footer" Target="footer3.xml"/><Relationship Id="rId9" Type="http://schemas.openxmlformats.org/officeDocument/2006/relationships/styles" Target="styles.xml"/><Relationship Id="rId14"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http://intranet/sites/gec2020/PlantillasCorrespondenciaExterna/Plantilla-SGS-A-13.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Rs4rx0OX1NbgHpU0jVmFw4pIOyWgvOVSIDffDId4N6Y=</DigestValue>
    </Reference>
    <Reference Type="http://www.w3.org/2000/09/xmldsig#Object" URI="#idOfficeObject">
      <DigestMethod Algorithm="http://www.w3.org/2001/04/xmlenc#sha256"/>
      <DigestValue>BgkmpNQHnoQ0T2x3CSqbSBpnavWekmr04aV472H36nQ=</DigestValue>
    </Reference>
    <Reference Type="http://uri.etsi.org/01903#SignedProperties" URI="#idSignedProperties">
      <Transforms>
        <Transform Algorithm="http://www.w3.org/TR/2001/REC-xml-c14n-20010315"/>
      </Transforms>
      <DigestMethod Algorithm="http://www.w3.org/2001/04/xmlenc#sha256"/>
      <DigestValue>rGtEk/oEq5sEF69HPta4wnUcyr02ejoQC2ZcwNH9Q6U=</DigestValue>
    </Reference>
  </SignedInfo>
  <SignatureValue>lpnEG4xQRLNaSlv9Xd1iKcFbrMItEVGhW4ag7uQLcw+cLDXgSi63jbNB2rUW0XaniqRjHI8z/y0v
GKH37EDyiDtIEUPCwPdIYF9Pr7ALJmxGAoOg2nwk2WMbXD17QfvZaEVgRr87hCIevi2oywjS8F6p
QdIvWXyr8C9jd1GAaqfcsqwdEISRKsUhGNb2CI8SWy0FMptbIhTP1mDc3J7FaKMmrbCxfkaTSexn
+PAcohkPxuf2ncRGvwPdiq6OlXtRAg8ZGmvley9MDLZ/bTMBMZuODe1HVnf5Awe77uat20QGA+OL
Uh+enh4xYq2qbcnIX5ndRQlmCiBO9Gfsac4wEA==</SignatureValue>
  <KeyInfo>
    <X509Data>
      <X509Certificate>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19QBoVo+4KTAzc8PTHwZW0EYRX8tvqFUNDTxzW0He5FnINKNYFAMTc6yxKWSZsNCXBY7alDPDwU6Jik4pb++NxmUmXUwpGYOzm5OVUebUwDSqocVPR8b+RMHaq8D5/7se7l5+z+wxrx6QyGd2Y+2S7OfMRQEkYLQEgHmh5UHuVtVUYeMYkIXUUx3HTbGLmA0IRiUNek3ke8yXnBhyraq/Bq3e6Rscxy3hvtH+nOGfKN2NLAaaPsd+XHXZ3Pxt7NEdd6t7KgLJ4P/I1ojbktIYIL9dOcDnaYT+koML6DiZsbD2uylCWYYE6JSJMJSus4iDgS6E/UNYYh8FNxuhkw3Q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12"/>
          </Transform>
          <Transform Algorithm="http://www.w3.org/TR/2001/REC-xml-c14n-20010315"/>
        </Transforms>
        <DigestMethod Algorithm="http://www.w3.org/2001/04/xmlenc#sha256"/>
        <DigestValue>jRlLbS0hHG/jugTZP1j4hRd9UWuhZiOEd8qZb3xFhrE=</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AQxEVLqD71T0GROhZeJIwqAxa7OiAtCV8niqVHURrPc=</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AQxEVLqD71T0GROhZeJIwqAxa7OiAtCV8niqVHURrPc=</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UQPqrUKwnM/mGjJzCGZAUmR3iKanZOh+eUBd7dwaAlE=</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UQPqrUKwnM/mGjJzCGZAUmR3iKanZOh+eUBd7dwaAlE=</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+2aCAS4Zy5DWm3v3vSXKxN1SgkFmrmMk9h7JtWSp+lU=</DigestValue>
      </Reference>
      <Reference URI="/word/document.xml?ContentType=application/vnd.openxmlformats-officedocument.wordprocessingml.document.main+xml">
        <DigestMethod Algorithm="http://www.w3.org/2001/04/xmlenc#sha256"/>
        <DigestValue>HFnTiT0Ler3lrBjDA2CkEtBncjzV3wqiPLPTYDORm5I=</DigestValue>
      </Reference>
      <Reference URI="/word/embeddings/Microsoft_Word_Document.docx?ContentType=application/vnd.openxmlformats-officedocument.wordprocessingml.document">
        <DigestMethod Algorithm="http://www.w3.org/2001/04/xmlenc#sha256"/>
        <DigestValue>ov8cNYj8GJ7JrqrAy1IkHRyeFwDTu2lVlvEPCyJHwFU=</DigestValue>
      </Reference>
      <Reference URI="/word/endnotes.xml?ContentType=application/vnd.openxmlformats-officedocument.wordprocessingml.endnotes+xml">
        <DigestMethod Algorithm="http://www.w3.org/2001/04/xmlenc#sha256"/>
        <DigestValue>obkS+3PvKQ5MGYFTPd9x84RMnxAmT8jahRhyUtk+hGo=</DigestValue>
      </Reference>
      <Reference URI="/word/fontTable.xml?ContentType=application/vnd.openxmlformats-officedocument.wordprocessingml.fontTable+xml">
        <DigestMethod Algorithm="http://www.w3.org/2001/04/xmlenc#sha256"/>
        <DigestValue>VnFUICxnTxqEmLRbJmt8KQRDBSXVaGbUbUYmIWUzQ7Q=</DigestValue>
      </Reference>
      <Reference URI="/word/footer1.xml?ContentType=application/vnd.openxmlformats-officedocument.wordprocessingml.footer+xml">
        <DigestMethod Algorithm="http://www.w3.org/2001/04/xmlenc#sha256"/>
        <DigestValue>91K6JFMrowT22CrgYgJ+L2FRou86zpAQD56PqamawEE=</DigestValue>
      </Reference>
      <Reference URI="/word/footer2.xml?ContentType=application/vnd.openxmlformats-officedocument.wordprocessingml.footer+xml">
        <DigestMethod Algorithm="http://www.w3.org/2001/04/xmlenc#sha256"/>
        <DigestValue>tmQbTO23lIdgBEhYGC6AUMHswj49FXp00EbFzRSBVGI=</DigestValue>
      </Reference>
      <Reference URI="/word/footer3.xml?ContentType=application/vnd.openxmlformats-officedocument.wordprocessingml.footer+xml">
        <DigestMethod Algorithm="http://www.w3.org/2001/04/xmlenc#sha256"/>
        <DigestValue>ZhQIN6wzQodmymmduI4YpGPL3oin1F16Z8ocOeqFl+0=</DigestValue>
      </Reference>
      <Reference URI="/word/footnotes.xml?ContentType=application/vnd.openxmlformats-officedocument.wordprocessingml.footnotes+xml">
        <DigestMethod Algorithm="http://www.w3.org/2001/04/xmlenc#sha256"/>
        <DigestValue>w3rvGLx8iiaw/NgUgMt1GIcT8WLtjzqdjVSe5xdEb3Y=</DigestValue>
      </Reference>
      <Reference URI="/word/header1.xml?ContentType=application/vnd.openxmlformats-officedocument.wordprocessingml.header+xml">
        <DigestMethod Algorithm="http://www.w3.org/2001/04/xmlenc#sha256"/>
        <DigestValue>exBwWhMjJqqR97Ep3tfEoYY3h3KSSGadaTp/jmDMVGw=</DigestValue>
      </Reference>
      <Reference URI="/word/header2.xml?ContentType=application/vnd.openxmlformats-officedocument.wordprocessingml.header+xml">
        <DigestMethod Algorithm="http://www.w3.org/2001/04/xmlenc#sha256"/>
        <DigestValue>yhfJAEonKqNGTyY+O6aJdo4Dua9/joamv58kXjN0AIE=</DigestValue>
      </Reference>
      <Reference URI="/word/header3.xml?ContentType=application/vnd.openxmlformats-officedocument.wordprocessingml.header+xml">
        <DigestMethod Algorithm="http://www.w3.org/2001/04/xmlenc#sha256"/>
        <DigestValue>HdNb0xp9pG4vDSROa9aYQQlI1EC4WaRojMAapfXAFbw=</DigestValue>
      </Reference>
      <Reference URI="/word/media/image1.emf?ContentType=image/x-emf">
        <DigestMethod Algorithm="http://www.w3.org/2001/04/xmlenc#sha256"/>
        <DigestValue>+lkEC/yoE4rRoAabDnsGPqt/7NpP1uObnkLOBGEH59M=</DigestValue>
      </Reference>
      <Reference URI="/word/media/image2.png?ContentType=image/png">
        <DigestMethod Algorithm="http://www.w3.org/2001/04/xmlenc#sha256"/>
        <DigestValue>8ow0IbLvIuBewu4WCsfpgILO/EmmHhLyHA30uNxvsQ8=</DigestValue>
      </Reference>
      <Reference URI="/word/media/image3.jpeg?ContentType=image/jpeg">
        <DigestMethod Algorithm="http://www.w3.org/2001/04/xmlenc#sha256"/>
        <DigestValue>KGoi/VrShY6YD7s5ypHuq/O1xHA2AZr+klKbbEvy9h8=</DigestValue>
      </Reference>
      <Reference URI="/word/numbering.xml?ContentType=application/vnd.openxmlformats-officedocument.wordprocessingml.numbering+xml">
        <DigestMethod Algorithm="http://www.w3.org/2001/04/xmlenc#sha256"/>
        <DigestValue>n52TM8uHnKDp5LmxuOag1szvBkB7SUjSCkV3+SNyD3Q=</DigestValue>
      </Reference>
      <Reference URI="/word/settings.xml?ContentType=application/vnd.openxmlformats-officedocument.wordprocessingml.settings+xml">
        <DigestMethod Algorithm="http://www.w3.org/2001/04/xmlenc#sha256"/>
        <DigestValue>K+PZJy/0MV0L1t9EOrK1es5NiMX19GpPKrMnOpoSDMc=</DigestValue>
      </Reference>
      <Reference URI="/word/styles.xml?ContentType=application/vnd.openxmlformats-officedocument.wordprocessingml.styles+xml">
        <DigestMethod Algorithm="http://www.w3.org/2001/04/xmlenc#sha256"/>
        <DigestValue>y+KjOnn3sEVPsP0w3gg6+pM8hufX/AQ+2nWxMMHjVsM=</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1I+YFRt2C63TLidVmLuICOGYkIXdAhym/BJpyrYumWQ=</DigestValue>
      </Reference>
    </Manifest>
    <SignatureProperties>
      <SignatureProperty Id="idSignatureTime" Target="#idPackageSignature">
        <mdssi:SignatureTime xmlns:mdssi="http://schemas.openxmlformats.org/package/2006/digital-signature">
          <mdssi:Format>YYYY-MM-DDThh:mm:ssTZD</mdssi:Format>
          <mdssi:Value>2020-12-23T18:39:06Z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2020-12-23T18:39:06Z</xd:SigningTime>
          <xd:SigningCertificate>
            <xd:Cert>
              <xd:CertDigest>
                <DigestMethod Algorithm="http://www.w3.org/2001/04/xmlenc#sha256"/>
                <DigestValue>eUF/P6XTX1b/NLiXeynP6fxa9IuF3pe6e6Uz59bBAYs=</DigestValue>
              </xd:CertDigest>
              <xd:IssuerSerial>
                <X509IssuerName>CN=CA SINPE - PERSONA FISICA v2, OU=DIVISION SISTEMAS DE PAGO, O=BANCO CENTRAL DE COSTA RICA, C=CR, SERIALNUMBER=CPJ-4-000-004017</X509IssuerName>
                <X509SerialNumber>446017984722129361247966886119738112760942003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lDNBdDCVoETPswofE5pjL+n4hmoYAL0G3b2rEOjljAUCBArsZioYDzIwMjAxMjIzMTgzOTE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</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</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C6DYyRSN1B2PsLv4HLvbLuGECyU=</xd:ByKey>
                  </xd:ResponderID>
                  <xd:ProducedAt>2020-12-23T18:39:04Z</xd:ProducedAt>
                </xd:OCSPIdentifier>
                <xd:DigestAlgAndValue>
                  <DigestMethod Algorithm="http://www.w3.org/2001/04/xmlenc#sha256"/>
                  <DigestValue>1NmnyrP+WaT6FWCJceNqk5E2shlCnYD87SfZuJADb4g=</DigestValue>
                </xd:DigestAlgAndValue>
              </xd:OCSPRef>
            </xd:OCSPRefs>
            <xd:CRLRefs>
              <xd:CRLRef>
                <xd:DigestAlgAndValue>
                  <DigestMethod Algorithm="http://www.w3.org/2001/04/xmlenc#sha256"/>
                  <DigestValue>eScaBoLdLyb2GwoxjA5oPtWskDu7BUqbBnUIOCNLHfk=</DigestValue>
                </xd:DigestAlgAndValue>
                <xd:CRLIdentifier>
                  <xd:Issuer>CN=CA POLITICA PERSONA FISICA - COSTA RICA v2, OU=DCFD, O=MICITT, C=CR, SERIALNUMBER=CPJ-2-100-098311</xd:Issuer>
                  <xd:IssueTime>2020-12-04T20:23:45Z</xd:IssueTime>
                </xd:CRLIdentifier>
              </xd:CRLRef>
              <xd:CRLRef>
                <xd:DigestAlgAndValue>
                  <DigestMethod Algorithm="http://www.w3.org/2001/04/xmlenc#sha256"/>
                  <DigestValue>axfejvZCWJ/LLYjO6pGtm/SXIPHXWEbC+kg9bpi5QUs=</DigestValue>
                </xd:DigestAlgAndValue>
                <xd:CRLIdentifier>
                  <xd:Issuer>CN=CA RAIZ NACIONAL - COSTA RICA v2, C=CR, O=MICITT, OU=DCFD, SERIALNUMBER=CPJ-2-100-098311</xd:Issuer>
                  <xd:IssueTime>2020-12-04T20:08:52Z</xd:IssueTime>
                </xd:CRLIdentifier>
              </xd:CRLRef>
            </xd:CRLRefs>
          </xd:CompleteRevocationRefs>
          <xd:RevocationValues>
            <xd:OCSPValues>
              <xd:EncapsulatedOCSPValue>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</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</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3MQM0B4Lr3PDltGzeluLCLXvE6JhnrLj96NPUcv7yx4CBArsZisYDzIwMjAxMjIzMTgzOTE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</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C5259700016054FB9EF02CC18F40A60" ma:contentTypeVersion="6" ma:contentTypeDescription="Crear nuevo documento." ma:contentTypeScope="" ma:versionID="b9c0e0c741e91f52546f6fa1418e81a2">
  <xsd:schema xmlns:xsd="http://www.w3.org/2001/XMLSchema" xmlns:xs="http://www.w3.org/2001/XMLSchema" xmlns:p="http://schemas.microsoft.com/office/2006/metadata/properties" xmlns:ns2="b9fc4df0-8f56-46e7-b005-54afe0044df7" targetNamespace="http://schemas.microsoft.com/office/2006/metadata/properties" ma:root="true" ma:fieldsID="4e86dda2f0fdd5bfa93fc52ff69e4c55" ns2:_="">
    <xsd:import namespace="b9fc4df0-8f56-46e7-b005-54afe0044df7"/>
    <xsd:element name="properties">
      <xsd:complexType>
        <xsd:sequence>
          <xsd:element name="documentManagement">
            <xsd:complexType>
              <xsd:all>
                <xsd:element ref="ns2:NumeroAcuerdo" minOccurs="0"/>
                <xsd:element ref="ns2:ContenidoMultilineaHTML"/>
                <xsd:element ref="ns2:NormativaRelacionada" minOccurs="0"/>
                <xsd:element ref="ns2:FechaPublicacionDocumento" minOccurs="0"/>
                <xsd:element ref="ns2:SharedWithUsers" minOccurs="0"/>
                <xsd:element ref="ns2:TipoConteni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NumeroAcuerdo" ma:index="8" nillable="true" ma:displayName="Número Acuerdo" ma:description="" ma:internalName="NumeroAcuerdo">
      <xsd:simpleType>
        <xsd:restriction base="dms:Text"/>
      </xsd:simpleType>
    </xsd:element>
    <xsd:element name="ContenidoMultilineaHTML" ma:index="9" ma:displayName="ContenidoMultilineaHTML" ma:description="" ma:internalName="ContenidoMultilineaHTML">
      <xsd:simpleType>
        <xsd:restriction base="dms:Unknown"/>
      </xsd:simpleType>
    </xsd:element>
    <xsd:element name="NormativaRelacionada" ma:index="10" nillable="true" ma:displayName="Normativa Relacionada" ma:internalName="NormativaRelacionada">
      <xsd:simpleType>
        <xsd:restriction base="dms:Note">
          <xsd:maxLength value="255"/>
        </xsd:restriction>
      </xsd:simpleType>
    </xsd:element>
    <xsd:element name="FechaPublicacionDocumento" ma:index="11" nillable="true" ma:displayName="FechaPublicacionDocumento" ma:description="" ma:internalName="FechaPublicacionDocumento">
      <xsd:simpleType>
        <xsd:restriction base="dms:DateTime"/>
      </xsd:simpleType>
    </xsd:element>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poContenido" ma:index="13" nillable="true" ma:displayName="TipoContenido" ma:list="{ec55f565-d8ce-4d28-9f5f-877c6e6feccc}" ma:internalName="TipoContenido" ma:showField="Title" ma:web="b9fc4df0-8f56-46e7-b005-54afe0044df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e70cbf463ba4d19a6203d9e6cd457e4 xmlns="b875e23b-67d9-4b2e-bdec-edacbf90b326">
      <Terms xmlns="http://schemas.microsoft.com/office/infopath/2007/PartnerControls">
        <TermInfo xmlns="http://schemas.microsoft.com/office/infopath/2007/PartnerControls">
          <TermName xmlns="http://schemas.microsoft.com/office/infopath/2007/PartnerControls">aseguradoras</TermName>
          <TermId xmlns="http://schemas.microsoft.com/office/infopath/2007/PartnerControls">00000000-0000-0000-0000-000000000000</TermId>
        </TermInfo>
      </Terms>
    </oe70cbf463ba4d19a6203d9e6cd457e4>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AcuseRecibo xmlns="b875e23b-67d9-4b2e-bdec-edacbf90b326">Sí</AcuseRecibo>
    <Firmado xmlns="b875e23b-67d9-4b2e-bdec-edacbf90b326">true</Firmado>
    <FirmadoPor xmlns="b875e23b-67d9-4b2e-bdec-edacbf90b326">
      <UserInfo>
        <DisplayName>SOLEY PEREZ TOMAS</DisplayName>
        <AccountId>443</AccountId>
        <AccountType/>
      </UserInfo>
    </FirmadoPor>
    <e78d451c341b4341be14d5956588aac4 xmlns="b875e23b-67d9-4b2e-bdec-edacbf90b326">
      <Terms xmlns="http://schemas.microsoft.com/office/infopath/2007/PartnerControls"/>
    </e78d451c341b4341be14d5956588aac4>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SUGESE - Acuerdos</TermName>
          <TermId xmlns="http://schemas.microsoft.com/office/infopath/2007/PartnerControls">a4c1ee5f-324a-443d-88a9-d7759c9d5e33</TermId>
        </TermInfo>
      </Terms>
    </e698785e6df848ea9657bea28744f893>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FechaEnvio xmlns="b875e23b-67d9-4b2e-bdec-edacbf90b326">2020-12-23T19:39:56+00:00</FechaEnvio>
    <FechaDocumento xmlns="b875e23b-67d9-4b2e-bdec-edacbf90b326">2020-12-23T06:00:00+00:00</FechaDocumento>
    <Responsable xmlns="b875e23b-67d9-4b2e-bdec-edacbf90b326">
      <UserInfo>
        <DisplayName>GONZALEZ HAUG CELIA MARIA</DisplayName>
        <AccountId>444</AccountId>
        <AccountType/>
      </UserInfo>
    </Responsable>
    <EstadoCorrespondencia xmlns="b875e23b-67d9-4b2e-bdec-edacbf90b326">Enviado con acuse de recibo</EstadoCorrespondencia>
    <Subject1 xmlns="b875e23b-67d9-4b2e-bdec-edacbf90b326">Aseguradoras-modificación del Acuerdo de Superintendente SGS-DES-A-021-2013.</Subject1>
    <InformativoResolutivo xmlns="b875e23b-67d9-4b2e-bdec-edacbf90b326">Informativo</InformativoResolutivo>
    <Año xmlns="b875e23b-67d9-4b2e-bdec-edacbf90b326">2020</Año>
    <OtraEntidadExterna xmlns="b875e23b-67d9-4b2e-bdec-edacbf90b326" xsi:nil="true"/>
    <PlazoArchivo xmlns="b875e23b-67d9-4b2e-bdec-edacbf90b326">84</PlazoArchivo>
    <InformarA xmlns="b875e23b-67d9-4b2e-bdec-edacbf90b326">
      <UserInfo>
        <DisplayName/>
        <AccountId xsi:nil="true"/>
        <AccountType/>
      </UserInfo>
    </InformarA>
    <ObservacionesCorrespondencia xmlns="b875e23b-67d9-4b2e-bdec-edacbf90b326" xsi:nil="true"/>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_dlc_ExpireDateSaved xmlns="http://schemas.microsoft.com/sharepoint/v3" xsi:nil="true"/>
    <_dlc_Exempt xmlns="http://schemas.microsoft.com/sharepoint/v3" xsi:nil="true"/>
    <TaxCatchAll xmlns="b875e23b-67d9-4b2e-bdec-edacbf90b326">
      <Value>163</Value>
      <Value>128</Value>
      <Value>161</Value>
      <Value>126</Value>
      <Value>257</Value>
      <Value>1</Value>
    </TaxCatchAll>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Uso Interno</TermName>
          <TermId xmlns="http://schemas.microsoft.com/office/infopath/2007/PartnerControls">b84ab4da-351c-48b8-b2fd-466e6594f406</TermId>
        </TermInfo>
      </Terms>
    </n32f5b5d94d147d6ae4b36230db37881>
    <h924ef3e1de042ccb3dddc0bf72d8fc0 xmlns="233f2551-3930-43c2-a744-679e70430545">
      <Terms xmlns="http://schemas.microsoft.com/office/infopath/2007/PartnerControls">
        <TermInfo xmlns="http://schemas.microsoft.com/office/infopath/2007/PartnerControls">
          <TermName xmlns="http://schemas.microsoft.com/office/infopath/2007/PartnerControls">Uso Interno</TermName>
          <TermId xmlns="http://schemas.microsoft.com/office/infopath/2007/PartnerControls">b84ab4da-351c-48b8-b2fd-466e6594f406</TermId>
        </TermInfo>
      </Terms>
    </h924ef3e1de042ccb3dddc0bf72d8fc0>
    <lb0b7da792b243d9bfa96ad7487ad734 xmlns="b875e23b-67d9-4b2e-bdec-edacbf90b326" xsi:nil="true"/>
    <_dlc_ExpireDate xmlns="http://schemas.microsoft.com/sharepoint/v3">2021-01-06T19:39:56+00:00</_dlc_ExpireDate>
  </documentManagement>
</p:properti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FormTemplates xmlns="http://schemas.microsoft.com/sharepoint/v3/contenttype/forms"/>
</file>

<file path=customXml/item7.xml><?xml version="1.0" encoding="utf-8"?>
<p:properties xmlns:p="http://schemas.microsoft.com/office/2006/metadata/properties" xmlns:xsi="http://www.w3.org/2001/XMLSchema-instance" xmlns:pc="http://schemas.microsoft.com/office/infopath/2007/PartnerControls">
  <documentManagement>
    <FechaPublicacionDocumento xmlns="b9fc4df0-8f56-46e7-b005-54afe0044df7">2020-12-28T06:00:00+00:00</FechaPublicacionDocumento>
    <NormativaRelacionada xmlns="b9fc4df0-8f56-46e7-b005-54afe0044df7">&lt;div class="ExternalClass21C67982955E46E6BFC79A3344470666"&gt;&lt;p&gt;​Acuerdo SGS-DES-A-0021-2013&lt;/p&gt;&lt;/div&gt;</NormativaRelacionada>
    <TipoContenido xmlns="b9fc4df0-8f56-46e7-b005-54afe0044df7">6</TipoContenido>
    <ContenidoMultilineaHTML xmlns="b9fc4df0-8f56-46e7-b005-54afe0044df7">&lt;p&gt;​Modificación Acuerdo SGS-DES-A-0021-2013 para la remitir mediante el SSS los modelos de Aportes al INEC, Primas y Siniestros y los relacionados con el Seguro de Riesgos del Trabajo y modificación del Modelo de Canales&lt;/p&gt;</ContenidoMultilineaHTML>
    <NumeroAcuerdo xmlns="b9fc4df0-8f56-46e7-b005-54afe0044df7">SGS-A-0075-2020</NumeroAcuerdo>
  </documentManagement>
</p:properties>
</file>

<file path=customXml/itemProps1.xml><?xml version="1.0" encoding="utf-8"?>
<ds:datastoreItem xmlns:ds="http://schemas.openxmlformats.org/officeDocument/2006/customXml" ds:itemID="{708550E7-DC0B-4C83-8576-AA3327DC2C2A}"/>
</file>

<file path=customXml/itemProps2.xml><?xml version="1.0" encoding="utf-8"?>
<ds:datastoreItem xmlns:ds="http://schemas.openxmlformats.org/officeDocument/2006/customXml" ds:itemID="{9A056EC4-050E-496F-952C-0F16909F178E}"/>
</file>

<file path=customXml/itemProps3.xml><?xml version="1.0" encoding="utf-8"?>
<ds:datastoreItem xmlns:ds="http://schemas.openxmlformats.org/officeDocument/2006/customXml" ds:itemID="{943D65A7-3A09-43A5-9C6B-D8F7C4624B4B}"/>
</file>

<file path=customXml/itemProps4.xml><?xml version="1.0" encoding="utf-8"?>
<ds:datastoreItem xmlns:ds="http://schemas.openxmlformats.org/officeDocument/2006/customXml" ds:itemID="{A464F4DF-72CE-4A40-9D1C-3D5035855E0E}">
  <ds:schemaRefs>
    <ds:schemaRef ds:uri="http://schemas.openxmlformats.org/package/2006/metadata/core-properties"/>
    <ds:schemaRef ds:uri="http://schemas.microsoft.com/office/2006/metadata/properties"/>
    <ds:schemaRef ds:uri="http://purl.org/dc/dcmitype/"/>
    <ds:schemaRef ds:uri="http://schemas.microsoft.com/sharepoint/v3"/>
    <ds:schemaRef ds:uri="http://purl.org/dc/elements/1.1/"/>
    <ds:schemaRef ds:uri="b875e23b-67d9-4b2e-bdec-edacbf90b326"/>
    <ds:schemaRef ds:uri="http://schemas.microsoft.com/office/infopath/2007/PartnerControls"/>
    <ds:schemaRef ds:uri="http://schemas.microsoft.com/office/2006/documentManagement/types"/>
    <ds:schemaRef ds:uri="http://purl.org/dc/terms/"/>
    <ds:schemaRef ds:uri="233f2551-3930-43c2-a744-679e70430545"/>
    <ds:schemaRef ds:uri="http://www.w3.org/XML/1998/namespace"/>
  </ds:schemaRefs>
</ds:datastoreItem>
</file>

<file path=customXml/itemProps5.xml><?xml version="1.0" encoding="utf-8"?>
<ds:datastoreItem xmlns:ds="http://schemas.openxmlformats.org/officeDocument/2006/customXml" ds:itemID="{3503DE95-5581-4BD5-B7FC-1EF6E009C2A3}">
  <ds:schemaRefs>
    <ds:schemaRef ds:uri="http://schemas.microsoft.com/sharepoint/events"/>
  </ds:schemaRefs>
</ds:datastoreItem>
</file>

<file path=customXml/itemProps6.xml><?xml version="1.0" encoding="utf-8"?>
<ds:datastoreItem xmlns:ds="http://schemas.openxmlformats.org/officeDocument/2006/customXml" ds:itemID="{B3FDC3B9-7568-4337-A0AD-4493D8C59135}">
  <ds:schemaRefs>
    <ds:schemaRef ds:uri="http://schemas.microsoft.com/sharepoint/v3/contenttype/forms"/>
  </ds:schemaRefs>
</ds:datastoreItem>
</file>

<file path=customXml/itemProps7.xml><?xml version="1.0" encoding="utf-8"?>
<ds:datastoreItem xmlns:ds="http://schemas.openxmlformats.org/officeDocument/2006/customXml" ds:itemID="{A464F4DF-72CE-4A40-9D1C-3D5035855E0E}"/>
</file>

<file path=docProps/app.xml><?xml version="1.0" encoding="utf-8"?>
<Properties xmlns="http://schemas.openxmlformats.org/officeDocument/2006/extended-properties" xmlns:vt="http://schemas.openxmlformats.org/officeDocument/2006/docPropsVTypes">
  <Template>Plantilla-SGS-A-13.dotm</Template>
  <TotalTime>0</TotalTime>
  <Pages>6</Pages>
  <Words>2072</Words>
  <Characters>11400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SGS-A-0075-2020</dc:title>
  <dc:creator/>
  <cp:lastModifiedBy/>
  <cp:revision>1</cp:revision>
  <dcterms:created xsi:type="dcterms:W3CDTF">2020-12-23T15:15:00Z</dcterms:created>
  <dcterms:modified xsi:type="dcterms:W3CDTF">2020-12-23T18:39:00Z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gridad">
    <vt:lpwstr>128;#Alta|0fd17ec2-e5d0-4d9f-8e18-466324d0fdd4</vt:lpwstr>
  </property>
  <property fmtid="{D5CDD505-2E9C-101B-9397-08002B2CF9AE}" pid="3" name="_dlc_policyId">
    <vt:lpwstr>0x010100E97154E09FCE6A4E8EAEBD5C54DD1AE4|-1695030217</vt:lpwstr>
  </property>
  <property fmtid="{D5CDD505-2E9C-101B-9397-08002B2CF9AE}" pid="4" name="Tipo Documental">
    <vt:lpwstr>126;#Oficio|417b7e3a-1426-4267-afb3-20be5f4d6412</vt:lpwstr>
  </property>
  <property fmtid="{D5CDD505-2E9C-101B-9397-08002B2CF9AE}" pid="5" name="ContentTypeId">
    <vt:lpwstr>0x0101002C5259700016054FB9EF02CC18F40A60</vt:lpwstr>
  </property>
  <property fmtid="{D5CDD505-2E9C-101B-9397-08002B2CF9AE}" pid="6" name="Dirigido a (entidad externa)">
    <vt:lpwstr/>
  </property>
  <property fmtid="{D5CDD505-2E9C-101B-9397-08002B2CF9AE}" pid="7"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8" name="Unidad de Destino">
    <vt:lpwstr/>
  </property>
  <property fmtid="{D5CDD505-2E9C-101B-9397-08002B2CF9AE}" pid="9" name="Disponibilidad">
    <vt:lpwstr>161;#Alta|7fca731c-4c62-4f1c-9061-e9f164c964b2</vt:lpwstr>
  </property>
  <property fmtid="{D5CDD505-2E9C-101B-9397-08002B2CF9AE}" pid="10" name="Confidencialidad1">
    <vt:lpwstr/>
  </property>
  <property fmtid="{D5CDD505-2E9C-101B-9397-08002B2CF9AE}" pid="11" name="Unidad Remitente">
    <vt:lpwstr>257;#SUGESE - Acuerdos|a4c1ee5f-324a-443d-88a9-d7759c9d5e33</vt:lpwstr>
  </property>
  <property fmtid="{D5CDD505-2E9C-101B-9397-08002B2CF9AE}" pid="12" name="lb0b7da792b243d9bfa96ad7487ad734">
    <vt:lpwstr/>
  </property>
  <property fmtid="{D5CDD505-2E9C-101B-9397-08002B2CF9AE}" pid="13" name="ConfidencialidadNueva">
    <vt:lpwstr>163;#Uso Interno|b84ab4da-351c-48b8-b2fd-466e6594f406</vt:lpwstr>
  </property>
  <property fmtid="{D5CDD505-2E9C-101B-9397-08002B2CF9AE}" pid="14" name="Confidencialidad">
    <vt:lpwstr>1;#Público|99c2402f-8ec3-4ca8-8024-be52e4e7f629</vt:lpwstr>
  </property>
  <property fmtid="{D5CDD505-2E9C-101B-9397-08002B2CF9AE}" pid="15" name="WorkflowChangePath">
    <vt:lpwstr>f6450479-5807-46c0-9a19-480fcd7573ae,5;f53beb82-3a64-483b-83ba-ca097d8a31d5,9;f0cb250b-c1ef-4893-9022-2aaf0b532c25,10;</vt:lpwstr>
  </property>
  <property fmtid="{D5CDD505-2E9C-101B-9397-08002B2CF9AE}" pid="16" name="_MarkAsFinal">
    <vt:bool>true</vt:bool>
  </property>
  <property fmtid="{D5CDD505-2E9C-101B-9397-08002B2CF9AE}" pid="17" name="ecm_ItemDeleteBlockHolders">
    <vt:lpwstr>ecm_InPlaceRecordLock</vt:lpwstr>
  </property>
  <property fmtid="{D5CDD505-2E9C-101B-9397-08002B2CF9AE}" pid="18" name="_vti_ItemDeclaredRecord">
    <vt:filetime>2020-12-23T19:39:59Z</vt:filetime>
  </property>
  <property fmtid="{D5CDD505-2E9C-101B-9397-08002B2CF9AE}" pid="19" name="_vti_ItemHoldRecordStatus">
    <vt:i4>273</vt:i4>
  </property>
  <property fmtid="{D5CDD505-2E9C-101B-9397-08002B2CF9AE}" pid="20" name="IconOverlay">
    <vt:lpwstr>|docx|lockoverlay.png</vt:lpwstr>
  </property>
  <property fmtid="{D5CDD505-2E9C-101B-9397-08002B2CF9AE}" pid="21" name="ecm_RecordRestrictions">
    <vt:lpwstr>BlockDelete, BlockEdit</vt:lpwstr>
  </property>
  <property fmtid="{D5CDD505-2E9C-101B-9397-08002B2CF9AE}" pid="22" name="ecm_ItemLockHolders">
    <vt:lpwstr>ecm_InPlaceRecordLock</vt:lpwstr>
  </property>
</Properties>
</file>