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42325" w14:textId="77777777" w:rsidR="006A3734" w:rsidRPr="00B80C92" w:rsidRDefault="006A3734" w:rsidP="00B80C92">
      <w:pPr>
        <w:ind w:hanging="567"/>
        <w:jc w:val="both"/>
        <w:rPr>
          <w:rFonts w:asciiTheme="majorHAnsi" w:hAnsiTheme="majorHAnsi"/>
          <w:i/>
          <w:color w:val="000000"/>
        </w:rPr>
      </w:pPr>
      <w:bookmarkStart w:id="0" w:name="_GoBack"/>
      <w:bookmarkEnd w:id="0"/>
      <w:r w:rsidRPr="00B80C92">
        <w:rPr>
          <w:rFonts w:asciiTheme="majorHAnsi" w:hAnsiTheme="majorHAnsi"/>
          <w:i/>
          <w:color w:val="000000"/>
        </w:rPr>
        <w:t>Tomas Soley Pérez</w:t>
      </w:r>
    </w:p>
    <w:p w14:paraId="49D5079A" w14:textId="77777777" w:rsidR="006A3734" w:rsidRPr="00B80C92" w:rsidRDefault="006A3734" w:rsidP="00B80C92">
      <w:pPr>
        <w:ind w:hanging="567"/>
        <w:jc w:val="both"/>
        <w:rPr>
          <w:rFonts w:asciiTheme="majorHAnsi" w:hAnsiTheme="majorHAnsi"/>
          <w:i/>
          <w:color w:val="000000"/>
        </w:rPr>
      </w:pPr>
      <w:r w:rsidRPr="00B80C92">
        <w:rPr>
          <w:rFonts w:asciiTheme="majorHAnsi" w:hAnsiTheme="majorHAnsi"/>
          <w:i/>
          <w:color w:val="000000"/>
        </w:rPr>
        <w:t>Superintendente de Seguros</w:t>
      </w:r>
    </w:p>
    <w:p w14:paraId="0C916B87" w14:textId="77777777" w:rsidR="00B330AC" w:rsidRPr="00EC2B2C" w:rsidRDefault="00B330AC" w:rsidP="00B80C92">
      <w:pPr>
        <w:jc w:val="both"/>
        <w:rPr>
          <w:rFonts w:asciiTheme="majorHAnsi" w:hAnsiTheme="majorHAnsi"/>
          <w:color w:val="000000"/>
        </w:rPr>
      </w:pPr>
    </w:p>
    <w:p w14:paraId="41D6BF95" w14:textId="77777777" w:rsidR="009618C8" w:rsidRPr="00EC2B2C" w:rsidRDefault="009618C8" w:rsidP="00B80C92">
      <w:pPr>
        <w:jc w:val="both"/>
        <w:rPr>
          <w:rFonts w:asciiTheme="majorHAnsi" w:hAnsiTheme="majorHAnsi"/>
          <w:color w:val="000000"/>
        </w:rPr>
      </w:pPr>
    </w:p>
    <w:p w14:paraId="6680910A" w14:textId="77777777" w:rsidR="009618C8" w:rsidRPr="00EC2B2C" w:rsidRDefault="009618C8" w:rsidP="00B80C92">
      <w:pPr>
        <w:jc w:val="both"/>
        <w:rPr>
          <w:rFonts w:asciiTheme="majorHAnsi" w:hAnsiTheme="majorHAnsi"/>
          <w:bCs/>
        </w:rPr>
      </w:pPr>
    </w:p>
    <w:p w14:paraId="6D492BA2" w14:textId="77777777" w:rsidR="00B330AC" w:rsidRPr="00EC2B2C" w:rsidRDefault="00B330AC" w:rsidP="00B80C92">
      <w:pPr>
        <w:jc w:val="center"/>
        <w:rPr>
          <w:rFonts w:asciiTheme="majorHAnsi" w:hAnsiTheme="majorHAnsi"/>
          <w:b/>
          <w:bCs/>
          <w:sz w:val="28"/>
          <w:szCs w:val="28"/>
        </w:rPr>
      </w:pPr>
      <w:r w:rsidRPr="00EC2B2C">
        <w:rPr>
          <w:rFonts w:asciiTheme="majorHAnsi" w:hAnsiTheme="majorHAnsi"/>
          <w:b/>
          <w:bCs/>
          <w:sz w:val="28"/>
          <w:szCs w:val="28"/>
        </w:rPr>
        <w:t>ACUERDO DE SUPERINTENDENTE</w:t>
      </w:r>
    </w:p>
    <w:p w14:paraId="67A620CB" w14:textId="5C59D85F" w:rsidR="00B80C92" w:rsidRPr="00EC2B2C" w:rsidRDefault="00B80C92" w:rsidP="00B80C92">
      <w:pPr>
        <w:jc w:val="center"/>
        <w:rPr>
          <w:rFonts w:asciiTheme="majorHAnsi" w:hAnsiTheme="majorHAnsi" w:cs="Arial"/>
          <w:b/>
          <w:sz w:val="28"/>
          <w:szCs w:val="28"/>
          <w:lang w:val="es-CR"/>
        </w:rPr>
      </w:pPr>
      <w:r w:rsidRPr="00EC2B2C">
        <w:rPr>
          <w:rFonts w:asciiTheme="majorHAnsi" w:hAnsiTheme="majorHAnsi" w:cs="Arial"/>
          <w:b/>
          <w:sz w:val="28"/>
          <w:szCs w:val="28"/>
          <w:lang w:val="es-CR"/>
        </w:rPr>
        <w:t>SGS-A-</w:t>
      </w:r>
      <w:r w:rsidR="00AA5290">
        <w:rPr>
          <w:rFonts w:asciiTheme="majorHAnsi" w:hAnsiTheme="majorHAnsi" w:cs="Arial"/>
          <w:b/>
          <w:sz w:val="28"/>
          <w:szCs w:val="28"/>
          <w:lang w:val="es-CR"/>
        </w:rPr>
        <w:t>0070</w:t>
      </w:r>
      <w:r w:rsidRPr="00EC2B2C">
        <w:rPr>
          <w:rFonts w:asciiTheme="majorHAnsi" w:hAnsiTheme="majorHAnsi" w:cs="Arial"/>
          <w:b/>
          <w:sz w:val="28"/>
          <w:szCs w:val="28"/>
          <w:lang w:val="es-CR"/>
        </w:rPr>
        <w:t>-2020</w:t>
      </w:r>
    </w:p>
    <w:p w14:paraId="6112089D" w14:textId="77777777" w:rsidR="00EC2B2C" w:rsidRPr="00EC2B2C" w:rsidRDefault="00EC2B2C" w:rsidP="00EC2B2C">
      <w:pPr>
        <w:jc w:val="both"/>
        <w:rPr>
          <w:rFonts w:asciiTheme="majorHAnsi" w:hAnsiTheme="majorHAnsi"/>
          <w:color w:val="000000"/>
        </w:rPr>
      </w:pPr>
    </w:p>
    <w:p w14:paraId="4CC22953" w14:textId="77777777" w:rsidR="00EC2B2C" w:rsidRPr="00EC2B2C" w:rsidRDefault="00EC2B2C" w:rsidP="00EC2B2C">
      <w:pPr>
        <w:jc w:val="both"/>
        <w:rPr>
          <w:rFonts w:asciiTheme="majorHAnsi" w:hAnsiTheme="majorHAnsi"/>
          <w:color w:val="000000"/>
        </w:rPr>
      </w:pPr>
    </w:p>
    <w:p w14:paraId="6B450846" w14:textId="77777777" w:rsidR="00B80C92" w:rsidRPr="00B80C92" w:rsidRDefault="00B80C92" w:rsidP="00B80C92">
      <w:pPr>
        <w:contextualSpacing/>
        <w:jc w:val="center"/>
        <w:rPr>
          <w:rFonts w:asciiTheme="majorHAnsi" w:hAnsiTheme="majorHAnsi" w:cs="Arial"/>
          <w:b/>
          <w:lang w:val="es-CR"/>
        </w:rPr>
      </w:pPr>
      <w:r w:rsidRPr="00B80C92">
        <w:rPr>
          <w:rFonts w:asciiTheme="majorHAnsi" w:hAnsiTheme="majorHAnsi" w:cs="Arial"/>
          <w:b/>
          <w:lang w:val="es-CR"/>
        </w:rPr>
        <w:t>Modificación  de los Acuerdos de Superintendente SGS-A-029-2013</w:t>
      </w:r>
      <w:r w:rsidRPr="00B80C92">
        <w:rPr>
          <w:rStyle w:val="Refdenotaalpie"/>
          <w:rFonts w:asciiTheme="majorHAnsi" w:hAnsiTheme="majorHAnsi" w:cs="Arial"/>
          <w:b/>
          <w:lang w:val="es-CR"/>
        </w:rPr>
        <w:footnoteReference w:id="1"/>
      </w:r>
      <w:r w:rsidRPr="00B80C92">
        <w:rPr>
          <w:rFonts w:asciiTheme="majorHAnsi" w:hAnsiTheme="majorHAnsi" w:cs="Arial"/>
          <w:b/>
          <w:lang w:val="es-CR"/>
        </w:rPr>
        <w:t xml:space="preserve"> y SGS-A-021-2013</w:t>
      </w:r>
      <w:r w:rsidRPr="00B80C92">
        <w:rPr>
          <w:rStyle w:val="Refdenotaalpie"/>
          <w:rFonts w:asciiTheme="majorHAnsi" w:hAnsiTheme="majorHAnsi" w:cs="Arial"/>
          <w:b/>
          <w:lang w:val="es-CR"/>
        </w:rPr>
        <w:footnoteReference w:id="2"/>
      </w:r>
      <w:r w:rsidRPr="00B80C92">
        <w:rPr>
          <w:rFonts w:asciiTheme="majorHAnsi" w:hAnsiTheme="majorHAnsi" w:cs="Arial"/>
          <w:b/>
          <w:lang w:val="es-CR"/>
        </w:rPr>
        <w:t xml:space="preserve"> para incorporar el tratamiento de activos generados en el Impuesto al Valor  Agregado (IVA) para efectos de adecuación de capital y modificar el formato del Anexo para la remisión del  Índice de Suficiencia de Capital (ISC)</w:t>
      </w:r>
    </w:p>
    <w:p w14:paraId="525B6149" w14:textId="77777777" w:rsidR="00B80C92" w:rsidRPr="00EC2B2C" w:rsidRDefault="00B80C92" w:rsidP="00EC2B2C">
      <w:pPr>
        <w:jc w:val="both"/>
        <w:rPr>
          <w:rFonts w:asciiTheme="majorHAnsi" w:hAnsiTheme="majorHAnsi"/>
          <w:bCs/>
        </w:rPr>
      </w:pPr>
    </w:p>
    <w:p w14:paraId="16B0111A" w14:textId="77777777" w:rsidR="00B80C92" w:rsidRPr="00EC2B2C" w:rsidRDefault="00B80C92" w:rsidP="00EC2B2C">
      <w:pPr>
        <w:jc w:val="both"/>
        <w:rPr>
          <w:rFonts w:asciiTheme="majorHAnsi" w:hAnsiTheme="majorHAnsi"/>
          <w:bCs/>
        </w:rPr>
      </w:pPr>
    </w:p>
    <w:p w14:paraId="7B8CD547" w14:textId="01BB4CF5" w:rsidR="00B80C92" w:rsidRPr="00EC2B2C" w:rsidRDefault="00B80C92" w:rsidP="00B80C92">
      <w:pPr>
        <w:jc w:val="both"/>
        <w:rPr>
          <w:rFonts w:asciiTheme="majorHAnsi" w:hAnsiTheme="majorHAnsi" w:cs="Arial"/>
          <w:lang w:val="es-CR"/>
        </w:rPr>
      </w:pPr>
      <w:r w:rsidRPr="00B80C92">
        <w:rPr>
          <w:rFonts w:asciiTheme="majorHAnsi" w:hAnsiTheme="majorHAnsi" w:cs="Arial"/>
          <w:lang w:val="es-CR"/>
        </w:rPr>
        <w:t xml:space="preserve">El Superintendente General de Seguros,  a </w:t>
      </w:r>
      <w:r w:rsidRPr="00EC2B2C">
        <w:rPr>
          <w:rFonts w:asciiTheme="majorHAnsi" w:hAnsiTheme="majorHAnsi" w:cs="Arial"/>
          <w:lang w:val="es-CR"/>
        </w:rPr>
        <w:t xml:space="preserve">las  </w:t>
      </w:r>
      <w:r w:rsidR="00EC2B2C" w:rsidRPr="00EC2B2C">
        <w:rPr>
          <w:rFonts w:asciiTheme="majorHAnsi" w:hAnsiTheme="majorHAnsi" w:cs="Arial"/>
          <w:lang w:val="es-CR"/>
        </w:rPr>
        <w:t xml:space="preserve">dieciséis </w:t>
      </w:r>
      <w:r w:rsidRPr="00EC2B2C">
        <w:rPr>
          <w:rFonts w:asciiTheme="majorHAnsi" w:hAnsiTheme="majorHAnsi" w:cs="Arial"/>
          <w:lang w:val="es-CR"/>
        </w:rPr>
        <w:t xml:space="preserve">horas del </w:t>
      </w:r>
      <w:r w:rsidR="00EC2B2C">
        <w:rPr>
          <w:rFonts w:asciiTheme="majorHAnsi" w:hAnsiTheme="majorHAnsi" w:cs="Arial"/>
          <w:lang w:val="es-CR"/>
        </w:rPr>
        <w:t>veintinueve</w:t>
      </w:r>
      <w:r w:rsidRPr="00EC2B2C">
        <w:rPr>
          <w:rFonts w:asciiTheme="majorHAnsi" w:hAnsiTheme="majorHAnsi" w:cs="Arial"/>
          <w:lang w:val="es-CR"/>
        </w:rPr>
        <w:t xml:space="preserve"> de mayo de dos mil veinte:</w:t>
      </w:r>
    </w:p>
    <w:p w14:paraId="64DF05E4" w14:textId="77777777" w:rsidR="00B80C92" w:rsidRPr="00B80C92" w:rsidRDefault="00B80C92" w:rsidP="00B80C92">
      <w:pPr>
        <w:jc w:val="both"/>
        <w:rPr>
          <w:rFonts w:asciiTheme="majorHAnsi" w:hAnsiTheme="majorHAnsi" w:cs="Arial"/>
          <w:b/>
          <w:lang w:val="es-CR"/>
        </w:rPr>
      </w:pPr>
    </w:p>
    <w:p w14:paraId="5AF1FAD5" w14:textId="77777777" w:rsidR="00B80C92" w:rsidRPr="00B80C92" w:rsidRDefault="00B80C92" w:rsidP="00B80C92">
      <w:pPr>
        <w:jc w:val="both"/>
        <w:rPr>
          <w:rFonts w:asciiTheme="majorHAnsi" w:hAnsiTheme="majorHAnsi" w:cs="Arial"/>
          <w:b/>
          <w:lang w:val="es-CR"/>
        </w:rPr>
      </w:pPr>
    </w:p>
    <w:p w14:paraId="103092A7" w14:textId="77777777" w:rsidR="00B80C92" w:rsidRPr="00EC2B2C" w:rsidRDefault="00B80C92" w:rsidP="00EC2B2C">
      <w:pPr>
        <w:jc w:val="center"/>
        <w:rPr>
          <w:rFonts w:asciiTheme="majorHAnsi" w:hAnsiTheme="majorHAnsi" w:cs="Arial"/>
          <w:b/>
          <w:sz w:val="28"/>
          <w:szCs w:val="28"/>
          <w:lang w:val="es-CR"/>
        </w:rPr>
      </w:pPr>
      <w:r w:rsidRPr="00EC2B2C">
        <w:rPr>
          <w:rFonts w:asciiTheme="majorHAnsi" w:hAnsiTheme="majorHAnsi" w:cs="Arial"/>
          <w:b/>
          <w:sz w:val="28"/>
          <w:szCs w:val="28"/>
          <w:lang w:val="es-CR"/>
        </w:rPr>
        <w:t>Considerando que:</w:t>
      </w:r>
    </w:p>
    <w:p w14:paraId="3276B8E8" w14:textId="77777777" w:rsidR="00B80C92" w:rsidRPr="00B80C92" w:rsidRDefault="00B80C92" w:rsidP="00B80C92">
      <w:pPr>
        <w:jc w:val="both"/>
        <w:rPr>
          <w:rFonts w:asciiTheme="majorHAnsi" w:hAnsiTheme="majorHAnsi" w:cs="Arial"/>
          <w:b/>
          <w:lang w:val="es-CR"/>
        </w:rPr>
      </w:pPr>
    </w:p>
    <w:p w14:paraId="0FA06484"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El artículo 171 de la </w:t>
      </w:r>
      <w:r w:rsidRPr="00B80C92">
        <w:rPr>
          <w:rFonts w:asciiTheme="majorHAnsi" w:hAnsiTheme="majorHAnsi" w:cs="Arial"/>
          <w:i/>
          <w:sz w:val="24"/>
          <w:szCs w:val="24"/>
          <w:lang w:val="es-CR"/>
        </w:rPr>
        <w:t>Ley Reguladora del Mercado de Valores</w:t>
      </w:r>
      <w:r w:rsidRPr="00B80C92">
        <w:rPr>
          <w:rFonts w:asciiTheme="majorHAnsi" w:hAnsiTheme="majorHAnsi" w:cs="Arial"/>
          <w:sz w:val="24"/>
          <w:szCs w:val="24"/>
          <w:lang w:val="es-CR"/>
        </w:rPr>
        <w:t>, N° 7732, faculta al Consejo Nacional de Supervisión del Sistema Financiero (CONASSIF) para aprobar las normas atinentes a la autorización, regulación, supervisión, fiscalización y vigilancia que, conforme a la ley, deben ejecutar las Superintendencias que funcionan bajo su dirección.</w:t>
      </w:r>
    </w:p>
    <w:p w14:paraId="173CD354" w14:textId="77777777" w:rsidR="00B80C92" w:rsidRPr="00EC2B2C" w:rsidRDefault="00B80C92" w:rsidP="00EC2B2C">
      <w:pPr>
        <w:jc w:val="both"/>
        <w:rPr>
          <w:rFonts w:asciiTheme="majorHAnsi" w:hAnsiTheme="majorHAnsi" w:cs="Arial"/>
          <w:lang w:val="es-CR"/>
        </w:rPr>
      </w:pPr>
    </w:p>
    <w:p w14:paraId="1383F9E9"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De conformidad con lo dispuesto en el artículo 10 de la </w:t>
      </w:r>
      <w:r w:rsidRPr="00B80C92">
        <w:rPr>
          <w:rFonts w:asciiTheme="majorHAnsi" w:hAnsiTheme="majorHAnsi" w:cs="Arial"/>
          <w:i/>
          <w:sz w:val="24"/>
          <w:szCs w:val="24"/>
          <w:lang w:val="es-CR"/>
        </w:rPr>
        <w:t>Ley Reguladora del Mercado de Seguros</w:t>
      </w:r>
      <w:r w:rsidRPr="00B80C92">
        <w:rPr>
          <w:rFonts w:asciiTheme="majorHAnsi" w:hAnsiTheme="majorHAnsi" w:cs="Arial"/>
          <w:sz w:val="24"/>
          <w:szCs w:val="24"/>
          <w:lang w:val="es-CR"/>
        </w:rPr>
        <w:t xml:space="preserve">, N° 8653, el CONASSIF: </w:t>
      </w:r>
    </w:p>
    <w:p w14:paraId="4917228E" w14:textId="77777777" w:rsidR="00B80C92" w:rsidRPr="00EC2B2C" w:rsidRDefault="00B80C92" w:rsidP="00EC2B2C">
      <w:pPr>
        <w:jc w:val="both"/>
        <w:rPr>
          <w:rFonts w:asciiTheme="majorHAnsi" w:hAnsiTheme="majorHAnsi" w:cs="Arial"/>
          <w:lang w:val="es-CR"/>
        </w:rPr>
      </w:pPr>
    </w:p>
    <w:p w14:paraId="1795834C" w14:textId="77777777" w:rsidR="00B80C92" w:rsidRPr="00B80C92" w:rsidRDefault="00B80C92" w:rsidP="00B80C92">
      <w:pPr>
        <w:pStyle w:val="Prrafodelista"/>
        <w:spacing w:after="0" w:line="240" w:lineRule="auto"/>
        <w:ind w:left="1134" w:right="616"/>
        <w:contextualSpacing w:val="0"/>
        <w:jc w:val="both"/>
        <w:rPr>
          <w:rFonts w:asciiTheme="majorHAnsi" w:hAnsiTheme="majorHAnsi" w:cs="Arial"/>
          <w:i/>
          <w:sz w:val="24"/>
          <w:szCs w:val="24"/>
          <w:lang w:val="es-CR"/>
        </w:rPr>
      </w:pPr>
      <w:r w:rsidRPr="00B80C92">
        <w:rPr>
          <w:rFonts w:asciiTheme="majorHAnsi" w:hAnsiTheme="majorHAnsi" w:cs="Arial"/>
          <w:i/>
          <w:sz w:val="24"/>
          <w:szCs w:val="24"/>
          <w:lang w:val="es-CR"/>
        </w:rPr>
        <w:t xml:space="preserve">“definirá, mediante reglamento, las normas y los requerimientos del régimen de suficiencia de capital y solvencia que deberán cumplir, en todo momento, las entidades aseguradoras y reaseguradoras; para ello, observará hipótesis prudentes y razonables, así como las prácticas aceptadas internacionalmente que mejor se adapten al mercado de seguros costarricense. El reglamento también desarrollará la determinación del requerimiento de capital, de las provisiones  técnicas y reservas, así como el régimen de inversión de los </w:t>
      </w:r>
      <w:r w:rsidRPr="00B80C92">
        <w:rPr>
          <w:rFonts w:asciiTheme="majorHAnsi" w:hAnsiTheme="majorHAnsi" w:cs="Arial"/>
          <w:i/>
          <w:sz w:val="24"/>
          <w:szCs w:val="24"/>
          <w:lang w:val="es-CR"/>
        </w:rPr>
        <w:lastRenderedPageBreak/>
        <w:t>activos que los respaldan, las reglas de valoración de activos y pasivos para las entidades aseguradoras y reaseguradoras y los niveles de alerta temprana que impliquen medidas correctivas por parte de las entidades supervisadas, así como la intervención de la Superintendencia”.</w:t>
      </w:r>
    </w:p>
    <w:p w14:paraId="5DDAA8B0" w14:textId="77777777" w:rsidR="00B80C92" w:rsidRPr="00B80C92" w:rsidRDefault="00B80C92" w:rsidP="00B80C92">
      <w:pPr>
        <w:pStyle w:val="Prrafodelista"/>
        <w:spacing w:after="0" w:line="240" w:lineRule="auto"/>
        <w:ind w:left="567" w:right="616" w:hanging="567"/>
        <w:contextualSpacing w:val="0"/>
        <w:jc w:val="both"/>
        <w:rPr>
          <w:rFonts w:asciiTheme="majorHAnsi" w:hAnsiTheme="majorHAnsi" w:cs="Arial"/>
          <w:sz w:val="24"/>
          <w:szCs w:val="24"/>
          <w:lang w:val="es-CR"/>
        </w:rPr>
      </w:pPr>
    </w:p>
    <w:p w14:paraId="28865CFA"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El CONASSIF  aprobó, mediante artículo 8 del acta de la sesión 1050-2013 del 2 de julio de 2013,  el Acuerdo SUGESE 02-2013- </w:t>
      </w:r>
      <w:r w:rsidRPr="00B80C92">
        <w:rPr>
          <w:rFonts w:asciiTheme="majorHAnsi" w:hAnsiTheme="majorHAnsi" w:cs="Arial"/>
          <w:i/>
          <w:sz w:val="24"/>
          <w:szCs w:val="24"/>
          <w:lang w:val="es-CR"/>
        </w:rPr>
        <w:t>Reglamento sobre la Solvencia de Entidades de Seguros y Reaseguros</w:t>
      </w:r>
      <w:r w:rsidRPr="00B80C92">
        <w:rPr>
          <w:rFonts w:asciiTheme="majorHAnsi" w:hAnsiTheme="majorHAnsi" w:cs="Arial"/>
          <w:sz w:val="24"/>
          <w:szCs w:val="24"/>
          <w:lang w:val="es-CR"/>
        </w:rPr>
        <w:t>,  el cual dispone las reglas para  el cálculo del requerimiento de capital de solvencia de las entidades de seguros.</w:t>
      </w:r>
    </w:p>
    <w:p w14:paraId="45A9B205" w14:textId="77777777" w:rsidR="00B80C92" w:rsidRPr="00EC2B2C" w:rsidRDefault="00B80C92" w:rsidP="00EC2B2C">
      <w:pPr>
        <w:jc w:val="both"/>
        <w:rPr>
          <w:rFonts w:asciiTheme="majorHAnsi" w:hAnsiTheme="majorHAnsi" w:cs="Arial"/>
          <w:lang w:val="es-CR"/>
        </w:rPr>
      </w:pPr>
    </w:p>
    <w:p w14:paraId="1A1F436F"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El artículo 4 del Acuerdo SUGESE 02-2013 establece:</w:t>
      </w:r>
    </w:p>
    <w:p w14:paraId="3C6AB617" w14:textId="77777777" w:rsidR="00B80C92" w:rsidRPr="00EC2B2C" w:rsidRDefault="00B80C92" w:rsidP="00EC2B2C">
      <w:pPr>
        <w:jc w:val="both"/>
        <w:rPr>
          <w:rFonts w:asciiTheme="majorHAnsi" w:hAnsiTheme="majorHAnsi" w:cs="Arial"/>
          <w:lang w:val="es-CR"/>
        </w:rPr>
      </w:pPr>
    </w:p>
    <w:p w14:paraId="64D8761B" w14:textId="77777777" w:rsidR="00B80C92" w:rsidRPr="00B80C92" w:rsidRDefault="00B80C92" w:rsidP="00B80C92">
      <w:pPr>
        <w:pStyle w:val="Prrafodelista"/>
        <w:spacing w:after="0" w:line="240" w:lineRule="auto"/>
        <w:ind w:left="1134" w:right="616"/>
        <w:contextualSpacing w:val="0"/>
        <w:jc w:val="both"/>
        <w:rPr>
          <w:rFonts w:asciiTheme="majorHAnsi" w:hAnsiTheme="majorHAnsi" w:cs="Arial"/>
          <w:sz w:val="24"/>
          <w:szCs w:val="24"/>
          <w:lang w:val="es-CR"/>
        </w:rPr>
      </w:pPr>
      <w:r w:rsidRPr="00B80C92">
        <w:rPr>
          <w:rFonts w:asciiTheme="majorHAnsi" w:hAnsiTheme="majorHAnsi" w:cs="Arial"/>
          <w:i/>
          <w:sz w:val="24"/>
          <w:szCs w:val="24"/>
          <w:lang w:val="es-CR"/>
        </w:rPr>
        <w:t>“Artículo 4 Lineamientos generales. Mediante acuerdo y de conformidad con lo dispuesto en este Reglamento, el Superintendente debe emitir los lineamientos generales necesarios para la aplicación de esta normativa.”</w:t>
      </w:r>
    </w:p>
    <w:p w14:paraId="5F37DD46" w14:textId="77777777" w:rsidR="00B80C92" w:rsidRPr="00EC2B2C" w:rsidRDefault="00B80C92" w:rsidP="00EC2B2C">
      <w:pPr>
        <w:jc w:val="both"/>
        <w:rPr>
          <w:rFonts w:asciiTheme="majorHAnsi" w:hAnsiTheme="majorHAnsi" w:cs="Arial"/>
          <w:lang w:val="es-CR"/>
        </w:rPr>
      </w:pPr>
    </w:p>
    <w:p w14:paraId="7D309CBE"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Que el Superintendente de Seguros, el  17 de setiembre de 2013, emitió el Acuerdo de Superintendente SGS-A-0029-2013,  denominado “</w:t>
      </w:r>
      <w:r w:rsidRPr="00B80C92">
        <w:rPr>
          <w:rFonts w:asciiTheme="majorHAnsi" w:hAnsiTheme="majorHAnsi" w:cs="Arial"/>
          <w:i/>
          <w:sz w:val="24"/>
          <w:szCs w:val="24"/>
          <w:lang w:val="es-CR"/>
        </w:rPr>
        <w:t>Modificación Integral del Acuerdo SGS-A-009-2010. Lineamientos Generales para la Aplicación del Reglamento sobre la solvencia de entidades de seguros y reaseguros”</w:t>
      </w:r>
      <w:r w:rsidRPr="00B80C92">
        <w:rPr>
          <w:rFonts w:asciiTheme="majorHAnsi" w:hAnsiTheme="majorHAnsi" w:cs="Arial"/>
          <w:sz w:val="24"/>
          <w:szCs w:val="24"/>
          <w:lang w:val="es-CR"/>
        </w:rPr>
        <w:t>, que dispone, entre otros, la metodología de cálculo de los componentes del Indicador de Solvencia de Capital (ISC), establecido en ese Reglamento.</w:t>
      </w:r>
    </w:p>
    <w:p w14:paraId="4CFA2ED1" w14:textId="77777777" w:rsidR="00B80C92" w:rsidRPr="00B80C92" w:rsidRDefault="00B80C92" w:rsidP="00B80C92">
      <w:pPr>
        <w:pStyle w:val="Prrafodelista"/>
        <w:spacing w:after="0" w:line="240" w:lineRule="auto"/>
        <w:ind w:left="567" w:hanging="567"/>
        <w:contextualSpacing w:val="0"/>
        <w:jc w:val="both"/>
        <w:rPr>
          <w:rFonts w:asciiTheme="majorHAnsi" w:hAnsiTheme="majorHAnsi" w:cs="Arial"/>
          <w:sz w:val="24"/>
          <w:szCs w:val="24"/>
          <w:lang w:val="es-CR"/>
        </w:rPr>
      </w:pPr>
    </w:p>
    <w:p w14:paraId="34E2E344"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El CONASSIF dispuso, mediante artículo 8 del acta de la sesión 1558-2020 del 10 de febrero de 2020,  modificar el </w:t>
      </w:r>
      <w:r w:rsidRPr="00B80C92">
        <w:rPr>
          <w:rFonts w:asciiTheme="majorHAnsi" w:hAnsiTheme="majorHAnsi" w:cs="Arial"/>
          <w:i/>
          <w:sz w:val="24"/>
          <w:szCs w:val="24"/>
          <w:lang w:val="es-CR"/>
        </w:rPr>
        <w:t>Reglamento sobre la Solvencia de Entidades de Seguros y Reaseguros</w:t>
      </w:r>
      <w:r w:rsidRPr="00B80C92">
        <w:rPr>
          <w:rFonts w:asciiTheme="majorHAnsi" w:hAnsiTheme="majorHAnsi" w:cs="Arial"/>
          <w:sz w:val="24"/>
          <w:szCs w:val="24"/>
          <w:lang w:val="es-CR"/>
        </w:rPr>
        <w:t xml:space="preserve">, a efecto de homologar el tratamiento de los activos de las aseguradoras frente al Ministerio de Hacienda originados en el pago y recaudación del Impuesto al Valor Agregado (IVA) y de los impuestos diferidos,  para así corregir la diferencias que se presentan en su tratamiento a partir de la aprobación de la </w:t>
      </w:r>
      <w:r w:rsidRPr="00B80C92">
        <w:rPr>
          <w:rFonts w:asciiTheme="majorHAnsi" w:hAnsiTheme="majorHAnsi" w:cs="Arial"/>
          <w:i/>
          <w:sz w:val="24"/>
          <w:szCs w:val="24"/>
          <w:lang w:val="es-CR"/>
        </w:rPr>
        <w:t>Ley de Fortalecimiento de la Finanzas Públicas.</w:t>
      </w:r>
    </w:p>
    <w:p w14:paraId="7F356B49" w14:textId="77777777" w:rsidR="00B80C92" w:rsidRPr="00B80C92" w:rsidRDefault="00B80C92" w:rsidP="00B80C92">
      <w:pPr>
        <w:pStyle w:val="Prrafodelista"/>
        <w:ind w:left="567" w:hanging="567"/>
        <w:jc w:val="both"/>
        <w:rPr>
          <w:rFonts w:asciiTheme="majorHAnsi" w:hAnsiTheme="majorHAnsi" w:cs="Arial"/>
          <w:sz w:val="24"/>
          <w:szCs w:val="24"/>
          <w:lang w:val="es-CR"/>
        </w:rPr>
      </w:pPr>
    </w:p>
    <w:p w14:paraId="3F61C994"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La reforma  al </w:t>
      </w:r>
      <w:r w:rsidRPr="00B80C92">
        <w:rPr>
          <w:rFonts w:asciiTheme="majorHAnsi" w:hAnsiTheme="majorHAnsi" w:cs="Arial"/>
          <w:i/>
          <w:sz w:val="24"/>
          <w:szCs w:val="24"/>
          <w:lang w:val="es-CR"/>
        </w:rPr>
        <w:t xml:space="preserve">Reglamento sobre la solvencia de entidades de seguros y reaseguros </w:t>
      </w:r>
      <w:r w:rsidRPr="00B80C92">
        <w:rPr>
          <w:rFonts w:asciiTheme="majorHAnsi" w:hAnsiTheme="majorHAnsi" w:cs="Arial"/>
          <w:sz w:val="24"/>
          <w:szCs w:val="24"/>
          <w:lang w:val="es-CR"/>
        </w:rPr>
        <w:t>obliga  a la Superintendencia a actualizar los lineamientos  establecidos en el acuerdo SGS-A-029-2013, en lo referente a los componentes del Indicador de Solvencia de Capital (ISC) y el acuerdo SGS-A-021-2013 en cuanto al formato de envío periódico de información a la Superintendencia, para el cálculo del indicador de adecuación de capital.</w:t>
      </w:r>
    </w:p>
    <w:p w14:paraId="257F088F" w14:textId="77777777" w:rsidR="00B80C92" w:rsidRPr="00B80C92" w:rsidRDefault="00B80C92" w:rsidP="00B80C92">
      <w:pPr>
        <w:pStyle w:val="Prrafodelista"/>
        <w:ind w:left="567" w:hanging="567"/>
        <w:jc w:val="both"/>
        <w:rPr>
          <w:rFonts w:asciiTheme="majorHAnsi" w:hAnsiTheme="majorHAnsi" w:cs="Arial"/>
          <w:sz w:val="24"/>
          <w:szCs w:val="24"/>
          <w:lang w:val="es-CR"/>
        </w:rPr>
      </w:pPr>
    </w:p>
    <w:p w14:paraId="15782EF8"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lastRenderedPageBreak/>
        <w:t xml:space="preserve">La Superintendencia General de Seguros debe disponer de información, en los plazos, formatos y medios que le permita realizar una evaluación exhaustiva y rigurosa de cada uno de los participantes del mercado de seguros, con el fin de cumplir con el objetivo definido en el artículo 29, de la </w:t>
      </w:r>
      <w:r w:rsidRPr="00B80C92">
        <w:rPr>
          <w:rFonts w:asciiTheme="majorHAnsi" w:hAnsiTheme="majorHAnsi" w:cs="Arial"/>
          <w:i/>
          <w:sz w:val="24"/>
          <w:szCs w:val="24"/>
          <w:lang w:val="es-CR"/>
        </w:rPr>
        <w:t>Ley Reguladora del Mercado de Seguros</w:t>
      </w:r>
      <w:r w:rsidRPr="00B80C92">
        <w:rPr>
          <w:rFonts w:asciiTheme="majorHAnsi" w:hAnsiTheme="majorHAnsi" w:cs="Arial"/>
          <w:sz w:val="24"/>
          <w:szCs w:val="24"/>
          <w:lang w:val="es-CR"/>
        </w:rPr>
        <w:t xml:space="preserve">, Ley N° 8653, de </w:t>
      </w:r>
      <w:r w:rsidRPr="00B80C92">
        <w:rPr>
          <w:rFonts w:asciiTheme="majorHAnsi" w:hAnsiTheme="majorHAnsi" w:cs="Arial"/>
          <w:i/>
          <w:sz w:val="24"/>
          <w:szCs w:val="24"/>
          <w:lang w:val="es-CR"/>
        </w:rPr>
        <w:t xml:space="preserve">“velar por la estabilidad y el eficiente funcionamiento del mercado de seguros, así como entregar la más amplia información a los asegurados”.  </w:t>
      </w:r>
      <w:r w:rsidRPr="00B80C92">
        <w:rPr>
          <w:rFonts w:asciiTheme="majorHAnsi" w:hAnsiTheme="majorHAnsi" w:cs="Arial"/>
          <w:sz w:val="24"/>
          <w:szCs w:val="24"/>
          <w:lang w:val="es-CR"/>
        </w:rPr>
        <w:t>Además, de conformidad con los artículos 25 c) y 26 g) de la Ley N° 8653, las entidades aseguradoras y reaseguradoras y los intermediarios del mercado de seguros están obligados a proporcionar a la Superintendencia la información correcta y completa, dentro de los plazos y las formalidades requeridos.</w:t>
      </w:r>
    </w:p>
    <w:p w14:paraId="3EAE8B7A" w14:textId="77777777" w:rsidR="00B80C92" w:rsidRPr="00EC2B2C" w:rsidRDefault="00B80C92" w:rsidP="00EC2B2C">
      <w:pPr>
        <w:jc w:val="both"/>
        <w:rPr>
          <w:rFonts w:asciiTheme="majorHAnsi" w:hAnsiTheme="majorHAnsi" w:cs="Arial"/>
          <w:lang w:val="es-CR"/>
        </w:rPr>
      </w:pPr>
    </w:p>
    <w:p w14:paraId="4929A7AE"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El Superintendente de Seguros, para normar lo dispuesto en las disposiciones citadas en el considerando anterior, emitió el acuerdo SGS-DES-A-021-2013, </w:t>
      </w:r>
      <w:r w:rsidRPr="00B80C92">
        <w:rPr>
          <w:rFonts w:asciiTheme="majorHAnsi" w:hAnsiTheme="majorHAnsi" w:cs="Arial"/>
          <w:i/>
          <w:sz w:val="24"/>
          <w:szCs w:val="24"/>
          <w:lang w:val="es-CR"/>
        </w:rPr>
        <w:t xml:space="preserve">Disposiciones para la Remisión de la Información Contable y Estadística a la Superintendencia General de Seguros por parte de las Entidades Supervisadas, </w:t>
      </w:r>
      <w:r w:rsidRPr="00B80C92">
        <w:rPr>
          <w:rFonts w:asciiTheme="majorHAnsi" w:hAnsiTheme="majorHAnsi" w:cs="Arial"/>
          <w:sz w:val="24"/>
          <w:szCs w:val="24"/>
          <w:lang w:val="es-CR"/>
        </w:rPr>
        <w:t>para regular la periodicidad, plazo, medio y formatos para la entrega de información a la  Superintendencia, entre ella la correspondiente  al régimen de suficiencia de capital y solvencia (cálculo del ISC), que debe ser enviado de acuerdo con el modelo dispuesto en el Anexo 4 del acuerdo en cita.</w:t>
      </w:r>
    </w:p>
    <w:p w14:paraId="5E128850" w14:textId="77777777" w:rsidR="00B80C92" w:rsidRPr="00B80C92" w:rsidRDefault="00B80C92" w:rsidP="00B80C92">
      <w:pPr>
        <w:jc w:val="both"/>
        <w:rPr>
          <w:rFonts w:asciiTheme="majorHAnsi" w:hAnsiTheme="majorHAnsi" w:cs="Arial"/>
          <w:lang w:val="es-CR"/>
        </w:rPr>
      </w:pPr>
    </w:p>
    <w:p w14:paraId="0804578F" w14:textId="77777777" w:rsidR="00B80C92" w:rsidRPr="00B80C92" w:rsidRDefault="00B80C92" w:rsidP="00B80C92">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En las labores de supervisión de las entidades de seguros, en particular el seguimiento del cumplimiento del régimen de solvencia, se han identificado oportunidades de mejora para hacer más eficiente y compresiva la forma en que las entidades supervisadas remiten la información para el cálculo del ISC para lo cual es necesario incorporar ajustes en la presentación y formato del Anexo 4 del acuerdo SGS-DES-A-021-2013.</w:t>
      </w:r>
    </w:p>
    <w:p w14:paraId="299FAB0B" w14:textId="77777777" w:rsidR="00B80C92" w:rsidRPr="00EC2B2C" w:rsidRDefault="00B80C92" w:rsidP="00EC2B2C">
      <w:pPr>
        <w:jc w:val="both"/>
        <w:rPr>
          <w:rFonts w:asciiTheme="majorHAnsi" w:hAnsiTheme="majorHAnsi" w:cs="Arial"/>
          <w:lang w:val="es-CR"/>
        </w:rPr>
      </w:pPr>
    </w:p>
    <w:p w14:paraId="0511692F" w14:textId="77777777" w:rsidR="00EC2B2C" w:rsidRDefault="00B80C92" w:rsidP="00B9742B">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Los lineamientos contenidos en el Acuerdo SGS-DES-A-021-2013, modificados para atender la reforma integral de solvencia del año 2013,  deducen de la suma del capital primaria y el capital secundario  la cuenta 1.040.070.010 -Impuesto sobre la renta diferido- lo cual no se ajusta a lo aprobado por el  CONASSIF en ese año, en cuando lo correcto es deducir ese activo ajustado por las obligaciones derivadas del impuesto de renta,  por lo que es oportuno aprovechar estas modificaciones para realizar</w:t>
      </w:r>
      <w:r w:rsidR="00EC2B2C">
        <w:rPr>
          <w:rFonts w:asciiTheme="majorHAnsi" w:hAnsiTheme="majorHAnsi" w:cs="Arial"/>
          <w:sz w:val="24"/>
          <w:szCs w:val="24"/>
          <w:lang w:val="es-CR"/>
        </w:rPr>
        <w:t xml:space="preserve"> la corrección correspondiente.</w:t>
      </w:r>
    </w:p>
    <w:p w14:paraId="0E6FCA58" w14:textId="522F94FB" w:rsidR="00EC2B2C" w:rsidRDefault="00EC2B2C" w:rsidP="00B9742B">
      <w:pPr>
        <w:rPr>
          <w:rFonts w:asciiTheme="majorHAnsi" w:eastAsia="Calibri" w:hAnsiTheme="majorHAnsi" w:cs="Arial"/>
          <w:lang w:val="es-CR" w:eastAsia="en-US"/>
        </w:rPr>
      </w:pPr>
    </w:p>
    <w:p w14:paraId="38DF00D3" w14:textId="77777777" w:rsidR="00B80C92" w:rsidRPr="00B80C92" w:rsidRDefault="00B80C92" w:rsidP="00B9742B">
      <w:pPr>
        <w:pStyle w:val="Prrafodelista"/>
        <w:numPr>
          <w:ilvl w:val="0"/>
          <w:numId w:val="1"/>
        </w:numPr>
        <w:spacing w:after="0" w:line="240" w:lineRule="auto"/>
        <w:ind w:left="567" w:hanging="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Mediante oficio SGS-0315-2020 del 8 de mayo de 2020, la Superintendencia remitió  en consulta el proyecto correspondiente a las reformas de los acuerdos  de Superintendente SGS-DES-A-021-2013 y SGS-DES-A-029-2013, a las entidades de seguros y a la Asociación de Aseguradoras Privadas de Costa Rica, de conformidad con </w:t>
      </w:r>
      <w:r w:rsidRPr="00B80C92">
        <w:rPr>
          <w:rFonts w:asciiTheme="majorHAnsi" w:hAnsiTheme="majorHAnsi" w:cs="Arial"/>
          <w:sz w:val="24"/>
          <w:szCs w:val="24"/>
          <w:lang w:val="es-CR"/>
        </w:rPr>
        <w:lastRenderedPageBreak/>
        <w:t xml:space="preserve">lo dispuesto en el artículo 361 de la Ley General de la Administración  Pública por el plazo de 10 días hábiles.  </w:t>
      </w:r>
    </w:p>
    <w:p w14:paraId="5E2F62C3" w14:textId="77777777" w:rsidR="00B80C92" w:rsidRPr="00B9742B" w:rsidRDefault="00B80C92" w:rsidP="00B9742B">
      <w:pPr>
        <w:jc w:val="both"/>
        <w:rPr>
          <w:rFonts w:asciiTheme="majorHAnsi" w:hAnsiTheme="majorHAnsi" w:cs="Arial"/>
          <w:lang w:val="es-CR"/>
        </w:rPr>
      </w:pPr>
    </w:p>
    <w:p w14:paraId="5AECB0F3" w14:textId="77777777" w:rsidR="00B80C92" w:rsidRPr="00B80C92" w:rsidRDefault="00B80C92" w:rsidP="00B80C92">
      <w:pPr>
        <w:pStyle w:val="Prrafodelista"/>
        <w:spacing w:after="0" w:line="240" w:lineRule="auto"/>
        <w:ind w:left="567"/>
        <w:contextualSpacing w:val="0"/>
        <w:jc w:val="both"/>
        <w:rPr>
          <w:rFonts w:asciiTheme="majorHAnsi" w:hAnsiTheme="majorHAnsi" w:cs="Arial"/>
          <w:sz w:val="24"/>
          <w:szCs w:val="24"/>
          <w:lang w:val="es-CR"/>
        </w:rPr>
      </w:pPr>
      <w:r w:rsidRPr="00B80C92">
        <w:rPr>
          <w:rFonts w:asciiTheme="majorHAnsi" w:hAnsiTheme="majorHAnsi" w:cs="Arial"/>
          <w:sz w:val="24"/>
          <w:szCs w:val="24"/>
          <w:lang w:val="es-CR"/>
        </w:rPr>
        <w:t xml:space="preserve">Las observaciones recibidas fueron analizadas e incorporadas, en lo  que resultó pertinente, en el la versión final de la modificación.  </w:t>
      </w:r>
    </w:p>
    <w:p w14:paraId="454D3983" w14:textId="77777777" w:rsidR="00B80C92" w:rsidRPr="00B80C92" w:rsidRDefault="00B80C92" w:rsidP="00B80C92">
      <w:pPr>
        <w:pStyle w:val="Prrafodelista"/>
        <w:spacing w:after="0" w:line="240" w:lineRule="auto"/>
        <w:ind w:left="0"/>
        <w:contextualSpacing w:val="0"/>
        <w:jc w:val="both"/>
        <w:rPr>
          <w:rFonts w:asciiTheme="majorHAnsi" w:hAnsiTheme="majorHAnsi" w:cs="Arial"/>
          <w:b/>
          <w:sz w:val="24"/>
          <w:szCs w:val="24"/>
          <w:lang w:val="es-CR"/>
        </w:rPr>
      </w:pPr>
    </w:p>
    <w:p w14:paraId="3EA42B42" w14:textId="77777777" w:rsidR="00B80C92" w:rsidRPr="00B80C92" w:rsidRDefault="00B80C92" w:rsidP="00B80C92">
      <w:pPr>
        <w:pStyle w:val="Prrafodelista"/>
        <w:spacing w:after="0" w:line="240" w:lineRule="auto"/>
        <w:ind w:left="0"/>
        <w:contextualSpacing w:val="0"/>
        <w:jc w:val="both"/>
        <w:rPr>
          <w:rFonts w:asciiTheme="majorHAnsi" w:hAnsiTheme="majorHAnsi" w:cs="Arial"/>
          <w:b/>
          <w:sz w:val="24"/>
          <w:szCs w:val="24"/>
          <w:lang w:val="es-CR"/>
        </w:rPr>
      </w:pPr>
    </w:p>
    <w:p w14:paraId="3B1C668F" w14:textId="77777777" w:rsidR="00B80C92" w:rsidRPr="00EF64D3" w:rsidRDefault="00B80C92" w:rsidP="00EF64D3">
      <w:pPr>
        <w:pStyle w:val="Prrafodelista"/>
        <w:spacing w:after="0" w:line="240" w:lineRule="auto"/>
        <w:ind w:left="0"/>
        <w:jc w:val="center"/>
        <w:rPr>
          <w:rFonts w:asciiTheme="majorHAnsi" w:hAnsiTheme="majorHAnsi" w:cs="Arial"/>
          <w:b/>
          <w:sz w:val="28"/>
          <w:szCs w:val="28"/>
          <w:lang w:val="es-CR"/>
        </w:rPr>
      </w:pPr>
      <w:r w:rsidRPr="00EF64D3">
        <w:rPr>
          <w:rFonts w:asciiTheme="majorHAnsi" w:hAnsiTheme="majorHAnsi" w:cs="Arial"/>
          <w:b/>
          <w:sz w:val="28"/>
          <w:szCs w:val="28"/>
          <w:lang w:val="es-CR"/>
        </w:rPr>
        <w:t>Acuerda:</w:t>
      </w:r>
    </w:p>
    <w:p w14:paraId="4B973EC9" w14:textId="77777777" w:rsidR="00B80C92" w:rsidRPr="00B80C92" w:rsidRDefault="00B80C92" w:rsidP="00B80C92">
      <w:pPr>
        <w:pStyle w:val="Prrafodelista"/>
        <w:spacing w:after="0" w:line="240" w:lineRule="auto"/>
        <w:ind w:left="0"/>
        <w:jc w:val="both"/>
        <w:rPr>
          <w:rFonts w:asciiTheme="majorHAnsi" w:hAnsiTheme="majorHAnsi" w:cs="Arial"/>
          <w:b/>
          <w:sz w:val="24"/>
          <w:szCs w:val="24"/>
          <w:lang w:val="es-CR"/>
        </w:rPr>
      </w:pPr>
    </w:p>
    <w:p w14:paraId="04507FC3" w14:textId="77777777" w:rsidR="00B80C92" w:rsidRPr="00B80C92" w:rsidRDefault="00B80C92" w:rsidP="00B80C92">
      <w:pPr>
        <w:pStyle w:val="Prrafodelista"/>
        <w:spacing w:after="0" w:line="240" w:lineRule="auto"/>
        <w:ind w:left="0"/>
        <w:jc w:val="both"/>
        <w:rPr>
          <w:rFonts w:asciiTheme="majorHAnsi" w:hAnsiTheme="majorHAnsi" w:cs="Arial"/>
          <w:sz w:val="24"/>
          <w:szCs w:val="24"/>
          <w:lang w:val="es-CR"/>
        </w:rPr>
      </w:pPr>
      <w:r w:rsidRPr="00B80C92">
        <w:rPr>
          <w:rFonts w:asciiTheme="majorHAnsi" w:hAnsiTheme="majorHAnsi" w:cs="Arial"/>
          <w:b/>
          <w:sz w:val="24"/>
          <w:szCs w:val="24"/>
          <w:lang w:val="es-CR"/>
        </w:rPr>
        <w:t>PRIMERO</w:t>
      </w:r>
      <w:r w:rsidRPr="00B80C92">
        <w:rPr>
          <w:rFonts w:asciiTheme="majorHAnsi" w:hAnsiTheme="majorHAnsi" w:cs="Arial"/>
          <w:sz w:val="24"/>
          <w:szCs w:val="24"/>
          <w:lang w:val="es-CR"/>
        </w:rPr>
        <w:t>: Modificar el cuadro “Partidas que suman” del apartado “DEDUCCIONES DEL CAPITAL PRIMARIO MÁS EL CAPITAL SECUNDARIO” del artículo 3 -Códigos de las cuentas que intervienen en el cálculo-, del acuerdo de Superintendente SGS-A-0029-2013, para que en adelante se lea así:</w:t>
      </w:r>
    </w:p>
    <w:p w14:paraId="1F420E0B" w14:textId="77777777" w:rsidR="00B80C92" w:rsidRPr="00B80C92" w:rsidRDefault="00B80C92" w:rsidP="00B80C92">
      <w:pPr>
        <w:pStyle w:val="Prrafodelista"/>
        <w:spacing w:after="0" w:line="240" w:lineRule="auto"/>
        <w:ind w:left="0"/>
        <w:jc w:val="both"/>
        <w:rPr>
          <w:rFonts w:asciiTheme="majorHAnsi" w:hAnsiTheme="majorHAnsi" w:cs="Arial"/>
          <w:sz w:val="24"/>
          <w:szCs w:val="24"/>
          <w:lang w:val="es-CR"/>
        </w:rPr>
      </w:pPr>
    </w:p>
    <w:p w14:paraId="44218A4C" w14:textId="77777777" w:rsidR="00B80C92" w:rsidRPr="00B80C92" w:rsidRDefault="00B80C92" w:rsidP="00B80C92">
      <w:pPr>
        <w:jc w:val="both"/>
        <w:rPr>
          <w:rFonts w:asciiTheme="majorHAnsi" w:hAnsiTheme="majorHAnsi" w:cs="Arial"/>
          <w:lang w:val="es-CR"/>
        </w:rPr>
      </w:pPr>
      <w:r w:rsidRPr="00B80C92">
        <w:rPr>
          <w:rFonts w:asciiTheme="majorHAnsi" w:hAnsiTheme="majorHAnsi" w:cs="Arial"/>
          <w:i/>
          <w:lang w:val="es-CR"/>
        </w:rPr>
        <w:t>“Partidas que suman:</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7069"/>
      </w:tblGrid>
      <w:tr w:rsidR="00B80C92" w:rsidRPr="00B80C92" w14:paraId="735E198D" w14:textId="77777777" w:rsidTr="00B9742B">
        <w:trPr>
          <w:cantSplit/>
          <w:trHeight w:val="20"/>
          <w:tblHeader/>
          <w:jc w:val="center"/>
        </w:trPr>
        <w:tc>
          <w:tcPr>
            <w:tcW w:w="26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5C35854" w14:textId="77777777" w:rsidR="00B80C92" w:rsidRPr="00B80C92" w:rsidRDefault="00B80C92" w:rsidP="00B9742B">
            <w:pPr>
              <w:jc w:val="center"/>
              <w:rPr>
                <w:rFonts w:asciiTheme="majorHAnsi" w:hAnsiTheme="majorHAnsi" w:cs="Arial"/>
                <w:b/>
                <w:i/>
                <w:lang w:val="es-CR"/>
              </w:rPr>
            </w:pPr>
            <w:r w:rsidRPr="00B80C92">
              <w:rPr>
                <w:rFonts w:asciiTheme="majorHAnsi" w:hAnsiTheme="majorHAnsi" w:cs="Arial"/>
                <w:b/>
                <w:i/>
                <w:lang w:val="es-CR"/>
              </w:rPr>
              <w:t>Número de Cuenta</w:t>
            </w:r>
          </w:p>
        </w:tc>
        <w:tc>
          <w:tcPr>
            <w:tcW w:w="706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207CBC" w14:textId="77777777" w:rsidR="00B80C92" w:rsidRPr="00B80C92" w:rsidRDefault="00B80C92" w:rsidP="00B9742B">
            <w:pPr>
              <w:jc w:val="center"/>
              <w:rPr>
                <w:rFonts w:asciiTheme="majorHAnsi" w:hAnsiTheme="majorHAnsi" w:cs="Arial"/>
                <w:b/>
                <w:i/>
                <w:lang w:val="es-CR"/>
              </w:rPr>
            </w:pPr>
            <w:r w:rsidRPr="00B80C92">
              <w:rPr>
                <w:rFonts w:asciiTheme="majorHAnsi" w:hAnsiTheme="majorHAnsi" w:cs="Arial"/>
                <w:b/>
                <w:i/>
                <w:lang w:val="es-CR"/>
              </w:rPr>
              <w:t>Descripción</w:t>
            </w:r>
          </w:p>
        </w:tc>
      </w:tr>
      <w:tr w:rsidR="00B80C92" w:rsidRPr="00B80C92" w14:paraId="728DD24D"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C072D95"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1.010.060</w:t>
            </w:r>
          </w:p>
        </w:tc>
        <w:tc>
          <w:tcPr>
            <w:tcW w:w="7069" w:type="dxa"/>
            <w:tcBorders>
              <w:top w:val="single" w:sz="4" w:space="0" w:color="auto"/>
              <w:left w:val="single" w:sz="4" w:space="0" w:color="auto"/>
              <w:bottom w:val="single" w:sz="4" w:space="0" w:color="auto"/>
              <w:right w:val="single" w:sz="4" w:space="0" w:color="auto"/>
            </w:tcBorders>
            <w:hideMark/>
          </w:tcPr>
          <w:p w14:paraId="3A6C949B"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Disponibilidades restringidas</w:t>
            </w:r>
          </w:p>
        </w:tc>
      </w:tr>
      <w:tr w:rsidR="00B80C92" w:rsidRPr="00B80C92" w14:paraId="51E1B487"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45C9C590" w14:textId="77777777" w:rsidR="00B80C92" w:rsidRPr="00B80C92" w:rsidRDefault="00B80C92" w:rsidP="00B80C92">
            <w:pPr>
              <w:tabs>
                <w:tab w:val="left" w:pos="2662"/>
              </w:tabs>
              <w:jc w:val="both"/>
              <w:rPr>
                <w:rFonts w:asciiTheme="majorHAnsi" w:hAnsiTheme="majorHAnsi" w:cs="Arial"/>
                <w:i/>
                <w:lang w:val="es-CR"/>
              </w:rPr>
            </w:pPr>
            <w:r w:rsidRPr="00B80C92">
              <w:rPr>
                <w:rFonts w:asciiTheme="majorHAnsi" w:hAnsiTheme="majorHAnsi" w:cs="Arial"/>
                <w:i/>
                <w:lang w:val="es-CR"/>
              </w:rPr>
              <w:t>1.010.080.080.M.050</w:t>
            </w:r>
          </w:p>
        </w:tc>
        <w:tc>
          <w:tcPr>
            <w:tcW w:w="7069" w:type="dxa"/>
            <w:tcBorders>
              <w:top w:val="single" w:sz="4" w:space="0" w:color="auto"/>
              <w:left w:val="single" w:sz="4" w:space="0" w:color="auto"/>
              <w:bottom w:val="single" w:sz="4" w:space="0" w:color="auto"/>
              <w:right w:val="single" w:sz="4" w:space="0" w:color="auto"/>
            </w:tcBorders>
            <w:hideMark/>
          </w:tcPr>
          <w:p w14:paraId="68AD0D3C"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Disponibilidades restringidas</w:t>
            </w:r>
          </w:p>
        </w:tc>
      </w:tr>
      <w:tr w:rsidR="00B80C92" w:rsidRPr="00B80C92" w14:paraId="2EB777E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5AD770F0"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1.020.020.050</w:t>
            </w:r>
          </w:p>
        </w:tc>
        <w:tc>
          <w:tcPr>
            <w:tcW w:w="7069" w:type="dxa"/>
            <w:tcBorders>
              <w:top w:val="single" w:sz="4" w:space="0" w:color="auto"/>
              <w:left w:val="single" w:sz="4" w:space="0" w:color="auto"/>
              <w:bottom w:val="single" w:sz="4" w:space="0" w:color="auto"/>
              <w:right w:val="single" w:sz="4" w:space="0" w:color="auto"/>
            </w:tcBorders>
            <w:hideMark/>
          </w:tcPr>
          <w:p w14:paraId="1614957C" w14:textId="77777777" w:rsidR="00B80C92" w:rsidRPr="00B80C92" w:rsidRDefault="00B80C92" w:rsidP="00B80C92">
            <w:pPr>
              <w:tabs>
                <w:tab w:val="left" w:pos="3047"/>
              </w:tabs>
              <w:jc w:val="both"/>
              <w:rPr>
                <w:rFonts w:asciiTheme="majorHAnsi" w:hAnsiTheme="majorHAnsi" w:cs="Arial"/>
                <w:i/>
                <w:lang w:val="es-CR"/>
              </w:rPr>
            </w:pPr>
            <w:r w:rsidRPr="00B80C92">
              <w:rPr>
                <w:rFonts w:asciiTheme="majorHAnsi" w:hAnsiTheme="majorHAnsi" w:cs="Arial"/>
                <w:i/>
                <w:lang w:val="es-CR"/>
              </w:rPr>
              <w:t>Instrumentos financieros en partes relacionadas del país –Recursos propios-</w:t>
            </w:r>
          </w:p>
        </w:tc>
      </w:tr>
      <w:tr w:rsidR="00B80C92" w:rsidRPr="00B80C92" w14:paraId="44E12226"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4F7FF285" w14:textId="77777777" w:rsidR="00B80C92" w:rsidRPr="00B80C92" w:rsidRDefault="00B80C92" w:rsidP="00B80C92">
            <w:pPr>
              <w:ind w:right="742"/>
              <w:jc w:val="both"/>
              <w:rPr>
                <w:rFonts w:asciiTheme="majorHAnsi" w:hAnsiTheme="majorHAnsi" w:cs="Arial"/>
                <w:i/>
                <w:lang w:val="es-CR"/>
              </w:rPr>
            </w:pPr>
            <w:r w:rsidRPr="00B80C92">
              <w:rPr>
                <w:rFonts w:asciiTheme="majorHAnsi" w:hAnsiTheme="majorHAnsi" w:cs="Arial"/>
                <w:i/>
                <w:lang w:val="es-CR"/>
              </w:rPr>
              <w:t>1.020.020.100</w:t>
            </w:r>
          </w:p>
        </w:tc>
        <w:tc>
          <w:tcPr>
            <w:tcW w:w="7069" w:type="dxa"/>
            <w:tcBorders>
              <w:top w:val="single" w:sz="4" w:space="0" w:color="auto"/>
              <w:left w:val="single" w:sz="4" w:space="0" w:color="auto"/>
              <w:bottom w:val="single" w:sz="4" w:space="0" w:color="auto"/>
              <w:right w:val="single" w:sz="4" w:space="0" w:color="auto"/>
            </w:tcBorders>
            <w:hideMark/>
          </w:tcPr>
          <w:p w14:paraId="7A87C017" w14:textId="77777777" w:rsidR="00B80C92" w:rsidRPr="00B80C92" w:rsidRDefault="00B80C92" w:rsidP="00B80C92">
            <w:pPr>
              <w:tabs>
                <w:tab w:val="left" w:pos="1222"/>
              </w:tabs>
              <w:jc w:val="both"/>
              <w:rPr>
                <w:rFonts w:asciiTheme="majorHAnsi" w:hAnsiTheme="majorHAnsi" w:cs="Arial"/>
                <w:i/>
                <w:lang w:val="es-CR"/>
              </w:rPr>
            </w:pPr>
            <w:r w:rsidRPr="00B80C92">
              <w:rPr>
                <w:rFonts w:asciiTheme="majorHAnsi" w:hAnsiTheme="majorHAnsi" w:cs="Arial"/>
                <w:i/>
                <w:lang w:val="es-CR"/>
              </w:rPr>
              <w:t>Instrumentos financieros en partes relacionadas del exterior –Recursos propios-</w:t>
            </w:r>
          </w:p>
        </w:tc>
      </w:tr>
      <w:tr w:rsidR="00B80C92" w:rsidRPr="00B80C92" w14:paraId="2BA753FD"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BE7E5F2"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1.020.020.640</w:t>
            </w:r>
          </w:p>
        </w:tc>
        <w:tc>
          <w:tcPr>
            <w:tcW w:w="7069" w:type="dxa"/>
            <w:tcBorders>
              <w:top w:val="single" w:sz="4" w:space="0" w:color="auto"/>
              <w:left w:val="single" w:sz="4" w:space="0" w:color="auto"/>
              <w:bottom w:val="single" w:sz="4" w:space="0" w:color="auto"/>
              <w:right w:val="single" w:sz="4" w:space="0" w:color="auto"/>
            </w:tcBorders>
            <w:hideMark/>
          </w:tcPr>
          <w:p w14:paraId="5A6D3C18"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en partes relacionadas del país – Respaldo reservas, provisiones, técnicas y requerimientos de capital-</w:t>
            </w:r>
          </w:p>
        </w:tc>
      </w:tr>
      <w:tr w:rsidR="00B80C92" w:rsidRPr="00B80C92" w14:paraId="4C6FC662"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4D4DE0A2"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1.020.020.690</w:t>
            </w:r>
          </w:p>
        </w:tc>
        <w:tc>
          <w:tcPr>
            <w:tcW w:w="7069" w:type="dxa"/>
            <w:tcBorders>
              <w:top w:val="single" w:sz="4" w:space="0" w:color="auto"/>
              <w:left w:val="single" w:sz="4" w:space="0" w:color="auto"/>
              <w:bottom w:val="single" w:sz="4" w:space="0" w:color="auto"/>
              <w:right w:val="single" w:sz="4" w:space="0" w:color="auto"/>
            </w:tcBorders>
            <w:hideMark/>
          </w:tcPr>
          <w:p w14:paraId="3FAF8AE2"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en partes relacionadas del exterior –Respaldo reservas, provisiones, técnicas y requerimientos de capital</w:t>
            </w:r>
          </w:p>
        </w:tc>
      </w:tr>
      <w:tr w:rsidR="00B80C92" w:rsidRPr="00B80C92" w14:paraId="47760063"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71A85F9"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1.020.050.190</w:t>
            </w:r>
          </w:p>
        </w:tc>
        <w:tc>
          <w:tcPr>
            <w:tcW w:w="7069" w:type="dxa"/>
            <w:tcBorders>
              <w:top w:val="single" w:sz="4" w:space="0" w:color="auto"/>
              <w:left w:val="single" w:sz="4" w:space="0" w:color="auto"/>
              <w:bottom w:val="single" w:sz="4" w:space="0" w:color="auto"/>
              <w:right w:val="single" w:sz="4" w:space="0" w:color="auto"/>
            </w:tcBorders>
            <w:hideMark/>
          </w:tcPr>
          <w:p w14:paraId="4F92A2A2" w14:textId="77777777" w:rsidR="00B80C92" w:rsidRPr="00B80C92" w:rsidRDefault="00B80C92" w:rsidP="00B80C92">
            <w:pPr>
              <w:tabs>
                <w:tab w:val="left" w:pos="1139"/>
              </w:tabs>
              <w:jc w:val="both"/>
              <w:rPr>
                <w:rFonts w:asciiTheme="majorHAnsi" w:hAnsiTheme="majorHAnsi" w:cs="Arial"/>
                <w:i/>
                <w:lang w:val="es-CR"/>
              </w:rPr>
            </w:pPr>
            <w:r w:rsidRPr="00B80C92">
              <w:rPr>
                <w:rFonts w:asciiTheme="majorHAnsi" w:hAnsiTheme="majorHAnsi" w:cs="Arial"/>
                <w:i/>
                <w:lang w:val="es-CR"/>
              </w:rPr>
              <w:t>Instrumentos financieros restringidos por operaciones de reporto</w:t>
            </w:r>
          </w:p>
        </w:tc>
      </w:tr>
      <w:tr w:rsidR="00B80C92" w:rsidRPr="00B80C92" w14:paraId="4DE03878"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14F9A026"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1.020.050.200</w:t>
            </w:r>
          </w:p>
        </w:tc>
        <w:tc>
          <w:tcPr>
            <w:tcW w:w="7069" w:type="dxa"/>
            <w:tcBorders>
              <w:top w:val="single" w:sz="4" w:space="0" w:color="auto"/>
              <w:left w:val="single" w:sz="4" w:space="0" w:color="auto"/>
              <w:bottom w:val="single" w:sz="4" w:space="0" w:color="auto"/>
              <w:right w:val="single" w:sz="4" w:space="0" w:color="auto"/>
            </w:tcBorders>
            <w:hideMark/>
          </w:tcPr>
          <w:p w14:paraId="47817E89"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operaciones de reportos tripartitos</w:t>
            </w:r>
          </w:p>
        </w:tc>
      </w:tr>
      <w:tr w:rsidR="00B80C92" w:rsidRPr="00B80C92" w14:paraId="56265F45"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DE3203F"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1.020.050.210</w:t>
            </w:r>
          </w:p>
        </w:tc>
        <w:tc>
          <w:tcPr>
            <w:tcW w:w="7069" w:type="dxa"/>
            <w:tcBorders>
              <w:top w:val="single" w:sz="4" w:space="0" w:color="auto"/>
              <w:left w:val="single" w:sz="4" w:space="0" w:color="auto"/>
              <w:bottom w:val="single" w:sz="4" w:space="0" w:color="auto"/>
              <w:right w:val="single" w:sz="4" w:space="0" w:color="auto"/>
            </w:tcBorders>
            <w:hideMark/>
          </w:tcPr>
          <w:p w14:paraId="7D58E3C1"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llamadas a margen de reportos tripartitos</w:t>
            </w:r>
          </w:p>
        </w:tc>
      </w:tr>
      <w:tr w:rsidR="00B80C92" w:rsidRPr="00B80C92" w14:paraId="6674F31F"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1921B329"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1.020.050.220</w:t>
            </w:r>
          </w:p>
        </w:tc>
        <w:tc>
          <w:tcPr>
            <w:tcW w:w="7069" w:type="dxa"/>
            <w:tcBorders>
              <w:top w:val="single" w:sz="4" w:space="0" w:color="auto"/>
              <w:left w:val="single" w:sz="4" w:space="0" w:color="auto"/>
              <w:bottom w:val="single" w:sz="4" w:space="0" w:color="auto"/>
              <w:right w:val="single" w:sz="4" w:space="0" w:color="auto"/>
            </w:tcBorders>
            <w:hideMark/>
          </w:tcPr>
          <w:p w14:paraId="3CE2DE3F"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operaciones a plazo</w:t>
            </w:r>
          </w:p>
        </w:tc>
      </w:tr>
      <w:tr w:rsidR="00B80C92" w:rsidRPr="00B80C92" w14:paraId="3D5F45B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hideMark/>
          </w:tcPr>
          <w:p w14:paraId="2F9FDD1B"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1.020.050.230</w:t>
            </w:r>
          </w:p>
        </w:tc>
        <w:tc>
          <w:tcPr>
            <w:tcW w:w="7069" w:type="dxa"/>
            <w:tcBorders>
              <w:top w:val="single" w:sz="4" w:space="0" w:color="auto"/>
              <w:left w:val="single" w:sz="4" w:space="0" w:color="auto"/>
              <w:bottom w:val="single" w:sz="4" w:space="0" w:color="auto"/>
              <w:right w:val="single" w:sz="4" w:space="0" w:color="auto"/>
            </w:tcBorders>
            <w:hideMark/>
          </w:tcPr>
          <w:p w14:paraId="22F21D6B"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llamadas a margen de operaciones a plazo</w:t>
            </w:r>
          </w:p>
        </w:tc>
      </w:tr>
      <w:tr w:rsidR="00B80C92" w:rsidRPr="00B80C92" w14:paraId="5C0FAF5A"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B02985C"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1.020.050.240</w:t>
            </w:r>
          </w:p>
        </w:tc>
        <w:tc>
          <w:tcPr>
            <w:tcW w:w="7069" w:type="dxa"/>
            <w:tcBorders>
              <w:top w:val="single" w:sz="4" w:space="0" w:color="auto"/>
              <w:left w:val="single" w:sz="4" w:space="0" w:color="auto"/>
              <w:bottom w:val="single" w:sz="4" w:space="0" w:color="auto"/>
              <w:right w:val="single" w:sz="4" w:space="0" w:color="auto"/>
            </w:tcBorders>
            <w:hideMark/>
          </w:tcPr>
          <w:p w14:paraId="7D9BC634"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préstamo de valores</w:t>
            </w:r>
          </w:p>
        </w:tc>
      </w:tr>
      <w:tr w:rsidR="00B80C92" w:rsidRPr="00B80C92" w14:paraId="5B64489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60C6F047"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1.020.050.260</w:t>
            </w:r>
          </w:p>
        </w:tc>
        <w:tc>
          <w:tcPr>
            <w:tcW w:w="7069" w:type="dxa"/>
            <w:tcBorders>
              <w:top w:val="single" w:sz="4" w:space="0" w:color="auto"/>
              <w:left w:val="single" w:sz="4" w:space="0" w:color="auto"/>
              <w:bottom w:val="single" w:sz="4" w:space="0" w:color="auto"/>
              <w:right w:val="single" w:sz="4" w:space="0" w:color="auto"/>
            </w:tcBorders>
            <w:hideMark/>
          </w:tcPr>
          <w:p w14:paraId="4AFCB2CD" w14:textId="77777777" w:rsidR="00B80C92" w:rsidRPr="00B80C92" w:rsidRDefault="00B80C92" w:rsidP="00B80C92">
            <w:pPr>
              <w:tabs>
                <w:tab w:val="left" w:pos="1105"/>
              </w:tabs>
              <w:jc w:val="both"/>
              <w:rPr>
                <w:rFonts w:asciiTheme="majorHAnsi" w:hAnsiTheme="majorHAnsi" w:cs="Arial"/>
                <w:i/>
                <w:lang w:val="es-CR"/>
              </w:rPr>
            </w:pPr>
            <w:r w:rsidRPr="00B80C92">
              <w:rPr>
                <w:rFonts w:asciiTheme="majorHAnsi" w:hAnsiTheme="majorHAnsi" w:cs="Arial"/>
                <w:i/>
                <w:lang w:val="es-CR"/>
              </w:rPr>
              <w:t>Instrumentos financieros restringidos por el Fondo Garantía de la Bolsa Nacional de Valores</w:t>
            </w:r>
          </w:p>
        </w:tc>
      </w:tr>
      <w:tr w:rsidR="00B80C92" w:rsidRPr="00B80C92" w14:paraId="01144A6C"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31420587"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1.020.050.270</w:t>
            </w:r>
          </w:p>
        </w:tc>
        <w:tc>
          <w:tcPr>
            <w:tcW w:w="7069" w:type="dxa"/>
            <w:tcBorders>
              <w:top w:val="single" w:sz="4" w:space="0" w:color="auto"/>
              <w:left w:val="single" w:sz="4" w:space="0" w:color="auto"/>
              <w:bottom w:val="single" w:sz="4" w:space="0" w:color="auto"/>
              <w:right w:val="single" w:sz="4" w:space="0" w:color="auto"/>
            </w:tcBorders>
            <w:hideMark/>
          </w:tcPr>
          <w:p w14:paraId="4CDACDC1"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operaciones de crédito</w:t>
            </w:r>
          </w:p>
        </w:tc>
      </w:tr>
      <w:tr w:rsidR="00B80C92" w:rsidRPr="00B80C92" w14:paraId="787910E3"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277B488"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lastRenderedPageBreak/>
              <w:t>1.020.050.280</w:t>
            </w:r>
          </w:p>
        </w:tc>
        <w:tc>
          <w:tcPr>
            <w:tcW w:w="7069" w:type="dxa"/>
            <w:tcBorders>
              <w:top w:val="single" w:sz="4" w:space="0" w:color="auto"/>
              <w:left w:val="single" w:sz="4" w:space="0" w:color="auto"/>
              <w:bottom w:val="single" w:sz="4" w:space="0" w:color="auto"/>
              <w:right w:val="single" w:sz="4" w:space="0" w:color="auto"/>
            </w:tcBorders>
            <w:hideMark/>
          </w:tcPr>
          <w:p w14:paraId="455567B9"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requerimientos judiciales</w:t>
            </w:r>
          </w:p>
        </w:tc>
      </w:tr>
      <w:tr w:rsidR="00B80C92" w:rsidRPr="00B80C92" w14:paraId="21157537"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5789BC8A"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1.020.050.290</w:t>
            </w:r>
          </w:p>
        </w:tc>
        <w:tc>
          <w:tcPr>
            <w:tcW w:w="7069" w:type="dxa"/>
            <w:tcBorders>
              <w:top w:val="single" w:sz="4" w:space="0" w:color="auto"/>
              <w:left w:val="single" w:sz="4" w:space="0" w:color="auto"/>
              <w:bottom w:val="single" w:sz="4" w:space="0" w:color="auto"/>
              <w:right w:val="single" w:sz="4" w:space="0" w:color="auto"/>
            </w:tcBorders>
            <w:hideMark/>
          </w:tcPr>
          <w:p w14:paraId="5A12DF82" w14:textId="77777777" w:rsidR="00B80C92" w:rsidRPr="00B80C92" w:rsidRDefault="00B80C92" w:rsidP="00B80C92">
            <w:pPr>
              <w:tabs>
                <w:tab w:val="left" w:pos="1641"/>
              </w:tabs>
              <w:jc w:val="both"/>
              <w:rPr>
                <w:rFonts w:asciiTheme="majorHAnsi" w:hAnsiTheme="majorHAnsi" w:cs="Arial"/>
                <w:i/>
                <w:lang w:val="es-CR"/>
              </w:rPr>
            </w:pPr>
            <w:r w:rsidRPr="00B80C92">
              <w:rPr>
                <w:rFonts w:asciiTheme="majorHAnsi" w:hAnsiTheme="majorHAnsi" w:cs="Arial"/>
                <w:i/>
                <w:lang w:val="es-CR"/>
              </w:rPr>
              <w:t>Instrumentos financieros restringidos por operaciones de Mercado Interbancario</w:t>
            </w:r>
          </w:p>
        </w:tc>
      </w:tr>
      <w:tr w:rsidR="00B80C92" w:rsidRPr="00B80C92" w14:paraId="0D5E1AD0"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4F3E838A"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1.020.050.300</w:t>
            </w:r>
          </w:p>
        </w:tc>
        <w:tc>
          <w:tcPr>
            <w:tcW w:w="7069" w:type="dxa"/>
            <w:tcBorders>
              <w:top w:val="single" w:sz="4" w:space="0" w:color="auto"/>
              <w:left w:val="single" w:sz="4" w:space="0" w:color="auto"/>
              <w:bottom w:val="single" w:sz="4" w:space="0" w:color="auto"/>
              <w:right w:val="single" w:sz="4" w:space="0" w:color="auto"/>
            </w:tcBorders>
            <w:hideMark/>
          </w:tcPr>
          <w:p w14:paraId="2C4926B1"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Instrumentos financieros restringidos por operaciones de Mercado de Liquidez</w:t>
            </w:r>
          </w:p>
        </w:tc>
      </w:tr>
      <w:tr w:rsidR="00B80C92" w:rsidRPr="00B80C92" w14:paraId="11D36E11"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6E374E1D"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1.020.050.310</w:t>
            </w:r>
          </w:p>
        </w:tc>
        <w:tc>
          <w:tcPr>
            <w:tcW w:w="7069" w:type="dxa"/>
            <w:tcBorders>
              <w:top w:val="single" w:sz="4" w:space="0" w:color="auto"/>
              <w:left w:val="single" w:sz="4" w:space="0" w:color="auto"/>
              <w:bottom w:val="single" w:sz="4" w:space="0" w:color="auto"/>
              <w:right w:val="single" w:sz="4" w:space="0" w:color="auto"/>
            </w:tcBorders>
            <w:hideMark/>
          </w:tcPr>
          <w:p w14:paraId="5ABCA359" w14:textId="77777777" w:rsidR="00B80C92" w:rsidRPr="00B80C92" w:rsidRDefault="00B80C92" w:rsidP="00B80C92">
            <w:pPr>
              <w:tabs>
                <w:tab w:val="left" w:pos="1356"/>
              </w:tabs>
              <w:jc w:val="both"/>
              <w:rPr>
                <w:rFonts w:asciiTheme="majorHAnsi" w:hAnsiTheme="majorHAnsi" w:cs="Arial"/>
                <w:i/>
                <w:lang w:val="es-CR"/>
              </w:rPr>
            </w:pPr>
            <w:r w:rsidRPr="00B80C92">
              <w:rPr>
                <w:rFonts w:asciiTheme="majorHAnsi" w:hAnsiTheme="majorHAnsi" w:cs="Arial"/>
                <w:i/>
                <w:lang w:val="es-CR"/>
              </w:rPr>
              <w:t>Instrumentos financieros restringidos por operaciones de corresponsalía</w:t>
            </w:r>
          </w:p>
        </w:tc>
      </w:tr>
      <w:tr w:rsidR="00B80C92" w:rsidRPr="00B80C92" w14:paraId="20997231"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73248C1"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1.020.050.320</w:t>
            </w:r>
          </w:p>
        </w:tc>
        <w:tc>
          <w:tcPr>
            <w:tcW w:w="7069" w:type="dxa"/>
            <w:tcBorders>
              <w:top w:val="single" w:sz="4" w:space="0" w:color="auto"/>
              <w:left w:val="single" w:sz="4" w:space="0" w:color="auto"/>
              <w:bottom w:val="single" w:sz="4" w:space="0" w:color="auto"/>
              <w:right w:val="single" w:sz="4" w:space="0" w:color="auto"/>
            </w:tcBorders>
            <w:hideMark/>
          </w:tcPr>
          <w:p w14:paraId="5F1E185C"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Instrumentos financieros restringidos por otros conceptos</w:t>
            </w:r>
          </w:p>
        </w:tc>
      </w:tr>
      <w:tr w:rsidR="00B80C92" w:rsidRPr="00B80C92" w14:paraId="15E939F5"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39BE8370"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1.020.050.330</w:t>
            </w:r>
          </w:p>
        </w:tc>
        <w:tc>
          <w:tcPr>
            <w:tcW w:w="7069" w:type="dxa"/>
            <w:tcBorders>
              <w:top w:val="single" w:sz="4" w:space="0" w:color="auto"/>
              <w:left w:val="single" w:sz="4" w:space="0" w:color="auto"/>
              <w:bottom w:val="single" w:sz="4" w:space="0" w:color="auto"/>
              <w:right w:val="single" w:sz="4" w:space="0" w:color="auto"/>
            </w:tcBorders>
            <w:hideMark/>
          </w:tcPr>
          <w:p w14:paraId="5CC53E05"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Instrumentos financieros restringidos por operaciones diferidas de Liquidez</w:t>
            </w:r>
          </w:p>
        </w:tc>
      </w:tr>
      <w:tr w:rsidR="00B80C92" w:rsidRPr="00B80C92" w14:paraId="6190110D"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F613450"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1.020.080.080.M.050</w:t>
            </w:r>
          </w:p>
        </w:tc>
        <w:tc>
          <w:tcPr>
            <w:tcW w:w="7069" w:type="dxa"/>
            <w:tcBorders>
              <w:top w:val="single" w:sz="4" w:space="0" w:color="auto"/>
              <w:left w:val="single" w:sz="4" w:space="0" w:color="auto"/>
              <w:bottom w:val="single" w:sz="4" w:space="0" w:color="auto"/>
              <w:right w:val="single" w:sz="4" w:space="0" w:color="auto"/>
            </w:tcBorders>
            <w:hideMark/>
          </w:tcPr>
          <w:p w14:paraId="3F209F67"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Productos por cobrar por inversiones en instrumentos financieros vencidos y restringidos</w:t>
            </w:r>
          </w:p>
        </w:tc>
      </w:tr>
      <w:tr w:rsidR="00B80C92" w:rsidRPr="00B80C92" w14:paraId="4D0B15F1"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6EEB095E"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1.030.010.310.M.100</w:t>
            </w:r>
          </w:p>
        </w:tc>
        <w:tc>
          <w:tcPr>
            <w:tcW w:w="7069" w:type="dxa"/>
            <w:tcBorders>
              <w:top w:val="single" w:sz="4" w:space="0" w:color="auto"/>
              <w:left w:val="single" w:sz="4" w:space="0" w:color="auto"/>
              <w:bottom w:val="single" w:sz="4" w:space="0" w:color="auto"/>
              <w:right w:val="single" w:sz="4" w:space="0" w:color="auto"/>
            </w:tcBorders>
            <w:hideMark/>
          </w:tcPr>
          <w:p w14:paraId="49D35FB2"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Personas Físicas</w:t>
            </w:r>
          </w:p>
        </w:tc>
      </w:tr>
      <w:tr w:rsidR="00B80C92" w:rsidRPr="00B80C92" w14:paraId="7BA034C7"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3D559611"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1.030.010.330.M.100</w:t>
            </w:r>
          </w:p>
        </w:tc>
        <w:tc>
          <w:tcPr>
            <w:tcW w:w="7069" w:type="dxa"/>
            <w:tcBorders>
              <w:top w:val="single" w:sz="4" w:space="0" w:color="auto"/>
              <w:left w:val="single" w:sz="4" w:space="0" w:color="auto"/>
              <w:bottom w:val="single" w:sz="4" w:space="0" w:color="auto"/>
              <w:right w:val="single" w:sz="4" w:space="0" w:color="auto"/>
            </w:tcBorders>
            <w:hideMark/>
          </w:tcPr>
          <w:p w14:paraId="176AEA03"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Empresarial</w:t>
            </w:r>
          </w:p>
        </w:tc>
      </w:tr>
      <w:tr w:rsidR="00B80C92" w:rsidRPr="00B80C92" w14:paraId="351C3F5B"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4C159F44"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1.030.010.340.M.100</w:t>
            </w:r>
          </w:p>
        </w:tc>
        <w:tc>
          <w:tcPr>
            <w:tcW w:w="7069" w:type="dxa"/>
            <w:tcBorders>
              <w:top w:val="single" w:sz="4" w:space="0" w:color="auto"/>
              <w:left w:val="single" w:sz="4" w:space="0" w:color="auto"/>
              <w:bottom w:val="single" w:sz="4" w:space="0" w:color="auto"/>
              <w:right w:val="single" w:sz="4" w:space="0" w:color="auto"/>
            </w:tcBorders>
            <w:hideMark/>
          </w:tcPr>
          <w:p w14:paraId="748BDFF9"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Corporativo</w:t>
            </w:r>
          </w:p>
        </w:tc>
      </w:tr>
      <w:tr w:rsidR="00B80C92" w:rsidRPr="00B80C92" w14:paraId="6398FEF3"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17B74F1E"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1.030.010.360.M.100</w:t>
            </w:r>
          </w:p>
        </w:tc>
        <w:tc>
          <w:tcPr>
            <w:tcW w:w="7069" w:type="dxa"/>
            <w:tcBorders>
              <w:top w:val="single" w:sz="4" w:space="0" w:color="auto"/>
              <w:left w:val="single" w:sz="4" w:space="0" w:color="auto"/>
              <w:bottom w:val="single" w:sz="4" w:space="0" w:color="auto"/>
              <w:right w:val="single" w:sz="4" w:space="0" w:color="auto"/>
            </w:tcBorders>
            <w:hideMark/>
          </w:tcPr>
          <w:p w14:paraId="6E62E931"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Sector Financiero</w:t>
            </w:r>
          </w:p>
        </w:tc>
      </w:tr>
      <w:tr w:rsidR="00B80C92" w:rsidRPr="00B80C92" w14:paraId="25AC83C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F799DBE"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1.030.020.310.M.100</w:t>
            </w:r>
          </w:p>
        </w:tc>
        <w:tc>
          <w:tcPr>
            <w:tcW w:w="7069" w:type="dxa"/>
            <w:tcBorders>
              <w:top w:val="single" w:sz="4" w:space="0" w:color="auto"/>
              <w:left w:val="single" w:sz="4" w:space="0" w:color="auto"/>
              <w:bottom w:val="single" w:sz="4" w:space="0" w:color="auto"/>
              <w:right w:val="single" w:sz="4" w:space="0" w:color="auto"/>
            </w:tcBorders>
            <w:hideMark/>
          </w:tcPr>
          <w:p w14:paraId="77A590AF"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Personas Físicas</w:t>
            </w:r>
          </w:p>
        </w:tc>
      </w:tr>
      <w:tr w:rsidR="00B80C92" w:rsidRPr="00B80C92" w14:paraId="27A1BE28"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66487362"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1.030.020.330.M.100</w:t>
            </w:r>
          </w:p>
        </w:tc>
        <w:tc>
          <w:tcPr>
            <w:tcW w:w="7069" w:type="dxa"/>
            <w:tcBorders>
              <w:top w:val="single" w:sz="4" w:space="0" w:color="auto"/>
              <w:left w:val="single" w:sz="4" w:space="0" w:color="auto"/>
              <w:bottom w:val="single" w:sz="4" w:space="0" w:color="auto"/>
              <w:right w:val="single" w:sz="4" w:space="0" w:color="auto"/>
            </w:tcBorders>
            <w:hideMark/>
          </w:tcPr>
          <w:p w14:paraId="047F6DBE"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Empresarial</w:t>
            </w:r>
          </w:p>
        </w:tc>
      </w:tr>
      <w:tr w:rsidR="00B80C92" w:rsidRPr="00B80C92" w14:paraId="03EB633C"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308DDDA"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1.030.020.340.M.100</w:t>
            </w:r>
          </w:p>
        </w:tc>
        <w:tc>
          <w:tcPr>
            <w:tcW w:w="7069" w:type="dxa"/>
            <w:tcBorders>
              <w:top w:val="single" w:sz="4" w:space="0" w:color="auto"/>
              <w:left w:val="single" w:sz="4" w:space="0" w:color="auto"/>
              <w:bottom w:val="single" w:sz="4" w:space="0" w:color="auto"/>
              <w:right w:val="single" w:sz="4" w:space="0" w:color="auto"/>
            </w:tcBorders>
            <w:hideMark/>
          </w:tcPr>
          <w:p w14:paraId="06339518"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Corporativo</w:t>
            </w:r>
          </w:p>
        </w:tc>
      </w:tr>
      <w:tr w:rsidR="00B80C92" w:rsidRPr="00B80C92" w14:paraId="294DF1D1"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84AB107"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1.030.020.360.M.100</w:t>
            </w:r>
          </w:p>
        </w:tc>
        <w:tc>
          <w:tcPr>
            <w:tcW w:w="7069" w:type="dxa"/>
            <w:tcBorders>
              <w:top w:val="single" w:sz="4" w:space="0" w:color="auto"/>
              <w:left w:val="single" w:sz="4" w:space="0" w:color="auto"/>
              <w:bottom w:val="single" w:sz="4" w:space="0" w:color="auto"/>
              <w:right w:val="single" w:sz="4" w:space="0" w:color="auto"/>
            </w:tcBorders>
            <w:hideMark/>
          </w:tcPr>
          <w:p w14:paraId="64764BFC"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Sector Financiero</w:t>
            </w:r>
          </w:p>
        </w:tc>
      </w:tr>
      <w:tr w:rsidR="00B80C92" w:rsidRPr="00B80C92" w14:paraId="71BA7B86"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E42AEA7"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1.030.030.310.M.100</w:t>
            </w:r>
          </w:p>
        </w:tc>
        <w:tc>
          <w:tcPr>
            <w:tcW w:w="7069" w:type="dxa"/>
            <w:tcBorders>
              <w:top w:val="single" w:sz="4" w:space="0" w:color="auto"/>
              <w:left w:val="single" w:sz="4" w:space="0" w:color="auto"/>
              <w:bottom w:val="single" w:sz="4" w:space="0" w:color="auto"/>
              <w:right w:val="single" w:sz="4" w:space="0" w:color="auto"/>
            </w:tcBorders>
            <w:hideMark/>
          </w:tcPr>
          <w:p w14:paraId="4F32FA55"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Personas Físicas</w:t>
            </w:r>
          </w:p>
        </w:tc>
      </w:tr>
      <w:tr w:rsidR="00B80C92" w:rsidRPr="00B80C92" w14:paraId="5C1E89F5"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1A21AC0F"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1.030.030.330.M.100</w:t>
            </w:r>
          </w:p>
        </w:tc>
        <w:tc>
          <w:tcPr>
            <w:tcW w:w="7069" w:type="dxa"/>
            <w:tcBorders>
              <w:top w:val="single" w:sz="4" w:space="0" w:color="auto"/>
              <w:left w:val="single" w:sz="4" w:space="0" w:color="auto"/>
              <w:bottom w:val="single" w:sz="4" w:space="0" w:color="auto"/>
              <w:right w:val="single" w:sz="4" w:space="0" w:color="auto"/>
            </w:tcBorders>
            <w:hideMark/>
          </w:tcPr>
          <w:p w14:paraId="18D26FFA"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Empresarial</w:t>
            </w:r>
          </w:p>
        </w:tc>
      </w:tr>
      <w:tr w:rsidR="00B80C92" w:rsidRPr="00B80C92" w14:paraId="77AE005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1A9F686E"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1.030.030.340.M.100</w:t>
            </w:r>
          </w:p>
        </w:tc>
        <w:tc>
          <w:tcPr>
            <w:tcW w:w="7069" w:type="dxa"/>
            <w:tcBorders>
              <w:top w:val="single" w:sz="4" w:space="0" w:color="auto"/>
              <w:left w:val="single" w:sz="4" w:space="0" w:color="auto"/>
              <w:bottom w:val="single" w:sz="4" w:space="0" w:color="auto"/>
              <w:right w:val="single" w:sz="4" w:space="0" w:color="auto"/>
            </w:tcBorders>
            <w:hideMark/>
          </w:tcPr>
          <w:p w14:paraId="7075F111"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Corporativo</w:t>
            </w:r>
          </w:p>
        </w:tc>
      </w:tr>
      <w:tr w:rsidR="00B80C92" w:rsidRPr="00B80C92" w14:paraId="48132888"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69505B2D"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1.030.030.360.M.100</w:t>
            </w:r>
          </w:p>
        </w:tc>
        <w:tc>
          <w:tcPr>
            <w:tcW w:w="7069" w:type="dxa"/>
            <w:tcBorders>
              <w:top w:val="single" w:sz="4" w:space="0" w:color="auto"/>
              <w:left w:val="single" w:sz="4" w:space="0" w:color="auto"/>
              <w:bottom w:val="single" w:sz="4" w:space="0" w:color="auto"/>
              <w:right w:val="single" w:sz="4" w:space="0" w:color="auto"/>
            </w:tcBorders>
            <w:hideMark/>
          </w:tcPr>
          <w:p w14:paraId="4AC6CF7F"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Partes Relacionadas – Sector Financiero</w:t>
            </w:r>
          </w:p>
        </w:tc>
      </w:tr>
      <w:tr w:rsidR="00B80C92" w:rsidRPr="00B80C92" w14:paraId="05CBB96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206CABE"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1.030.040</w:t>
            </w:r>
          </w:p>
        </w:tc>
        <w:tc>
          <w:tcPr>
            <w:tcW w:w="7069" w:type="dxa"/>
            <w:tcBorders>
              <w:top w:val="single" w:sz="4" w:space="0" w:color="auto"/>
              <w:left w:val="single" w:sz="4" w:space="0" w:color="auto"/>
              <w:bottom w:val="single" w:sz="4" w:space="0" w:color="auto"/>
              <w:right w:val="single" w:sz="4" w:space="0" w:color="auto"/>
            </w:tcBorders>
            <w:hideMark/>
          </w:tcPr>
          <w:p w14:paraId="799C8C9F"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Créditos restringidos</w:t>
            </w:r>
          </w:p>
        </w:tc>
      </w:tr>
      <w:tr w:rsidR="00B80C92" w:rsidRPr="00B80C92" w14:paraId="3F0B86DD"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394982E"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1.030.080.310.M.100</w:t>
            </w:r>
          </w:p>
        </w:tc>
        <w:tc>
          <w:tcPr>
            <w:tcW w:w="7069" w:type="dxa"/>
            <w:tcBorders>
              <w:top w:val="single" w:sz="4" w:space="0" w:color="auto"/>
              <w:left w:val="single" w:sz="4" w:space="0" w:color="auto"/>
              <w:bottom w:val="single" w:sz="4" w:space="0" w:color="auto"/>
              <w:right w:val="single" w:sz="4" w:space="0" w:color="auto"/>
            </w:tcBorders>
            <w:hideMark/>
          </w:tcPr>
          <w:p w14:paraId="269F0EE7"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Productos por cobrar asociados a Partes relacionadas – Personas Físicas</w:t>
            </w:r>
          </w:p>
        </w:tc>
      </w:tr>
      <w:tr w:rsidR="00B80C92" w:rsidRPr="00B80C92" w14:paraId="579FBDBC"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3841A90C"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1.030.080.330.M.100</w:t>
            </w:r>
          </w:p>
        </w:tc>
        <w:tc>
          <w:tcPr>
            <w:tcW w:w="7069" w:type="dxa"/>
            <w:tcBorders>
              <w:top w:val="single" w:sz="4" w:space="0" w:color="auto"/>
              <w:left w:val="single" w:sz="4" w:space="0" w:color="auto"/>
              <w:bottom w:val="single" w:sz="4" w:space="0" w:color="auto"/>
              <w:right w:val="single" w:sz="4" w:space="0" w:color="auto"/>
            </w:tcBorders>
            <w:hideMark/>
          </w:tcPr>
          <w:p w14:paraId="49FF0641"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Productos por cobrar asociados a Partes relacionadas – Empresarial</w:t>
            </w:r>
          </w:p>
        </w:tc>
      </w:tr>
      <w:tr w:rsidR="00B80C92" w:rsidRPr="00B80C92" w14:paraId="397671FB"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63EB223"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1.030.080.340.M.100</w:t>
            </w:r>
          </w:p>
        </w:tc>
        <w:tc>
          <w:tcPr>
            <w:tcW w:w="7069" w:type="dxa"/>
            <w:tcBorders>
              <w:top w:val="single" w:sz="4" w:space="0" w:color="auto"/>
              <w:left w:val="single" w:sz="4" w:space="0" w:color="auto"/>
              <w:bottom w:val="single" w:sz="4" w:space="0" w:color="auto"/>
              <w:right w:val="single" w:sz="4" w:space="0" w:color="auto"/>
            </w:tcBorders>
            <w:hideMark/>
          </w:tcPr>
          <w:p w14:paraId="4E449E37"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Productos por cobrar asociados a Partes relacionadas – Corporativo</w:t>
            </w:r>
          </w:p>
        </w:tc>
      </w:tr>
      <w:tr w:rsidR="00B80C92" w:rsidRPr="00B80C92" w14:paraId="0AC640AB"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FFF8766"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1.030.080.360.M.100</w:t>
            </w:r>
          </w:p>
        </w:tc>
        <w:tc>
          <w:tcPr>
            <w:tcW w:w="7069" w:type="dxa"/>
            <w:tcBorders>
              <w:top w:val="single" w:sz="4" w:space="0" w:color="auto"/>
              <w:left w:val="single" w:sz="4" w:space="0" w:color="auto"/>
              <w:bottom w:val="single" w:sz="4" w:space="0" w:color="auto"/>
              <w:right w:val="single" w:sz="4" w:space="0" w:color="auto"/>
            </w:tcBorders>
            <w:hideMark/>
          </w:tcPr>
          <w:p w14:paraId="58FA0608"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Productos por cobrar asociados a Partes relacionadas – Sector Financiero</w:t>
            </w:r>
          </w:p>
        </w:tc>
      </w:tr>
      <w:tr w:rsidR="00B80C92" w:rsidRPr="00B80C92" w14:paraId="4DEB595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72AB98D7"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1.040.060.010</w:t>
            </w:r>
          </w:p>
        </w:tc>
        <w:tc>
          <w:tcPr>
            <w:tcW w:w="7069" w:type="dxa"/>
            <w:tcBorders>
              <w:top w:val="single" w:sz="4" w:space="0" w:color="auto"/>
              <w:left w:val="single" w:sz="4" w:space="0" w:color="auto"/>
              <w:bottom w:val="single" w:sz="4" w:space="0" w:color="auto"/>
              <w:right w:val="single" w:sz="4" w:space="0" w:color="auto"/>
            </w:tcBorders>
            <w:hideMark/>
          </w:tcPr>
          <w:p w14:paraId="3C135D34"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Cuentas por cobrar por operaciones con partes relacionadas</w:t>
            </w:r>
          </w:p>
        </w:tc>
      </w:tr>
      <w:tr w:rsidR="00B80C92" w:rsidRPr="00B80C92" w14:paraId="7D8C4119"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58CF93C8"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1.040.090.030</w:t>
            </w:r>
          </w:p>
        </w:tc>
        <w:tc>
          <w:tcPr>
            <w:tcW w:w="7069" w:type="dxa"/>
            <w:tcBorders>
              <w:top w:val="single" w:sz="4" w:space="0" w:color="auto"/>
              <w:left w:val="single" w:sz="4" w:space="0" w:color="auto"/>
              <w:bottom w:val="single" w:sz="4" w:space="0" w:color="auto"/>
              <w:right w:val="single" w:sz="4" w:space="0" w:color="auto"/>
            </w:tcBorders>
            <w:hideMark/>
          </w:tcPr>
          <w:p w14:paraId="2E654170"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Productos por cobrar con partes relacionadas</w:t>
            </w:r>
          </w:p>
        </w:tc>
      </w:tr>
      <w:tr w:rsidR="00B80C92" w:rsidRPr="00B80C92" w14:paraId="5116655D"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8AA4D01"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1.090.010</w:t>
            </w:r>
          </w:p>
        </w:tc>
        <w:tc>
          <w:tcPr>
            <w:tcW w:w="7069" w:type="dxa"/>
            <w:tcBorders>
              <w:top w:val="single" w:sz="4" w:space="0" w:color="auto"/>
              <w:left w:val="single" w:sz="4" w:space="0" w:color="auto"/>
              <w:bottom w:val="single" w:sz="4" w:space="0" w:color="auto"/>
              <w:right w:val="single" w:sz="4" w:space="0" w:color="auto"/>
            </w:tcBorders>
            <w:hideMark/>
          </w:tcPr>
          <w:p w14:paraId="0858C8A7"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Gastos pagados por anticipado</w:t>
            </w:r>
          </w:p>
        </w:tc>
      </w:tr>
      <w:tr w:rsidR="00B80C92" w:rsidRPr="00B80C92" w14:paraId="169A870B"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633B918D"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1.090.060</w:t>
            </w:r>
          </w:p>
        </w:tc>
        <w:tc>
          <w:tcPr>
            <w:tcW w:w="7069" w:type="dxa"/>
            <w:tcBorders>
              <w:top w:val="single" w:sz="4" w:space="0" w:color="auto"/>
              <w:left w:val="single" w:sz="4" w:space="0" w:color="auto"/>
              <w:bottom w:val="single" w:sz="4" w:space="0" w:color="auto"/>
              <w:right w:val="single" w:sz="4" w:space="0" w:color="auto"/>
            </w:tcBorders>
            <w:hideMark/>
          </w:tcPr>
          <w:p w14:paraId="7F4BB638"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Activos Intangibles</w:t>
            </w:r>
          </w:p>
        </w:tc>
      </w:tr>
      <w:tr w:rsidR="00B80C92" w:rsidRPr="00B80C92" w14:paraId="5ABC5E64"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413B7ED9"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1.090.070</w:t>
            </w:r>
          </w:p>
        </w:tc>
        <w:tc>
          <w:tcPr>
            <w:tcW w:w="7069" w:type="dxa"/>
            <w:tcBorders>
              <w:top w:val="single" w:sz="4" w:space="0" w:color="auto"/>
              <w:left w:val="single" w:sz="4" w:space="0" w:color="auto"/>
              <w:bottom w:val="single" w:sz="4" w:space="0" w:color="auto"/>
              <w:right w:val="single" w:sz="4" w:space="0" w:color="auto"/>
            </w:tcBorders>
            <w:hideMark/>
          </w:tcPr>
          <w:p w14:paraId="227E1A1C"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Otros activos restringidos</w:t>
            </w:r>
          </w:p>
        </w:tc>
      </w:tr>
      <w:tr w:rsidR="00B80C92" w:rsidRPr="00B80C92" w14:paraId="6EFAD417"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077E0157"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1.110</w:t>
            </w:r>
          </w:p>
        </w:tc>
        <w:tc>
          <w:tcPr>
            <w:tcW w:w="7069" w:type="dxa"/>
            <w:tcBorders>
              <w:top w:val="single" w:sz="4" w:space="0" w:color="auto"/>
              <w:left w:val="single" w:sz="4" w:space="0" w:color="auto"/>
              <w:bottom w:val="single" w:sz="4" w:space="0" w:color="auto"/>
              <w:right w:val="single" w:sz="4" w:space="0" w:color="auto"/>
            </w:tcBorders>
            <w:hideMark/>
          </w:tcPr>
          <w:p w14:paraId="08062660"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Participación en el capital de otras empresas</w:t>
            </w:r>
          </w:p>
        </w:tc>
      </w:tr>
      <w:tr w:rsidR="00B80C92" w:rsidRPr="00B80C92" w14:paraId="25FAE53B"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7A75E6F"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lastRenderedPageBreak/>
              <w:t>IA103000000003</w:t>
            </w:r>
          </w:p>
        </w:tc>
        <w:tc>
          <w:tcPr>
            <w:tcW w:w="7069" w:type="dxa"/>
            <w:tcBorders>
              <w:top w:val="single" w:sz="4" w:space="0" w:color="auto"/>
              <w:left w:val="single" w:sz="4" w:space="0" w:color="auto"/>
              <w:bottom w:val="single" w:sz="4" w:space="0" w:color="auto"/>
              <w:right w:val="single" w:sz="4" w:space="0" w:color="auto"/>
            </w:tcBorders>
            <w:hideMark/>
          </w:tcPr>
          <w:p w14:paraId="5ADE8756"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Créditos e inversiones en fideicomisos  u otras comisiones de confianza estructurados o administrados  por empresas del mismo grupo financiero</w:t>
            </w:r>
          </w:p>
        </w:tc>
      </w:tr>
      <w:tr w:rsidR="00B80C92" w:rsidRPr="00B80C92" w14:paraId="68A86AE2"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14:paraId="2538CCFF"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IA104007000001</w:t>
            </w:r>
          </w:p>
        </w:tc>
        <w:tc>
          <w:tcPr>
            <w:tcW w:w="7069" w:type="dxa"/>
            <w:tcBorders>
              <w:top w:val="single" w:sz="4" w:space="0" w:color="auto"/>
              <w:left w:val="single" w:sz="4" w:space="0" w:color="auto"/>
              <w:bottom w:val="single" w:sz="4" w:space="0" w:color="auto"/>
              <w:right w:val="single" w:sz="4" w:space="0" w:color="auto"/>
            </w:tcBorders>
            <w:hideMark/>
          </w:tcPr>
          <w:p w14:paraId="0F1D0DD5"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Saldo neto de activos y pasivos derivados del pago y recaudación del Impuesto al Valor Agregado, cuando el monto de los activos es mayor al pasivo.</w:t>
            </w:r>
          </w:p>
        </w:tc>
      </w:tr>
      <w:tr w:rsidR="00B80C92" w:rsidRPr="00B80C92" w14:paraId="59529E61" w14:textId="77777777" w:rsidTr="00B9742B">
        <w:trPr>
          <w:cantSplit/>
          <w:trHeight w:val="20"/>
          <w:jc w:val="center"/>
        </w:trPr>
        <w:tc>
          <w:tcPr>
            <w:tcW w:w="2646" w:type="dxa"/>
            <w:tcBorders>
              <w:top w:val="single" w:sz="4" w:space="0" w:color="auto"/>
              <w:left w:val="single" w:sz="4" w:space="0" w:color="auto"/>
              <w:bottom w:val="single" w:sz="4" w:space="0" w:color="auto"/>
              <w:right w:val="single" w:sz="4" w:space="0" w:color="auto"/>
            </w:tcBorders>
            <w:vAlign w:val="center"/>
          </w:tcPr>
          <w:p w14:paraId="20195D62" w14:textId="77777777" w:rsidR="00B80C92" w:rsidRPr="00B80C92" w:rsidRDefault="00B80C92" w:rsidP="00B80C92">
            <w:pPr>
              <w:jc w:val="both"/>
              <w:rPr>
                <w:rFonts w:asciiTheme="majorHAnsi" w:hAnsiTheme="majorHAnsi" w:cs="Arial"/>
                <w:i/>
                <w:lang w:val="es-CR"/>
              </w:rPr>
            </w:pPr>
            <w:r w:rsidRPr="00B80C92">
              <w:rPr>
                <w:rFonts w:asciiTheme="majorHAnsi" w:hAnsiTheme="majorHAnsi" w:cs="Arial"/>
                <w:i/>
                <w:lang w:val="es-CR"/>
              </w:rPr>
              <w:t>IA104007000002</w:t>
            </w:r>
          </w:p>
        </w:tc>
        <w:tc>
          <w:tcPr>
            <w:tcW w:w="7069" w:type="dxa"/>
            <w:tcBorders>
              <w:top w:val="single" w:sz="4" w:space="0" w:color="auto"/>
              <w:left w:val="single" w:sz="4" w:space="0" w:color="auto"/>
              <w:bottom w:val="single" w:sz="4" w:space="0" w:color="auto"/>
              <w:right w:val="single" w:sz="4" w:space="0" w:color="auto"/>
            </w:tcBorders>
          </w:tcPr>
          <w:p w14:paraId="0820470E" w14:textId="77777777" w:rsidR="00B80C92" w:rsidRPr="00B80C92" w:rsidRDefault="00B80C92" w:rsidP="00B80C92">
            <w:pPr>
              <w:tabs>
                <w:tab w:val="left" w:pos="1256"/>
              </w:tabs>
              <w:jc w:val="both"/>
              <w:rPr>
                <w:rFonts w:asciiTheme="majorHAnsi" w:hAnsiTheme="majorHAnsi" w:cs="Arial"/>
                <w:i/>
                <w:lang w:val="es-CR"/>
              </w:rPr>
            </w:pPr>
            <w:r w:rsidRPr="00B80C92">
              <w:rPr>
                <w:rFonts w:asciiTheme="majorHAnsi" w:hAnsiTheme="majorHAnsi" w:cs="Arial"/>
                <w:i/>
                <w:lang w:val="es-CR"/>
              </w:rPr>
              <w:t>Saldo neto del Impuesto sobre la renta diferido,  cuando el monto del  activo es mayor al pasivo.</w:t>
            </w:r>
          </w:p>
        </w:tc>
      </w:tr>
    </w:tbl>
    <w:p w14:paraId="5192D537" w14:textId="77777777" w:rsidR="00B80C92" w:rsidRPr="00B80C92" w:rsidRDefault="00B80C92" w:rsidP="00B80C92">
      <w:pPr>
        <w:pStyle w:val="Prrafodelista"/>
        <w:spacing w:after="0" w:line="240" w:lineRule="auto"/>
        <w:ind w:left="0"/>
        <w:contextualSpacing w:val="0"/>
        <w:jc w:val="both"/>
        <w:rPr>
          <w:rFonts w:asciiTheme="majorHAnsi" w:hAnsiTheme="majorHAnsi" w:cs="Arial"/>
          <w:b/>
          <w:sz w:val="24"/>
          <w:szCs w:val="24"/>
          <w:lang w:val="es-CR"/>
        </w:rPr>
      </w:pPr>
    </w:p>
    <w:p w14:paraId="730333DD" w14:textId="77777777" w:rsidR="00B80C92" w:rsidRPr="00B80C92" w:rsidRDefault="00B80C92" w:rsidP="00B80C92">
      <w:pPr>
        <w:pStyle w:val="Prrafodelista"/>
        <w:spacing w:after="0" w:line="240" w:lineRule="auto"/>
        <w:ind w:left="0"/>
        <w:contextualSpacing w:val="0"/>
        <w:jc w:val="both"/>
        <w:rPr>
          <w:rFonts w:asciiTheme="majorHAnsi" w:hAnsiTheme="majorHAnsi" w:cs="Arial"/>
          <w:b/>
          <w:sz w:val="24"/>
          <w:szCs w:val="24"/>
          <w:lang w:val="es-CR"/>
        </w:rPr>
      </w:pPr>
    </w:p>
    <w:p w14:paraId="5CE989D6" w14:textId="77777777" w:rsidR="00B80C92" w:rsidRPr="00B80C92" w:rsidRDefault="00B80C92" w:rsidP="00B80C92">
      <w:pPr>
        <w:jc w:val="both"/>
        <w:rPr>
          <w:rFonts w:asciiTheme="majorHAnsi" w:hAnsiTheme="majorHAnsi" w:cs="Arial"/>
          <w:lang w:val="es-CR"/>
        </w:rPr>
      </w:pPr>
      <w:r w:rsidRPr="00B80C92">
        <w:rPr>
          <w:rFonts w:asciiTheme="majorHAnsi" w:hAnsiTheme="majorHAnsi" w:cs="Arial"/>
          <w:b/>
          <w:lang w:val="es-CR"/>
        </w:rPr>
        <w:t>SEGUNDO</w:t>
      </w:r>
      <w:r w:rsidRPr="00B80C92">
        <w:rPr>
          <w:rFonts w:asciiTheme="majorHAnsi" w:hAnsiTheme="majorHAnsi" w:cs="Arial"/>
          <w:lang w:val="es-CR"/>
        </w:rPr>
        <w:t xml:space="preserve">: Sustituir el archivo Excel del  Anexo 4 del Acuerdo SGS-DES-A-021-2013, por el archivo adjunto. </w:t>
      </w:r>
    </w:p>
    <w:bookmarkStart w:id="1" w:name="_MON_1652258020"/>
    <w:bookmarkEnd w:id="1"/>
    <w:p w14:paraId="0659CDF5" w14:textId="77777777" w:rsidR="00B80C92" w:rsidRPr="00B80C92" w:rsidRDefault="00B80C92" w:rsidP="00B9742B">
      <w:pPr>
        <w:jc w:val="center"/>
        <w:rPr>
          <w:rFonts w:asciiTheme="majorHAnsi" w:hAnsiTheme="majorHAnsi" w:cs="Arial"/>
          <w:lang w:val="es-CR"/>
        </w:rPr>
      </w:pPr>
      <w:r w:rsidRPr="00B80C92">
        <w:rPr>
          <w:rFonts w:asciiTheme="majorHAnsi" w:hAnsiTheme="majorHAnsi" w:cs="Arial"/>
          <w:lang w:val="es-CR"/>
        </w:rPr>
        <w:object w:dxaOrig="1533" w:dyaOrig="990" w14:anchorId="506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3" o:title=""/>
          </v:shape>
          <o:OLEObject Type="Embed" ProgID="Excel.Sheet.12" ShapeID="_x0000_i1025" DrawAspect="Icon" ObjectID="_1652275692" r:id="rId14"/>
        </w:object>
      </w:r>
    </w:p>
    <w:p w14:paraId="3E3EE31B" w14:textId="77777777" w:rsidR="00B80C92" w:rsidRPr="00B80C92" w:rsidRDefault="00B80C92" w:rsidP="00B80C92">
      <w:pPr>
        <w:jc w:val="both"/>
        <w:rPr>
          <w:rFonts w:asciiTheme="majorHAnsi" w:hAnsiTheme="majorHAnsi" w:cs="Arial"/>
          <w:lang w:val="es-CR"/>
        </w:rPr>
      </w:pPr>
    </w:p>
    <w:p w14:paraId="0D9B5801" w14:textId="77777777" w:rsidR="00B80C92" w:rsidRPr="00B80C92" w:rsidRDefault="00B80C92" w:rsidP="00B80C92">
      <w:pPr>
        <w:jc w:val="both"/>
        <w:rPr>
          <w:rFonts w:asciiTheme="majorHAnsi" w:hAnsiTheme="majorHAnsi" w:cs="Arial"/>
          <w:lang w:val="es-CR"/>
        </w:rPr>
      </w:pPr>
      <w:r w:rsidRPr="00B80C92">
        <w:rPr>
          <w:rFonts w:asciiTheme="majorHAnsi" w:hAnsiTheme="majorHAnsi" w:cs="Arial"/>
          <w:b/>
          <w:lang w:val="es-CR"/>
        </w:rPr>
        <w:t>TERCERO</w:t>
      </w:r>
      <w:r w:rsidRPr="00B80C92">
        <w:rPr>
          <w:rFonts w:asciiTheme="majorHAnsi" w:hAnsiTheme="majorHAnsi" w:cs="Arial"/>
          <w:lang w:val="es-CR"/>
        </w:rPr>
        <w:t xml:space="preserve">: </w:t>
      </w:r>
      <w:r w:rsidRPr="00B80C92">
        <w:rPr>
          <w:rFonts w:asciiTheme="majorHAnsi" w:hAnsiTheme="majorHAnsi"/>
        </w:rPr>
        <w:t xml:space="preserve">Actualizar la versión publicada de los Acuerdos </w:t>
      </w:r>
      <w:r w:rsidRPr="00B80C92">
        <w:rPr>
          <w:rFonts w:asciiTheme="majorHAnsi" w:hAnsiTheme="majorHAnsi" w:cs="Arial"/>
          <w:lang w:val="es-CR"/>
        </w:rPr>
        <w:t xml:space="preserve">SGS-A-0029-2013 </w:t>
      </w:r>
      <w:r w:rsidRPr="00B80C92">
        <w:rPr>
          <w:rFonts w:asciiTheme="majorHAnsi" w:hAnsiTheme="majorHAnsi"/>
        </w:rPr>
        <w:t>y SGS-DES-A-021-2013 para incluir las modificaciones señaladas en este acto.</w:t>
      </w:r>
      <w:r w:rsidRPr="00B80C92">
        <w:rPr>
          <w:rFonts w:asciiTheme="majorHAnsi" w:hAnsiTheme="majorHAnsi" w:cs="Arial"/>
          <w:lang w:val="es-CR"/>
        </w:rPr>
        <w:t>.</w:t>
      </w:r>
    </w:p>
    <w:p w14:paraId="610333FD" w14:textId="77777777" w:rsidR="00B80C92" w:rsidRPr="00B80C92" w:rsidRDefault="00B80C92" w:rsidP="00B80C92">
      <w:pPr>
        <w:jc w:val="both"/>
        <w:rPr>
          <w:rFonts w:asciiTheme="majorHAnsi" w:hAnsiTheme="majorHAnsi" w:cs="Arial"/>
          <w:lang w:val="es-CR"/>
        </w:rPr>
      </w:pPr>
    </w:p>
    <w:p w14:paraId="52EE4E45" w14:textId="77777777" w:rsidR="00B80C92" w:rsidRPr="00B80C92" w:rsidRDefault="00B80C92" w:rsidP="00B80C92">
      <w:pPr>
        <w:jc w:val="both"/>
        <w:rPr>
          <w:rFonts w:asciiTheme="majorHAnsi" w:hAnsiTheme="majorHAnsi" w:cs="Arial"/>
          <w:lang w:val="es-CR"/>
        </w:rPr>
      </w:pPr>
      <w:r w:rsidRPr="00B80C92">
        <w:rPr>
          <w:rFonts w:asciiTheme="majorHAnsi" w:hAnsiTheme="majorHAnsi" w:cs="Arial"/>
          <w:lang w:val="es-CR"/>
        </w:rPr>
        <w:t>Rige a partir de su comunicación.</w:t>
      </w:r>
    </w:p>
    <w:p w14:paraId="10D93C97" w14:textId="77777777" w:rsidR="00B9742B" w:rsidRDefault="00B9742B" w:rsidP="00B80C92">
      <w:pPr>
        <w:jc w:val="both"/>
        <w:rPr>
          <w:rFonts w:asciiTheme="majorHAnsi" w:hAnsiTheme="majorHAnsi" w:cs="Arial"/>
          <w:lang w:val="es-CR"/>
        </w:rPr>
      </w:pPr>
    </w:p>
    <w:p w14:paraId="4970CB74" w14:textId="77777777" w:rsidR="00B9742B" w:rsidRDefault="00B9742B" w:rsidP="00B80C92">
      <w:pPr>
        <w:jc w:val="both"/>
        <w:rPr>
          <w:rFonts w:asciiTheme="majorHAnsi" w:hAnsiTheme="majorHAnsi" w:cs="Arial"/>
          <w:lang w:val="es-CR"/>
        </w:rPr>
      </w:pPr>
    </w:p>
    <w:p w14:paraId="244A6E7D" w14:textId="303CCB8E" w:rsidR="00B80C92" w:rsidRPr="00B80C92" w:rsidRDefault="00B80C92" w:rsidP="00B80C92">
      <w:pPr>
        <w:jc w:val="both"/>
        <w:rPr>
          <w:rFonts w:asciiTheme="majorHAnsi" w:hAnsiTheme="majorHAnsi" w:cs="Arial"/>
          <w:lang w:val="es-CR"/>
        </w:rPr>
      </w:pPr>
      <w:r w:rsidRPr="00B80C92">
        <w:rPr>
          <w:rFonts w:asciiTheme="majorHAnsi" w:hAnsiTheme="majorHAnsi" w:cs="Arial"/>
          <w:lang w:val="es-CR"/>
        </w:rPr>
        <w:t>Comuníquese</w:t>
      </w:r>
      <w:r w:rsidR="00B9742B">
        <w:rPr>
          <w:rFonts w:asciiTheme="majorHAnsi" w:hAnsiTheme="majorHAnsi" w:cs="Arial"/>
          <w:lang w:val="es-CR"/>
        </w:rPr>
        <w:t>.</w:t>
      </w:r>
    </w:p>
    <w:p w14:paraId="567D6AE1" w14:textId="77777777" w:rsidR="00373AC0" w:rsidRPr="00B80C92" w:rsidRDefault="00373AC0" w:rsidP="00B80C92">
      <w:pPr>
        <w:jc w:val="both"/>
        <w:rPr>
          <w:rFonts w:asciiTheme="majorHAnsi" w:hAnsiTheme="majorHAnsi"/>
        </w:rPr>
      </w:pPr>
    </w:p>
    <w:p w14:paraId="247A1FCB" w14:textId="77777777" w:rsidR="005876B5" w:rsidRDefault="005876B5" w:rsidP="00B80C92">
      <w:pPr>
        <w:jc w:val="both"/>
        <w:rPr>
          <w:rFonts w:asciiTheme="majorHAnsi" w:hAnsiTheme="majorHAnsi"/>
        </w:rPr>
      </w:pPr>
    </w:p>
    <w:p w14:paraId="05344974" w14:textId="77777777" w:rsidR="00B9742B" w:rsidRPr="00B80C92" w:rsidRDefault="00B9742B" w:rsidP="00B80C92">
      <w:pPr>
        <w:jc w:val="both"/>
        <w:rPr>
          <w:rFonts w:asciiTheme="majorHAnsi" w:hAnsiTheme="majorHAnsi"/>
        </w:rPr>
      </w:pPr>
    </w:p>
    <w:p w14:paraId="7C22715B" w14:textId="77777777" w:rsidR="00761D54" w:rsidRPr="00B80C92" w:rsidRDefault="005876B5" w:rsidP="00B80C92">
      <w:pPr>
        <w:jc w:val="both"/>
        <w:rPr>
          <w:rFonts w:asciiTheme="majorHAnsi" w:hAnsiTheme="majorHAnsi"/>
        </w:rPr>
      </w:pPr>
      <w:r w:rsidRPr="00B80C92">
        <w:rPr>
          <w:rFonts w:asciiTheme="majorHAnsi" w:hAnsiTheme="majorHAnsi"/>
          <w:noProof/>
          <w:lang w:val="es-CR" w:eastAsia="es-CR"/>
        </w:rPr>
        <w:drawing>
          <wp:inline distT="0" distB="0" distL="0" distR="0" wp14:anchorId="7AD1C989" wp14:editId="5D2D96DC">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B80C92" w:rsidSect="009618C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7AA8A" w14:textId="77777777" w:rsidR="00B80C92" w:rsidRDefault="00B80C92" w:rsidP="005A1442">
      <w:r>
        <w:separator/>
      </w:r>
    </w:p>
  </w:endnote>
  <w:endnote w:type="continuationSeparator" w:id="0">
    <w:p w14:paraId="19D77EFD" w14:textId="77777777" w:rsidR="00B80C92" w:rsidRDefault="00B80C92"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CC343" w14:textId="77777777" w:rsidR="00036043" w:rsidRDefault="000360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C2088" w14:textId="77777777" w:rsidR="00EC2B2C" w:rsidRDefault="00EC2B2C" w:rsidP="00EC2B2C">
    <w:pPr>
      <w:pStyle w:val="Piedepgina"/>
      <w:pBdr>
        <w:top w:val="single" w:sz="4" w:space="1" w:color="auto"/>
      </w:pBdr>
      <w:rPr>
        <w:sz w:val="16"/>
        <w:szCs w:val="16"/>
      </w:rPr>
    </w:pPr>
  </w:p>
  <w:p w14:paraId="6028D759" w14:textId="77777777" w:rsidR="00EC2B2C" w:rsidRPr="00F8332E" w:rsidRDefault="00EC2B2C" w:rsidP="00EC2B2C">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19DA5849" w14:textId="77777777" w:rsidR="00EC2B2C" w:rsidRDefault="00EC2B2C" w:rsidP="00EC2B2C">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Pr="009E7017">
      <w:rPr>
        <w:rFonts w:asciiTheme="majorHAnsi" w:hAnsiTheme="majorHAnsi"/>
        <w:sz w:val="18"/>
        <w:szCs w:val="18"/>
      </w:rPr>
      <w:t>Edificio ODMs, Barrio T</w:t>
    </w:r>
    <w:r>
      <w:rPr>
        <w:rFonts w:asciiTheme="majorHAnsi" w:hAnsiTheme="majorHAnsi"/>
        <w:sz w:val="18"/>
        <w:szCs w:val="18"/>
      </w:rPr>
      <w:t>o</w:t>
    </w:r>
    <w:r w:rsidRPr="009E7017">
      <w:rPr>
        <w:rFonts w:asciiTheme="majorHAnsi" w:hAnsiTheme="majorHAnsi"/>
        <w:sz w:val="18"/>
        <w:szCs w:val="18"/>
      </w:rPr>
      <w:t>urnón, Piso 4</w:t>
    </w:r>
  </w:p>
  <w:p w14:paraId="0DB0F449" w14:textId="333D9B32" w:rsidR="00F8332E" w:rsidRPr="00EC2B2C" w:rsidRDefault="00931139" w:rsidP="00EC2B2C">
    <w:pPr>
      <w:pStyle w:val="Piedepgina"/>
      <w:tabs>
        <w:tab w:val="clear" w:pos="8838"/>
      </w:tabs>
      <w:jc w:val="right"/>
    </w:pPr>
    <w:hyperlink r:id="rId1" w:history="1">
      <w:r w:rsidR="00EC2B2C"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6617" w14:textId="77777777" w:rsidR="00843EE4" w:rsidRDefault="00843EE4" w:rsidP="00A83BA5">
    <w:pPr>
      <w:pStyle w:val="Piedepgina"/>
      <w:pBdr>
        <w:top w:val="single" w:sz="4" w:space="1" w:color="auto"/>
      </w:pBdr>
      <w:rPr>
        <w:sz w:val="16"/>
        <w:szCs w:val="16"/>
      </w:rPr>
    </w:pPr>
  </w:p>
  <w:p w14:paraId="597B65BB" w14:textId="77777777" w:rsidR="00843EE4" w:rsidRPr="00F8332E" w:rsidRDefault="00843EE4" w:rsidP="00A83BA5">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6DFAADFE" w14:textId="77777777" w:rsidR="00843EE4" w:rsidRDefault="00843EE4" w:rsidP="00A83BA5">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00F8332E" w:rsidRPr="009E7017">
      <w:rPr>
        <w:rFonts w:asciiTheme="majorHAnsi" w:hAnsiTheme="majorHAnsi"/>
        <w:sz w:val="18"/>
        <w:szCs w:val="18"/>
      </w:rPr>
      <w:t>Edificio ODMs, Barrio T</w:t>
    </w:r>
    <w:r w:rsidR="00F8332E">
      <w:rPr>
        <w:rFonts w:asciiTheme="majorHAnsi" w:hAnsiTheme="majorHAnsi"/>
        <w:sz w:val="18"/>
        <w:szCs w:val="18"/>
      </w:rPr>
      <w:t>o</w:t>
    </w:r>
    <w:r w:rsidR="00F8332E" w:rsidRPr="009E7017">
      <w:rPr>
        <w:rFonts w:asciiTheme="majorHAnsi" w:hAnsiTheme="majorHAnsi"/>
        <w:sz w:val="18"/>
        <w:szCs w:val="18"/>
      </w:rPr>
      <w:t>urnón, Piso 4</w:t>
    </w:r>
  </w:p>
  <w:p w14:paraId="44F1DB2A" w14:textId="77777777" w:rsidR="00843EE4" w:rsidRPr="00A83BA5" w:rsidRDefault="00931139"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6D22" w14:textId="77777777" w:rsidR="00B80C92" w:rsidRDefault="00B80C92" w:rsidP="005A1442">
      <w:r>
        <w:separator/>
      </w:r>
    </w:p>
  </w:footnote>
  <w:footnote w:type="continuationSeparator" w:id="0">
    <w:p w14:paraId="3D0E491F" w14:textId="77777777" w:rsidR="00B80C92" w:rsidRDefault="00B80C92" w:rsidP="005A1442">
      <w:r>
        <w:continuationSeparator/>
      </w:r>
    </w:p>
  </w:footnote>
  <w:footnote w:id="1">
    <w:p w14:paraId="6F22F640" w14:textId="77777777" w:rsidR="00B80C92" w:rsidRPr="00B4681F" w:rsidRDefault="00B80C92" w:rsidP="00B80C92">
      <w:pPr>
        <w:pStyle w:val="Textonotapie"/>
        <w:jc w:val="both"/>
        <w:rPr>
          <w:rFonts w:asciiTheme="majorHAnsi" w:hAnsiTheme="majorHAnsi"/>
          <w:i/>
        </w:rPr>
      </w:pPr>
      <w:r w:rsidRPr="00B4681F">
        <w:rPr>
          <w:rStyle w:val="Refdenotaalpie"/>
          <w:rFonts w:asciiTheme="majorHAnsi" w:hAnsiTheme="majorHAnsi"/>
          <w:i/>
        </w:rPr>
        <w:footnoteRef/>
      </w:r>
      <w:r w:rsidRPr="00B4681F">
        <w:rPr>
          <w:rFonts w:asciiTheme="majorHAnsi" w:hAnsiTheme="majorHAnsi"/>
          <w:i/>
        </w:rPr>
        <w:t xml:space="preserve"> SGS-DES-A-029-2013: Modificación Integral del Acuerdo SGS-A-009-2010 Lineamientos Generales para la Aplicación del Reglamento sobre la Solvencia de Entidades de Seguros y Reaseguros.</w:t>
      </w:r>
    </w:p>
  </w:footnote>
  <w:footnote w:id="2">
    <w:p w14:paraId="2B4DD682" w14:textId="77777777" w:rsidR="00B80C92" w:rsidRDefault="00B80C92" w:rsidP="00B80C92">
      <w:pPr>
        <w:pStyle w:val="Textonotapie"/>
        <w:jc w:val="both"/>
      </w:pPr>
      <w:r w:rsidRPr="00B4681F">
        <w:rPr>
          <w:rStyle w:val="Refdenotaalpie"/>
          <w:rFonts w:asciiTheme="majorHAnsi" w:hAnsiTheme="majorHAnsi"/>
          <w:i/>
        </w:rPr>
        <w:footnoteRef/>
      </w:r>
      <w:r w:rsidRPr="00B4681F">
        <w:rPr>
          <w:rFonts w:asciiTheme="majorHAnsi" w:hAnsiTheme="majorHAnsi"/>
          <w:i/>
        </w:rPr>
        <w:t xml:space="preserve"> SGS.DES-A-021-2013: Disposiciones para la Remisión de la Información Contable y Estadística a la Superintendencia General de Seguros por parte de las Entidades Supervisadas.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0F20" w14:textId="77777777" w:rsidR="00036043" w:rsidRDefault="000360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FF3D5"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5EEC4441" wp14:editId="290351D3">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1A8A179C" w14:textId="77777777" w:rsidR="00373AC0" w:rsidRPr="009618C8" w:rsidRDefault="00373AC0" w:rsidP="00373AC0">
    <w:pPr>
      <w:pStyle w:val="Encabezado"/>
      <w:rPr>
        <w:rFonts w:asciiTheme="majorHAnsi" w:hAnsiTheme="majorHAnsi"/>
        <w:sz w:val="16"/>
        <w:szCs w:val="16"/>
      </w:rPr>
    </w:pPr>
  </w:p>
  <w:p w14:paraId="3EB87E5C" w14:textId="3E506DBF"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036043">
      <w:rPr>
        <w:rFonts w:asciiTheme="majorHAnsi" w:hAnsiTheme="majorHAnsi"/>
        <w:b/>
        <w:bCs/>
        <w:i/>
      </w:rPr>
      <w:t>070</w:t>
    </w:r>
    <w:r w:rsidRPr="00373AC0">
      <w:rPr>
        <w:rFonts w:asciiTheme="majorHAnsi" w:hAnsiTheme="majorHAnsi"/>
        <w:b/>
        <w:bCs/>
        <w:i/>
      </w:rPr>
      <w:t>-20</w:t>
    </w:r>
    <w:r w:rsidR="00036043">
      <w:rPr>
        <w:rFonts w:asciiTheme="majorHAnsi" w:hAnsiTheme="majorHAnsi"/>
        <w:b/>
        <w:bCs/>
        <w:i/>
      </w:rPr>
      <w:t>20</w:t>
    </w:r>
  </w:p>
  <w:p w14:paraId="46D45C39"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931139">
      <w:rPr>
        <w:rFonts w:asciiTheme="majorHAnsi" w:hAnsiTheme="majorHAnsi"/>
        <w:noProof/>
        <w:sz w:val="24"/>
        <w:szCs w:val="24"/>
        <w:lang w:val="es-MX"/>
      </w:rPr>
      <w:t>6</w:t>
    </w:r>
    <w:r w:rsidRPr="00373AC0">
      <w:rPr>
        <w:rFonts w:asciiTheme="majorHAnsi" w:hAnsiTheme="majorHAnsi"/>
        <w:sz w:val="24"/>
        <w:szCs w:val="24"/>
        <w:lang w:val="es-MX"/>
      </w:rPr>
      <w:fldChar w:fldCharType="end"/>
    </w:r>
  </w:p>
  <w:p w14:paraId="5BE2D783"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187AB"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7F66C7D1" wp14:editId="250C97A9">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98E9140"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64BC9"/>
    <w:multiLevelType w:val="hybridMultilevel"/>
    <w:tmpl w:val="8550B240"/>
    <w:lvl w:ilvl="0" w:tplc="E56292B0">
      <w:start w:val="1"/>
      <w:numFmt w:val="decimal"/>
      <w:lvlText w:val="%1."/>
      <w:lvlJc w:val="left"/>
      <w:pPr>
        <w:ind w:left="107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92"/>
    <w:rsid w:val="00003EEF"/>
    <w:rsid w:val="000076D1"/>
    <w:rsid w:val="000105FD"/>
    <w:rsid w:val="00015CC4"/>
    <w:rsid w:val="000230EC"/>
    <w:rsid w:val="00036043"/>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31139"/>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A5290"/>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0C92"/>
    <w:rsid w:val="00B826E2"/>
    <w:rsid w:val="00B910A3"/>
    <w:rsid w:val="00B95233"/>
    <w:rsid w:val="00B96A9E"/>
    <w:rsid w:val="00B9742B"/>
    <w:rsid w:val="00BA2A3A"/>
    <w:rsid w:val="00BA4095"/>
    <w:rsid w:val="00BA4EB8"/>
    <w:rsid w:val="00BB64F2"/>
    <w:rsid w:val="00BB759F"/>
    <w:rsid w:val="00BC03FB"/>
    <w:rsid w:val="00BC2F23"/>
    <w:rsid w:val="00BC5BBE"/>
    <w:rsid w:val="00BD0EBF"/>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C2B2C"/>
    <w:rsid w:val="00EE6EF6"/>
    <w:rsid w:val="00EF0B3D"/>
    <w:rsid w:val="00EF5858"/>
    <w:rsid w:val="00EF64D3"/>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332E"/>
    <w:rsid w:val="00F84235"/>
    <w:rsid w:val="00F87AC4"/>
    <w:rsid w:val="00F952FA"/>
    <w:rsid w:val="00FA4D98"/>
    <w:rsid w:val="00FA56C0"/>
    <w:rsid w:val="00FB25AE"/>
    <w:rsid w:val="00FB6C78"/>
    <w:rsid w:val="00FC2DDB"/>
    <w:rsid w:val="00FC5636"/>
    <w:rsid w:val="00FC7C8A"/>
    <w:rsid w:val="00FD0685"/>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7D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5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PrrafodelistaCar">
    <w:name w:val="Párrafo de lista Car"/>
    <w:aliases w:val="Informe Car,Con viñetas Car,Normal con viñetas Car,3 Car,Use Case List Paragraph Car,Bullet 1 Car"/>
    <w:basedOn w:val="Fuentedeprrafopredeter"/>
    <w:link w:val="Prrafodelista"/>
    <w:uiPriority w:val="34"/>
    <w:locked/>
    <w:rsid w:val="00B80C92"/>
    <w:rPr>
      <w:rFonts w:ascii="Calibri" w:eastAsia="Calibri" w:hAnsi="Calibri" w:cs="Times New Roman"/>
      <w:lang w:val="es-ES"/>
    </w:rPr>
  </w:style>
  <w:style w:type="paragraph" w:styleId="Prrafodelista">
    <w:name w:val="List Paragraph"/>
    <w:aliases w:val="Informe,Con viñetas,Normal con viñetas,3,Use Case List Paragraph,Bullet 1"/>
    <w:basedOn w:val="Normal"/>
    <w:link w:val="PrrafodelistaCar"/>
    <w:uiPriority w:val="34"/>
    <w:qFormat/>
    <w:rsid w:val="00B80C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package" Target="embeddings/Hoja_de_c_lculo_de_Microsoft_Excel1.xlsx"/></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PlantillasCorrespondenciaExterna/Plantilla-SGS-A-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ouqTkrIVzyw2Q0HV22AoN3Z+EZHL2qmh31wReJNQMQM=</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fWVkwFoNJOn3BVETTNqES08a6hEfUpFK//hwX7RjsSg=</DigestValue>
    </Reference>
  </SignedInfo>
  <SignatureValue>nh//tG0Wf5y8Q/CbbYpeSqzIINGjWXyRotjWNg75kCqG1fxZc7uM+pkJ9hElwzS7KH18TFLnu31E
Pan6hb29NB6iAEMyh9BhRYHCuYUD7Wgfwr62L36ewAL+d1kbOQEN+YWgJjBOXQK8Roxi8AFw3N1p
EN1Ls3IneEurns6S8jj16m8LEQPWprKpdbh8bJpy6OjddbZLvdObxrTnegRtYZ/nWUr4yoz1IPc3
6ogaCpdtQ9nUOsE3EyGL6aNRUqN5IRr9VdwMyOJENqmoedknPqELnttLNIiDar9soq253pcRCnus
l/diopex0w3+OOizECQ2mvDjcwB3nqM28tEUHA==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MIlp1CIxNHxk0H3X1fwBjz2gfDwO8FdXQUh/XFNvoYk=</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UQPqrUKwnM/mGjJzCGZAUmR3iKanZOh+eUBd7dwaAlE=</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dOFnc3cOmu4xxt4+P5mgmenjTZQoBvUvI9sik6huYWk=</DigestValue>
      </Reference>
      <Reference URI="/word/document.xml?ContentType=application/vnd.openxmlformats-officedocument.wordprocessingml.document.main+xml">
        <DigestMethod Algorithm="http://www.w3.org/2001/04/xmlenc#sha256"/>
        <DigestValue>SXqHgi41R/22CQ+BixO6Fubd6zQQ4idWCwBD6bSEur4=</DigestValue>
      </Reference>
      <Reference URI="/word/embeddings/Hoja_de_c_lculo_de_Microsoft_Excel1.xlsx?ContentType=application/vnd.openxmlformats-officedocument.spreadsheetml.sheet">
        <DigestMethod Algorithm="http://www.w3.org/2001/04/xmlenc#sha256"/>
        <DigestValue>1j6nBoVySR8J5FUEVc1/pQI/mVfY/O7dq8CwlDYhU2I=</DigestValue>
      </Reference>
      <Reference URI="/word/endnotes.xml?ContentType=application/vnd.openxmlformats-officedocument.wordprocessingml.endnotes+xml">
        <DigestMethod Algorithm="http://www.w3.org/2001/04/xmlenc#sha256"/>
        <DigestValue>ceU/uZle0KjrVNBKTwoF+PQkPqr5vub8Gc4ToV5nIFQ=</DigestValue>
      </Reference>
      <Reference URI="/word/fontTable.xml?ContentType=application/vnd.openxmlformats-officedocument.wordprocessingml.fontTable+xml">
        <DigestMethod Algorithm="http://www.w3.org/2001/04/xmlenc#sha256"/>
        <DigestValue>f3uObP78o8xQjzzDYSW2+P74ztl731rdTRw23Z4P7vs=</DigestValue>
      </Reference>
      <Reference URI="/word/footer1.xml?ContentType=application/vnd.openxmlformats-officedocument.wordprocessingml.footer+xml">
        <DigestMethod Algorithm="http://www.w3.org/2001/04/xmlenc#sha256"/>
        <DigestValue>YJtuXT8BBVij+q+5owhysF6smdX89U0/Opxx7cJVaeo=</DigestValue>
      </Reference>
      <Reference URI="/word/footer2.xml?ContentType=application/vnd.openxmlformats-officedocument.wordprocessingml.footer+xml">
        <DigestMethod Algorithm="http://www.w3.org/2001/04/xmlenc#sha256"/>
        <DigestValue>y8mLqaY3Xv1TQxlLuyEtHBsa5XNvqMrkH65Y/O7omTE=</DigestValue>
      </Reference>
      <Reference URI="/word/footer3.xml?ContentType=application/vnd.openxmlformats-officedocument.wordprocessingml.footer+xml">
        <DigestMethod Algorithm="http://www.w3.org/2001/04/xmlenc#sha256"/>
        <DigestValue>qd711LcspnVduYyR65G8Sus8bgr224kaO5n4ZbIJ1gg=</DigestValue>
      </Reference>
      <Reference URI="/word/footnotes.xml?ContentType=application/vnd.openxmlformats-officedocument.wordprocessingml.footnotes+xml">
        <DigestMethod Algorithm="http://www.w3.org/2001/04/xmlenc#sha256"/>
        <DigestValue>Z2SatCEI2qjeWX3PWuRU0sWPsUotpZpxjYN/fIdbW64=</DigestValue>
      </Reference>
      <Reference URI="/word/header1.xml?ContentType=application/vnd.openxmlformats-officedocument.wordprocessingml.header+xml">
        <DigestMethod Algorithm="http://www.w3.org/2001/04/xmlenc#sha256"/>
        <DigestValue>GI48nWf+2cdr0obp+BzYUwMf28wQfhK/7VPFQzlp71g=</DigestValue>
      </Reference>
      <Reference URI="/word/header2.xml?ContentType=application/vnd.openxmlformats-officedocument.wordprocessingml.header+xml">
        <DigestMethod Algorithm="http://www.w3.org/2001/04/xmlenc#sha256"/>
        <DigestValue>oS5Jo9sAv08PpwhIdli0qG6shvO8PHbrhyKKV+rzh7I=</DigestValue>
      </Reference>
      <Reference URI="/word/header3.xml?ContentType=application/vnd.openxmlformats-officedocument.wordprocessingml.header+xml">
        <DigestMethod Algorithm="http://www.w3.org/2001/04/xmlenc#sha256"/>
        <DigestValue>pCRzCQtAC0r9quDw+LzCq7BaSv+0FYS3zUwPdr73CKA=</DigestValue>
      </Reference>
      <Reference URI="/word/media/image1.emf?ContentType=image/x-emf">
        <DigestMethod Algorithm="http://www.w3.org/2001/04/xmlenc#sha256"/>
        <DigestValue>k9wietivmokZOZDIGrncfP8ZhTrfPc3OgGkfNoACGlI=</DigestValue>
      </Reference>
      <Reference URI="/word/media/image2.png?ContentType=image/png">
        <DigestMethod Algorithm="http://www.w3.org/2001/04/xmlenc#sha256"/>
        <DigestValue>8ow0IbLvIuBewu4WCsfpgILO/EmmHhLyHA30uNxvsQ8=</DigestValue>
      </Reference>
      <Reference URI="/word/media/image3.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ICPdfoCo3hmza1SEcSa7o5j0OhsXrhwZwR00TVC+7Ns=</DigestValue>
      </Reference>
      <Reference URI="/word/settings.xml?ContentType=application/vnd.openxmlformats-officedocument.wordprocessingml.settings+xml">
        <DigestMethod Algorithm="http://www.w3.org/2001/04/xmlenc#sha256"/>
        <DigestValue>VTlQRD9WkQd2pw1mZ8PZrkO7UiJsPB8OGgvBu130J+U=</DigestValue>
      </Reference>
      <Reference URI="/word/styles.xml?ContentType=application/vnd.openxmlformats-officedocument.wordprocessingml.styles+xml">
        <DigestMethod Algorithm="http://www.w3.org/2001/04/xmlenc#sha256"/>
        <DigestValue>+oAdD/X4tbFlZAG1TPRiozfQOC+rwWnJkjbFf5Pyrvg=</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6nmSxbFw8mM+9fE3wuJZo6coJOoxo5lAnbgkWURN9t0=</DigestValue>
      </Reference>
    </Manifest>
    <SignatureProperties>
      <SignatureProperty Id="idSignatureTime" Target="#idPackageSignature">
        <mdssi:SignatureTime xmlns:mdssi="http://schemas.openxmlformats.org/package/2006/digital-signature">
          <mdssi:Format>YYYY-MM-DDThh:mm:ssTZD</mdssi:Format>
          <mdssi:Value>2020-05-29T22:42:10Z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2020-05-29T22:42:10Z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rTXqGt4Hx7Ot7yUQkCTKCw6clno382PP4BN7S5wN9kCBAnhaKIYDzIwMjAwNTI5MjI0Mj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yOTIyNDIxOVowLwYJKoZIhvcNAQkEMSIEIKfOjgW4JxBF3wNRfe+N8iqIy2pBD5VwylQDzJsWWPRwMDcGCyqGSIb3DQEJEAIvMSgwJjAkMCIEIDcrk3iY5iZu+N7/iFpVKDYeTZ9u7elabVQcL5d9tumpMA0GCSqGSIb3DQEBAQUABIIBADW4ojc5n8IkZuoYCEJR/AFkj/TffcFtNfLGH5QQicjI+aExQtmi7i2ENVPvbN1nx6XEn58KGZLySw/+AWdO9RWpVuMc+m081/qCgnQmNFfDafhkcca34wgqvKhVCNN7Q/7bvulA4Ii9uHdw9KJH01CpfDqwvDrXxOlWRgW1CQBA2Rs9IRkQQBFar0uPN/JPCKLaqUon0IDCGilfAJWjNhV5E16m8da5REYL7Ve/p3o95UgKYrSH/t4tyTZmzLDA3lAX7oLiDQ83BPmzNkENlIn3chkbjaJVCZbJsfV36ndoP4lBIRDzbKbyEKbydmh4hoL6T4b7qo61Upl7JzmmoE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ADKQvjHfUu87hbRArzi/VzvaHlE=</xd:ByKey>
                  </xd:ResponderID>
                  <xd:ProducedAt>2020-05-29T22:42:08Z</xd:ProducedAt>
                </xd:OCSPIdentifier>
                <xd:DigestAlgAndValue>
                  <DigestMethod Algorithm="http://www.w3.org/2001/04/xmlenc#sha256"/>
                  <DigestValue>i+B3hpPyA1aBzyN+I/6/SF2lZEzNpSUGxKQ1Rl/3auw=</DigestValue>
                </xd:DigestAlgAndValue>
              </xd:OCSPRef>
            </xd:OCSPRefs>
            <xd:CRLRefs>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QQoBAKCCBjowggY2BgkrBgEFBQcwAQEEggYnMIIGIzCBxaIWBBQAMpC+Md9S7zuFtECvOL9XO9oeURgPMjAyMDA1MjkyMjQyMDhaMIGZMIGWMEwwCQYFKw4DAhoFAAQUzgxHzN03kqP+e9oD7BphnZQwSGIEFLR0i6ue23bwf6Uo45StMcxy8LMpAhMUAACGN34DLuhkyxmoAAAAAIY3gAAYDzIwMjAwNTI5MjA1ODA3WqARGA8yMDIwMDUzMTA5MTgwN1qhIDAeMBwGCSsGAQQBgjcVBAQPFw0yMDA1MzAyMTA4MDdaMA0GCSqGSIb3DQEBCwUAA4IBAQCTrSjrx0y+U5AZeZGUPIxyxo+QQZUwLipTxJAVrOna6Co76GuqFDFLlx94SuL8mfqz6LZnFuMbZYTTty+Qi8a3N9ucAxxdvR0OjDHbznp50ceFeIk/rJVBALTSH9RG4Zw3LFq09DsRW1kd8TTTFtIchlYfh19ogjveI5s3T4f7PvllVCCw27rdVRAs5WIIscC+U3O9QF20J9XLAMsKO4kEOVz+RwTDQ5NmYAQwtLnPEmI3zTlRdYiUU1nlVM7OJ8CvWpHXOVzkzphktpe5d9e02IVrJG9L3i3Y/Pt8z+0sQncZqNHY7NWp9o8pOtMHvgeTtIOgUNFEV17euSWRVe6ioIIEQzCCBD8wggQ7MIIDI6ADAgECAhMUAAg2M74vArPjB0pDAAEACDYzMA0GCSqGSIb3DQEBCwUAMIGZMRkwFwYDVQQFExBDUEotNC0wMDAtMDA0MDE3MQswCQYDVQQGEwJDUjEkMCIGA1UEChMbQkFOQ08gQ0VOVFJBTCBERSBDT1NUQSBSSUNBMSIwIAYDVQQLExlESVZJU0lPTiBTSVNURU1BUyBERSBQQUdPMSUwIwYDVQQDExxDQSBTSU5QRSAtIFBFUlNPTkEgRklTSUNBIHYyMB4XDTIwMDUyODE5NDczNloXDTIwMDYxMTE5NDczNlowHjEcMBoGA1UEAxMTU0ktQVBPQ1MtMTAxLmZkaS5jcjCCASIwDQYJKoZIhvcNAQEBBQADggEPADCCAQoCggEBAMSN63oMDq/jPtyqNpBgZwPtu4uQqzApN29mDC+JSeHbiq2+5HHRCyr3jvqD8qeVEGwtcsXFHoIzI8AmvSzpTJBf4qd5jIhL1o6CmKdBCnxJDYXhC0pn7+4zOhwX7woVviLEC1nVKsrV0nURBkgxrrN1u3pvefLkA5pHwWzkcxJeI9es7L5cdnzU3/tAf78YLFPCVYGf3z/gpU4qKXT0qaIz2sH14QL8womuK/E3SMgJpYp/WfhLO7zXMHJhJVA1NPZeSaNpyDOrhVacT8RVozHVPyL1ZJFswa6jFXLE1qiz8gKbb3RbnI5AT+U1+mRp2cTkuLHNPpecRUvQTNXcbkkCAwEAAaOB9TCB8jA9BgkrBgEEAYI3FQcEMDAuBiYrBgEEAYI3FQiFxOpbgtHjNZWRG4L5lxiGpctrgX+D9vx3gbjxMwIBZAIBBzATBgNVHSUEDDAKBggrBgEFBQcDCTAOBgNVHQ8BAf8EBAMCB4AwGwYJKwYBBAGCNxUKBA4wDDAKBggrBgEFBQcDCTAPBgkrBgEFBQcwAQUEAgUAMB8GA1UdIwQYMBaAFLR0i6ue23bwf6Uo45StMcxy8LMpMB0GA1UdDgQWBBQAMpC+Md9S7zuFtECvOL9XO9oeUTAeBgNVHREEFzAVghNTSS1BUE9DUy0xMDEuZmRpLmNyMA0GCSqGSIb3DQEBCwUAA4IBAQAE7ELDawIvRG6gmMPpEIM57as441R6xrrN8qQSs0nc6HxVG2vVoaPNO3qyAcaAfe3nk4ercHEqSjJKb8txStKjvHummBeR6CG5zl35qghD09Uja7MgJD1Op6/XtjLZDoARiE7SsWW2JbLlf1duxOxlaT0kiZpGz4o8MVaf8b3RAjP5IfKdG/mG+OT0PbxuUJRKn/u1oPLOPPdVNYXHzFwHp5E/X1nkNSHq1OwlWB5akzD6D2pBts2dM08bny62IxPFk9s+l3tlRoLJZIQJ4Hv9aB5F+J/M0t7JiN0L8etN7keAgHzBQt/bNwqlK73cDvsOSdw1QlXFWBsd3nW/Kw4U</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I+hllWH1ep3ecWHNbPNm+K+d2X6+c6SJmO/qrfNDnZ8CBAnhaKMYDzIwMjAwNTI5MjI0Mj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UyOTIyNDIxOVowLwYJKoZIhvcNAQkEMSIEICbSyuc4VX/YpT98BdFvTSWbuZqn+04dADATQKnOyhklMDcGCyqGSIb3DQEJEAIvMSgwJjAkMCIEIDcrk3iY5iZu+N7/iFpVKDYeTZ9u7elabVQcL5d9tumpMA0GCSqGSIb3DQEBAQUABIIBAC1GAukr2VGxJKccYisJqad7TeT/osHJlXX8UqTkgjMVQ8lsKZttTeTOV+IP5pDX77HxKiogEmPL3ua1fQPfONijS2Wroa7/DaiwwdFFTHz2dWAExEI2Tg/8O0aqhqniye256rBCuwfsA8Yn3KTTlnTuVVjkUpdpIAKdHMSHajYJu+0A4Pbm5pn+IRk5ERRKNmZoW1Xf+RkBgzBF7dBLc7VZl7qs8KLPti3oj2sxZsyBZgZcKewicXKkZoXDpNbjOR3XRH1LqbYNUQznh52T3MGI3Idp+qjMwcj7swEKj/4IWAfygFjSJdNBvkinNt5kibl4sp7AQRyLYswqF4RlOr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2020-06-12T06:00:00+00:00</FechaPublicacionDocumento>
    <NormativaRelacionada xmlns="b9fc4df0-8f56-46e7-b005-54afe0044df7">&lt;div class="ExternalClass3E56525CF00C4538881D0474B5BAA0A5"&gt;&lt;p&gt;​Acuerdos SGS-A-029-2013 y SGS-A-021-2013&lt;/p&gt;&lt;/div&gt;</NormativaRelacionada>
    <TipoContenido xmlns="b9fc4df0-8f56-46e7-b005-54afe0044df7">6</TipoContenido>
    <ContenidoMultilineaHTML xmlns="b9fc4df0-8f56-46e7-b005-54afe0044df7">&lt;p&gt;​Modifica los Acuerdos de Superintendente SGS-A-029-2013 y SGS-A-021-2013 para incorporar el tratamiento de activos generados en el Impuesto al Valor Agregado (IVA) para efectos de adecuación de capital y modificar el formato del Anexo para la remisión del Índice de Suficiencia de Capital (ISC)&lt;/p&gt;</ContenidoMultilineaHTML>
    <NumeroAcuerdo xmlns="b9fc4df0-8f56-46e7-b005-54afe0044df7">SGS-A-0070-2020</NumeroAcuerdo>
  </documentManagement>
</p:properties>
</file>

<file path=customXml/item4.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0F4D82EC3D714D40B180419AA41269D4" ma:contentTypeVersion="84" ma:contentTypeDescription="Crear nuevo documento." ma:contentTypeScope="" ma:versionID="bc6bb5171acb4993777a5a6d184fe881">
  <xsd:schema xmlns:xsd="http://www.w3.org/2001/XMLSchema" xmlns:xs="http://www.w3.org/2001/XMLSchema" xmlns:p="http://schemas.microsoft.com/office/2006/metadata/properties" xmlns:ns1="http://schemas.microsoft.com/sharepoint/v3" xmlns:ns2="b875e23b-67d9-4b2e-bdec-edacbf90b326" xmlns:ns3="233f2551-3930-43c2-a744-679e70430545" targetNamespace="http://schemas.microsoft.com/office/2006/metadata/properties" ma:root="true" ma:fieldsID="b3fcc6e5062af7f1461565d447ff5016" ns1:_="" ns2:_="" ns3:_="">
    <xsd:import namespace="http://schemas.microsoft.com/sharepoint/v3"/>
    <xsd:import namespace="b875e23b-67d9-4b2e-bdec-edacbf90b326"/>
    <xsd:import namespace="233f2551-3930-43c2-a744-679e70430545"/>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h924ef3e1de042ccb3dddc0bf72d8fc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0" nillable="true" ma:displayName="Fecha de expiración original" ma:hidden="true" ma:internalName="_dlc_ExpireDateSaved" ma:readOnly="true">
      <xsd:simpleType>
        <xsd:restriction base="dms:DateTime"/>
      </xsd:simpleType>
    </xsd:element>
    <xsd:element name="_dlc_ExpireDate" ma:index="41"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7;#SUGESE - Acuerdos|a4c1ee5f-324a-443d-88a9-d7759c9d5e33"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f2551-3930-43c2-a744-679e70430545" elementFormDefault="qualified">
    <xsd:import namespace="http://schemas.microsoft.com/office/2006/documentManagement/types"/>
    <xsd:import namespace="http://schemas.microsoft.com/office/infopath/2007/PartnerControls"/>
    <xsd:element name="h924ef3e1de042ccb3dddc0bf72d8fc0" ma:index="37" nillable="true" ma:taxonomy="true" ma:internalName="h924ef3e1de042ccb3dddc0bf72d8fc0" ma:taxonomyFieldName="Confidencialidad" ma:displayName="Confidencialidad" ma:default="1;#Público|99c2402f-8ec3-4ca8-8024-be52e4e7f629" ma:fieldId="{1924ef3e-1de0-42cc-b3dd-dc0bf72d8fc0}"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4AA208A-CC11-4CF2-95FB-D4A4DE167438}"/>
</file>

<file path=customXml/itemProps2.xml><?xml version="1.0" encoding="utf-8"?>
<ds:datastoreItem xmlns:ds="http://schemas.openxmlformats.org/officeDocument/2006/customXml" ds:itemID="{5A9B9BE7-2460-4AE1-8C1D-840726CA7EE3}"/>
</file>

<file path=customXml/itemProps3.xml><?xml version="1.0" encoding="utf-8"?>
<ds:datastoreItem xmlns:ds="http://schemas.openxmlformats.org/officeDocument/2006/customXml" ds:itemID="{A464F4DF-72CE-4A40-9D1C-3D5035855E0E}"/>
</file>

<file path=customXml/itemProps4.xml><?xml version="1.0" encoding="utf-8"?>
<ds:datastoreItem xmlns:ds="http://schemas.openxmlformats.org/officeDocument/2006/customXml" ds:itemID="{134CAD41-B82C-4D71-9019-58E7A009A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233f2551-3930-43c2-a744-679e7043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9B9BE7-2460-4AE1-8C1D-840726CA7EE3}">
  <ds:schemaRefs>
    <ds:schemaRef ds:uri="http://schemas.microsoft.com/sharepoint/v3/contenttype/forms"/>
  </ds:schemaRefs>
</ds:datastoreItem>
</file>

<file path=customXml/itemProps6.xml><?xml version="1.0" encoding="utf-8"?>
<ds:datastoreItem xmlns:ds="http://schemas.openxmlformats.org/officeDocument/2006/customXml" ds:itemID="{3503DE95-5581-4BD5-B7FC-1EF6E009C2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Plantilla-SGS-A-13.dotm</Template>
  <TotalTime>0</TotalTime>
  <Pages>6</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SGS-A-0070-2020</dc:title>
  <dc:creator/>
  <cp:lastModifiedBy/>
  <cp:revision>1</cp:revision>
  <dcterms:created xsi:type="dcterms:W3CDTF">2020-05-29T21:53:00Z</dcterms:created>
  <dcterms:modified xsi:type="dcterms:W3CDTF">2020-05-29T22:42:00Z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2;#Media|7c263feb-a1d7-4b26-9b28-09e7514882c1</vt:lpwstr>
  </property>
  <property fmtid="{D5CDD505-2E9C-101B-9397-08002B2CF9AE}" pid="3" name="_dlc_policyId">
    <vt:lpwstr>0x010100E97154E09FCE6A4E8EAEBD5C54DD1AE4|-1695030217</vt:lpwstr>
  </property>
  <property fmtid="{D5CDD505-2E9C-101B-9397-08002B2CF9AE}" pid="4" name="Tipo Documental">
    <vt:lpwstr>126;#Oficio|417b7e3a-1426-4267-afb3-20be5f4d6412</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vt:lpwstr>
  </property>
  <property fmtid="{D5CDD505-2E9C-101B-9397-08002B2CF9AE}" pid="7"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Confidencialidad1">
    <vt:lpwstr>1;#Público|99c2402f-8ec3-4ca8-8024-be52e4e7f629</vt:lpwstr>
  </property>
  <property fmtid="{D5CDD505-2E9C-101B-9397-08002B2CF9AE}" pid="11" name="Unidad Remitente">
    <vt:lpwstr>257;#SUGESE - Acuerdos|a4c1ee5f-324a-443d-88a9-d7759c9d5e33</vt:lpwstr>
  </property>
  <property fmtid="{D5CDD505-2E9C-101B-9397-08002B2CF9AE}" pid="12" name="Confidencialidad">
    <vt:lpwstr>130;#Confidencial|d19c5cf3-f0e9-4d18-86d2-7bee4000e1ea</vt:lpwstr>
  </property>
  <property fmtid="{D5CDD505-2E9C-101B-9397-08002B2CF9AE}" pid="13" name="WorkflowChangePath">
    <vt:lpwstr>8aa19240-b0ad-4977-9b98-56abbd27f3cf,5;8aa19240-b0ad-4977-9b98-56abbd27f3cf,4;f53beb82-3a64-483b-83ba-ca097d8a31d5,9;f96304b9-3f25-47ee-a4c8-8479b82bd6e6,10;</vt:lpwstr>
  </property>
  <property fmtid="{D5CDD505-2E9C-101B-9397-08002B2CF9AE}" pid="14" name="_MarkAsFinal">
    <vt:bool>true</vt:bool>
  </property>
  <property fmtid="{D5CDD505-2E9C-101B-9397-08002B2CF9AE}" pid="15" name="ecm_ItemDeleteBlockHolders">
    <vt:lpwstr>ecm_InPlaceRecordLock</vt:lpwstr>
  </property>
  <property fmtid="{D5CDD505-2E9C-101B-9397-08002B2CF9AE}" pid="16" name="_vti_ItemDeclaredRecord">
    <vt:filetime>2020-06-01T15:13:18Z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