
<file path=[Content_Types].xml><?xml version="1.0" encoding="utf-8"?>
<Types xmlns="http://schemas.openxmlformats.org/package/2006/content-types">
  <Default Extension="png" ContentType="image/png"/>
  <Default Extension="xlsm" ContentType="application/vnd.ms-excel.sheet.macroEnabled.12"/>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B70334" w14:textId="77777777" w:rsidR="006A3734" w:rsidRPr="006A3734" w:rsidRDefault="006A3734" w:rsidP="006A3734">
      <w:pPr>
        <w:ind w:hanging="567"/>
        <w:jc w:val="both"/>
        <w:rPr>
          <w:rFonts w:ascii="Cambria" w:hAnsi="Cambria"/>
          <w:i/>
          <w:color w:val="000000"/>
        </w:rPr>
      </w:pPr>
      <w:bookmarkStart w:id="0" w:name="_GoBack"/>
      <w:bookmarkEnd w:id="0"/>
      <w:r w:rsidRPr="006A3734">
        <w:rPr>
          <w:rFonts w:ascii="Cambria" w:hAnsi="Cambria"/>
          <w:i/>
          <w:color w:val="000000"/>
        </w:rPr>
        <w:t>Tomas Soley Pérez</w:t>
      </w:r>
    </w:p>
    <w:p w14:paraId="0202B062" w14:textId="77777777" w:rsidR="006A3734" w:rsidRPr="006A3734" w:rsidRDefault="006A3734" w:rsidP="006A3734">
      <w:pPr>
        <w:ind w:hanging="567"/>
        <w:jc w:val="both"/>
        <w:rPr>
          <w:rFonts w:ascii="Cambria" w:hAnsi="Cambria"/>
          <w:i/>
          <w:color w:val="000000"/>
        </w:rPr>
      </w:pPr>
      <w:r w:rsidRPr="006A3734">
        <w:rPr>
          <w:rFonts w:ascii="Cambria" w:hAnsi="Cambria"/>
          <w:i/>
          <w:color w:val="000000"/>
        </w:rPr>
        <w:t>Superintendente de Seguros</w:t>
      </w:r>
    </w:p>
    <w:p w14:paraId="3C354A29" w14:textId="77777777" w:rsidR="006A3734" w:rsidRPr="006A3734" w:rsidRDefault="006A3734" w:rsidP="006A3734">
      <w:pPr>
        <w:jc w:val="both"/>
        <w:rPr>
          <w:rFonts w:ascii="Cambria" w:hAnsi="Cambria"/>
          <w:color w:val="000000"/>
        </w:rPr>
      </w:pPr>
    </w:p>
    <w:p w14:paraId="636AE754" w14:textId="77777777" w:rsidR="00B330AC" w:rsidRDefault="00B330AC" w:rsidP="00B330AC">
      <w:pPr>
        <w:jc w:val="center"/>
        <w:rPr>
          <w:rFonts w:asciiTheme="majorHAnsi" w:hAnsiTheme="majorHAnsi"/>
          <w:b/>
          <w:bCs/>
        </w:rPr>
      </w:pPr>
    </w:p>
    <w:p w14:paraId="17396998" w14:textId="77777777" w:rsidR="00B330AC" w:rsidRPr="00D72FBE" w:rsidRDefault="00B330AC" w:rsidP="00B330AC">
      <w:pPr>
        <w:jc w:val="center"/>
        <w:rPr>
          <w:rFonts w:asciiTheme="majorHAnsi" w:hAnsiTheme="majorHAnsi"/>
          <w:b/>
          <w:bCs/>
          <w:sz w:val="32"/>
          <w:szCs w:val="32"/>
        </w:rPr>
      </w:pPr>
      <w:r w:rsidRPr="00D72FBE">
        <w:rPr>
          <w:rFonts w:asciiTheme="majorHAnsi" w:hAnsiTheme="majorHAnsi"/>
          <w:b/>
          <w:bCs/>
          <w:sz w:val="32"/>
          <w:szCs w:val="32"/>
        </w:rPr>
        <w:t>ACUERDO DE SUPERINTENDENTE</w:t>
      </w:r>
    </w:p>
    <w:sdt>
      <w:sdtPr>
        <w:rPr>
          <w:rFonts w:asciiTheme="majorHAnsi" w:hAnsiTheme="majorHAnsi"/>
          <w:b/>
          <w:bCs/>
        </w:rPr>
        <w:alias w:val="Consecutivo"/>
        <w:tag w:val="Consecutivo"/>
        <w:id w:val="-1139954053"/>
        <w:placeholder>
          <w:docPart w:val="860BE80341A342E2823DA41C4CE99C70"/>
        </w:placeholder>
        <w:showingPlcHdr/>
        <w:text/>
      </w:sdtPr>
      <w:sdtEndPr/>
      <w:sdtContent>
        <w:p w14:paraId="1094AB29" w14:textId="77777777" w:rsidR="00B330AC" w:rsidRDefault="00FF3752" w:rsidP="00B330AC">
          <w:pPr>
            <w:jc w:val="center"/>
            <w:rPr>
              <w:rFonts w:asciiTheme="majorHAnsi" w:hAnsiTheme="majorHAnsi"/>
              <w:b/>
              <w:bCs/>
            </w:rPr>
          </w:pPr>
          <w:r w:rsidRPr="00D72FBE">
            <w:rPr>
              <w:b/>
              <w:i/>
              <w:sz w:val="32"/>
              <w:szCs w:val="32"/>
            </w:rPr>
            <w:t>SGS-A-0066-2019</w:t>
          </w:r>
        </w:p>
      </w:sdtContent>
    </w:sdt>
    <w:p w14:paraId="32770D8D" w14:textId="77777777" w:rsidR="00744A2C" w:rsidRDefault="00744A2C" w:rsidP="007F09F5">
      <w:pPr>
        <w:jc w:val="both"/>
        <w:rPr>
          <w:rFonts w:ascii="Cambria" w:hAnsi="Cambria"/>
        </w:rPr>
      </w:pPr>
    </w:p>
    <w:p w14:paraId="7D130DBA" w14:textId="77777777" w:rsidR="00361D17" w:rsidRPr="00C03481" w:rsidRDefault="00361D17" w:rsidP="00361D17">
      <w:pPr>
        <w:jc w:val="center"/>
        <w:rPr>
          <w:rFonts w:asciiTheme="majorHAnsi" w:hAnsiTheme="majorHAnsi"/>
          <w:b/>
          <w:sz w:val="16"/>
          <w:szCs w:val="16"/>
        </w:rPr>
      </w:pPr>
    </w:p>
    <w:p w14:paraId="5B613131" w14:textId="77777777" w:rsidR="00361D17" w:rsidRPr="00C03481" w:rsidRDefault="00361D17" w:rsidP="00D72FBE">
      <w:pPr>
        <w:jc w:val="center"/>
        <w:rPr>
          <w:rFonts w:asciiTheme="majorHAnsi" w:hAnsiTheme="majorHAnsi" w:cs="Arial"/>
          <w:b/>
          <w:i/>
          <w:sz w:val="28"/>
        </w:rPr>
      </w:pPr>
      <w:r>
        <w:rPr>
          <w:rFonts w:asciiTheme="majorHAnsi" w:hAnsiTheme="majorHAnsi" w:cs="Arial"/>
          <w:b/>
          <w:i/>
          <w:sz w:val="28"/>
        </w:rPr>
        <w:t>Modificación de Acuerdos del S</w:t>
      </w:r>
      <w:r w:rsidRPr="00C03481">
        <w:rPr>
          <w:rFonts w:asciiTheme="majorHAnsi" w:hAnsiTheme="majorHAnsi" w:cs="Arial"/>
          <w:b/>
          <w:i/>
          <w:sz w:val="28"/>
        </w:rPr>
        <w:t xml:space="preserve">uperintendente relacionados con la </w:t>
      </w:r>
      <w:r>
        <w:rPr>
          <w:rFonts w:asciiTheme="majorHAnsi" w:hAnsiTheme="majorHAnsi" w:cs="Arial"/>
          <w:b/>
          <w:i/>
          <w:sz w:val="28"/>
        </w:rPr>
        <w:t>A</w:t>
      </w:r>
      <w:r w:rsidRPr="00C03481">
        <w:rPr>
          <w:rFonts w:asciiTheme="majorHAnsi" w:hAnsiTheme="majorHAnsi" w:cs="Arial"/>
          <w:b/>
          <w:i/>
          <w:sz w:val="28"/>
        </w:rPr>
        <w:t xml:space="preserve">plicación del </w:t>
      </w:r>
      <w:r>
        <w:rPr>
          <w:rFonts w:asciiTheme="majorHAnsi" w:hAnsiTheme="majorHAnsi" w:cs="Arial"/>
          <w:b/>
          <w:i/>
          <w:sz w:val="28"/>
        </w:rPr>
        <w:t>Reglamento de Información F</w:t>
      </w:r>
      <w:r w:rsidRPr="00C03481">
        <w:rPr>
          <w:rFonts w:asciiTheme="majorHAnsi" w:hAnsiTheme="majorHAnsi" w:cs="Arial"/>
          <w:b/>
          <w:i/>
          <w:sz w:val="28"/>
        </w:rPr>
        <w:t xml:space="preserve">inanciera que regirá a partir del 1° de enero de 2020 </w:t>
      </w:r>
    </w:p>
    <w:p w14:paraId="3AA910A0" w14:textId="77777777" w:rsidR="00361D17" w:rsidRPr="00C03481" w:rsidRDefault="00361D17" w:rsidP="00361D17">
      <w:pPr>
        <w:jc w:val="center"/>
        <w:rPr>
          <w:rFonts w:asciiTheme="majorHAnsi" w:hAnsiTheme="majorHAnsi"/>
          <w:b/>
          <w:bCs/>
          <w:i/>
          <w:iCs/>
          <w:sz w:val="28"/>
        </w:rPr>
      </w:pPr>
    </w:p>
    <w:p w14:paraId="02EF8C37" w14:textId="683B495B" w:rsidR="00361D17" w:rsidRPr="00C03481" w:rsidRDefault="00361D17" w:rsidP="00361D17">
      <w:pPr>
        <w:jc w:val="both"/>
        <w:rPr>
          <w:rFonts w:asciiTheme="majorHAnsi" w:hAnsiTheme="majorHAnsi" w:cs="Arial"/>
        </w:rPr>
      </w:pPr>
      <w:r w:rsidRPr="00C03481">
        <w:rPr>
          <w:rFonts w:asciiTheme="majorHAnsi" w:hAnsiTheme="majorHAnsi" w:cs="Arial"/>
        </w:rPr>
        <w:t xml:space="preserve">El Superintendente General de Seguros a las </w:t>
      </w:r>
      <w:r>
        <w:rPr>
          <w:rFonts w:asciiTheme="majorHAnsi" w:hAnsiTheme="majorHAnsi" w:cs="Arial"/>
        </w:rPr>
        <w:t>quince</w:t>
      </w:r>
      <w:r w:rsidRPr="00C03481">
        <w:rPr>
          <w:rFonts w:asciiTheme="majorHAnsi" w:hAnsiTheme="majorHAnsi" w:cs="Arial"/>
        </w:rPr>
        <w:t xml:space="preserve"> horas </w:t>
      </w:r>
      <w:r>
        <w:rPr>
          <w:rFonts w:asciiTheme="majorHAnsi" w:hAnsiTheme="majorHAnsi" w:cs="Arial"/>
        </w:rPr>
        <w:t xml:space="preserve">y quince minutos </w:t>
      </w:r>
      <w:r w:rsidRPr="00C03481">
        <w:rPr>
          <w:rFonts w:asciiTheme="majorHAnsi" w:hAnsiTheme="majorHAnsi" w:cs="Arial"/>
        </w:rPr>
        <w:t xml:space="preserve">del </w:t>
      </w:r>
      <w:r>
        <w:rPr>
          <w:rFonts w:asciiTheme="majorHAnsi" w:hAnsiTheme="majorHAnsi" w:cs="Arial"/>
        </w:rPr>
        <w:t xml:space="preserve">dieciséis </w:t>
      </w:r>
      <w:r w:rsidRPr="00C03481">
        <w:rPr>
          <w:rFonts w:asciiTheme="majorHAnsi" w:hAnsiTheme="majorHAnsi" w:cs="Arial"/>
        </w:rPr>
        <w:t xml:space="preserve">de </w:t>
      </w:r>
      <w:r>
        <w:rPr>
          <w:rFonts w:asciiTheme="majorHAnsi" w:hAnsiTheme="majorHAnsi" w:cs="Arial"/>
        </w:rPr>
        <w:t>setiembre</w:t>
      </w:r>
      <w:r w:rsidRPr="00C03481">
        <w:rPr>
          <w:rFonts w:asciiTheme="majorHAnsi" w:hAnsiTheme="majorHAnsi" w:cs="Arial"/>
        </w:rPr>
        <w:t xml:space="preserve"> de 2019.</w:t>
      </w:r>
    </w:p>
    <w:p w14:paraId="3AE2D566" w14:textId="77777777" w:rsidR="00361D17" w:rsidRPr="00C03481" w:rsidRDefault="00361D17" w:rsidP="00361D17">
      <w:pPr>
        <w:jc w:val="both"/>
        <w:rPr>
          <w:rFonts w:asciiTheme="majorHAnsi" w:hAnsiTheme="majorHAnsi" w:cs="Arial"/>
        </w:rPr>
      </w:pPr>
    </w:p>
    <w:p w14:paraId="2B218579" w14:textId="77777777" w:rsidR="00361D17" w:rsidRPr="00154CCC" w:rsidRDefault="00361D17" w:rsidP="00361D17">
      <w:pPr>
        <w:jc w:val="center"/>
        <w:rPr>
          <w:rFonts w:asciiTheme="majorHAnsi" w:eastAsiaTheme="minorHAnsi" w:hAnsiTheme="majorHAnsi" w:cs="Cambria"/>
          <w:b/>
          <w:bCs/>
          <w:sz w:val="28"/>
          <w:szCs w:val="28"/>
          <w:lang w:val="es-CR" w:eastAsia="en-US"/>
        </w:rPr>
      </w:pPr>
      <w:r w:rsidRPr="00154CCC">
        <w:rPr>
          <w:rFonts w:asciiTheme="majorHAnsi" w:eastAsiaTheme="minorHAnsi" w:hAnsiTheme="majorHAnsi" w:cs="Cambria"/>
          <w:b/>
          <w:bCs/>
          <w:sz w:val="28"/>
          <w:szCs w:val="28"/>
          <w:lang w:val="es-CR" w:eastAsia="en-US"/>
        </w:rPr>
        <w:t>CONSIDERANDO:</w:t>
      </w:r>
    </w:p>
    <w:p w14:paraId="400A2E27" w14:textId="77777777" w:rsidR="00361D17" w:rsidRPr="00C03481" w:rsidRDefault="00361D17" w:rsidP="00361D17">
      <w:pPr>
        <w:jc w:val="center"/>
        <w:rPr>
          <w:rFonts w:asciiTheme="majorHAnsi" w:eastAsiaTheme="minorHAnsi" w:hAnsiTheme="majorHAnsi" w:cs="Cambria"/>
          <w:b/>
          <w:bCs/>
          <w:lang w:val="es-CR" w:eastAsia="en-US"/>
        </w:rPr>
      </w:pPr>
    </w:p>
    <w:p w14:paraId="619954AC" w14:textId="77777777" w:rsidR="00361D17" w:rsidRPr="00C03481" w:rsidRDefault="00361D17" w:rsidP="00361D17">
      <w:pPr>
        <w:pStyle w:val="Prrafodelista"/>
        <w:numPr>
          <w:ilvl w:val="0"/>
          <w:numId w:val="1"/>
        </w:numPr>
        <w:ind w:left="561" w:hanging="561"/>
        <w:jc w:val="both"/>
        <w:rPr>
          <w:rFonts w:asciiTheme="majorHAnsi" w:hAnsiTheme="majorHAnsi" w:cs="Arial"/>
        </w:rPr>
      </w:pPr>
      <w:r w:rsidRPr="00C03481">
        <w:rPr>
          <w:rFonts w:asciiTheme="majorHAnsi" w:hAnsiTheme="majorHAnsi"/>
        </w:rPr>
        <w:t xml:space="preserve">Que el </w:t>
      </w:r>
      <w:r w:rsidRPr="00C03481">
        <w:rPr>
          <w:rFonts w:asciiTheme="majorHAnsi" w:hAnsiTheme="majorHAnsi"/>
          <w:i/>
        </w:rPr>
        <w:t>Consejo Nacional de Supervisión del Sistema Financiero</w:t>
      </w:r>
      <w:r w:rsidRPr="00C03481">
        <w:rPr>
          <w:rFonts w:asciiTheme="majorHAnsi" w:hAnsiTheme="majorHAnsi"/>
        </w:rPr>
        <w:t xml:space="preserve"> (CONASSIF), mediante artículos 6 y 5 de las actas de las sesiones 1442-2018 y 1443-2018, celebradas el 11 de setiembre de 2018, aprobó el </w:t>
      </w:r>
      <w:r w:rsidRPr="00C03481">
        <w:rPr>
          <w:rFonts w:asciiTheme="majorHAnsi" w:hAnsiTheme="majorHAnsi"/>
          <w:i/>
        </w:rPr>
        <w:t xml:space="preserve">Reglamento de Información Financiera </w:t>
      </w:r>
      <w:r w:rsidRPr="00C03481">
        <w:rPr>
          <w:rFonts w:asciiTheme="majorHAnsi" w:hAnsiTheme="majorHAnsi"/>
        </w:rPr>
        <w:t xml:space="preserve">(RIF) que aplica a todas las entidades supervisadas por las Superintendencias, el cual actualiza la base contable regulatoria con el propósito de avanzar en la adopción de las </w:t>
      </w:r>
      <w:r w:rsidRPr="00C03481">
        <w:rPr>
          <w:rFonts w:asciiTheme="majorHAnsi" w:hAnsiTheme="majorHAnsi" w:cs="Arial"/>
          <w:i/>
        </w:rPr>
        <w:t xml:space="preserve">Normas Internacionales de Información Financiera  </w:t>
      </w:r>
      <w:r w:rsidRPr="00C03481">
        <w:rPr>
          <w:rFonts w:asciiTheme="majorHAnsi" w:hAnsiTheme="majorHAnsi" w:cs="Arial"/>
        </w:rPr>
        <w:t>(NIIF)</w:t>
      </w:r>
      <w:r w:rsidRPr="00C03481">
        <w:rPr>
          <w:rFonts w:asciiTheme="majorHAnsi" w:hAnsiTheme="majorHAnsi"/>
        </w:rPr>
        <w:t xml:space="preserve"> con sus textos más recientes, y que entrará en vigor a partir del 1° de enero del 2020.</w:t>
      </w:r>
    </w:p>
    <w:p w14:paraId="525247C4" w14:textId="77777777" w:rsidR="00361D17" w:rsidRPr="00C03481" w:rsidRDefault="00361D17" w:rsidP="00361D17">
      <w:pPr>
        <w:pStyle w:val="Prrafodelista"/>
        <w:ind w:left="561"/>
        <w:jc w:val="both"/>
        <w:rPr>
          <w:rFonts w:asciiTheme="majorHAnsi" w:hAnsiTheme="majorHAnsi" w:cs="Arial"/>
        </w:rPr>
      </w:pPr>
    </w:p>
    <w:p w14:paraId="3997F8A7" w14:textId="77777777" w:rsidR="00361D17" w:rsidRPr="00C03481" w:rsidRDefault="00361D17" w:rsidP="00361D17">
      <w:pPr>
        <w:pStyle w:val="Prrafodelista"/>
        <w:numPr>
          <w:ilvl w:val="0"/>
          <w:numId w:val="2"/>
        </w:numPr>
        <w:ind w:left="561" w:hanging="561"/>
        <w:jc w:val="both"/>
        <w:rPr>
          <w:rFonts w:asciiTheme="majorHAnsi" w:hAnsiTheme="majorHAnsi" w:cs="Arial"/>
        </w:rPr>
      </w:pPr>
      <w:r w:rsidRPr="00C03481">
        <w:rPr>
          <w:rFonts w:asciiTheme="majorHAnsi" w:hAnsiTheme="majorHAnsi" w:cs="Arial"/>
        </w:rPr>
        <w:t>Que para efectos de implementar el nuevo reglamento, es necesario realizar ajustes a los sistemas que recopilan la información contable, así como todo acuerdo emitid</w:t>
      </w:r>
      <w:r>
        <w:rPr>
          <w:rFonts w:asciiTheme="majorHAnsi" w:hAnsiTheme="majorHAnsi" w:cs="Arial"/>
        </w:rPr>
        <w:t>o por el Superintendente que es</w:t>
      </w:r>
      <w:r w:rsidRPr="00C03481">
        <w:rPr>
          <w:rFonts w:asciiTheme="majorHAnsi" w:hAnsiTheme="majorHAnsi" w:cs="Arial"/>
        </w:rPr>
        <w:t xml:space="preserve"> afectado por esta nueva norma, de forma tal que sea congruente con lo dispuesto en el RIF.  En particular deben modificarse los siguientes acuerdos de Superintendente: SGS-DES-A-029-2013 denominado </w:t>
      </w:r>
      <w:r w:rsidRPr="00C03481">
        <w:rPr>
          <w:rFonts w:asciiTheme="majorHAnsi" w:hAnsiTheme="majorHAnsi" w:cs="Arial"/>
          <w:i/>
        </w:rPr>
        <w:t>Modificación Integral del Acuerdo SGS-A-009-2010 Lineamientos Generales para la Aplicación del Reglamento sobre la Solvencia de Entidades de Seguros y Reaseguros</w:t>
      </w:r>
      <w:r w:rsidRPr="00C03481">
        <w:rPr>
          <w:rFonts w:asciiTheme="majorHAnsi" w:hAnsiTheme="majorHAnsi" w:cs="Arial"/>
        </w:rPr>
        <w:t xml:space="preserve">, SGS-DES-A-028-2013 denominado </w:t>
      </w:r>
      <w:r w:rsidRPr="00C03481">
        <w:rPr>
          <w:rFonts w:asciiTheme="majorHAnsi" w:hAnsiTheme="majorHAnsi" w:cs="Arial"/>
          <w:i/>
        </w:rPr>
        <w:t>Guías de Aplicación Contable para la Actividad Aseguradora y Reaseguradora</w:t>
      </w:r>
      <w:r w:rsidRPr="00C03481">
        <w:rPr>
          <w:rFonts w:asciiTheme="majorHAnsi" w:hAnsiTheme="majorHAnsi" w:cs="Arial"/>
        </w:rPr>
        <w:t xml:space="preserve">, y SGS-DES-A-021-2013 </w:t>
      </w:r>
      <w:r w:rsidRPr="00C03481">
        <w:rPr>
          <w:rFonts w:asciiTheme="majorHAnsi" w:hAnsiTheme="majorHAnsi" w:cs="Arial"/>
          <w:i/>
        </w:rPr>
        <w:t>Disposiciones para la Remisión de la Información Contable y Estadística a la Superintendencia General de Seguros por parte de las Entidades Supervisadas</w:t>
      </w:r>
      <w:r w:rsidRPr="00C03481">
        <w:rPr>
          <w:rFonts w:asciiTheme="majorHAnsi" w:hAnsiTheme="majorHAnsi" w:cs="Arial"/>
        </w:rPr>
        <w:t>.</w:t>
      </w:r>
    </w:p>
    <w:p w14:paraId="162AFF54" w14:textId="77777777" w:rsidR="00361D17" w:rsidRPr="00C03481" w:rsidRDefault="00361D17" w:rsidP="00361D17">
      <w:pPr>
        <w:pStyle w:val="Prrafodelista"/>
        <w:ind w:left="561"/>
        <w:jc w:val="both"/>
        <w:rPr>
          <w:rFonts w:asciiTheme="majorHAnsi" w:hAnsiTheme="majorHAnsi" w:cs="Arial"/>
        </w:rPr>
      </w:pPr>
    </w:p>
    <w:p w14:paraId="0A91F922" w14:textId="77777777" w:rsidR="00361D17" w:rsidRPr="00C03481" w:rsidRDefault="00361D17" w:rsidP="00361D17">
      <w:pPr>
        <w:pStyle w:val="Prrafodelista"/>
        <w:numPr>
          <w:ilvl w:val="0"/>
          <w:numId w:val="3"/>
        </w:numPr>
        <w:ind w:left="561" w:hanging="561"/>
        <w:jc w:val="both"/>
        <w:rPr>
          <w:rFonts w:asciiTheme="majorHAnsi" w:hAnsiTheme="majorHAnsi"/>
          <w:bCs/>
        </w:rPr>
      </w:pPr>
      <w:r w:rsidRPr="00C03481">
        <w:rPr>
          <w:rFonts w:asciiTheme="majorHAnsi" w:hAnsiTheme="majorHAnsi"/>
          <w:bCs/>
        </w:rPr>
        <w:lastRenderedPageBreak/>
        <w:t xml:space="preserve">Que el artículo 31 del RIF en relación con los modelos de estados financieros señala que: </w:t>
      </w:r>
      <w:r w:rsidRPr="00C03481">
        <w:rPr>
          <w:rFonts w:asciiTheme="majorHAnsi" w:hAnsiTheme="majorHAnsi"/>
          <w:bCs/>
          <w:i/>
        </w:rPr>
        <w:t>“Las entidades supervisadas por SUGESE constituidas bajo la modalidad de sociedad anónima, asociación cooperativa, sucursal de una entidad de seguros extranjera, o creada por ley especial, deberán utilizar los modelos que para el efecto disponga el Superintendente…”</w:t>
      </w:r>
      <w:r w:rsidRPr="00C03481">
        <w:rPr>
          <w:rFonts w:asciiTheme="majorHAnsi" w:hAnsiTheme="majorHAnsi"/>
          <w:bCs/>
        </w:rPr>
        <w:t xml:space="preserve">, los cuales se encuentran definidos en el Anexo 5 del acuerdo SGS-DES-A-021-2013 </w:t>
      </w:r>
      <w:r w:rsidRPr="00C03481">
        <w:rPr>
          <w:rFonts w:asciiTheme="majorHAnsi" w:hAnsiTheme="majorHAnsi"/>
          <w:bCs/>
          <w:i/>
        </w:rPr>
        <w:t>Disposiciones para la Remisión de la Información Contable y Estadística a la Superintendencia General de Seguros por parte de las Entidades Supervisadas.</w:t>
      </w:r>
    </w:p>
    <w:p w14:paraId="1D0F48FF" w14:textId="77777777" w:rsidR="00361D17" w:rsidRPr="00C03481" w:rsidRDefault="00361D17" w:rsidP="00361D17">
      <w:pPr>
        <w:ind w:left="561" w:hanging="561"/>
        <w:contextualSpacing/>
        <w:jc w:val="both"/>
        <w:rPr>
          <w:rFonts w:asciiTheme="majorHAnsi" w:hAnsiTheme="majorHAnsi"/>
          <w:b/>
        </w:rPr>
      </w:pPr>
    </w:p>
    <w:p w14:paraId="6E702897" w14:textId="77777777" w:rsidR="00361D17" w:rsidRPr="00C03481" w:rsidRDefault="00361D17" w:rsidP="00361D17">
      <w:pPr>
        <w:pStyle w:val="Prrafodelista"/>
        <w:numPr>
          <w:ilvl w:val="0"/>
          <w:numId w:val="4"/>
        </w:numPr>
        <w:ind w:left="561" w:hanging="561"/>
        <w:jc w:val="both"/>
        <w:rPr>
          <w:rFonts w:asciiTheme="majorHAnsi" w:hAnsiTheme="majorHAnsi"/>
          <w:bCs/>
        </w:rPr>
      </w:pPr>
      <w:r w:rsidRPr="00C03481">
        <w:rPr>
          <w:rFonts w:asciiTheme="majorHAnsi" w:hAnsiTheme="majorHAnsi"/>
          <w:bCs/>
        </w:rPr>
        <w:t xml:space="preserve">Que mediante el artículo 12 del acta 12 de la sesión 1328-2017 celebrada el 2 de mayo del 2017, el CONASSIF incorporó en el artículo 6 del </w:t>
      </w:r>
      <w:r w:rsidRPr="00C03481">
        <w:rPr>
          <w:rFonts w:asciiTheme="majorHAnsi" w:hAnsiTheme="majorHAnsi"/>
          <w:bCs/>
          <w:i/>
        </w:rPr>
        <w:t>Reglamento sobre la solvencia de entidades de seguros y reaseguros,</w:t>
      </w:r>
      <w:r w:rsidRPr="00C03481">
        <w:rPr>
          <w:rFonts w:asciiTheme="majorHAnsi" w:hAnsiTheme="majorHAnsi"/>
          <w:bCs/>
        </w:rPr>
        <w:t xml:space="preserve"> como parte de las deducciones del capital primario, los requerimientos de capital adicional solicitados  por la Superintendencia ante riesgos específicos no considerados de manera expresa en la reglamentación,  como medida de actuación según lo establece el </w:t>
      </w:r>
      <w:r w:rsidRPr="00C03481">
        <w:rPr>
          <w:rFonts w:asciiTheme="majorHAnsi" w:hAnsiTheme="majorHAnsi"/>
          <w:bCs/>
          <w:i/>
        </w:rPr>
        <w:t>Marco Integrado de Supervisión de Seguros,</w:t>
      </w:r>
      <w:r w:rsidRPr="00C03481">
        <w:rPr>
          <w:rFonts w:asciiTheme="majorHAnsi" w:hAnsiTheme="majorHAnsi"/>
          <w:bCs/>
        </w:rPr>
        <w:t xml:space="preserve"> por lo que se hace necesario ajustar los lineamientos emitidos por el Superintendente sobre este tema.</w:t>
      </w:r>
    </w:p>
    <w:p w14:paraId="5FD20D68" w14:textId="77777777" w:rsidR="00361D17" w:rsidRPr="00C03481" w:rsidRDefault="00361D17" w:rsidP="00361D17">
      <w:pPr>
        <w:pStyle w:val="Prrafodelista"/>
        <w:ind w:left="561"/>
        <w:jc w:val="both"/>
        <w:rPr>
          <w:rFonts w:asciiTheme="majorHAnsi" w:hAnsiTheme="majorHAnsi"/>
          <w:bCs/>
        </w:rPr>
      </w:pPr>
    </w:p>
    <w:p w14:paraId="185945FF" w14:textId="77777777" w:rsidR="00361D17" w:rsidRPr="00C03481" w:rsidRDefault="00361D17" w:rsidP="00361D17">
      <w:pPr>
        <w:pStyle w:val="Prrafodelista"/>
        <w:numPr>
          <w:ilvl w:val="0"/>
          <w:numId w:val="5"/>
        </w:numPr>
        <w:ind w:left="561" w:hanging="561"/>
        <w:jc w:val="both"/>
        <w:rPr>
          <w:rFonts w:asciiTheme="majorHAnsi" w:hAnsiTheme="majorHAnsi"/>
          <w:bCs/>
        </w:rPr>
      </w:pPr>
      <w:r w:rsidRPr="00C03481">
        <w:rPr>
          <w:rFonts w:asciiTheme="majorHAnsi" w:hAnsiTheme="majorHAnsi"/>
          <w:bCs/>
        </w:rPr>
        <w:t xml:space="preserve">Que el artículo 35 del RIF sobre la remisión de estados financieros señala que: </w:t>
      </w:r>
      <w:r w:rsidRPr="00C03481">
        <w:rPr>
          <w:rFonts w:asciiTheme="majorHAnsi" w:hAnsiTheme="majorHAnsi"/>
          <w:bCs/>
          <w:i/>
        </w:rPr>
        <w:t>“Las entidades reguladas deberán remitir la información financiera por los medios que disponga el Superintendente del respectivo órgano supervisor.”</w:t>
      </w:r>
    </w:p>
    <w:p w14:paraId="33DEFABD" w14:textId="77777777" w:rsidR="00361D17" w:rsidRPr="00C03481" w:rsidRDefault="00361D17" w:rsidP="00361D17">
      <w:pPr>
        <w:pStyle w:val="Prrafodelista"/>
        <w:ind w:left="561"/>
        <w:jc w:val="both"/>
        <w:rPr>
          <w:rFonts w:asciiTheme="majorHAnsi" w:hAnsiTheme="majorHAnsi"/>
          <w:bCs/>
        </w:rPr>
      </w:pPr>
    </w:p>
    <w:p w14:paraId="0C45F9DB" w14:textId="77777777" w:rsidR="00361D17" w:rsidRPr="00C03481" w:rsidRDefault="00361D17" w:rsidP="00361D17">
      <w:pPr>
        <w:pStyle w:val="Prrafodelista"/>
        <w:numPr>
          <w:ilvl w:val="0"/>
          <w:numId w:val="6"/>
        </w:numPr>
        <w:ind w:left="561" w:hanging="561"/>
        <w:jc w:val="both"/>
        <w:rPr>
          <w:rFonts w:asciiTheme="majorHAnsi" w:hAnsiTheme="majorHAnsi"/>
          <w:bCs/>
        </w:rPr>
      </w:pPr>
      <w:r>
        <w:rPr>
          <w:rFonts w:asciiTheme="majorHAnsi" w:hAnsiTheme="majorHAnsi"/>
          <w:bCs/>
        </w:rPr>
        <w:t>Que s</w:t>
      </w:r>
      <w:r w:rsidRPr="00C03481">
        <w:rPr>
          <w:rFonts w:asciiTheme="majorHAnsi" w:hAnsiTheme="majorHAnsi"/>
          <w:bCs/>
        </w:rPr>
        <w:t>egún el artículo 29 de la Ley N° 8653, al Superintendente le aplica el artículo 180 de la LRMV, el cual permite a la Sugese utilizar medios electrónicos o magnéticos de transmisión y almacenamiento de datos, para solicitar información a las entidades supervisadas y para mantener sus archivos, actas y demás documentos. La información así mantenida tiene valor probatorio equivalente al de los documentos físicos para todos los efectos legales.</w:t>
      </w:r>
    </w:p>
    <w:p w14:paraId="738F0E30" w14:textId="77777777" w:rsidR="00361D17" w:rsidRPr="00C03481" w:rsidRDefault="00361D17" w:rsidP="00361D17">
      <w:pPr>
        <w:pStyle w:val="Prrafodelista"/>
        <w:ind w:left="561"/>
        <w:jc w:val="both"/>
        <w:rPr>
          <w:rFonts w:asciiTheme="majorHAnsi" w:hAnsiTheme="majorHAnsi"/>
          <w:bCs/>
        </w:rPr>
      </w:pPr>
    </w:p>
    <w:p w14:paraId="52203A27" w14:textId="77777777" w:rsidR="00361D17" w:rsidRPr="00C03481" w:rsidRDefault="00361D17" w:rsidP="00361D17">
      <w:pPr>
        <w:pStyle w:val="Prrafodelista"/>
        <w:numPr>
          <w:ilvl w:val="0"/>
          <w:numId w:val="7"/>
        </w:numPr>
        <w:ind w:left="561" w:hanging="561"/>
        <w:jc w:val="both"/>
        <w:rPr>
          <w:rFonts w:asciiTheme="majorHAnsi" w:hAnsiTheme="majorHAnsi"/>
          <w:b/>
          <w:bCs/>
        </w:rPr>
      </w:pPr>
      <w:r w:rsidRPr="00C03481">
        <w:rPr>
          <w:rFonts w:asciiTheme="majorHAnsi" w:hAnsiTheme="majorHAnsi"/>
          <w:bCs/>
        </w:rPr>
        <w:t>Que es conveniente, por costos y por simplificación de la normativa,  establecer un único medio para la remisión de los estados financieros intermedios (trimestrales) a la Superintendencia, en lugar de que éstos sean enviados por medio electrónicos y físicos, como se establece en la normativa vigente.</w:t>
      </w:r>
    </w:p>
    <w:p w14:paraId="3963C79B" w14:textId="77777777" w:rsidR="00361D17" w:rsidRPr="00C03481" w:rsidRDefault="00361D17" w:rsidP="00361D17">
      <w:pPr>
        <w:pStyle w:val="Prrafodelista"/>
        <w:ind w:left="561"/>
        <w:jc w:val="both"/>
        <w:rPr>
          <w:rFonts w:asciiTheme="majorHAnsi" w:hAnsiTheme="majorHAnsi"/>
          <w:b/>
          <w:bCs/>
        </w:rPr>
      </w:pPr>
    </w:p>
    <w:p w14:paraId="43ED4C31" w14:textId="77777777" w:rsidR="00361D17" w:rsidRPr="00C03481" w:rsidRDefault="00361D17" w:rsidP="00361D17">
      <w:pPr>
        <w:pStyle w:val="Prrafodelista"/>
        <w:numPr>
          <w:ilvl w:val="0"/>
          <w:numId w:val="8"/>
        </w:numPr>
        <w:ind w:left="561" w:hanging="561"/>
        <w:jc w:val="both"/>
        <w:rPr>
          <w:rFonts w:asciiTheme="majorHAnsi" w:hAnsiTheme="majorHAnsi"/>
          <w:bCs/>
        </w:rPr>
      </w:pPr>
      <w:r w:rsidRPr="00C03481">
        <w:rPr>
          <w:rFonts w:asciiTheme="majorHAnsi" w:hAnsiTheme="majorHAnsi"/>
          <w:bCs/>
        </w:rPr>
        <w:t xml:space="preserve">Que para la aplicación del </w:t>
      </w:r>
      <w:r w:rsidRPr="00C03481">
        <w:rPr>
          <w:rFonts w:asciiTheme="majorHAnsi" w:hAnsiTheme="majorHAnsi"/>
          <w:bCs/>
          <w:i/>
        </w:rPr>
        <w:t xml:space="preserve">Reglamento sobre la solvencia de entidades de seguros y reaseguros </w:t>
      </w:r>
      <w:r w:rsidRPr="00C03481">
        <w:rPr>
          <w:rFonts w:asciiTheme="majorHAnsi" w:hAnsiTheme="majorHAnsi"/>
          <w:bCs/>
        </w:rPr>
        <w:t xml:space="preserve">y para mejorar la supervisión de la solvencia de las entidades, se hace necesario ajustar el Anexo 4 del acuerdo SGS-DES-A-021-2013 con el fin de mejorar la recopilación de la información necesaria para el cálculo del </w:t>
      </w:r>
      <w:r w:rsidRPr="00C03481">
        <w:rPr>
          <w:rFonts w:asciiTheme="majorHAnsi" w:hAnsiTheme="majorHAnsi"/>
          <w:bCs/>
        </w:rPr>
        <w:lastRenderedPageBreak/>
        <w:t>requerimiento de capital por el riesgo de concentración del reaseguro cedido y facilitar la verificación de ésta.</w:t>
      </w:r>
    </w:p>
    <w:p w14:paraId="0190C733" w14:textId="77777777" w:rsidR="00361D17" w:rsidRPr="00C03481" w:rsidRDefault="00361D17" w:rsidP="00361D17">
      <w:pPr>
        <w:pStyle w:val="Prrafodelista"/>
        <w:ind w:left="561"/>
        <w:jc w:val="both"/>
        <w:rPr>
          <w:rFonts w:asciiTheme="majorHAnsi" w:hAnsiTheme="majorHAnsi"/>
          <w:bCs/>
        </w:rPr>
      </w:pPr>
    </w:p>
    <w:p w14:paraId="2A36A960" w14:textId="77777777" w:rsidR="00361D17" w:rsidRPr="00C03481" w:rsidRDefault="00361D17" w:rsidP="00361D17">
      <w:pPr>
        <w:pStyle w:val="Prrafodelista"/>
        <w:numPr>
          <w:ilvl w:val="0"/>
          <w:numId w:val="9"/>
        </w:numPr>
        <w:ind w:left="561" w:hanging="561"/>
        <w:jc w:val="both"/>
        <w:rPr>
          <w:rFonts w:asciiTheme="majorHAnsi" w:hAnsiTheme="majorHAnsi"/>
          <w:bCs/>
        </w:rPr>
      </w:pPr>
      <w:r w:rsidRPr="00DB00DD">
        <w:rPr>
          <w:rFonts w:asciiTheme="majorHAnsi" w:hAnsiTheme="majorHAnsi"/>
          <w:bCs/>
        </w:rPr>
        <w:t>Que mediante el artículo 8 del acta de la sesión 1433-2018 del 30 de julio de 2018, el Conassif aprobó en firme una serie de reformas reglamentarias que incluían, entre otras, la modificación</w:t>
      </w:r>
      <w:r w:rsidRPr="00C03481">
        <w:rPr>
          <w:rFonts w:asciiTheme="majorHAnsi" w:hAnsiTheme="majorHAnsi"/>
          <w:bCs/>
        </w:rPr>
        <w:t xml:space="preserve"> al Anexo 1 del Reglamento de Autorizaciones, Registros y Requisitos de Funcionamiento de Entidades Supervisadas por SUGESE  para incorporar dos nuevos ramos de seguros (Seguros Misceláneos Generales y Seguros Misceláneos Personales) y un Transitorio V para que dicho cambio entrara en vigencia </w:t>
      </w:r>
      <w:r w:rsidRPr="00C03481">
        <w:rPr>
          <w:rFonts w:asciiTheme="majorHAnsi" w:hAnsiTheme="majorHAnsi"/>
          <w:bCs/>
          <w:i/>
        </w:rPr>
        <w:t>“el primer día del mes siguiente a la finalización del periodo de seis meses posterior a la publicación de este acuerdo en el diario oficial La Gaceta”.</w:t>
      </w:r>
      <w:r w:rsidRPr="00C03481">
        <w:rPr>
          <w:rFonts w:asciiTheme="majorHAnsi" w:hAnsiTheme="majorHAnsi"/>
          <w:bCs/>
        </w:rPr>
        <w:t xml:space="preserve"> La publicación en referencia tuvo lugar el 22 de agosto de 2018, por lo cual la modificación en la estructura de ramos de seguros entró en vigencia el 1° de marzo de 2019.</w:t>
      </w:r>
    </w:p>
    <w:p w14:paraId="0E0C840C" w14:textId="77777777" w:rsidR="00361D17" w:rsidRPr="00C03481" w:rsidRDefault="00361D17" w:rsidP="00361D17">
      <w:pPr>
        <w:pStyle w:val="Prrafodelista"/>
        <w:ind w:left="561"/>
        <w:jc w:val="both"/>
        <w:rPr>
          <w:rFonts w:asciiTheme="majorHAnsi" w:hAnsiTheme="majorHAnsi"/>
          <w:bCs/>
        </w:rPr>
      </w:pPr>
    </w:p>
    <w:p w14:paraId="113279DF" w14:textId="77777777" w:rsidR="00361D17" w:rsidRPr="00C03481" w:rsidRDefault="00361D17" w:rsidP="00361D17">
      <w:pPr>
        <w:pStyle w:val="Prrafodelista"/>
        <w:numPr>
          <w:ilvl w:val="0"/>
          <w:numId w:val="9"/>
        </w:numPr>
        <w:ind w:left="561" w:hanging="561"/>
        <w:jc w:val="both"/>
        <w:rPr>
          <w:rFonts w:asciiTheme="majorHAnsi" w:hAnsiTheme="majorHAnsi"/>
          <w:b/>
          <w:bCs/>
        </w:rPr>
      </w:pPr>
      <w:r w:rsidRPr="00C03481">
        <w:rPr>
          <w:rFonts w:asciiTheme="majorHAnsi" w:hAnsiTheme="majorHAnsi"/>
          <w:bCs/>
        </w:rPr>
        <w:t>Que artículo 361 de la Ley General de la Administración Pública exige a la Administración conceder, a las entidades representativas de intereses de carácter general o corporativo afectadas por las normas que emite, 10 días hábiles para exponer su parecer y sugerir modificaciones.</w:t>
      </w:r>
    </w:p>
    <w:p w14:paraId="587A1001" w14:textId="77777777" w:rsidR="00361D17" w:rsidRPr="00C03481" w:rsidRDefault="00361D17" w:rsidP="00361D17">
      <w:pPr>
        <w:jc w:val="both"/>
        <w:rPr>
          <w:rFonts w:asciiTheme="majorHAnsi" w:hAnsiTheme="majorHAnsi"/>
          <w:b/>
          <w:bCs/>
        </w:rPr>
      </w:pPr>
    </w:p>
    <w:p w14:paraId="5DC4CA18" w14:textId="77777777" w:rsidR="00361D17" w:rsidRPr="00C03481" w:rsidRDefault="00361D17" w:rsidP="00361D17">
      <w:pPr>
        <w:pStyle w:val="Prrafodelista"/>
        <w:numPr>
          <w:ilvl w:val="0"/>
          <w:numId w:val="9"/>
        </w:numPr>
        <w:ind w:left="600" w:hanging="567"/>
        <w:jc w:val="both"/>
        <w:rPr>
          <w:rFonts w:asciiTheme="majorHAnsi" w:hAnsiTheme="majorHAnsi"/>
          <w:bCs/>
        </w:rPr>
      </w:pPr>
      <w:r w:rsidRPr="00C03481">
        <w:rPr>
          <w:rFonts w:asciiTheme="majorHAnsi" w:hAnsiTheme="majorHAnsi"/>
          <w:bCs/>
        </w:rPr>
        <w:t xml:space="preserve">Que  de conformidad con el artículo 361 de la Ley General de la Administración Pública,  mediante oficio SGS-0552-2019 del 20 de mayo de 2019 la Superintendencia remitió en consulta a las entidades supervisadas el proyecto de acuerdo denominado </w:t>
      </w:r>
      <w:r w:rsidRPr="00C03481">
        <w:rPr>
          <w:rFonts w:asciiTheme="majorHAnsi" w:hAnsiTheme="majorHAnsi"/>
          <w:bCs/>
          <w:i/>
        </w:rPr>
        <w:t>Modificación de Acuerdos del Superintendente relacionados con la aplicación del Reglamento de Información Financiera que regirá a partir del 1° de Enero de 2020 para el mejor cumplimiento de las NIIF</w:t>
      </w:r>
      <w:r w:rsidRPr="00C03481">
        <w:rPr>
          <w:rFonts w:asciiTheme="majorHAnsi" w:hAnsiTheme="majorHAnsi"/>
          <w:bCs/>
        </w:rPr>
        <w:t xml:space="preserve">, otorgando a las entidades un plazo de diez días hábiles para la remisión de observaciones y comentarios. </w:t>
      </w:r>
    </w:p>
    <w:p w14:paraId="6189E710" w14:textId="77777777" w:rsidR="00361D17" w:rsidRPr="00C03481" w:rsidRDefault="00361D17" w:rsidP="00361D17">
      <w:pPr>
        <w:jc w:val="both"/>
        <w:rPr>
          <w:rFonts w:asciiTheme="majorHAnsi" w:hAnsiTheme="majorHAnsi"/>
          <w:bCs/>
        </w:rPr>
      </w:pPr>
    </w:p>
    <w:p w14:paraId="027243AF" w14:textId="77777777" w:rsidR="00361D17" w:rsidRPr="00C03481" w:rsidRDefault="00361D17" w:rsidP="00361D17">
      <w:pPr>
        <w:pStyle w:val="Prrafodelista"/>
        <w:numPr>
          <w:ilvl w:val="0"/>
          <w:numId w:val="9"/>
        </w:numPr>
        <w:ind w:left="600" w:hanging="567"/>
        <w:jc w:val="both"/>
        <w:rPr>
          <w:rFonts w:asciiTheme="majorHAnsi" w:hAnsiTheme="majorHAnsi"/>
          <w:bCs/>
        </w:rPr>
      </w:pPr>
      <w:r w:rsidRPr="00C03481">
        <w:rPr>
          <w:rFonts w:asciiTheme="majorHAnsi" w:hAnsiTheme="majorHAnsi"/>
          <w:lang w:val="es-CR"/>
        </w:rPr>
        <w:t>Finalizado el plazo de consulta, los comentarios y observaciones recibidos por la Superintendencia fueron analizados e incorporados, en lo que resulta procedente, en la versión final del acuerdo.</w:t>
      </w:r>
    </w:p>
    <w:p w14:paraId="749B2F24" w14:textId="77777777" w:rsidR="00361D17" w:rsidRDefault="00361D17" w:rsidP="00361D17">
      <w:pPr>
        <w:jc w:val="both"/>
        <w:rPr>
          <w:rFonts w:asciiTheme="majorHAnsi" w:hAnsiTheme="majorHAnsi"/>
          <w:b/>
          <w:bCs/>
        </w:rPr>
      </w:pPr>
    </w:p>
    <w:p w14:paraId="006C7C7C" w14:textId="77777777" w:rsidR="00361D17" w:rsidRDefault="00361D17" w:rsidP="00361D17">
      <w:pPr>
        <w:jc w:val="both"/>
        <w:rPr>
          <w:rFonts w:asciiTheme="majorHAnsi" w:hAnsiTheme="majorHAnsi"/>
          <w:b/>
          <w:bCs/>
        </w:rPr>
      </w:pPr>
    </w:p>
    <w:p w14:paraId="5CF04396" w14:textId="77777777" w:rsidR="00361D17" w:rsidRPr="00154CCC" w:rsidRDefault="00361D17" w:rsidP="00361D17">
      <w:pPr>
        <w:jc w:val="center"/>
        <w:rPr>
          <w:rFonts w:asciiTheme="majorHAnsi" w:hAnsiTheme="majorHAnsi"/>
          <w:b/>
          <w:bCs/>
          <w:sz w:val="28"/>
          <w:szCs w:val="28"/>
        </w:rPr>
      </w:pPr>
      <w:r w:rsidRPr="00154CCC">
        <w:rPr>
          <w:rFonts w:asciiTheme="majorHAnsi" w:hAnsiTheme="majorHAnsi"/>
          <w:b/>
          <w:bCs/>
          <w:sz w:val="28"/>
          <w:szCs w:val="28"/>
        </w:rPr>
        <w:t>ACUERDA:</w:t>
      </w:r>
    </w:p>
    <w:p w14:paraId="085DC796" w14:textId="77777777" w:rsidR="00361D17" w:rsidRPr="00C03481" w:rsidRDefault="00361D17" w:rsidP="00361D17">
      <w:pPr>
        <w:jc w:val="both"/>
        <w:rPr>
          <w:rFonts w:asciiTheme="majorHAnsi" w:hAnsiTheme="majorHAnsi"/>
          <w:b/>
          <w:bCs/>
        </w:rPr>
      </w:pPr>
    </w:p>
    <w:p w14:paraId="10BE6843" w14:textId="77777777" w:rsidR="00361D17" w:rsidRPr="00154CCC" w:rsidRDefault="00361D17" w:rsidP="00361D17">
      <w:pPr>
        <w:pStyle w:val="Prrafodelista"/>
        <w:ind w:left="0"/>
        <w:jc w:val="both"/>
        <w:rPr>
          <w:rFonts w:asciiTheme="majorHAnsi" w:hAnsiTheme="majorHAnsi"/>
          <w:bCs/>
          <w:sz w:val="28"/>
          <w:szCs w:val="28"/>
        </w:rPr>
      </w:pPr>
      <w:r w:rsidRPr="00154CCC">
        <w:rPr>
          <w:rFonts w:asciiTheme="majorHAnsi" w:hAnsiTheme="majorHAnsi"/>
          <w:b/>
          <w:bCs/>
          <w:sz w:val="28"/>
          <w:szCs w:val="28"/>
        </w:rPr>
        <w:t>PRIMERO</w:t>
      </w:r>
      <w:r w:rsidRPr="00154CCC">
        <w:rPr>
          <w:rFonts w:asciiTheme="majorHAnsi" w:hAnsiTheme="majorHAnsi"/>
          <w:bCs/>
          <w:sz w:val="28"/>
          <w:szCs w:val="28"/>
        </w:rPr>
        <w:t>: Modificar los artículos 2 y 3 del acuerdo SGS-DES-A-029-2013 denominado</w:t>
      </w:r>
      <w:r w:rsidRPr="00154CCC">
        <w:rPr>
          <w:rFonts w:asciiTheme="majorHAnsi" w:hAnsiTheme="majorHAnsi"/>
          <w:bCs/>
          <w:i/>
          <w:sz w:val="28"/>
          <w:szCs w:val="28"/>
        </w:rPr>
        <w:t xml:space="preserve"> Modificación Integral del Acuerdo SGS-A-009-2010 </w:t>
      </w:r>
      <w:r w:rsidRPr="00154CCC">
        <w:rPr>
          <w:rFonts w:asciiTheme="majorHAnsi" w:hAnsiTheme="majorHAnsi"/>
          <w:bCs/>
          <w:i/>
          <w:sz w:val="28"/>
          <w:szCs w:val="28"/>
        </w:rPr>
        <w:lastRenderedPageBreak/>
        <w:t xml:space="preserve">Lineamientos Generales para la Aplicación del Reglamento sobre la Solvencia de Entidades de Seguros y Reaseguros, </w:t>
      </w:r>
      <w:r w:rsidRPr="00154CCC">
        <w:rPr>
          <w:rFonts w:asciiTheme="majorHAnsi" w:hAnsiTheme="majorHAnsi"/>
          <w:bCs/>
          <w:sz w:val="28"/>
          <w:szCs w:val="28"/>
        </w:rPr>
        <w:t>de forma que se lean como sigue:</w:t>
      </w:r>
    </w:p>
    <w:p w14:paraId="73B2909A" w14:textId="77777777" w:rsidR="00361D17" w:rsidRPr="00C03481" w:rsidRDefault="00361D17" w:rsidP="00361D17">
      <w:pPr>
        <w:pStyle w:val="Prrafodelista"/>
        <w:ind w:left="0"/>
        <w:jc w:val="both"/>
        <w:rPr>
          <w:rFonts w:asciiTheme="majorHAnsi" w:hAnsiTheme="majorHAnsi"/>
          <w:b/>
          <w:bCs/>
        </w:rPr>
      </w:pPr>
    </w:p>
    <w:p w14:paraId="246261FA" w14:textId="77777777" w:rsidR="00361D17" w:rsidRPr="00C03481" w:rsidRDefault="00361D17" w:rsidP="00361D17">
      <w:pPr>
        <w:jc w:val="both"/>
        <w:rPr>
          <w:rFonts w:asciiTheme="majorHAnsi" w:hAnsiTheme="majorHAnsi" w:cs="Arial"/>
        </w:rPr>
      </w:pPr>
      <w:r>
        <w:rPr>
          <w:rFonts w:asciiTheme="majorHAnsi" w:hAnsiTheme="majorHAnsi" w:cs="Arial"/>
          <w:b/>
        </w:rPr>
        <w:t>“</w:t>
      </w:r>
      <w:r w:rsidRPr="00C03481">
        <w:rPr>
          <w:rFonts w:asciiTheme="majorHAnsi" w:hAnsiTheme="majorHAnsi" w:cs="Arial"/>
          <w:b/>
        </w:rPr>
        <w:t>Artículo 2: Objetivo del Capítulo I</w:t>
      </w:r>
    </w:p>
    <w:p w14:paraId="6D557B60" w14:textId="77777777" w:rsidR="00361D17" w:rsidRDefault="00361D17" w:rsidP="00361D17">
      <w:pPr>
        <w:autoSpaceDE w:val="0"/>
        <w:autoSpaceDN w:val="0"/>
        <w:adjustRightInd w:val="0"/>
        <w:jc w:val="both"/>
        <w:rPr>
          <w:rFonts w:asciiTheme="majorHAnsi" w:hAnsiTheme="majorHAnsi" w:cs="Arial"/>
        </w:rPr>
      </w:pPr>
    </w:p>
    <w:p w14:paraId="036AFDA0" w14:textId="77777777" w:rsidR="00361D17" w:rsidRPr="00C03481" w:rsidRDefault="00361D17" w:rsidP="00361D17">
      <w:pPr>
        <w:autoSpaceDE w:val="0"/>
        <w:autoSpaceDN w:val="0"/>
        <w:adjustRightInd w:val="0"/>
        <w:jc w:val="both"/>
        <w:rPr>
          <w:rFonts w:asciiTheme="majorHAnsi" w:hAnsiTheme="majorHAnsi" w:cs="Arial"/>
        </w:rPr>
      </w:pPr>
      <w:r w:rsidRPr="00C03481">
        <w:rPr>
          <w:rFonts w:asciiTheme="majorHAnsi" w:hAnsiTheme="majorHAnsi" w:cs="Arial"/>
        </w:rPr>
        <w:t>Definir las cuentas para el cálculo del Capital Base establecido en los artículos 5, 6, 7 y 8 del Reglamento, a partir del catálogo de cuentas definido en el Reglamento de Información Financiera aprobado por el Consejo Nacional de Supervisión del Sistema Financiero para las Entidades de Seguros.</w:t>
      </w:r>
    </w:p>
    <w:p w14:paraId="3A909E65" w14:textId="77777777" w:rsidR="00361D17" w:rsidRPr="00C03481" w:rsidRDefault="00361D17" w:rsidP="00361D17">
      <w:pPr>
        <w:jc w:val="both"/>
        <w:rPr>
          <w:rFonts w:asciiTheme="majorHAnsi" w:hAnsiTheme="majorHAnsi"/>
          <w:b/>
        </w:rPr>
      </w:pPr>
    </w:p>
    <w:p w14:paraId="5919562B" w14:textId="77777777" w:rsidR="00361D17" w:rsidRPr="003E0934" w:rsidRDefault="00361D17" w:rsidP="00361D17">
      <w:pPr>
        <w:jc w:val="both"/>
        <w:rPr>
          <w:rFonts w:ascii="Cambria" w:hAnsi="Cambria" w:cs="Arial"/>
          <w:b/>
        </w:rPr>
      </w:pPr>
      <w:r w:rsidRPr="003E0934">
        <w:rPr>
          <w:rFonts w:ascii="Cambria" w:hAnsi="Cambria" w:cs="Arial"/>
          <w:b/>
        </w:rPr>
        <w:t>Artículo 3: Códigos de las Cuentas que intervienen en el cálculo</w:t>
      </w:r>
    </w:p>
    <w:p w14:paraId="3C0B826B" w14:textId="77777777" w:rsidR="00361D17" w:rsidRPr="003E0934" w:rsidRDefault="00361D17" w:rsidP="00361D17">
      <w:pPr>
        <w:jc w:val="both"/>
        <w:rPr>
          <w:rFonts w:ascii="Cambria" w:hAnsi="Cambria" w:cs="Arial"/>
          <w:b/>
        </w:rPr>
      </w:pPr>
    </w:p>
    <w:p w14:paraId="209711B3" w14:textId="77777777" w:rsidR="00361D17" w:rsidRPr="003E0934" w:rsidRDefault="00361D17" w:rsidP="00361D17">
      <w:pPr>
        <w:jc w:val="both"/>
        <w:rPr>
          <w:rFonts w:ascii="Cambria" w:hAnsi="Cambria" w:cs="Arial"/>
        </w:rPr>
      </w:pPr>
      <w:r w:rsidRPr="003E0934">
        <w:rPr>
          <w:rFonts w:ascii="Cambria" w:hAnsi="Cambria" w:cs="Arial"/>
        </w:rPr>
        <w:t>El capital base se calcula de acuerdo con el siguiente detalle:</w:t>
      </w:r>
    </w:p>
    <w:p w14:paraId="54BEED59" w14:textId="77777777" w:rsidR="00361D17" w:rsidRDefault="00361D17" w:rsidP="00361D17">
      <w:pPr>
        <w:rPr>
          <w:rFonts w:ascii="Cambria" w:hAnsi="Cambria" w:cs="Arial"/>
          <w:b/>
        </w:rPr>
      </w:pPr>
    </w:p>
    <w:p w14:paraId="3BA44E0B" w14:textId="77777777" w:rsidR="00361D17" w:rsidRDefault="00361D17" w:rsidP="00361D17">
      <w:pPr>
        <w:jc w:val="center"/>
        <w:rPr>
          <w:rFonts w:ascii="Cambria" w:hAnsi="Cambria" w:cs="Arial"/>
          <w:b/>
        </w:rPr>
      </w:pPr>
    </w:p>
    <w:p w14:paraId="2952C640" w14:textId="77777777" w:rsidR="00361D17" w:rsidRPr="003E0934" w:rsidRDefault="00361D17" w:rsidP="00361D17">
      <w:pPr>
        <w:jc w:val="center"/>
        <w:rPr>
          <w:rFonts w:ascii="Cambria" w:hAnsi="Cambria" w:cs="Arial"/>
          <w:b/>
        </w:rPr>
      </w:pPr>
      <w:r w:rsidRPr="003E0934">
        <w:rPr>
          <w:rFonts w:ascii="Cambria" w:hAnsi="Cambria" w:cs="Arial"/>
          <w:b/>
        </w:rPr>
        <w:t>CAPITAL PRIMARIO</w:t>
      </w:r>
    </w:p>
    <w:p w14:paraId="678C5F50" w14:textId="77777777" w:rsidR="00361D17" w:rsidRPr="003E0934" w:rsidRDefault="00361D17" w:rsidP="00361D17">
      <w:pPr>
        <w:rPr>
          <w:rFonts w:ascii="Cambria" w:hAnsi="Cambria" w:cs="Arial"/>
          <w:b/>
          <w:i/>
        </w:rPr>
      </w:pPr>
      <w:r w:rsidRPr="003E0934">
        <w:rPr>
          <w:rFonts w:ascii="Cambria" w:hAnsi="Cambria" w:cs="Arial"/>
          <w:b/>
          <w:i/>
        </w:rPr>
        <w:t>Partidas que suman:</w:t>
      </w:r>
    </w:p>
    <w:p w14:paraId="0F3166A5" w14:textId="77777777" w:rsidR="00361D17" w:rsidRDefault="00361D17" w:rsidP="00361D17">
      <w:pPr>
        <w:jc w:val="both"/>
        <w:rPr>
          <w:rFonts w:ascii="Cambria" w:hAnsi="Cambria"/>
          <w:b/>
        </w:rPr>
      </w:pPr>
    </w:p>
    <w:tbl>
      <w:tblPr>
        <w:tblpPr w:leftFromText="141" w:rightFromText="141" w:vertAnchor="text" w:horzAnchor="margin" w:tblpY="-201"/>
        <w:tblOverlap w:val="never"/>
        <w:tblW w:w="8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9"/>
        <w:gridCol w:w="4736"/>
      </w:tblGrid>
      <w:tr w:rsidR="00361D17" w:rsidRPr="003E0934" w14:paraId="4E72B7A8" w14:textId="77777777" w:rsidTr="007B43AB">
        <w:trPr>
          <w:trHeight w:val="555"/>
          <w:tblHeader/>
        </w:trPr>
        <w:tc>
          <w:tcPr>
            <w:tcW w:w="4059" w:type="dxa"/>
            <w:shd w:val="clear" w:color="auto" w:fill="BFBFBF" w:themeFill="background1" w:themeFillShade="BF"/>
            <w:vAlign w:val="center"/>
          </w:tcPr>
          <w:p w14:paraId="753B6E9A" w14:textId="77777777" w:rsidR="00361D17" w:rsidRPr="003E0934" w:rsidRDefault="00361D17" w:rsidP="007B43AB">
            <w:pPr>
              <w:jc w:val="center"/>
              <w:rPr>
                <w:rFonts w:ascii="Cambria" w:hAnsi="Cambria" w:cs="Arial"/>
                <w:b/>
                <w:i/>
              </w:rPr>
            </w:pPr>
            <w:r w:rsidRPr="003E0934">
              <w:rPr>
                <w:rFonts w:ascii="Cambria" w:hAnsi="Cambria" w:cs="Arial"/>
                <w:b/>
                <w:i/>
              </w:rPr>
              <w:t>Número de Cuenta</w:t>
            </w:r>
          </w:p>
        </w:tc>
        <w:tc>
          <w:tcPr>
            <w:tcW w:w="4736" w:type="dxa"/>
            <w:shd w:val="clear" w:color="auto" w:fill="BFBFBF" w:themeFill="background1" w:themeFillShade="BF"/>
            <w:vAlign w:val="center"/>
          </w:tcPr>
          <w:p w14:paraId="040EFFA9" w14:textId="77777777" w:rsidR="00361D17" w:rsidRPr="003E0934" w:rsidRDefault="00361D17" w:rsidP="007B43AB">
            <w:pPr>
              <w:jc w:val="center"/>
              <w:rPr>
                <w:rFonts w:ascii="Cambria" w:hAnsi="Cambria" w:cs="Arial"/>
                <w:b/>
                <w:i/>
              </w:rPr>
            </w:pPr>
            <w:r w:rsidRPr="003E0934">
              <w:rPr>
                <w:rFonts w:ascii="Cambria" w:hAnsi="Cambria" w:cs="Arial"/>
                <w:b/>
                <w:i/>
              </w:rPr>
              <w:t>Descripción</w:t>
            </w:r>
          </w:p>
        </w:tc>
      </w:tr>
      <w:tr w:rsidR="00361D17" w:rsidRPr="003E0934" w14:paraId="48C76A44" w14:textId="77777777" w:rsidTr="007B43AB">
        <w:trPr>
          <w:trHeight w:val="167"/>
        </w:trPr>
        <w:tc>
          <w:tcPr>
            <w:tcW w:w="4059" w:type="dxa"/>
            <w:vAlign w:val="center"/>
          </w:tcPr>
          <w:p w14:paraId="21FC89E4" w14:textId="77777777" w:rsidR="00361D17" w:rsidRPr="003E0934" w:rsidRDefault="00361D17" w:rsidP="007B43AB">
            <w:pPr>
              <w:rPr>
                <w:rFonts w:ascii="Cambria" w:hAnsi="Cambria" w:cs="Arial"/>
              </w:rPr>
            </w:pPr>
            <w:r w:rsidRPr="003E0934">
              <w:rPr>
                <w:rFonts w:ascii="Cambria" w:hAnsi="Cambria" w:cs="Arial"/>
              </w:rPr>
              <w:t>3.010.010.010</w:t>
            </w:r>
          </w:p>
        </w:tc>
        <w:tc>
          <w:tcPr>
            <w:tcW w:w="4736" w:type="dxa"/>
          </w:tcPr>
          <w:p w14:paraId="7042ABD8" w14:textId="77777777" w:rsidR="00361D17" w:rsidRPr="003E0934" w:rsidRDefault="00361D17" w:rsidP="007B43AB">
            <w:pPr>
              <w:jc w:val="both"/>
              <w:rPr>
                <w:rFonts w:ascii="Cambria" w:hAnsi="Cambria" w:cs="Arial"/>
              </w:rPr>
            </w:pPr>
            <w:r w:rsidRPr="003E0934">
              <w:rPr>
                <w:rFonts w:ascii="Cambria" w:hAnsi="Cambria" w:cs="Arial"/>
              </w:rPr>
              <w:t>Capital pagado ordinario</w:t>
            </w:r>
          </w:p>
        </w:tc>
      </w:tr>
      <w:tr w:rsidR="00361D17" w:rsidRPr="003E0934" w14:paraId="6ACFEB71" w14:textId="77777777" w:rsidTr="007B43AB">
        <w:trPr>
          <w:trHeight w:val="177"/>
        </w:trPr>
        <w:tc>
          <w:tcPr>
            <w:tcW w:w="4059" w:type="dxa"/>
            <w:vAlign w:val="center"/>
          </w:tcPr>
          <w:p w14:paraId="254482A7" w14:textId="77777777" w:rsidR="00361D17" w:rsidRPr="003E0934" w:rsidRDefault="00361D17" w:rsidP="007B43AB">
            <w:pPr>
              <w:tabs>
                <w:tab w:val="left" w:pos="2662"/>
              </w:tabs>
              <w:rPr>
                <w:rFonts w:ascii="Cambria" w:hAnsi="Cambria" w:cs="Arial"/>
              </w:rPr>
            </w:pPr>
            <w:r w:rsidRPr="003E0934">
              <w:rPr>
                <w:rFonts w:ascii="Cambria" w:hAnsi="Cambria" w:cs="Arial"/>
              </w:rPr>
              <w:t>3.010.010.020.M.020</w:t>
            </w:r>
          </w:p>
        </w:tc>
        <w:tc>
          <w:tcPr>
            <w:tcW w:w="4736" w:type="dxa"/>
          </w:tcPr>
          <w:p w14:paraId="5055133D" w14:textId="77777777" w:rsidR="00361D17" w:rsidRPr="003E0934" w:rsidRDefault="00361D17" w:rsidP="007B43AB">
            <w:pPr>
              <w:jc w:val="both"/>
              <w:rPr>
                <w:rFonts w:ascii="Cambria" w:hAnsi="Cambria" w:cs="Arial"/>
              </w:rPr>
            </w:pPr>
            <w:r w:rsidRPr="003E0934">
              <w:rPr>
                <w:rFonts w:ascii="Cambria" w:hAnsi="Cambria" w:cs="Arial"/>
              </w:rPr>
              <w:t>Capital preferente con dividendo no acumulativo</w:t>
            </w:r>
          </w:p>
        </w:tc>
      </w:tr>
      <w:tr w:rsidR="00361D17" w:rsidRPr="003E0934" w14:paraId="31C7A60A" w14:textId="77777777" w:rsidTr="007B43AB">
        <w:trPr>
          <w:trHeight w:val="691"/>
        </w:trPr>
        <w:tc>
          <w:tcPr>
            <w:tcW w:w="4059" w:type="dxa"/>
            <w:vAlign w:val="center"/>
          </w:tcPr>
          <w:p w14:paraId="4588378D" w14:textId="77777777" w:rsidR="00361D17" w:rsidRPr="003E0934" w:rsidRDefault="00361D17" w:rsidP="007B43AB">
            <w:pPr>
              <w:rPr>
                <w:rFonts w:ascii="Cambria" w:hAnsi="Cambria" w:cs="Arial"/>
              </w:rPr>
            </w:pPr>
            <w:r w:rsidRPr="003E0934">
              <w:rPr>
                <w:rFonts w:ascii="Cambria" w:hAnsi="Cambria" w:cs="Arial"/>
              </w:rPr>
              <w:t>3.010.010.060</w:t>
            </w:r>
          </w:p>
        </w:tc>
        <w:tc>
          <w:tcPr>
            <w:tcW w:w="4736" w:type="dxa"/>
          </w:tcPr>
          <w:p w14:paraId="15C7EC79" w14:textId="77777777" w:rsidR="00361D17" w:rsidRPr="003E0934" w:rsidRDefault="00361D17" w:rsidP="007B43AB">
            <w:pPr>
              <w:jc w:val="both"/>
              <w:rPr>
                <w:rFonts w:ascii="Cambria" w:hAnsi="Cambria" w:cs="Arial"/>
              </w:rPr>
            </w:pPr>
            <w:r w:rsidRPr="003E0934">
              <w:rPr>
                <w:rFonts w:ascii="Cambria" w:hAnsi="Cambria" w:cs="Arial"/>
              </w:rPr>
              <w:t>Aportes para el mantenimiento del capital mínimo obligatorio de entidades aseguradoras y reaseguradoras por revaloración de las Unidades de Desarrollo</w:t>
            </w:r>
          </w:p>
        </w:tc>
      </w:tr>
      <w:tr w:rsidR="00361D17" w:rsidRPr="003E0934" w14:paraId="5628F287" w14:textId="77777777" w:rsidTr="007B43AB">
        <w:trPr>
          <w:trHeight w:val="167"/>
        </w:trPr>
        <w:tc>
          <w:tcPr>
            <w:tcW w:w="4059" w:type="dxa"/>
            <w:vAlign w:val="center"/>
          </w:tcPr>
          <w:p w14:paraId="53399D6E" w14:textId="77777777" w:rsidR="00361D17" w:rsidRPr="003E0934" w:rsidRDefault="00361D17" w:rsidP="007B43AB">
            <w:pPr>
              <w:rPr>
                <w:rFonts w:ascii="Cambria" w:hAnsi="Cambria" w:cs="Arial"/>
              </w:rPr>
            </w:pPr>
            <w:r w:rsidRPr="003E0934">
              <w:rPr>
                <w:rFonts w:ascii="Cambria" w:hAnsi="Cambria" w:cs="Arial"/>
              </w:rPr>
              <w:t>3.010.020</w:t>
            </w:r>
          </w:p>
        </w:tc>
        <w:tc>
          <w:tcPr>
            <w:tcW w:w="4736" w:type="dxa"/>
          </w:tcPr>
          <w:p w14:paraId="64596FF5" w14:textId="77777777" w:rsidR="00361D17" w:rsidRPr="003E0934" w:rsidRDefault="00361D17" w:rsidP="007B43AB">
            <w:pPr>
              <w:jc w:val="both"/>
              <w:rPr>
                <w:rFonts w:ascii="Cambria" w:hAnsi="Cambria" w:cs="Arial"/>
              </w:rPr>
            </w:pPr>
            <w:r w:rsidRPr="003E0934">
              <w:rPr>
                <w:rFonts w:ascii="Cambria" w:hAnsi="Cambria" w:cs="Arial"/>
              </w:rPr>
              <w:t>Capital donado</w:t>
            </w:r>
          </w:p>
        </w:tc>
      </w:tr>
      <w:tr w:rsidR="00361D17" w:rsidRPr="003E0934" w14:paraId="686FD6A2" w14:textId="77777777" w:rsidTr="007B43AB">
        <w:trPr>
          <w:trHeight w:val="177"/>
        </w:trPr>
        <w:tc>
          <w:tcPr>
            <w:tcW w:w="4059" w:type="dxa"/>
            <w:vAlign w:val="center"/>
          </w:tcPr>
          <w:p w14:paraId="7BED0DCA" w14:textId="77777777" w:rsidR="00361D17" w:rsidRPr="003E0934" w:rsidRDefault="00361D17" w:rsidP="007B43AB">
            <w:pPr>
              <w:rPr>
                <w:rFonts w:ascii="Cambria" w:hAnsi="Cambria" w:cs="Arial"/>
              </w:rPr>
            </w:pPr>
            <w:r w:rsidRPr="003E0934">
              <w:rPr>
                <w:rFonts w:ascii="Cambria" w:hAnsi="Cambria" w:cs="Arial"/>
              </w:rPr>
              <w:t>3.020.010</w:t>
            </w:r>
          </w:p>
        </w:tc>
        <w:tc>
          <w:tcPr>
            <w:tcW w:w="4736" w:type="dxa"/>
          </w:tcPr>
          <w:p w14:paraId="5036FC09" w14:textId="77777777" w:rsidR="00361D17" w:rsidRPr="003E0934" w:rsidRDefault="00361D17" w:rsidP="007B43AB">
            <w:pPr>
              <w:jc w:val="both"/>
              <w:rPr>
                <w:rFonts w:ascii="Cambria" w:hAnsi="Cambria" w:cs="Arial"/>
              </w:rPr>
            </w:pPr>
            <w:r w:rsidRPr="003E0934">
              <w:rPr>
                <w:rFonts w:ascii="Cambria" w:hAnsi="Cambria" w:cs="Arial"/>
              </w:rPr>
              <w:t>Capital pagado adicional</w:t>
            </w:r>
          </w:p>
        </w:tc>
      </w:tr>
      <w:tr w:rsidR="00361D17" w:rsidRPr="003E0934" w14:paraId="0D5836D2" w14:textId="77777777" w:rsidTr="007B43AB">
        <w:trPr>
          <w:trHeight w:val="177"/>
        </w:trPr>
        <w:tc>
          <w:tcPr>
            <w:tcW w:w="4059" w:type="dxa"/>
            <w:vAlign w:val="center"/>
          </w:tcPr>
          <w:p w14:paraId="2589FE3D" w14:textId="77777777" w:rsidR="00361D17" w:rsidRPr="003E0934" w:rsidRDefault="00361D17" w:rsidP="007B43AB">
            <w:pPr>
              <w:rPr>
                <w:rFonts w:ascii="Cambria" w:hAnsi="Cambria" w:cs="Arial"/>
              </w:rPr>
            </w:pPr>
            <w:r w:rsidRPr="003E0934">
              <w:rPr>
                <w:rFonts w:ascii="Cambria" w:hAnsi="Cambria" w:cs="Arial"/>
              </w:rPr>
              <w:t>3.040.010</w:t>
            </w:r>
          </w:p>
        </w:tc>
        <w:tc>
          <w:tcPr>
            <w:tcW w:w="4736" w:type="dxa"/>
          </w:tcPr>
          <w:p w14:paraId="39EB2787" w14:textId="77777777" w:rsidR="00361D17" w:rsidRPr="003E0934" w:rsidRDefault="00361D17" w:rsidP="007B43AB">
            <w:pPr>
              <w:jc w:val="both"/>
              <w:rPr>
                <w:rFonts w:ascii="Cambria" w:hAnsi="Cambria" w:cs="Arial"/>
              </w:rPr>
            </w:pPr>
            <w:r w:rsidRPr="003E0934">
              <w:rPr>
                <w:rFonts w:ascii="Cambria" w:hAnsi="Cambria" w:cs="Arial"/>
              </w:rPr>
              <w:t>Reserva Legal</w:t>
            </w:r>
          </w:p>
        </w:tc>
      </w:tr>
    </w:tbl>
    <w:p w14:paraId="0C3BC26D" w14:textId="77777777" w:rsidR="00361D17" w:rsidRDefault="00361D17" w:rsidP="00361D17">
      <w:pPr>
        <w:jc w:val="both"/>
        <w:rPr>
          <w:rFonts w:ascii="Cambria" w:hAnsi="Cambria"/>
          <w:b/>
        </w:rPr>
      </w:pPr>
    </w:p>
    <w:p w14:paraId="6B9E828C" w14:textId="77777777" w:rsidR="00361D17" w:rsidRDefault="00361D17" w:rsidP="00361D17">
      <w:pPr>
        <w:jc w:val="both"/>
        <w:rPr>
          <w:rFonts w:ascii="Cambria" w:hAnsi="Cambria"/>
          <w:b/>
        </w:rPr>
      </w:pPr>
    </w:p>
    <w:p w14:paraId="3B03227B" w14:textId="77777777" w:rsidR="00361D17" w:rsidRPr="003E0934" w:rsidRDefault="00361D17" w:rsidP="00361D17">
      <w:pPr>
        <w:jc w:val="both"/>
        <w:rPr>
          <w:rFonts w:ascii="Cambria" w:hAnsi="Cambria"/>
          <w:b/>
        </w:rPr>
      </w:pPr>
    </w:p>
    <w:p w14:paraId="024E98A3" w14:textId="77777777" w:rsidR="00361D17" w:rsidRPr="003E0934" w:rsidRDefault="00361D17" w:rsidP="00361D17">
      <w:pPr>
        <w:framePr w:hSpace="141" w:wrap="around" w:vAnchor="text" w:hAnchor="text" w:xAlign="center" w:y="1"/>
        <w:suppressOverlap/>
        <w:rPr>
          <w:rFonts w:ascii="Cambria" w:hAnsi="Cambria" w:cs="Arial"/>
          <w:b/>
          <w:i/>
        </w:rPr>
      </w:pPr>
    </w:p>
    <w:p w14:paraId="4657F8D4" w14:textId="77777777" w:rsidR="00361D17" w:rsidRDefault="00361D17" w:rsidP="00361D17">
      <w:pPr>
        <w:jc w:val="both"/>
        <w:rPr>
          <w:rFonts w:asciiTheme="majorHAnsi" w:hAnsiTheme="majorHAnsi"/>
          <w:b/>
        </w:rPr>
      </w:pPr>
    </w:p>
    <w:p w14:paraId="37F1C9BD" w14:textId="77777777" w:rsidR="00361D17" w:rsidRDefault="00361D17" w:rsidP="00361D17">
      <w:pPr>
        <w:jc w:val="both"/>
        <w:rPr>
          <w:rFonts w:asciiTheme="majorHAnsi" w:hAnsiTheme="majorHAnsi"/>
          <w:b/>
        </w:rPr>
      </w:pPr>
    </w:p>
    <w:p w14:paraId="78520A44" w14:textId="77777777" w:rsidR="00361D17" w:rsidRDefault="00361D17" w:rsidP="00361D17">
      <w:pPr>
        <w:rPr>
          <w:rFonts w:asciiTheme="majorHAnsi" w:eastAsia="Calibri" w:hAnsiTheme="majorHAnsi"/>
          <w:b/>
          <w:i/>
          <w:szCs w:val="16"/>
        </w:rPr>
      </w:pPr>
      <w:r w:rsidRPr="00716B0F">
        <w:rPr>
          <w:rFonts w:asciiTheme="majorHAnsi" w:eastAsia="Calibri" w:hAnsiTheme="majorHAnsi"/>
          <w:b/>
          <w:i/>
          <w:szCs w:val="16"/>
        </w:rPr>
        <w:t>Partidas que restan</w:t>
      </w:r>
      <w:r>
        <w:rPr>
          <w:rStyle w:val="Refdenotaalpie"/>
          <w:rFonts w:asciiTheme="majorHAnsi" w:eastAsia="Calibri" w:hAnsiTheme="majorHAnsi"/>
          <w:b/>
          <w:i/>
          <w:szCs w:val="16"/>
        </w:rPr>
        <w:footnoteReference w:id="1"/>
      </w:r>
      <w:r>
        <w:rPr>
          <w:rFonts w:asciiTheme="majorHAnsi" w:eastAsia="Calibri" w:hAnsiTheme="majorHAnsi"/>
          <w:b/>
          <w:i/>
          <w:szCs w:val="16"/>
        </w:rPr>
        <w:t>:</w:t>
      </w:r>
    </w:p>
    <w:p w14:paraId="7E60D8F9" w14:textId="77777777" w:rsidR="00361D17" w:rsidRPr="00716B0F" w:rsidRDefault="00361D17" w:rsidP="00361D17">
      <w:pPr>
        <w:rPr>
          <w:rFonts w:asciiTheme="majorHAnsi" w:hAnsiTheme="majorHAnsi"/>
          <w:szCs w:val="16"/>
        </w:rPr>
      </w:pPr>
    </w:p>
    <w:tbl>
      <w:tblPr>
        <w:tblW w:w="8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0"/>
        <w:gridCol w:w="4704"/>
      </w:tblGrid>
      <w:tr w:rsidR="00361D17" w:rsidRPr="00716B0F" w14:paraId="3336DA6D" w14:textId="77777777" w:rsidTr="007B43AB">
        <w:trPr>
          <w:trHeight w:val="471"/>
        </w:trPr>
        <w:tc>
          <w:tcPr>
            <w:tcW w:w="4100" w:type="dxa"/>
            <w:shd w:val="clear" w:color="auto" w:fill="BFBFBF" w:themeFill="background1" w:themeFillShade="BF"/>
            <w:vAlign w:val="center"/>
          </w:tcPr>
          <w:p w14:paraId="6470B57A" w14:textId="77777777" w:rsidR="00361D17" w:rsidRPr="00716B0F" w:rsidRDefault="00361D17" w:rsidP="007B43AB">
            <w:pPr>
              <w:jc w:val="center"/>
              <w:rPr>
                <w:rFonts w:asciiTheme="majorHAnsi" w:hAnsiTheme="majorHAnsi"/>
                <w:b/>
                <w:i/>
                <w:sz w:val="22"/>
                <w:szCs w:val="16"/>
              </w:rPr>
            </w:pPr>
            <w:r w:rsidRPr="00716B0F">
              <w:rPr>
                <w:rFonts w:asciiTheme="majorHAnsi" w:hAnsiTheme="majorHAnsi"/>
                <w:b/>
                <w:i/>
                <w:sz w:val="22"/>
                <w:szCs w:val="16"/>
              </w:rPr>
              <w:t>Número de Cuenta</w:t>
            </w:r>
          </w:p>
        </w:tc>
        <w:tc>
          <w:tcPr>
            <w:tcW w:w="4704" w:type="dxa"/>
            <w:shd w:val="clear" w:color="auto" w:fill="BFBFBF" w:themeFill="background1" w:themeFillShade="BF"/>
            <w:vAlign w:val="center"/>
          </w:tcPr>
          <w:p w14:paraId="52EEEE3F" w14:textId="77777777" w:rsidR="00361D17" w:rsidRPr="00716B0F" w:rsidRDefault="00361D17" w:rsidP="007B43AB">
            <w:pPr>
              <w:jc w:val="center"/>
              <w:rPr>
                <w:rFonts w:asciiTheme="majorHAnsi" w:hAnsiTheme="majorHAnsi"/>
                <w:b/>
                <w:i/>
                <w:sz w:val="22"/>
                <w:szCs w:val="16"/>
              </w:rPr>
            </w:pPr>
            <w:r w:rsidRPr="00716B0F">
              <w:rPr>
                <w:rFonts w:asciiTheme="majorHAnsi" w:hAnsiTheme="majorHAnsi"/>
                <w:b/>
                <w:i/>
                <w:sz w:val="22"/>
                <w:szCs w:val="16"/>
              </w:rPr>
              <w:t>Descripción</w:t>
            </w:r>
          </w:p>
        </w:tc>
      </w:tr>
      <w:tr w:rsidR="00361D17" w:rsidRPr="00716B0F" w14:paraId="195DC4C9" w14:textId="77777777" w:rsidTr="007B43AB">
        <w:trPr>
          <w:trHeight w:val="245"/>
        </w:trPr>
        <w:tc>
          <w:tcPr>
            <w:tcW w:w="4100" w:type="dxa"/>
            <w:vAlign w:val="center"/>
          </w:tcPr>
          <w:p w14:paraId="5A6664E2" w14:textId="77777777" w:rsidR="00361D17" w:rsidRPr="00716B0F" w:rsidRDefault="00361D17" w:rsidP="007B43AB">
            <w:pPr>
              <w:rPr>
                <w:rFonts w:asciiTheme="majorHAnsi" w:hAnsiTheme="majorHAnsi"/>
                <w:sz w:val="22"/>
                <w:szCs w:val="16"/>
              </w:rPr>
            </w:pPr>
            <w:r w:rsidRPr="00716B0F">
              <w:rPr>
                <w:rFonts w:asciiTheme="majorHAnsi" w:hAnsiTheme="majorHAnsi"/>
                <w:sz w:val="22"/>
                <w:szCs w:val="16"/>
              </w:rPr>
              <w:t>1.090.060.020</w:t>
            </w:r>
          </w:p>
        </w:tc>
        <w:tc>
          <w:tcPr>
            <w:tcW w:w="4704" w:type="dxa"/>
          </w:tcPr>
          <w:p w14:paraId="2539116A" w14:textId="77777777" w:rsidR="00361D17" w:rsidRPr="00716B0F" w:rsidRDefault="00361D17" w:rsidP="007B43AB">
            <w:pPr>
              <w:jc w:val="both"/>
              <w:rPr>
                <w:rFonts w:asciiTheme="majorHAnsi" w:hAnsiTheme="majorHAnsi"/>
                <w:sz w:val="22"/>
                <w:szCs w:val="16"/>
              </w:rPr>
            </w:pPr>
            <w:r w:rsidRPr="00716B0F">
              <w:rPr>
                <w:rFonts w:asciiTheme="majorHAnsi" w:hAnsiTheme="majorHAnsi"/>
                <w:sz w:val="22"/>
                <w:szCs w:val="16"/>
              </w:rPr>
              <w:t>Plusvalía comprada</w:t>
            </w:r>
          </w:p>
        </w:tc>
      </w:tr>
      <w:tr w:rsidR="00361D17" w:rsidRPr="00716B0F" w14:paraId="6A326F63" w14:textId="77777777" w:rsidTr="007B43AB">
        <w:trPr>
          <w:trHeight w:val="263"/>
        </w:trPr>
        <w:tc>
          <w:tcPr>
            <w:tcW w:w="4100" w:type="dxa"/>
            <w:vAlign w:val="center"/>
          </w:tcPr>
          <w:p w14:paraId="3D530C1E" w14:textId="77777777" w:rsidR="00361D17" w:rsidRPr="00716B0F" w:rsidRDefault="00361D17" w:rsidP="007B43AB">
            <w:pPr>
              <w:tabs>
                <w:tab w:val="left" w:pos="2662"/>
              </w:tabs>
              <w:rPr>
                <w:rFonts w:asciiTheme="majorHAnsi" w:hAnsiTheme="majorHAnsi"/>
                <w:sz w:val="22"/>
                <w:szCs w:val="16"/>
              </w:rPr>
            </w:pPr>
            <w:r w:rsidRPr="00716B0F">
              <w:rPr>
                <w:rFonts w:asciiTheme="majorHAnsi" w:hAnsiTheme="majorHAnsi"/>
                <w:sz w:val="22"/>
                <w:szCs w:val="16"/>
              </w:rPr>
              <w:t>3.010.050.010</w:t>
            </w:r>
          </w:p>
        </w:tc>
        <w:tc>
          <w:tcPr>
            <w:tcW w:w="4704" w:type="dxa"/>
          </w:tcPr>
          <w:p w14:paraId="36049E1C" w14:textId="77777777" w:rsidR="00361D17" w:rsidRPr="00716B0F" w:rsidRDefault="00361D17" w:rsidP="007B43AB">
            <w:pPr>
              <w:jc w:val="both"/>
              <w:rPr>
                <w:rFonts w:asciiTheme="majorHAnsi" w:hAnsiTheme="majorHAnsi"/>
                <w:sz w:val="22"/>
                <w:szCs w:val="16"/>
              </w:rPr>
            </w:pPr>
            <w:r w:rsidRPr="00716B0F">
              <w:rPr>
                <w:rFonts w:asciiTheme="majorHAnsi" w:hAnsiTheme="majorHAnsi"/>
                <w:sz w:val="22"/>
                <w:szCs w:val="16"/>
              </w:rPr>
              <w:t>Acciones en Tesorería - Capital ordinario-</w:t>
            </w:r>
          </w:p>
        </w:tc>
      </w:tr>
      <w:tr w:rsidR="00361D17" w:rsidRPr="00716B0F" w14:paraId="7B45D68F" w14:textId="77777777" w:rsidTr="007B43AB">
        <w:trPr>
          <w:trHeight w:val="566"/>
        </w:trPr>
        <w:tc>
          <w:tcPr>
            <w:tcW w:w="4100" w:type="dxa"/>
            <w:vAlign w:val="center"/>
          </w:tcPr>
          <w:p w14:paraId="2BE8134A" w14:textId="77777777" w:rsidR="00361D17" w:rsidRPr="00716B0F" w:rsidRDefault="00361D17" w:rsidP="007B43AB">
            <w:pPr>
              <w:rPr>
                <w:rFonts w:asciiTheme="majorHAnsi" w:hAnsiTheme="majorHAnsi"/>
                <w:sz w:val="22"/>
                <w:szCs w:val="16"/>
              </w:rPr>
            </w:pPr>
            <w:r w:rsidRPr="00716B0F">
              <w:rPr>
                <w:rFonts w:asciiTheme="majorHAnsi" w:hAnsiTheme="majorHAnsi"/>
                <w:sz w:val="22"/>
                <w:szCs w:val="16"/>
              </w:rPr>
              <w:t>3.010.050.020.</w:t>
            </w:r>
            <w:r w:rsidRPr="00716B0F">
              <w:rPr>
                <w:rFonts w:asciiTheme="majorHAnsi" w:hAnsiTheme="majorHAnsi" w:cs="Arial"/>
                <w:sz w:val="22"/>
                <w:szCs w:val="16"/>
              </w:rPr>
              <w:t>M</w:t>
            </w:r>
            <w:r w:rsidRPr="00716B0F">
              <w:rPr>
                <w:rFonts w:asciiTheme="majorHAnsi" w:hAnsiTheme="majorHAnsi"/>
                <w:sz w:val="22"/>
                <w:szCs w:val="16"/>
              </w:rPr>
              <w:t>.020</w:t>
            </w:r>
          </w:p>
        </w:tc>
        <w:tc>
          <w:tcPr>
            <w:tcW w:w="4704" w:type="dxa"/>
          </w:tcPr>
          <w:p w14:paraId="0138CE0F" w14:textId="77777777" w:rsidR="00361D17" w:rsidRPr="00716B0F" w:rsidRDefault="00361D17" w:rsidP="007B43AB">
            <w:pPr>
              <w:tabs>
                <w:tab w:val="left" w:pos="3047"/>
              </w:tabs>
              <w:jc w:val="both"/>
              <w:rPr>
                <w:rFonts w:asciiTheme="majorHAnsi" w:hAnsiTheme="majorHAnsi"/>
                <w:sz w:val="22"/>
                <w:szCs w:val="16"/>
              </w:rPr>
            </w:pPr>
            <w:r w:rsidRPr="00716B0F">
              <w:rPr>
                <w:rFonts w:asciiTheme="majorHAnsi" w:hAnsiTheme="majorHAnsi"/>
                <w:sz w:val="22"/>
                <w:szCs w:val="16"/>
              </w:rPr>
              <w:t>Acciones en Tesorería -Capital pagado preferente con dividendo no acumulativo-</w:t>
            </w:r>
          </w:p>
        </w:tc>
      </w:tr>
      <w:tr w:rsidR="00361D17" w:rsidRPr="00716B0F" w14:paraId="54D60137" w14:textId="77777777" w:rsidTr="007B43AB">
        <w:trPr>
          <w:trHeight w:val="830"/>
        </w:trPr>
        <w:tc>
          <w:tcPr>
            <w:tcW w:w="4100" w:type="dxa"/>
            <w:vAlign w:val="center"/>
          </w:tcPr>
          <w:p w14:paraId="4145263C" w14:textId="77777777" w:rsidR="00361D17" w:rsidRPr="00716B0F" w:rsidRDefault="00361D17" w:rsidP="007B43AB">
            <w:pPr>
              <w:rPr>
                <w:rFonts w:asciiTheme="majorHAnsi" w:hAnsiTheme="majorHAnsi"/>
                <w:sz w:val="22"/>
                <w:szCs w:val="16"/>
              </w:rPr>
            </w:pPr>
            <w:r w:rsidRPr="00716B0F">
              <w:rPr>
                <w:rFonts w:asciiTheme="majorHAnsi" w:hAnsiTheme="majorHAnsi"/>
                <w:sz w:val="22"/>
                <w:szCs w:val="16"/>
              </w:rPr>
              <w:t>IA302002000000</w:t>
            </w:r>
          </w:p>
        </w:tc>
        <w:tc>
          <w:tcPr>
            <w:tcW w:w="4704" w:type="dxa"/>
          </w:tcPr>
          <w:p w14:paraId="14D89B99" w14:textId="77777777" w:rsidR="00361D17" w:rsidRPr="00716B0F" w:rsidRDefault="00361D17" w:rsidP="007B43AB">
            <w:pPr>
              <w:jc w:val="both"/>
              <w:rPr>
                <w:rFonts w:asciiTheme="majorHAnsi" w:hAnsiTheme="majorHAnsi"/>
                <w:sz w:val="22"/>
                <w:szCs w:val="16"/>
              </w:rPr>
            </w:pPr>
            <w:r w:rsidRPr="00716B0F">
              <w:rPr>
                <w:rFonts w:asciiTheme="majorHAnsi" w:hAnsiTheme="majorHAnsi"/>
                <w:sz w:val="22"/>
                <w:szCs w:val="16"/>
              </w:rPr>
              <w:t>El valor en libros de las acciones de la misma entidad recibidas en garantía de operaciones crediticias.</w:t>
            </w:r>
          </w:p>
        </w:tc>
      </w:tr>
      <w:tr w:rsidR="00361D17" w:rsidRPr="00716B0F" w14:paraId="25876254" w14:textId="77777777" w:rsidTr="007B43AB">
        <w:trPr>
          <w:trHeight w:val="1409"/>
        </w:trPr>
        <w:tc>
          <w:tcPr>
            <w:tcW w:w="4100" w:type="dxa"/>
            <w:vAlign w:val="center"/>
          </w:tcPr>
          <w:p w14:paraId="30F98382" w14:textId="77777777" w:rsidR="00361D17" w:rsidRPr="00716B0F" w:rsidRDefault="00361D17" w:rsidP="007B43AB">
            <w:pPr>
              <w:rPr>
                <w:rFonts w:asciiTheme="majorHAnsi" w:hAnsiTheme="majorHAnsi"/>
                <w:sz w:val="22"/>
                <w:szCs w:val="16"/>
              </w:rPr>
            </w:pPr>
            <w:r w:rsidRPr="00716B0F">
              <w:rPr>
                <w:rFonts w:asciiTheme="majorHAnsi" w:hAnsiTheme="majorHAnsi"/>
                <w:sz w:val="22"/>
                <w:szCs w:val="16"/>
              </w:rPr>
              <w:t>IA306000000000</w:t>
            </w:r>
          </w:p>
        </w:tc>
        <w:tc>
          <w:tcPr>
            <w:tcW w:w="4704" w:type="dxa"/>
          </w:tcPr>
          <w:p w14:paraId="6F36D49C" w14:textId="77777777" w:rsidR="00361D17" w:rsidRPr="00716B0F" w:rsidRDefault="00361D17" w:rsidP="007B43AB">
            <w:pPr>
              <w:jc w:val="both"/>
              <w:rPr>
                <w:rFonts w:asciiTheme="majorHAnsi" w:hAnsiTheme="majorHAnsi"/>
                <w:sz w:val="22"/>
                <w:szCs w:val="16"/>
              </w:rPr>
            </w:pPr>
            <w:r w:rsidRPr="00716B0F">
              <w:rPr>
                <w:rFonts w:asciiTheme="majorHAnsi" w:hAnsiTheme="majorHAnsi"/>
                <w:sz w:val="22"/>
                <w:szCs w:val="16"/>
              </w:rPr>
              <w:t>Monto máximo que según estatutos, puede destinarse para cubrir el retiro de los aportes hechos  por parte de los asociados, para el caso de cooperativas de seguros, al concluir el ejercicio económico</w:t>
            </w:r>
          </w:p>
        </w:tc>
      </w:tr>
      <w:tr w:rsidR="00361D17" w:rsidRPr="00716B0F" w14:paraId="7B64F6F8" w14:textId="77777777" w:rsidTr="007B43AB">
        <w:trPr>
          <w:trHeight w:val="848"/>
        </w:trPr>
        <w:tc>
          <w:tcPr>
            <w:tcW w:w="4100" w:type="dxa"/>
            <w:vAlign w:val="center"/>
          </w:tcPr>
          <w:p w14:paraId="55D3FB85" w14:textId="77777777" w:rsidR="00361D17" w:rsidRPr="00716B0F" w:rsidRDefault="00361D17" w:rsidP="007B43AB">
            <w:pPr>
              <w:rPr>
                <w:rFonts w:asciiTheme="majorHAnsi" w:hAnsiTheme="majorHAnsi"/>
                <w:sz w:val="22"/>
                <w:szCs w:val="16"/>
              </w:rPr>
            </w:pPr>
            <w:r w:rsidRPr="00716B0F">
              <w:rPr>
                <w:rFonts w:asciiTheme="majorHAnsi" w:hAnsiTheme="majorHAnsi"/>
                <w:sz w:val="22"/>
                <w:szCs w:val="16"/>
              </w:rPr>
              <w:t>IA301000000001</w:t>
            </w:r>
          </w:p>
        </w:tc>
        <w:tc>
          <w:tcPr>
            <w:tcW w:w="4704" w:type="dxa"/>
          </w:tcPr>
          <w:p w14:paraId="4064F056" w14:textId="77777777" w:rsidR="00361D17" w:rsidRPr="00716B0F" w:rsidRDefault="00361D17" w:rsidP="007B43AB">
            <w:pPr>
              <w:jc w:val="both"/>
              <w:rPr>
                <w:rFonts w:asciiTheme="majorHAnsi" w:hAnsiTheme="majorHAnsi"/>
                <w:sz w:val="22"/>
                <w:szCs w:val="16"/>
              </w:rPr>
            </w:pPr>
            <w:r w:rsidRPr="00716B0F">
              <w:rPr>
                <w:rFonts w:asciiTheme="majorHAnsi" w:hAnsiTheme="majorHAnsi"/>
                <w:sz w:val="22"/>
                <w:szCs w:val="16"/>
              </w:rPr>
              <w:t>Capital adicional extraordinario requerido por el supervisor debido a riesgos no contemplados en el régimen de  solvencia</w:t>
            </w:r>
          </w:p>
        </w:tc>
      </w:tr>
    </w:tbl>
    <w:p w14:paraId="6B637F3A" w14:textId="77777777" w:rsidR="00361D17" w:rsidRPr="00AA4BFF" w:rsidRDefault="00361D17" w:rsidP="00361D17">
      <w:pPr>
        <w:pStyle w:val="Prrafodelista"/>
        <w:ind w:left="0"/>
        <w:jc w:val="both"/>
        <w:rPr>
          <w:rFonts w:asciiTheme="majorHAnsi" w:hAnsiTheme="majorHAnsi"/>
          <w:b/>
          <w:bCs/>
          <w:sz w:val="16"/>
          <w:szCs w:val="16"/>
        </w:rPr>
      </w:pPr>
    </w:p>
    <w:p w14:paraId="6314CD14" w14:textId="77777777" w:rsidR="00361D17" w:rsidRPr="00716B0F" w:rsidRDefault="00361D17" w:rsidP="00361D17">
      <w:pPr>
        <w:jc w:val="center"/>
        <w:rPr>
          <w:rFonts w:asciiTheme="majorHAnsi" w:hAnsiTheme="majorHAnsi" w:cs="Arial"/>
          <w:b/>
        </w:rPr>
      </w:pPr>
      <w:r w:rsidRPr="00716B0F">
        <w:rPr>
          <w:rFonts w:asciiTheme="majorHAnsi" w:hAnsiTheme="majorHAnsi" w:cs="Arial"/>
          <w:b/>
        </w:rPr>
        <w:t>CAPITAL SECUNDARIO</w:t>
      </w:r>
      <w:r>
        <w:rPr>
          <w:rStyle w:val="Refdenotaalpie"/>
          <w:rFonts w:asciiTheme="majorHAnsi" w:hAnsiTheme="majorHAnsi" w:cs="Arial"/>
          <w:b/>
        </w:rPr>
        <w:footnoteReference w:id="2"/>
      </w:r>
    </w:p>
    <w:p w14:paraId="300C5F98" w14:textId="77777777" w:rsidR="00361D17" w:rsidRDefault="00361D17" w:rsidP="00361D17">
      <w:pPr>
        <w:jc w:val="both"/>
        <w:rPr>
          <w:rFonts w:asciiTheme="majorHAnsi" w:hAnsiTheme="majorHAnsi" w:cs="Arial"/>
          <w:b/>
          <w:i/>
        </w:rPr>
      </w:pPr>
      <w:r w:rsidRPr="00716B0F">
        <w:rPr>
          <w:rFonts w:asciiTheme="majorHAnsi" w:hAnsiTheme="majorHAnsi" w:cs="Arial"/>
          <w:b/>
          <w:i/>
        </w:rPr>
        <w:t>Partidas que suman:</w:t>
      </w:r>
    </w:p>
    <w:p w14:paraId="65BC1033" w14:textId="77777777" w:rsidR="00361D17" w:rsidRPr="00716B0F" w:rsidRDefault="00361D17" w:rsidP="00361D17">
      <w:pPr>
        <w:jc w:val="both"/>
        <w:rPr>
          <w:rFonts w:asciiTheme="majorHAnsi" w:hAnsiTheme="majorHAnsi" w:cs="Arial"/>
          <w:b/>
          <w:i/>
        </w:rPr>
      </w:pPr>
    </w:p>
    <w:tbl>
      <w:tblPr>
        <w:tblW w:w="8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2"/>
        <w:gridCol w:w="4594"/>
      </w:tblGrid>
      <w:tr w:rsidR="00361D17" w:rsidRPr="00716B0F" w14:paraId="5163A229" w14:textId="77777777" w:rsidTr="007B43AB">
        <w:trPr>
          <w:cantSplit/>
          <w:trHeight w:val="518"/>
          <w:tblHeader/>
        </w:trPr>
        <w:tc>
          <w:tcPr>
            <w:tcW w:w="4312" w:type="dxa"/>
            <w:shd w:val="clear" w:color="auto" w:fill="BFBFBF" w:themeFill="background1" w:themeFillShade="BF"/>
            <w:vAlign w:val="center"/>
          </w:tcPr>
          <w:p w14:paraId="7AC66764" w14:textId="77777777" w:rsidR="00361D17" w:rsidRPr="00716B0F" w:rsidRDefault="00361D17" w:rsidP="007B43AB">
            <w:pPr>
              <w:jc w:val="center"/>
              <w:rPr>
                <w:rFonts w:asciiTheme="majorHAnsi" w:hAnsiTheme="majorHAnsi" w:cs="Arial"/>
                <w:b/>
                <w:i/>
                <w:sz w:val="22"/>
                <w:szCs w:val="16"/>
              </w:rPr>
            </w:pPr>
            <w:r w:rsidRPr="00716B0F">
              <w:rPr>
                <w:rFonts w:asciiTheme="majorHAnsi" w:hAnsiTheme="majorHAnsi" w:cs="Arial"/>
                <w:b/>
                <w:i/>
                <w:sz w:val="22"/>
                <w:szCs w:val="16"/>
              </w:rPr>
              <w:t>Número de Cuenta</w:t>
            </w:r>
          </w:p>
        </w:tc>
        <w:tc>
          <w:tcPr>
            <w:tcW w:w="4594" w:type="dxa"/>
            <w:shd w:val="clear" w:color="auto" w:fill="BFBFBF" w:themeFill="background1" w:themeFillShade="BF"/>
            <w:vAlign w:val="center"/>
          </w:tcPr>
          <w:p w14:paraId="287952A1" w14:textId="77777777" w:rsidR="00361D17" w:rsidRPr="00716B0F" w:rsidRDefault="00361D17" w:rsidP="007B43AB">
            <w:pPr>
              <w:jc w:val="center"/>
              <w:rPr>
                <w:rFonts w:asciiTheme="majorHAnsi" w:hAnsiTheme="majorHAnsi" w:cs="Arial"/>
                <w:b/>
                <w:i/>
                <w:sz w:val="22"/>
                <w:szCs w:val="16"/>
              </w:rPr>
            </w:pPr>
            <w:r w:rsidRPr="00716B0F">
              <w:rPr>
                <w:rFonts w:asciiTheme="majorHAnsi" w:hAnsiTheme="majorHAnsi" w:cs="Arial"/>
                <w:b/>
                <w:i/>
                <w:sz w:val="22"/>
                <w:szCs w:val="16"/>
              </w:rPr>
              <w:t>Descripción</w:t>
            </w:r>
          </w:p>
        </w:tc>
      </w:tr>
      <w:tr w:rsidR="00361D17" w:rsidRPr="00716B0F" w14:paraId="3FCED4DB" w14:textId="77777777" w:rsidTr="007B43AB">
        <w:trPr>
          <w:cantSplit/>
          <w:trHeight w:val="254"/>
        </w:trPr>
        <w:tc>
          <w:tcPr>
            <w:tcW w:w="4312" w:type="dxa"/>
            <w:vAlign w:val="center"/>
          </w:tcPr>
          <w:p w14:paraId="7650D728" w14:textId="77777777" w:rsidR="00361D17" w:rsidRPr="00716B0F" w:rsidRDefault="00361D17" w:rsidP="007B43AB">
            <w:pPr>
              <w:rPr>
                <w:rFonts w:asciiTheme="majorHAnsi" w:hAnsiTheme="majorHAnsi" w:cs="Arial"/>
                <w:sz w:val="22"/>
                <w:szCs w:val="16"/>
              </w:rPr>
            </w:pPr>
            <w:r w:rsidRPr="00716B0F">
              <w:rPr>
                <w:rFonts w:asciiTheme="majorHAnsi" w:hAnsiTheme="majorHAnsi" w:cs="Arial"/>
                <w:sz w:val="22"/>
                <w:szCs w:val="16"/>
              </w:rPr>
              <w:t>3.010.010.020.M.010</w:t>
            </w:r>
          </w:p>
        </w:tc>
        <w:tc>
          <w:tcPr>
            <w:tcW w:w="4594" w:type="dxa"/>
          </w:tcPr>
          <w:p w14:paraId="165B18B0" w14:textId="77777777" w:rsidR="00361D17" w:rsidRPr="00716B0F" w:rsidRDefault="00361D17" w:rsidP="007B43AB">
            <w:pPr>
              <w:jc w:val="both"/>
              <w:rPr>
                <w:rFonts w:asciiTheme="majorHAnsi" w:hAnsiTheme="majorHAnsi" w:cs="Arial"/>
                <w:sz w:val="22"/>
                <w:szCs w:val="16"/>
              </w:rPr>
            </w:pPr>
            <w:r w:rsidRPr="00716B0F">
              <w:rPr>
                <w:rFonts w:asciiTheme="majorHAnsi" w:hAnsiTheme="majorHAnsi" w:cs="Arial"/>
                <w:sz w:val="22"/>
                <w:szCs w:val="16"/>
              </w:rPr>
              <w:t>Capital preferente con dividendo acumulativo</w:t>
            </w:r>
          </w:p>
        </w:tc>
      </w:tr>
      <w:tr w:rsidR="00361D17" w:rsidRPr="00716B0F" w14:paraId="640F7E4B" w14:textId="77777777" w:rsidTr="007B43AB">
        <w:trPr>
          <w:cantSplit/>
          <w:trHeight w:val="271"/>
        </w:trPr>
        <w:tc>
          <w:tcPr>
            <w:tcW w:w="4312" w:type="dxa"/>
            <w:vAlign w:val="center"/>
          </w:tcPr>
          <w:p w14:paraId="7CC8A2E2" w14:textId="77777777" w:rsidR="00361D17" w:rsidRPr="00716B0F" w:rsidRDefault="00361D17" w:rsidP="007B43AB">
            <w:pPr>
              <w:tabs>
                <w:tab w:val="left" w:pos="2662"/>
              </w:tabs>
              <w:rPr>
                <w:rFonts w:asciiTheme="majorHAnsi" w:hAnsiTheme="majorHAnsi" w:cs="Arial"/>
                <w:sz w:val="22"/>
                <w:szCs w:val="16"/>
              </w:rPr>
            </w:pPr>
            <w:r w:rsidRPr="00716B0F">
              <w:rPr>
                <w:rFonts w:asciiTheme="majorHAnsi" w:hAnsiTheme="majorHAnsi" w:cs="Arial"/>
                <w:sz w:val="22"/>
                <w:szCs w:val="16"/>
              </w:rPr>
              <w:t>3.020.020</w:t>
            </w:r>
          </w:p>
        </w:tc>
        <w:tc>
          <w:tcPr>
            <w:tcW w:w="4594" w:type="dxa"/>
          </w:tcPr>
          <w:p w14:paraId="381DA353" w14:textId="77777777" w:rsidR="00361D17" w:rsidRPr="00716B0F" w:rsidRDefault="00361D17" w:rsidP="007B43AB">
            <w:pPr>
              <w:tabs>
                <w:tab w:val="left" w:pos="1507"/>
              </w:tabs>
              <w:jc w:val="both"/>
              <w:rPr>
                <w:rFonts w:asciiTheme="majorHAnsi" w:hAnsiTheme="majorHAnsi" w:cs="Arial"/>
                <w:sz w:val="22"/>
                <w:szCs w:val="16"/>
              </w:rPr>
            </w:pPr>
            <w:r w:rsidRPr="00716B0F">
              <w:rPr>
                <w:rFonts w:asciiTheme="majorHAnsi" w:hAnsiTheme="majorHAnsi" w:cs="Arial"/>
                <w:sz w:val="22"/>
                <w:szCs w:val="16"/>
              </w:rPr>
              <w:t>Aportes para incrementos de capital</w:t>
            </w:r>
          </w:p>
        </w:tc>
      </w:tr>
      <w:tr w:rsidR="00361D17" w:rsidRPr="00716B0F" w14:paraId="29DFE943" w14:textId="77777777" w:rsidTr="007B43AB">
        <w:trPr>
          <w:cantSplit/>
          <w:trHeight w:val="588"/>
        </w:trPr>
        <w:tc>
          <w:tcPr>
            <w:tcW w:w="4312" w:type="dxa"/>
            <w:vAlign w:val="center"/>
          </w:tcPr>
          <w:p w14:paraId="416CE69A" w14:textId="77777777" w:rsidR="00361D17" w:rsidRPr="00716B0F" w:rsidRDefault="00361D17" w:rsidP="007B43AB">
            <w:pPr>
              <w:rPr>
                <w:rFonts w:asciiTheme="majorHAnsi" w:hAnsiTheme="majorHAnsi" w:cs="Arial"/>
                <w:sz w:val="22"/>
                <w:szCs w:val="16"/>
              </w:rPr>
            </w:pPr>
            <w:r w:rsidRPr="00716B0F">
              <w:rPr>
                <w:rFonts w:asciiTheme="majorHAnsi" w:hAnsiTheme="majorHAnsi" w:cs="Arial"/>
                <w:sz w:val="22"/>
                <w:szCs w:val="16"/>
              </w:rPr>
              <w:t>3.020.030</w:t>
            </w:r>
          </w:p>
        </w:tc>
        <w:tc>
          <w:tcPr>
            <w:tcW w:w="4594" w:type="dxa"/>
          </w:tcPr>
          <w:p w14:paraId="09D7763E" w14:textId="77777777" w:rsidR="00361D17" w:rsidRPr="00716B0F" w:rsidRDefault="00361D17" w:rsidP="007B43AB">
            <w:pPr>
              <w:tabs>
                <w:tab w:val="left" w:pos="3047"/>
              </w:tabs>
              <w:jc w:val="both"/>
              <w:rPr>
                <w:rFonts w:asciiTheme="majorHAnsi" w:hAnsiTheme="majorHAnsi" w:cs="Arial"/>
                <w:sz w:val="22"/>
                <w:szCs w:val="16"/>
              </w:rPr>
            </w:pPr>
            <w:r w:rsidRPr="00716B0F">
              <w:rPr>
                <w:rFonts w:asciiTheme="majorHAnsi" w:hAnsiTheme="majorHAnsi" w:cs="Arial"/>
                <w:sz w:val="22"/>
                <w:szCs w:val="16"/>
              </w:rPr>
              <w:t>Donaciones y otras contribuciones no capitalizables</w:t>
            </w:r>
          </w:p>
        </w:tc>
      </w:tr>
      <w:tr w:rsidR="00361D17" w:rsidRPr="00716B0F" w14:paraId="272FFB7E" w14:textId="77777777" w:rsidTr="007B43AB">
        <w:trPr>
          <w:cantSplit/>
          <w:trHeight w:val="1296"/>
        </w:trPr>
        <w:tc>
          <w:tcPr>
            <w:tcW w:w="4312" w:type="dxa"/>
            <w:vAlign w:val="center"/>
          </w:tcPr>
          <w:p w14:paraId="0E0486C9" w14:textId="77777777" w:rsidR="00361D17" w:rsidRPr="00716B0F" w:rsidRDefault="00361D17" w:rsidP="007B43AB">
            <w:pPr>
              <w:rPr>
                <w:rFonts w:asciiTheme="majorHAnsi" w:hAnsiTheme="majorHAnsi" w:cs="Arial"/>
                <w:sz w:val="22"/>
                <w:szCs w:val="16"/>
              </w:rPr>
            </w:pPr>
            <w:r w:rsidRPr="00716B0F">
              <w:rPr>
                <w:rFonts w:asciiTheme="majorHAnsi" w:hAnsiTheme="majorHAnsi" w:cs="Arial"/>
                <w:sz w:val="22"/>
                <w:szCs w:val="16"/>
              </w:rPr>
              <w:t>IA306000000000</w:t>
            </w:r>
          </w:p>
        </w:tc>
        <w:tc>
          <w:tcPr>
            <w:tcW w:w="4594" w:type="dxa"/>
          </w:tcPr>
          <w:p w14:paraId="5EB37F85" w14:textId="77777777" w:rsidR="00361D17" w:rsidRPr="00716B0F" w:rsidRDefault="00361D17" w:rsidP="007B43AB">
            <w:pPr>
              <w:jc w:val="both"/>
              <w:rPr>
                <w:rFonts w:asciiTheme="majorHAnsi" w:hAnsiTheme="majorHAnsi" w:cs="Arial"/>
                <w:sz w:val="22"/>
                <w:szCs w:val="16"/>
              </w:rPr>
            </w:pPr>
            <w:r w:rsidRPr="00716B0F">
              <w:rPr>
                <w:rFonts w:asciiTheme="majorHAnsi" w:hAnsiTheme="majorHAnsi" w:cs="Arial"/>
                <w:sz w:val="22"/>
                <w:szCs w:val="16"/>
              </w:rPr>
              <w:t>Monto máximo que según estatutos, puede destinarse para cubrir el retiro de los aportes hechos por parte de los asociados, para el caso de cooperativas de seguros, al concluir el ejercicio económico.</w:t>
            </w:r>
          </w:p>
        </w:tc>
      </w:tr>
      <w:tr w:rsidR="00361D17" w:rsidRPr="00716B0F" w14:paraId="0AC85FAA" w14:textId="77777777" w:rsidTr="007B43AB">
        <w:trPr>
          <w:cantSplit/>
          <w:trHeight w:val="1271"/>
        </w:trPr>
        <w:tc>
          <w:tcPr>
            <w:tcW w:w="4312" w:type="dxa"/>
            <w:vAlign w:val="center"/>
          </w:tcPr>
          <w:p w14:paraId="76CFD302" w14:textId="77777777" w:rsidR="00361D17" w:rsidRPr="00716B0F" w:rsidRDefault="00361D17" w:rsidP="007B43AB">
            <w:pPr>
              <w:rPr>
                <w:rFonts w:asciiTheme="majorHAnsi" w:hAnsiTheme="majorHAnsi" w:cs="Arial"/>
                <w:sz w:val="22"/>
                <w:szCs w:val="16"/>
              </w:rPr>
            </w:pPr>
            <w:r w:rsidRPr="00716B0F">
              <w:rPr>
                <w:rFonts w:asciiTheme="majorHAnsi" w:hAnsiTheme="majorHAnsi" w:cs="Arial"/>
                <w:sz w:val="22"/>
                <w:szCs w:val="16"/>
              </w:rPr>
              <w:t>IA304000000001</w:t>
            </w:r>
          </w:p>
        </w:tc>
        <w:tc>
          <w:tcPr>
            <w:tcW w:w="4594" w:type="dxa"/>
          </w:tcPr>
          <w:p w14:paraId="1DDEE372" w14:textId="77777777" w:rsidR="00361D17" w:rsidRPr="00716B0F" w:rsidRDefault="00361D17" w:rsidP="007B43AB">
            <w:pPr>
              <w:jc w:val="both"/>
              <w:rPr>
                <w:rFonts w:asciiTheme="majorHAnsi" w:hAnsiTheme="majorHAnsi" w:cs="Arial"/>
                <w:sz w:val="22"/>
                <w:szCs w:val="16"/>
              </w:rPr>
            </w:pPr>
            <w:r w:rsidRPr="00716B0F">
              <w:rPr>
                <w:rFonts w:asciiTheme="majorHAnsi" w:hAnsiTheme="majorHAnsi" w:cs="Arial"/>
                <w:sz w:val="22"/>
                <w:szCs w:val="16"/>
              </w:rPr>
              <w:t>Reservas patrimoniales voluntarias constituidas con el fin específico de cubrir cualquier pérdida de la entidad y que mediante acuerdo del máximo órgano directivo se declaran no redimibles</w:t>
            </w:r>
          </w:p>
        </w:tc>
      </w:tr>
      <w:tr w:rsidR="00361D17" w:rsidRPr="00716B0F" w14:paraId="4D517107" w14:textId="77777777" w:rsidTr="007B43AB">
        <w:trPr>
          <w:cantSplit/>
          <w:trHeight w:val="823"/>
        </w:trPr>
        <w:tc>
          <w:tcPr>
            <w:tcW w:w="4312" w:type="dxa"/>
            <w:vAlign w:val="center"/>
          </w:tcPr>
          <w:p w14:paraId="440AA8AA" w14:textId="77777777" w:rsidR="00361D17" w:rsidRPr="00716B0F" w:rsidRDefault="00361D17" w:rsidP="007B43AB">
            <w:pPr>
              <w:rPr>
                <w:rFonts w:asciiTheme="majorHAnsi" w:hAnsiTheme="majorHAnsi" w:cs="Arial"/>
                <w:sz w:val="22"/>
                <w:szCs w:val="16"/>
              </w:rPr>
            </w:pPr>
            <w:r w:rsidRPr="00716B0F">
              <w:rPr>
                <w:rFonts w:asciiTheme="majorHAnsi" w:hAnsiTheme="majorHAnsi" w:cs="Arial"/>
                <w:sz w:val="22"/>
                <w:szCs w:val="16"/>
              </w:rPr>
              <w:lastRenderedPageBreak/>
              <w:t>IA399900000001</w:t>
            </w:r>
          </w:p>
        </w:tc>
        <w:tc>
          <w:tcPr>
            <w:tcW w:w="4594" w:type="dxa"/>
          </w:tcPr>
          <w:p w14:paraId="67F56C87" w14:textId="77777777" w:rsidR="00361D17" w:rsidRPr="00716B0F" w:rsidRDefault="00361D17" w:rsidP="007B43AB">
            <w:pPr>
              <w:jc w:val="both"/>
              <w:rPr>
                <w:rFonts w:asciiTheme="majorHAnsi" w:hAnsiTheme="majorHAnsi" w:cs="Arial"/>
                <w:sz w:val="22"/>
                <w:szCs w:val="16"/>
              </w:rPr>
            </w:pPr>
            <w:r w:rsidRPr="00716B0F">
              <w:rPr>
                <w:rFonts w:asciiTheme="majorHAnsi" w:hAnsiTheme="majorHAnsi" w:cs="Arial"/>
                <w:sz w:val="22"/>
                <w:szCs w:val="16"/>
              </w:rPr>
              <w:t>Instrumentos de deuda perpetuos (deben cumplir las condiciones indicadas en literal l) del artículo 7 del Reglamento</w:t>
            </w:r>
          </w:p>
        </w:tc>
      </w:tr>
      <w:tr w:rsidR="00361D17" w:rsidRPr="00716B0F" w14:paraId="291CC701" w14:textId="77777777" w:rsidTr="007B43AB">
        <w:trPr>
          <w:cantSplit/>
          <w:trHeight w:val="1132"/>
        </w:trPr>
        <w:tc>
          <w:tcPr>
            <w:tcW w:w="4312" w:type="dxa"/>
            <w:vAlign w:val="center"/>
          </w:tcPr>
          <w:p w14:paraId="4869E84B" w14:textId="77777777" w:rsidR="00361D17" w:rsidRPr="00716B0F" w:rsidRDefault="00361D17" w:rsidP="007B43AB">
            <w:pPr>
              <w:tabs>
                <w:tab w:val="left" w:pos="2629"/>
              </w:tabs>
              <w:rPr>
                <w:rFonts w:asciiTheme="majorHAnsi" w:hAnsiTheme="majorHAnsi" w:cs="Arial"/>
                <w:sz w:val="22"/>
                <w:szCs w:val="16"/>
              </w:rPr>
            </w:pPr>
            <w:r w:rsidRPr="00716B0F">
              <w:rPr>
                <w:rFonts w:asciiTheme="majorHAnsi" w:hAnsiTheme="majorHAnsi" w:cs="Arial"/>
                <w:sz w:val="22"/>
                <w:szCs w:val="16"/>
              </w:rPr>
              <w:t>IA399900000002</w:t>
            </w:r>
          </w:p>
        </w:tc>
        <w:tc>
          <w:tcPr>
            <w:tcW w:w="4594" w:type="dxa"/>
          </w:tcPr>
          <w:p w14:paraId="22015B6A" w14:textId="77777777" w:rsidR="00361D17" w:rsidRPr="00716B0F" w:rsidRDefault="00361D17" w:rsidP="007B43AB">
            <w:pPr>
              <w:tabs>
                <w:tab w:val="left" w:pos="1407"/>
              </w:tabs>
              <w:jc w:val="both"/>
              <w:rPr>
                <w:rFonts w:asciiTheme="majorHAnsi" w:hAnsiTheme="majorHAnsi" w:cs="Arial"/>
                <w:sz w:val="22"/>
                <w:szCs w:val="16"/>
              </w:rPr>
            </w:pPr>
            <w:r w:rsidRPr="00716B0F">
              <w:rPr>
                <w:rFonts w:asciiTheme="majorHAnsi" w:hAnsiTheme="majorHAnsi" w:cs="Arial"/>
                <w:sz w:val="22"/>
                <w:szCs w:val="16"/>
              </w:rPr>
              <w:t>Instrumentos de capital o con cláusula de amortización anticipada a opción del tenedor (deben cumplir las condiciones indicadas en literal m) del artículo 7 del Reglamento</w:t>
            </w:r>
          </w:p>
        </w:tc>
      </w:tr>
      <w:tr w:rsidR="00361D17" w:rsidRPr="00716B0F" w14:paraId="29AB9094" w14:textId="77777777" w:rsidTr="007B43AB">
        <w:trPr>
          <w:cantSplit/>
          <w:trHeight w:val="366"/>
        </w:trPr>
        <w:tc>
          <w:tcPr>
            <w:tcW w:w="4312" w:type="dxa"/>
            <w:vAlign w:val="center"/>
          </w:tcPr>
          <w:p w14:paraId="500B2E81" w14:textId="77777777" w:rsidR="00361D17" w:rsidRPr="00716B0F" w:rsidRDefault="00361D17" w:rsidP="007B43AB">
            <w:pPr>
              <w:widowControl w:val="0"/>
              <w:rPr>
                <w:rFonts w:asciiTheme="majorHAnsi" w:hAnsiTheme="majorHAnsi" w:cs="Arial"/>
                <w:sz w:val="22"/>
                <w:szCs w:val="16"/>
              </w:rPr>
            </w:pPr>
            <w:r w:rsidRPr="00716B0F">
              <w:rPr>
                <w:rFonts w:asciiTheme="majorHAnsi" w:hAnsiTheme="majorHAnsi" w:cs="Arial"/>
                <w:sz w:val="22"/>
                <w:szCs w:val="16"/>
              </w:rPr>
              <w:t>3.030.010.010.M.010</w:t>
            </w:r>
            <w:r>
              <w:rPr>
                <w:rStyle w:val="Refdenotaalpie"/>
                <w:rFonts w:asciiTheme="majorHAnsi" w:hAnsiTheme="majorHAnsi" w:cs="Arial"/>
                <w:sz w:val="22"/>
                <w:szCs w:val="16"/>
              </w:rPr>
              <w:footnoteReference w:id="3"/>
            </w:r>
          </w:p>
        </w:tc>
        <w:tc>
          <w:tcPr>
            <w:tcW w:w="4594" w:type="dxa"/>
          </w:tcPr>
          <w:p w14:paraId="5803ED18" w14:textId="77777777" w:rsidR="00361D17" w:rsidRPr="00716B0F" w:rsidRDefault="00361D17" w:rsidP="007B43AB">
            <w:pPr>
              <w:jc w:val="both"/>
              <w:rPr>
                <w:rFonts w:asciiTheme="majorHAnsi" w:hAnsiTheme="majorHAnsi" w:cs="Arial"/>
                <w:sz w:val="22"/>
                <w:szCs w:val="16"/>
              </w:rPr>
            </w:pPr>
            <w:r w:rsidRPr="00716B0F">
              <w:rPr>
                <w:rFonts w:asciiTheme="majorHAnsi" w:hAnsiTheme="majorHAnsi" w:cs="Arial"/>
                <w:sz w:val="22"/>
                <w:szCs w:val="16"/>
              </w:rPr>
              <w:t>Superávit por revaluación de terrenos</w:t>
            </w:r>
          </w:p>
        </w:tc>
      </w:tr>
      <w:tr w:rsidR="00361D17" w:rsidRPr="00716B0F" w14:paraId="4364AAFB" w14:textId="77777777" w:rsidTr="007B43AB">
        <w:trPr>
          <w:cantSplit/>
          <w:trHeight w:val="381"/>
        </w:trPr>
        <w:tc>
          <w:tcPr>
            <w:tcW w:w="4312" w:type="dxa"/>
            <w:vAlign w:val="center"/>
          </w:tcPr>
          <w:p w14:paraId="35D655F5" w14:textId="77777777" w:rsidR="00361D17" w:rsidRPr="00716B0F" w:rsidRDefault="00361D17" w:rsidP="007B43AB">
            <w:pPr>
              <w:widowControl w:val="0"/>
              <w:rPr>
                <w:rFonts w:asciiTheme="majorHAnsi" w:hAnsiTheme="majorHAnsi" w:cs="Arial"/>
                <w:sz w:val="22"/>
                <w:szCs w:val="16"/>
              </w:rPr>
            </w:pPr>
            <w:r w:rsidRPr="00716B0F">
              <w:rPr>
                <w:rFonts w:asciiTheme="majorHAnsi" w:hAnsiTheme="majorHAnsi" w:cs="Arial"/>
                <w:sz w:val="22"/>
                <w:szCs w:val="16"/>
              </w:rPr>
              <w:t>3.030.010.010.M.020</w:t>
            </w:r>
            <w:r w:rsidRPr="00716B0F">
              <w:rPr>
                <w:rStyle w:val="Refdenotaalpie"/>
                <w:rFonts w:asciiTheme="majorHAnsi" w:hAnsiTheme="majorHAnsi" w:cs="Arial"/>
                <w:sz w:val="22"/>
                <w:szCs w:val="16"/>
              </w:rPr>
              <w:t>3</w:t>
            </w:r>
          </w:p>
        </w:tc>
        <w:tc>
          <w:tcPr>
            <w:tcW w:w="4594" w:type="dxa"/>
          </w:tcPr>
          <w:p w14:paraId="7AAC69D3" w14:textId="77777777" w:rsidR="00361D17" w:rsidRPr="00716B0F" w:rsidRDefault="00361D17" w:rsidP="007B43AB">
            <w:pPr>
              <w:jc w:val="both"/>
              <w:rPr>
                <w:rFonts w:asciiTheme="majorHAnsi" w:hAnsiTheme="majorHAnsi" w:cs="Arial"/>
                <w:sz w:val="22"/>
                <w:szCs w:val="16"/>
              </w:rPr>
            </w:pPr>
            <w:r w:rsidRPr="00716B0F">
              <w:rPr>
                <w:rFonts w:asciiTheme="majorHAnsi" w:hAnsiTheme="majorHAnsi" w:cs="Arial"/>
                <w:sz w:val="22"/>
                <w:szCs w:val="16"/>
              </w:rPr>
              <w:t>Superávit por revaluación de edificios e instalaciones</w:t>
            </w:r>
          </w:p>
        </w:tc>
      </w:tr>
      <w:tr w:rsidR="00361D17" w:rsidRPr="00716B0F" w14:paraId="38F78D73" w14:textId="77777777" w:rsidTr="007B43AB">
        <w:trPr>
          <w:cantSplit/>
          <w:trHeight w:val="381"/>
        </w:trPr>
        <w:tc>
          <w:tcPr>
            <w:tcW w:w="4312" w:type="dxa"/>
          </w:tcPr>
          <w:p w14:paraId="0800253F" w14:textId="77777777" w:rsidR="00361D17" w:rsidRPr="00716B0F" w:rsidRDefault="00361D17" w:rsidP="007B43AB">
            <w:pPr>
              <w:widowControl w:val="0"/>
              <w:jc w:val="both"/>
              <w:rPr>
                <w:rFonts w:asciiTheme="majorHAnsi" w:hAnsiTheme="majorHAnsi" w:cs="Arial"/>
                <w:sz w:val="22"/>
                <w:szCs w:val="16"/>
              </w:rPr>
            </w:pPr>
            <w:r w:rsidRPr="00716B0F">
              <w:rPr>
                <w:rFonts w:asciiTheme="majorHAnsi" w:hAnsiTheme="majorHAnsi" w:cs="Arial"/>
                <w:sz w:val="22"/>
                <w:szCs w:val="16"/>
              </w:rPr>
              <w:t>3.030.020</w:t>
            </w:r>
          </w:p>
        </w:tc>
        <w:tc>
          <w:tcPr>
            <w:tcW w:w="4594" w:type="dxa"/>
          </w:tcPr>
          <w:p w14:paraId="08A18EFF" w14:textId="77777777" w:rsidR="00361D17" w:rsidRPr="00716B0F" w:rsidRDefault="00361D17" w:rsidP="007B43AB">
            <w:pPr>
              <w:jc w:val="both"/>
              <w:rPr>
                <w:rFonts w:asciiTheme="majorHAnsi" w:hAnsiTheme="majorHAnsi" w:cs="Arial"/>
                <w:sz w:val="22"/>
                <w:szCs w:val="16"/>
              </w:rPr>
            </w:pPr>
            <w:r w:rsidRPr="00716B0F">
              <w:rPr>
                <w:rFonts w:asciiTheme="majorHAnsi" w:hAnsiTheme="majorHAnsi" w:cs="Arial"/>
                <w:sz w:val="22"/>
                <w:szCs w:val="16"/>
              </w:rPr>
              <w:t>Ajustes por valuación de participaciones en otras empresas</w:t>
            </w:r>
          </w:p>
        </w:tc>
      </w:tr>
      <w:tr w:rsidR="00361D17" w:rsidRPr="00716B0F" w14:paraId="0E102843" w14:textId="77777777" w:rsidTr="007B43AB">
        <w:trPr>
          <w:cantSplit/>
          <w:trHeight w:val="258"/>
        </w:trPr>
        <w:tc>
          <w:tcPr>
            <w:tcW w:w="4312" w:type="dxa"/>
          </w:tcPr>
          <w:p w14:paraId="0BFA5331" w14:textId="77777777" w:rsidR="00361D17" w:rsidRPr="00716B0F" w:rsidRDefault="00361D17" w:rsidP="007B43AB">
            <w:pPr>
              <w:widowControl w:val="0"/>
              <w:rPr>
                <w:rFonts w:asciiTheme="majorHAnsi" w:hAnsiTheme="majorHAnsi" w:cs="Arial"/>
                <w:sz w:val="22"/>
                <w:szCs w:val="16"/>
              </w:rPr>
            </w:pPr>
            <w:r w:rsidRPr="00716B0F">
              <w:rPr>
                <w:rFonts w:asciiTheme="majorHAnsi" w:hAnsiTheme="majorHAnsi" w:cs="Arial"/>
                <w:sz w:val="22"/>
                <w:szCs w:val="16"/>
              </w:rPr>
              <w:t>3.050</w:t>
            </w:r>
          </w:p>
        </w:tc>
        <w:tc>
          <w:tcPr>
            <w:tcW w:w="4594" w:type="dxa"/>
          </w:tcPr>
          <w:p w14:paraId="1D562D2F" w14:textId="77777777" w:rsidR="00361D17" w:rsidRPr="00716B0F" w:rsidRDefault="00361D17" w:rsidP="007B43AB">
            <w:pPr>
              <w:rPr>
                <w:rFonts w:asciiTheme="majorHAnsi" w:hAnsiTheme="majorHAnsi" w:cs="Arial"/>
                <w:sz w:val="22"/>
                <w:szCs w:val="16"/>
              </w:rPr>
            </w:pPr>
            <w:r w:rsidRPr="00716B0F">
              <w:rPr>
                <w:rFonts w:asciiTheme="majorHAnsi" w:hAnsiTheme="majorHAnsi" w:cs="Arial"/>
                <w:sz w:val="22"/>
                <w:szCs w:val="16"/>
              </w:rPr>
              <w:t>Resultado acumulados de ejercicios anteriores</w:t>
            </w:r>
          </w:p>
        </w:tc>
      </w:tr>
      <w:tr w:rsidR="00361D17" w:rsidRPr="00716B0F" w14:paraId="1394B693" w14:textId="77777777" w:rsidTr="007B43AB">
        <w:trPr>
          <w:cantSplit/>
          <w:trHeight w:val="279"/>
        </w:trPr>
        <w:tc>
          <w:tcPr>
            <w:tcW w:w="4312" w:type="dxa"/>
          </w:tcPr>
          <w:p w14:paraId="1CE5510F" w14:textId="77777777" w:rsidR="00361D17" w:rsidRPr="00716B0F" w:rsidRDefault="00361D17" w:rsidP="007B43AB">
            <w:pPr>
              <w:widowControl w:val="0"/>
              <w:rPr>
                <w:rFonts w:asciiTheme="majorHAnsi" w:hAnsiTheme="majorHAnsi" w:cs="Arial"/>
                <w:sz w:val="22"/>
                <w:szCs w:val="16"/>
              </w:rPr>
            </w:pPr>
            <w:r w:rsidRPr="00716B0F">
              <w:rPr>
                <w:rFonts w:asciiTheme="majorHAnsi" w:hAnsiTheme="majorHAnsi" w:cs="Arial"/>
                <w:sz w:val="22"/>
                <w:szCs w:val="16"/>
              </w:rPr>
              <w:t>5</w:t>
            </w:r>
          </w:p>
        </w:tc>
        <w:tc>
          <w:tcPr>
            <w:tcW w:w="4594" w:type="dxa"/>
          </w:tcPr>
          <w:p w14:paraId="24636133" w14:textId="77777777" w:rsidR="00361D17" w:rsidRPr="00716B0F" w:rsidRDefault="00361D17" w:rsidP="007B43AB">
            <w:pPr>
              <w:rPr>
                <w:rFonts w:asciiTheme="majorHAnsi" w:hAnsiTheme="majorHAnsi" w:cs="Arial"/>
                <w:sz w:val="22"/>
                <w:szCs w:val="16"/>
              </w:rPr>
            </w:pPr>
            <w:r w:rsidRPr="00716B0F">
              <w:rPr>
                <w:rFonts w:asciiTheme="majorHAnsi" w:hAnsiTheme="majorHAnsi" w:cs="Arial"/>
                <w:sz w:val="22"/>
                <w:szCs w:val="16"/>
              </w:rPr>
              <w:t>Ingresos</w:t>
            </w:r>
          </w:p>
        </w:tc>
      </w:tr>
    </w:tbl>
    <w:p w14:paraId="49D016A3" w14:textId="77777777" w:rsidR="00361D17" w:rsidRDefault="00361D17" w:rsidP="00361D17">
      <w:pPr>
        <w:jc w:val="both"/>
        <w:rPr>
          <w:rFonts w:asciiTheme="majorHAnsi" w:hAnsiTheme="majorHAnsi"/>
          <w:b/>
        </w:rPr>
      </w:pPr>
    </w:p>
    <w:p w14:paraId="137796AE" w14:textId="77777777" w:rsidR="00361D17" w:rsidRDefault="00361D17" w:rsidP="00361D17">
      <w:pPr>
        <w:jc w:val="both"/>
        <w:rPr>
          <w:rFonts w:asciiTheme="majorHAnsi" w:hAnsiTheme="majorHAnsi" w:cs="Arial"/>
          <w:b/>
          <w:i/>
          <w:szCs w:val="16"/>
        </w:rPr>
      </w:pPr>
      <w:r w:rsidRPr="00716B0F">
        <w:rPr>
          <w:rFonts w:asciiTheme="majorHAnsi" w:hAnsiTheme="majorHAnsi" w:cs="Arial"/>
          <w:b/>
          <w:i/>
          <w:szCs w:val="16"/>
        </w:rPr>
        <w:t>Partidas que restan</w:t>
      </w:r>
      <w:r>
        <w:rPr>
          <w:rFonts w:asciiTheme="majorHAnsi" w:hAnsiTheme="majorHAnsi" w:cs="Arial"/>
          <w:b/>
          <w:i/>
          <w:szCs w:val="16"/>
        </w:rPr>
        <w:t>:</w:t>
      </w:r>
    </w:p>
    <w:p w14:paraId="6DDC4775" w14:textId="77777777" w:rsidR="00361D17" w:rsidRPr="00716B0F" w:rsidRDefault="00361D17" w:rsidP="00361D17">
      <w:pPr>
        <w:jc w:val="both"/>
        <w:rPr>
          <w:rFonts w:asciiTheme="majorHAnsi" w:hAnsiTheme="majorHAnsi" w:cs="Arial"/>
          <w:b/>
          <w:i/>
          <w:szCs w:val="16"/>
        </w:rPr>
      </w:pPr>
    </w:p>
    <w:tbl>
      <w:tblPr>
        <w:tblW w:w="8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5"/>
        <w:gridCol w:w="4618"/>
      </w:tblGrid>
      <w:tr w:rsidR="00361D17" w:rsidRPr="00716B0F" w14:paraId="683E8A69" w14:textId="77777777" w:rsidTr="007B43AB">
        <w:trPr>
          <w:trHeight w:val="589"/>
          <w:tblHeader/>
        </w:trPr>
        <w:tc>
          <w:tcPr>
            <w:tcW w:w="4335" w:type="dxa"/>
            <w:shd w:val="clear" w:color="auto" w:fill="BFBFBF" w:themeFill="background1" w:themeFillShade="BF"/>
            <w:vAlign w:val="center"/>
          </w:tcPr>
          <w:p w14:paraId="36AE40D3" w14:textId="77777777" w:rsidR="00361D17" w:rsidRPr="00716B0F" w:rsidRDefault="00361D17" w:rsidP="007B43AB">
            <w:pPr>
              <w:jc w:val="center"/>
              <w:rPr>
                <w:rFonts w:asciiTheme="majorHAnsi" w:hAnsiTheme="majorHAnsi" w:cs="Arial"/>
                <w:b/>
                <w:i/>
                <w:sz w:val="22"/>
                <w:szCs w:val="16"/>
              </w:rPr>
            </w:pPr>
            <w:r w:rsidRPr="00716B0F">
              <w:rPr>
                <w:rFonts w:asciiTheme="majorHAnsi" w:hAnsiTheme="majorHAnsi" w:cs="Arial"/>
                <w:b/>
                <w:i/>
                <w:sz w:val="22"/>
                <w:szCs w:val="16"/>
              </w:rPr>
              <w:t>Número de Cuenta</w:t>
            </w:r>
          </w:p>
        </w:tc>
        <w:tc>
          <w:tcPr>
            <w:tcW w:w="4618" w:type="dxa"/>
            <w:shd w:val="clear" w:color="auto" w:fill="BFBFBF" w:themeFill="background1" w:themeFillShade="BF"/>
            <w:vAlign w:val="center"/>
          </w:tcPr>
          <w:p w14:paraId="55F9B917" w14:textId="77777777" w:rsidR="00361D17" w:rsidRPr="00716B0F" w:rsidRDefault="00361D17" w:rsidP="007B43AB">
            <w:pPr>
              <w:jc w:val="center"/>
              <w:rPr>
                <w:rFonts w:asciiTheme="majorHAnsi" w:hAnsiTheme="majorHAnsi" w:cs="Arial"/>
                <w:b/>
                <w:i/>
                <w:sz w:val="22"/>
                <w:szCs w:val="16"/>
              </w:rPr>
            </w:pPr>
            <w:r w:rsidRPr="00716B0F">
              <w:rPr>
                <w:rFonts w:asciiTheme="majorHAnsi" w:hAnsiTheme="majorHAnsi" w:cs="Arial"/>
                <w:b/>
                <w:i/>
                <w:sz w:val="22"/>
                <w:szCs w:val="16"/>
              </w:rPr>
              <w:t>Descripción</w:t>
            </w:r>
          </w:p>
        </w:tc>
      </w:tr>
      <w:tr w:rsidR="00361D17" w:rsidRPr="00716B0F" w14:paraId="1E355A85" w14:textId="77777777" w:rsidTr="007B43AB">
        <w:trPr>
          <w:trHeight w:val="419"/>
        </w:trPr>
        <w:tc>
          <w:tcPr>
            <w:tcW w:w="4335" w:type="dxa"/>
            <w:vAlign w:val="center"/>
          </w:tcPr>
          <w:p w14:paraId="4250BCEE" w14:textId="77777777" w:rsidR="00361D17" w:rsidRPr="00716B0F" w:rsidRDefault="00361D17" w:rsidP="007B43AB">
            <w:pPr>
              <w:rPr>
                <w:rFonts w:asciiTheme="majorHAnsi" w:hAnsiTheme="majorHAnsi" w:cs="Arial"/>
                <w:sz w:val="22"/>
                <w:szCs w:val="16"/>
              </w:rPr>
            </w:pPr>
            <w:r w:rsidRPr="00716B0F">
              <w:rPr>
                <w:rFonts w:asciiTheme="majorHAnsi" w:hAnsiTheme="majorHAnsi" w:cs="Arial"/>
                <w:sz w:val="22"/>
                <w:szCs w:val="16"/>
              </w:rPr>
              <w:t>3.010.050.020.M.010</w:t>
            </w:r>
          </w:p>
        </w:tc>
        <w:tc>
          <w:tcPr>
            <w:tcW w:w="4618" w:type="dxa"/>
          </w:tcPr>
          <w:p w14:paraId="2E6CC7AF" w14:textId="77777777" w:rsidR="00361D17" w:rsidRPr="00716B0F" w:rsidRDefault="00361D17" w:rsidP="007B43AB">
            <w:pPr>
              <w:jc w:val="both"/>
              <w:rPr>
                <w:rFonts w:asciiTheme="majorHAnsi" w:hAnsiTheme="majorHAnsi" w:cs="Arial"/>
                <w:sz w:val="22"/>
                <w:szCs w:val="16"/>
              </w:rPr>
            </w:pPr>
            <w:r w:rsidRPr="00716B0F">
              <w:rPr>
                <w:rFonts w:asciiTheme="majorHAnsi" w:hAnsiTheme="majorHAnsi" w:cs="Arial"/>
                <w:sz w:val="22"/>
                <w:szCs w:val="16"/>
              </w:rPr>
              <w:t>Acciones en Tesorería -Capital preferente con dividendo acumulativo-</w:t>
            </w:r>
          </w:p>
        </w:tc>
      </w:tr>
      <w:tr w:rsidR="00361D17" w:rsidRPr="00716B0F" w14:paraId="3CD89934" w14:textId="77777777" w:rsidTr="007B43AB">
        <w:trPr>
          <w:trHeight w:val="714"/>
        </w:trPr>
        <w:tc>
          <w:tcPr>
            <w:tcW w:w="4335" w:type="dxa"/>
            <w:vAlign w:val="center"/>
          </w:tcPr>
          <w:p w14:paraId="7FDE60E7" w14:textId="77777777" w:rsidR="00361D17" w:rsidRPr="00716B0F" w:rsidRDefault="00361D17" w:rsidP="007B43AB">
            <w:pPr>
              <w:tabs>
                <w:tab w:val="left" w:pos="2662"/>
              </w:tabs>
              <w:rPr>
                <w:rFonts w:asciiTheme="majorHAnsi" w:hAnsiTheme="majorHAnsi" w:cs="Arial"/>
                <w:sz w:val="22"/>
                <w:szCs w:val="16"/>
              </w:rPr>
            </w:pPr>
            <w:r w:rsidRPr="00716B0F">
              <w:rPr>
                <w:rFonts w:asciiTheme="majorHAnsi" w:hAnsiTheme="majorHAnsi" w:cs="Arial"/>
                <w:sz w:val="22"/>
                <w:szCs w:val="16"/>
              </w:rPr>
              <w:t>3.030.010.020</w:t>
            </w:r>
          </w:p>
        </w:tc>
        <w:tc>
          <w:tcPr>
            <w:tcW w:w="4618" w:type="dxa"/>
          </w:tcPr>
          <w:p w14:paraId="11386DCA" w14:textId="77777777" w:rsidR="00361D17" w:rsidRPr="00716B0F" w:rsidRDefault="00361D17" w:rsidP="007B43AB">
            <w:pPr>
              <w:jc w:val="both"/>
              <w:rPr>
                <w:rFonts w:asciiTheme="majorHAnsi" w:hAnsiTheme="majorHAnsi" w:cs="Arial"/>
                <w:sz w:val="22"/>
                <w:szCs w:val="16"/>
              </w:rPr>
            </w:pPr>
            <w:r w:rsidRPr="00716B0F">
              <w:rPr>
                <w:rFonts w:asciiTheme="majorHAnsi" w:hAnsiTheme="majorHAnsi" w:cs="Arial"/>
                <w:sz w:val="22"/>
                <w:szCs w:val="16"/>
              </w:rPr>
              <w:t>Ajuste por valuación de las inversiones disponibles para la venta -cuando el saldo es deudor-</w:t>
            </w:r>
          </w:p>
        </w:tc>
      </w:tr>
      <w:tr w:rsidR="00361D17" w:rsidRPr="00716B0F" w14:paraId="03E6A8C6" w14:textId="77777777" w:rsidTr="007B43AB">
        <w:trPr>
          <w:trHeight w:val="703"/>
        </w:trPr>
        <w:tc>
          <w:tcPr>
            <w:tcW w:w="4335" w:type="dxa"/>
            <w:vAlign w:val="center"/>
          </w:tcPr>
          <w:p w14:paraId="5C7A29EB" w14:textId="77777777" w:rsidR="00361D17" w:rsidRPr="00716B0F" w:rsidRDefault="00361D17" w:rsidP="007B43AB">
            <w:pPr>
              <w:rPr>
                <w:rFonts w:asciiTheme="majorHAnsi" w:hAnsiTheme="majorHAnsi" w:cs="Arial"/>
                <w:sz w:val="22"/>
                <w:szCs w:val="16"/>
              </w:rPr>
            </w:pPr>
            <w:r w:rsidRPr="00716B0F">
              <w:rPr>
                <w:rFonts w:asciiTheme="majorHAnsi" w:hAnsiTheme="majorHAnsi" w:cs="Arial"/>
                <w:sz w:val="22"/>
                <w:szCs w:val="16"/>
              </w:rPr>
              <w:t>3.030.010.030</w:t>
            </w:r>
          </w:p>
        </w:tc>
        <w:tc>
          <w:tcPr>
            <w:tcW w:w="4618" w:type="dxa"/>
          </w:tcPr>
          <w:p w14:paraId="55A707E4" w14:textId="77777777" w:rsidR="00361D17" w:rsidRPr="00716B0F" w:rsidRDefault="00361D17" w:rsidP="007B43AB">
            <w:pPr>
              <w:tabs>
                <w:tab w:val="left" w:pos="3047"/>
              </w:tabs>
              <w:jc w:val="both"/>
              <w:rPr>
                <w:rFonts w:asciiTheme="majorHAnsi" w:hAnsiTheme="majorHAnsi" w:cs="Arial"/>
                <w:sz w:val="22"/>
                <w:szCs w:val="16"/>
              </w:rPr>
            </w:pPr>
            <w:r w:rsidRPr="00716B0F">
              <w:rPr>
                <w:rFonts w:asciiTheme="majorHAnsi" w:hAnsiTheme="majorHAnsi" w:cs="Arial"/>
                <w:sz w:val="22"/>
                <w:szCs w:val="16"/>
              </w:rPr>
              <w:t>Ajuste por valuación de las inversiones en respaldo reserva de liquidez -cuando el saldo es deudor-</w:t>
            </w:r>
          </w:p>
        </w:tc>
      </w:tr>
      <w:tr w:rsidR="00361D17" w:rsidRPr="00716B0F" w14:paraId="48B995DE" w14:textId="77777777" w:rsidTr="007B43AB">
        <w:trPr>
          <w:trHeight w:val="703"/>
        </w:trPr>
        <w:tc>
          <w:tcPr>
            <w:tcW w:w="4335" w:type="dxa"/>
            <w:vAlign w:val="center"/>
          </w:tcPr>
          <w:p w14:paraId="42E55978" w14:textId="77777777" w:rsidR="00361D17" w:rsidRPr="00716B0F" w:rsidRDefault="00361D17" w:rsidP="007B43AB">
            <w:pPr>
              <w:rPr>
                <w:rFonts w:asciiTheme="majorHAnsi" w:hAnsiTheme="majorHAnsi" w:cs="Arial"/>
                <w:sz w:val="22"/>
                <w:szCs w:val="16"/>
              </w:rPr>
            </w:pPr>
            <w:r w:rsidRPr="00716B0F">
              <w:rPr>
                <w:rFonts w:asciiTheme="majorHAnsi" w:hAnsiTheme="majorHAnsi" w:cs="Arial"/>
                <w:sz w:val="22"/>
                <w:szCs w:val="16"/>
              </w:rPr>
              <w:t>3.030.010.040</w:t>
            </w:r>
          </w:p>
        </w:tc>
        <w:tc>
          <w:tcPr>
            <w:tcW w:w="4618" w:type="dxa"/>
          </w:tcPr>
          <w:p w14:paraId="73A62A81" w14:textId="77777777" w:rsidR="00361D17" w:rsidRPr="00716B0F" w:rsidRDefault="00361D17" w:rsidP="007B43AB">
            <w:pPr>
              <w:tabs>
                <w:tab w:val="left" w:pos="1222"/>
              </w:tabs>
              <w:jc w:val="both"/>
              <w:rPr>
                <w:rFonts w:asciiTheme="majorHAnsi" w:hAnsiTheme="majorHAnsi" w:cs="Arial"/>
                <w:sz w:val="22"/>
                <w:szCs w:val="16"/>
              </w:rPr>
            </w:pPr>
            <w:r w:rsidRPr="00716B0F">
              <w:rPr>
                <w:rFonts w:asciiTheme="majorHAnsi" w:hAnsiTheme="majorHAnsi" w:cs="Arial"/>
                <w:sz w:val="22"/>
                <w:szCs w:val="16"/>
              </w:rPr>
              <w:t>Ajustes por valuación de instrumentos financieros restringidos -cuando el saldo es deudor-</w:t>
            </w:r>
          </w:p>
        </w:tc>
      </w:tr>
      <w:tr w:rsidR="00361D17" w:rsidRPr="00716B0F" w14:paraId="4856DD94" w14:textId="77777777" w:rsidTr="007B43AB">
        <w:trPr>
          <w:trHeight w:val="850"/>
        </w:trPr>
        <w:tc>
          <w:tcPr>
            <w:tcW w:w="4335" w:type="dxa"/>
            <w:vAlign w:val="center"/>
          </w:tcPr>
          <w:p w14:paraId="12B73AFF" w14:textId="77777777" w:rsidR="00361D17" w:rsidRPr="00716B0F" w:rsidRDefault="00361D17" w:rsidP="007B43AB">
            <w:pPr>
              <w:rPr>
                <w:rFonts w:asciiTheme="majorHAnsi" w:hAnsiTheme="majorHAnsi" w:cs="Arial"/>
                <w:sz w:val="22"/>
                <w:szCs w:val="16"/>
              </w:rPr>
            </w:pPr>
            <w:r w:rsidRPr="00716B0F">
              <w:rPr>
                <w:rFonts w:asciiTheme="majorHAnsi" w:hAnsiTheme="majorHAnsi" w:cs="Arial"/>
                <w:sz w:val="22"/>
                <w:szCs w:val="16"/>
              </w:rPr>
              <w:t>3.030.010.050</w:t>
            </w:r>
          </w:p>
        </w:tc>
        <w:tc>
          <w:tcPr>
            <w:tcW w:w="4618" w:type="dxa"/>
          </w:tcPr>
          <w:p w14:paraId="1A5EF7D8" w14:textId="77777777" w:rsidR="00361D17" w:rsidRPr="00716B0F" w:rsidRDefault="00361D17" w:rsidP="007B43AB">
            <w:pPr>
              <w:jc w:val="both"/>
              <w:rPr>
                <w:rFonts w:asciiTheme="majorHAnsi" w:hAnsiTheme="majorHAnsi" w:cs="Arial"/>
                <w:sz w:val="22"/>
                <w:szCs w:val="16"/>
              </w:rPr>
            </w:pPr>
            <w:r w:rsidRPr="00716B0F">
              <w:rPr>
                <w:rFonts w:asciiTheme="majorHAnsi" w:hAnsiTheme="majorHAnsi" w:cs="Arial"/>
                <w:sz w:val="22"/>
                <w:szCs w:val="16"/>
              </w:rPr>
              <w:t>Ajuste por valuación de instrumentos financieros en cesación de pagos, morosos y en litigio -cuando el saldo es deudor-</w:t>
            </w:r>
          </w:p>
        </w:tc>
      </w:tr>
      <w:tr w:rsidR="00361D17" w:rsidRPr="00716B0F" w14:paraId="2F9FD958" w14:textId="77777777" w:rsidTr="007B43AB">
        <w:trPr>
          <w:trHeight w:val="555"/>
        </w:trPr>
        <w:tc>
          <w:tcPr>
            <w:tcW w:w="4335" w:type="dxa"/>
            <w:vAlign w:val="center"/>
          </w:tcPr>
          <w:p w14:paraId="477F54E0" w14:textId="77777777" w:rsidR="00361D17" w:rsidRPr="00716B0F" w:rsidRDefault="00361D17" w:rsidP="007B43AB">
            <w:pPr>
              <w:rPr>
                <w:rFonts w:asciiTheme="majorHAnsi" w:hAnsiTheme="majorHAnsi" w:cs="Arial"/>
                <w:sz w:val="22"/>
                <w:szCs w:val="16"/>
              </w:rPr>
            </w:pPr>
            <w:r w:rsidRPr="00716B0F">
              <w:rPr>
                <w:rFonts w:asciiTheme="majorHAnsi" w:hAnsiTheme="majorHAnsi" w:cs="Arial"/>
                <w:sz w:val="22"/>
                <w:szCs w:val="16"/>
              </w:rPr>
              <w:t>3.030.010.070</w:t>
            </w:r>
          </w:p>
        </w:tc>
        <w:tc>
          <w:tcPr>
            <w:tcW w:w="4618" w:type="dxa"/>
          </w:tcPr>
          <w:p w14:paraId="7AE7F49B" w14:textId="77777777" w:rsidR="00361D17" w:rsidRPr="00716B0F" w:rsidRDefault="00361D17" w:rsidP="007B43AB">
            <w:pPr>
              <w:jc w:val="both"/>
              <w:rPr>
                <w:rFonts w:asciiTheme="majorHAnsi" w:hAnsiTheme="majorHAnsi" w:cs="Arial"/>
                <w:sz w:val="22"/>
                <w:szCs w:val="16"/>
              </w:rPr>
            </w:pPr>
            <w:r w:rsidRPr="00716B0F">
              <w:rPr>
                <w:rFonts w:asciiTheme="majorHAnsi" w:hAnsiTheme="majorHAnsi" w:cs="Arial"/>
                <w:sz w:val="22"/>
                <w:szCs w:val="16"/>
              </w:rPr>
              <w:t>Ajustes por valoración de instrumentos derivados -cuando el saldo es deudor-</w:t>
            </w:r>
          </w:p>
        </w:tc>
      </w:tr>
      <w:tr w:rsidR="00361D17" w:rsidRPr="00716B0F" w14:paraId="2D1721F3" w14:textId="77777777" w:rsidTr="007B43AB">
        <w:trPr>
          <w:trHeight w:val="294"/>
        </w:trPr>
        <w:tc>
          <w:tcPr>
            <w:tcW w:w="4335" w:type="dxa"/>
            <w:vAlign w:val="center"/>
          </w:tcPr>
          <w:p w14:paraId="2261C256" w14:textId="77777777" w:rsidR="00361D17" w:rsidRPr="00716B0F" w:rsidRDefault="00361D17" w:rsidP="007B43AB">
            <w:pPr>
              <w:rPr>
                <w:rFonts w:asciiTheme="majorHAnsi" w:hAnsiTheme="majorHAnsi" w:cs="Arial"/>
                <w:sz w:val="22"/>
                <w:szCs w:val="16"/>
              </w:rPr>
            </w:pPr>
            <w:r w:rsidRPr="00716B0F">
              <w:rPr>
                <w:rFonts w:asciiTheme="majorHAnsi" w:hAnsiTheme="majorHAnsi" w:cs="Arial"/>
                <w:sz w:val="22"/>
                <w:szCs w:val="16"/>
              </w:rPr>
              <w:lastRenderedPageBreak/>
              <w:t>3.030.010.080</w:t>
            </w:r>
          </w:p>
        </w:tc>
        <w:tc>
          <w:tcPr>
            <w:tcW w:w="4618" w:type="dxa"/>
          </w:tcPr>
          <w:p w14:paraId="1B692E04" w14:textId="77777777" w:rsidR="00361D17" w:rsidRPr="00716B0F" w:rsidRDefault="00361D17" w:rsidP="007B43AB">
            <w:pPr>
              <w:tabs>
                <w:tab w:val="left" w:pos="1139"/>
              </w:tabs>
              <w:jc w:val="both"/>
              <w:rPr>
                <w:rFonts w:asciiTheme="majorHAnsi" w:hAnsiTheme="majorHAnsi" w:cs="Arial"/>
                <w:sz w:val="22"/>
                <w:szCs w:val="16"/>
              </w:rPr>
            </w:pPr>
            <w:r w:rsidRPr="00716B0F">
              <w:rPr>
                <w:rFonts w:asciiTheme="majorHAnsi" w:hAnsiTheme="majorHAnsi" w:cs="Arial"/>
                <w:sz w:val="22"/>
                <w:szCs w:val="16"/>
              </w:rPr>
              <w:t>Ajuste por valoración de obligaciones de entregar títulos en reportos y préstamos de valores -cuando el saldo es deudor-</w:t>
            </w:r>
          </w:p>
        </w:tc>
      </w:tr>
      <w:tr w:rsidR="00361D17" w:rsidRPr="00716B0F" w14:paraId="197DEE45" w14:textId="77777777" w:rsidTr="007B43AB">
        <w:trPr>
          <w:trHeight w:val="136"/>
        </w:trPr>
        <w:tc>
          <w:tcPr>
            <w:tcW w:w="4335" w:type="dxa"/>
            <w:vAlign w:val="center"/>
          </w:tcPr>
          <w:p w14:paraId="6B7E4097" w14:textId="77777777" w:rsidR="00361D17" w:rsidRPr="00716B0F" w:rsidRDefault="00361D17" w:rsidP="007B43AB">
            <w:pPr>
              <w:rPr>
                <w:rFonts w:asciiTheme="majorHAnsi" w:hAnsiTheme="majorHAnsi" w:cs="Arial"/>
                <w:sz w:val="22"/>
                <w:szCs w:val="16"/>
              </w:rPr>
            </w:pPr>
            <w:r w:rsidRPr="00716B0F">
              <w:rPr>
                <w:rFonts w:asciiTheme="majorHAnsi" w:hAnsiTheme="majorHAnsi" w:cs="Arial"/>
                <w:sz w:val="22"/>
                <w:szCs w:val="16"/>
              </w:rPr>
              <w:t>4</w:t>
            </w:r>
          </w:p>
        </w:tc>
        <w:tc>
          <w:tcPr>
            <w:tcW w:w="4618" w:type="dxa"/>
          </w:tcPr>
          <w:p w14:paraId="6580CE79" w14:textId="77777777" w:rsidR="00361D17" w:rsidRPr="00716B0F" w:rsidRDefault="00361D17" w:rsidP="007B43AB">
            <w:pPr>
              <w:jc w:val="both"/>
              <w:rPr>
                <w:rFonts w:asciiTheme="majorHAnsi" w:hAnsiTheme="majorHAnsi" w:cs="Arial"/>
                <w:sz w:val="22"/>
                <w:szCs w:val="16"/>
              </w:rPr>
            </w:pPr>
            <w:r w:rsidRPr="00716B0F">
              <w:rPr>
                <w:rFonts w:asciiTheme="majorHAnsi" w:hAnsiTheme="majorHAnsi" w:cs="Arial"/>
                <w:sz w:val="22"/>
                <w:szCs w:val="16"/>
              </w:rPr>
              <w:t>Gastos</w:t>
            </w:r>
          </w:p>
        </w:tc>
      </w:tr>
    </w:tbl>
    <w:p w14:paraId="0F2A9FA4" w14:textId="77777777" w:rsidR="00361D17" w:rsidRDefault="00361D17" w:rsidP="00361D17">
      <w:pPr>
        <w:jc w:val="center"/>
        <w:rPr>
          <w:rFonts w:asciiTheme="majorHAnsi" w:hAnsiTheme="majorHAnsi" w:cs="Arial"/>
          <w:b/>
          <w:szCs w:val="16"/>
        </w:rPr>
      </w:pPr>
    </w:p>
    <w:p w14:paraId="713B107F" w14:textId="77777777" w:rsidR="00361D17" w:rsidRDefault="00361D17" w:rsidP="00361D17">
      <w:pPr>
        <w:jc w:val="center"/>
        <w:rPr>
          <w:rFonts w:asciiTheme="majorHAnsi" w:hAnsiTheme="majorHAnsi" w:cs="Arial"/>
          <w:b/>
          <w:szCs w:val="16"/>
        </w:rPr>
      </w:pPr>
      <w:r w:rsidRPr="007B2410">
        <w:rPr>
          <w:rFonts w:asciiTheme="majorHAnsi" w:hAnsiTheme="majorHAnsi" w:cs="Arial"/>
          <w:b/>
          <w:szCs w:val="16"/>
        </w:rPr>
        <w:t>DEDUCCIONES DEL CAPITAL PRIMARIO MÁS EL CAPITAL SECUNDARIO</w:t>
      </w:r>
    </w:p>
    <w:p w14:paraId="01F4C1A4" w14:textId="77777777" w:rsidR="00361D17" w:rsidRPr="007B2410" w:rsidRDefault="00361D17" w:rsidP="00361D17">
      <w:pPr>
        <w:jc w:val="center"/>
        <w:rPr>
          <w:rFonts w:asciiTheme="majorHAnsi" w:hAnsiTheme="majorHAnsi" w:cs="Arial"/>
          <w:b/>
          <w:szCs w:val="16"/>
        </w:rPr>
      </w:pPr>
    </w:p>
    <w:p w14:paraId="25B55A77" w14:textId="77777777" w:rsidR="00361D17" w:rsidRDefault="00361D17" w:rsidP="00361D17">
      <w:pPr>
        <w:rPr>
          <w:rFonts w:asciiTheme="majorHAnsi" w:hAnsiTheme="majorHAnsi" w:cs="Arial"/>
          <w:b/>
          <w:szCs w:val="16"/>
        </w:rPr>
      </w:pPr>
      <w:r w:rsidRPr="007B2410">
        <w:rPr>
          <w:rFonts w:asciiTheme="majorHAnsi" w:hAnsiTheme="majorHAnsi" w:cs="Arial"/>
          <w:b/>
          <w:szCs w:val="16"/>
        </w:rPr>
        <w:t>Partidas que suman</w:t>
      </w:r>
      <w:r>
        <w:rPr>
          <w:rFonts w:asciiTheme="majorHAnsi" w:hAnsiTheme="majorHAnsi" w:cs="Arial"/>
          <w:b/>
          <w:szCs w:val="16"/>
        </w:rPr>
        <w:t>:</w:t>
      </w:r>
    </w:p>
    <w:p w14:paraId="395C4F51" w14:textId="77777777" w:rsidR="00361D17" w:rsidRPr="007B2410" w:rsidRDefault="00361D17" w:rsidP="00361D17">
      <w:pPr>
        <w:rPr>
          <w:rFonts w:asciiTheme="majorHAnsi" w:hAnsiTheme="majorHAnsi" w:cs="Arial"/>
          <w:b/>
          <w:szCs w:val="16"/>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5"/>
        <w:gridCol w:w="4571"/>
      </w:tblGrid>
      <w:tr w:rsidR="00361D17" w:rsidRPr="007B2410" w14:paraId="2B71ED55" w14:textId="77777777" w:rsidTr="007B43AB">
        <w:trPr>
          <w:cantSplit/>
          <w:trHeight w:val="553"/>
          <w:tblHeader/>
        </w:trPr>
        <w:tc>
          <w:tcPr>
            <w:tcW w:w="4355" w:type="dxa"/>
            <w:shd w:val="clear" w:color="auto" w:fill="BFBFBF" w:themeFill="background1" w:themeFillShade="BF"/>
            <w:vAlign w:val="center"/>
          </w:tcPr>
          <w:p w14:paraId="255B96DE" w14:textId="77777777" w:rsidR="00361D17" w:rsidRPr="007B2410" w:rsidRDefault="00361D17" w:rsidP="007B43AB">
            <w:pPr>
              <w:jc w:val="center"/>
              <w:rPr>
                <w:rFonts w:asciiTheme="majorHAnsi" w:hAnsiTheme="majorHAnsi" w:cs="Arial"/>
                <w:b/>
                <w:sz w:val="22"/>
                <w:szCs w:val="22"/>
              </w:rPr>
            </w:pPr>
            <w:r w:rsidRPr="007B2410">
              <w:rPr>
                <w:rFonts w:asciiTheme="majorHAnsi" w:hAnsiTheme="majorHAnsi" w:cs="Arial"/>
                <w:b/>
                <w:sz w:val="22"/>
                <w:szCs w:val="22"/>
              </w:rPr>
              <w:t>Número de Cuenta</w:t>
            </w:r>
          </w:p>
        </w:tc>
        <w:tc>
          <w:tcPr>
            <w:tcW w:w="4571" w:type="dxa"/>
            <w:shd w:val="clear" w:color="auto" w:fill="BFBFBF" w:themeFill="background1" w:themeFillShade="BF"/>
            <w:vAlign w:val="center"/>
          </w:tcPr>
          <w:p w14:paraId="45B77E37" w14:textId="77777777" w:rsidR="00361D17" w:rsidRPr="007B2410" w:rsidRDefault="00361D17" w:rsidP="007B43AB">
            <w:pPr>
              <w:jc w:val="center"/>
              <w:rPr>
                <w:rFonts w:asciiTheme="majorHAnsi" w:hAnsiTheme="majorHAnsi" w:cs="Arial"/>
                <w:b/>
                <w:sz w:val="22"/>
                <w:szCs w:val="22"/>
              </w:rPr>
            </w:pPr>
            <w:r w:rsidRPr="007B2410">
              <w:rPr>
                <w:rFonts w:asciiTheme="majorHAnsi" w:hAnsiTheme="majorHAnsi" w:cs="Arial"/>
                <w:b/>
                <w:sz w:val="22"/>
                <w:szCs w:val="22"/>
              </w:rPr>
              <w:t>Descripción</w:t>
            </w:r>
          </w:p>
        </w:tc>
      </w:tr>
      <w:tr w:rsidR="00361D17" w:rsidRPr="007B2410" w14:paraId="7B7D7AAC" w14:textId="77777777" w:rsidTr="007B43AB">
        <w:trPr>
          <w:cantSplit/>
          <w:trHeight w:val="314"/>
        </w:trPr>
        <w:tc>
          <w:tcPr>
            <w:tcW w:w="4355" w:type="dxa"/>
            <w:vAlign w:val="center"/>
          </w:tcPr>
          <w:p w14:paraId="4CAA9831" w14:textId="77777777" w:rsidR="00361D17" w:rsidRPr="007B2410" w:rsidRDefault="00361D17" w:rsidP="007B43AB">
            <w:pPr>
              <w:rPr>
                <w:rFonts w:asciiTheme="majorHAnsi" w:hAnsiTheme="majorHAnsi" w:cs="Arial"/>
                <w:sz w:val="22"/>
                <w:szCs w:val="22"/>
              </w:rPr>
            </w:pPr>
            <w:r w:rsidRPr="007B2410">
              <w:rPr>
                <w:rFonts w:asciiTheme="majorHAnsi" w:hAnsiTheme="majorHAnsi" w:cs="Arial"/>
                <w:sz w:val="22"/>
                <w:szCs w:val="22"/>
              </w:rPr>
              <w:t>1.010.060</w:t>
            </w:r>
          </w:p>
        </w:tc>
        <w:tc>
          <w:tcPr>
            <w:tcW w:w="4571" w:type="dxa"/>
          </w:tcPr>
          <w:p w14:paraId="479D6020" w14:textId="77777777" w:rsidR="00361D17" w:rsidRPr="007B2410" w:rsidRDefault="00361D17" w:rsidP="007B43AB">
            <w:pPr>
              <w:jc w:val="both"/>
              <w:rPr>
                <w:rFonts w:asciiTheme="majorHAnsi" w:hAnsiTheme="majorHAnsi" w:cs="Arial"/>
                <w:sz w:val="22"/>
                <w:szCs w:val="22"/>
              </w:rPr>
            </w:pPr>
            <w:r w:rsidRPr="007B2410">
              <w:rPr>
                <w:rFonts w:asciiTheme="majorHAnsi" w:hAnsiTheme="majorHAnsi" w:cs="Arial"/>
                <w:sz w:val="22"/>
                <w:szCs w:val="22"/>
              </w:rPr>
              <w:t>Disponibilidades restringidas</w:t>
            </w:r>
          </w:p>
        </w:tc>
      </w:tr>
      <w:tr w:rsidR="00361D17" w:rsidRPr="007B2410" w14:paraId="0A137179" w14:textId="77777777" w:rsidTr="007B43AB">
        <w:trPr>
          <w:cantSplit/>
          <w:trHeight w:val="314"/>
        </w:trPr>
        <w:tc>
          <w:tcPr>
            <w:tcW w:w="4355" w:type="dxa"/>
            <w:vAlign w:val="center"/>
          </w:tcPr>
          <w:p w14:paraId="17D80A87" w14:textId="77777777" w:rsidR="00361D17" w:rsidRPr="007B2410" w:rsidRDefault="00361D17" w:rsidP="007B43AB">
            <w:pPr>
              <w:tabs>
                <w:tab w:val="left" w:pos="2662"/>
              </w:tabs>
              <w:rPr>
                <w:rFonts w:asciiTheme="majorHAnsi" w:hAnsiTheme="majorHAnsi" w:cs="Arial"/>
                <w:sz w:val="22"/>
                <w:szCs w:val="22"/>
              </w:rPr>
            </w:pPr>
            <w:r w:rsidRPr="007B2410">
              <w:rPr>
                <w:rFonts w:asciiTheme="majorHAnsi" w:hAnsiTheme="majorHAnsi" w:cs="Arial"/>
                <w:sz w:val="22"/>
                <w:szCs w:val="22"/>
              </w:rPr>
              <w:t>1.010.080.080.M.050</w:t>
            </w:r>
          </w:p>
        </w:tc>
        <w:tc>
          <w:tcPr>
            <w:tcW w:w="4571" w:type="dxa"/>
          </w:tcPr>
          <w:p w14:paraId="5618A233" w14:textId="77777777" w:rsidR="00361D17" w:rsidRPr="007B2410" w:rsidRDefault="00361D17" w:rsidP="007B43AB">
            <w:pPr>
              <w:jc w:val="both"/>
              <w:rPr>
                <w:rFonts w:asciiTheme="majorHAnsi" w:hAnsiTheme="majorHAnsi" w:cs="Arial"/>
                <w:sz w:val="22"/>
                <w:szCs w:val="22"/>
              </w:rPr>
            </w:pPr>
            <w:r w:rsidRPr="007B2410">
              <w:rPr>
                <w:rFonts w:asciiTheme="majorHAnsi" w:hAnsiTheme="majorHAnsi" w:cs="Arial"/>
                <w:sz w:val="22"/>
                <w:szCs w:val="22"/>
              </w:rPr>
              <w:t>Disponibilidades restringidas</w:t>
            </w:r>
          </w:p>
        </w:tc>
      </w:tr>
      <w:tr w:rsidR="00361D17" w:rsidRPr="007B2410" w14:paraId="33EE595D" w14:textId="77777777" w:rsidTr="007B43AB">
        <w:trPr>
          <w:cantSplit/>
          <w:trHeight w:val="615"/>
        </w:trPr>
        <w:tc>
          <w:tcPr>
            <w:tcW w:w="4355" w:type="dxa"/>
            <w:vAlign w:val="center"/>
          </w:tcPr>
          <w:p w14:paraId="26F4D47F" w14:textId="77777777" w:rsidR="00361D17" w:rsidRPr="007B2410" w:rsidRDefault="00361D17" w:rsidP="007B43AB">
            <w:pPr>
              <w:rPr>
                <w:rFonts w:asciiTheme="majorHAnsi" w:hAnsiTheme="majorHAnsi" w:cs="Arial"/>
                <w:sz w:val="22"/>
                <w:szCs w:val="22"/>
              </w:rPr>
            </w:pPr>
            <w:r w:rsidRPr="007B2410">
              <w:rPr>
                <w:rFonts w:asciiTheme="majorHAnsi" w:hAnsiTheme="majorHAnsi" w:cs="Arial"/>
                <w:sz w:val="22"/>
                <w:szCs w:val="22"/>
              </w:rPr>
              <w:t>1.020.020.050</w:t>
            </w:r>
          </w:p>
        </w:tc>
        <w:tc>
          <w:tcPr>
            <w:tcW w:w="4571" w:type="dxa"/>
          </w:tcPr>
          <w:p w14:paraId="1988E60E" w14:textId="77777777" w:rsidR="00361D17" w:rsidRPr="007B2410" w:rsidRDefault="00361D17" w:rsidP="007B43AB">
            <w:pPr>
              <w:tabs>
                <w:tab w:val="left" w:pos="3047"/>
              </w:tabs>
              <w:jc w:val="both"/>
              <w:rPr>
                <w:rFonts w:asciiTheme="majorHAnsi" w:hAnsiTheme="majorHAnsi" w:cs="Arial"/>
                <w:sz w:val="22"/>
                <w:szCs w:val="22"/>
              </w:rPr>
            </w:pPr>
            <w:r w:rsidRPr="007B2410">
              <w:rPr>
                <w:rFonts w:asciiTheme="majorHAnsi" w:hAnsiTheme="majorHAnsi" w:cs="Arial"/>
                <w:sz w:val="22"/>
                <w:szCs w:val="22"/>
              </w:rPr>
              <w:t>Instrumentos financieros en partes relacionadas del país –Recursos propios-</w:t>
            </w:r>
          </w:p>
        </w:tc>
      </w:tr>
      <w:tr w:rsidR="00361D17" w:rsidRPr="007B2410" w14:paraId="40807D2B" w14:textId="77777777" w:rsidTr="007B43AB">
        <w:trPr>
          <w:cantSplit/>
          <w:trHeight w:val="778"/>
        </w:trPr>
        <w:tc>
          <w:tcPr>
            <w:tcW w:w="4355" w:type="dxa"/>
            <w:vAlign w:val="center"/>
          </w:tcPr>
          <w:p w14:paraId="59E71A0D" w14:textId="77777777" w:rsidR="00361D17" w:rsidRPr="007B2410" w:rsidRDefault="00361D17" w:rsidP="007B43AB">
            <w:pPr>
              <w:rPr>
                <w:rFonts w:asciiTheme="majorHAnsi" w:hAnsiTheme="majorHAnsi" w:cs="Arial"/>
                <w:sz w:val="22"/>
                <w:szCs w:val="22"/>
              </w:rPr>
            </w:pPr>
            <w:r w:rsidRPr="007B2410">
              <w:rPr>
                <w:rFonts w:asciiTheme="majorHAnsi" w:hAnsiTheme="majorHAnsi" w:cs="Arial"/>
                <w:sz w:val="22"/>
                <w:szCs w:val="22"/>
              </w:rPr>
              <w:t>1.020.020.100</w:t>
            </w:r>
          </w:p>
        </w:tc>
        <w:tc>
          <w:tcPr>
            <w:tcW w:w="4571" w:type="dxa"/>
          </w:tcPr>
          <w:p w14:paraId="11DF59B0" w14:textId="77777777" w:rsidR="00361D17" w:rsidRPr="007B2410" w:rsidRDefault="00361D17" w:rsidP="007B43AB">
            <w:pPr>
              <w:tabs>
                <w:tab w:val="left" w:pos="1222"/>
              </w:tabs>
              <w:jc w:val="both"/>
              <w:rPr>
                <w:rFonts w:asciiTheme="majorHAnsi" w:hAnsiTheme="majorHAnsi" w:cs="Arial"/>
                <w:sz w:val="22"/>
                <w:szCs w:val="22"/>
              </w:rPr>
            </w:pPr>
            <w:r w:rsidRPr="007B2410">
              <w:rPr>
                <w:rFonts w:asciiTheme="majorHAnsi" w:hAnsiTheme="majorHAnsi" w:cs="Arial"/>
                <w:sz w:val="22"/>
                <w:szCs w:val="22"/>
              </w:rPr>
              <w:t>Instrumentos financieros en partes relacionadas del exterior –Recursos propios-</w:t>
            </w:r>
          </w:p>
        </w:tc>
      </w:tr>
      <w:tr w:rsidR="00361D17" w:rsidRPr="007B2410" w14:paraId="51753C73" w14:textId="77777777" w:rsidTr="007B43AB">
        <w:trPr>
          <w:cantSplit/>
          <w:trHeight w:val="1256"/>
        </w:trPr>
        <w:tc>
          <w:tcPr>
            <w:tcW w:w="4355" w:type="dxa"/>
            <w:vAlign w:val="center"/>
          </w:tcPr>
          <w:p w14:paraId="1C4EB85C" w14:textId="77777777" w:rsidR="00361D17" w:rsidRPr="007B2410" w:rsidRDefault="00361D17" w:rsidP="007B43AB">
            <w:pPr>
              <w:rPr>
                <w:rFonts w:asciiTheme="majorHAnsi" w:hAnsiTheme="majorHAnsi" w:cs="Arial"/>
                <w:sz w:val="22"/>
                <w:szCs w:val="22"/>
              </w:rPr>
            </w:pPr>
            <w:r w:rsidRPr="007B2410">
              <w:rPr>
                <w:rFonts w:asciiTheme="majorHAnsi" w:hAnsiTheme="majorHAnsi" w:cs="Arial"/>
                <w:sz w:val="22"/>
                <w:szCs w:val="22"/>
              </w:rPr>
              <w:t>1.020.020.640</w:t>
            </w:r>
          </w:p>
        </w:tc>
        <w:tc>
          <w:tcPr>
            <w:tcW w:w="4571" w:type="dxa"/>
          </w:tcPr>
          <w:p w14:paraId="13035DD1" w14:textId="77777777" w:rsidR="00361D17" w:rsidRPr="007B2410" w:rsidRDefault="00361D17" w:rsidP="007B43AB">
            <w:pPr>
              <w:jc w:val="both"/>
              <w:rPr>
                <w:rFonts w:asciiTheme="majorHAnsi" w:hAnsiTheme="majorHAnsi" w:cs="Arial"/>
                <w:sz w:val="22"/>
                <w:szCs w:val="22"/>
              </w:rPr>
            </w:pPr>
            <w:r w:rsidRPr="007B2410">
              <w:rPr>
                <w:rFonts w:asciiTheme="majorHAnsi" w:hAnsiTheme="majorHAnsi" w:cs="Arial"/>
                <w:sz w:val="22"/>
                <w:szCs w:val="22"/>
              </w:rPr>
              <w:t>Instrumentos financieros en partes relacionadas del país – Respaldo reservas, provisiones, técnicas y requerimientos de capital-</w:t>
            </w:r>
          </w:p>
          <w:p w14:paraId="0332DDD7" w14:textId="77777777" w:rsidR="00361D17" w:rsidRPr="007B2410" w:rsidRDefault="00361D17" w:rsidP="007B43AB">
            <w:pPr>
              <w:jc w:val="both"/>
              <w:rPr>
                <w:rFonts w:asciiTheme="majorHAnsi" w:hAnsiTheme="majorHAnsi" w:cs="Arial"/>
                <w:sz w:val="22"/>
                <w:szCs w:val="22"/>
              </w:rPr>
            </w:pPr>
          </w:p>
        </w:tc>
      </w:tr>
      <w:tr w:rsidR="00361D17" w:rsidRPr="007B2410" w14:paraId="2F1A0819" w14:textId="77777777" w:rsidTr="007B43AB">
        <w:trPr>
          <w:cantSplit/>
          <w:trHeight w:val="1256"/>
        </w:trPr>
        <w:tc>
          <w:tcPr>
            <w:tcW w:w="4355" w:type="dxa"/>
            <w:vAlign w:val="center"/>
          </w:tcPr>
          <w:p w14:paraId="199CDC3A" w14:textId="77777777" w:rsidR="00361D17" w:rsidRPr="007B2410" w:rsidRDefault="00361D17" w:rsidP="007B43AB">
            <w:pPr>
              <w:rPr>
                <w:rFonts w:asciiTheme="majorHAnsi" w:hAnsiTheme="majorHAnsi" w:cs="Arial"/>
                <w:sz w:val="22"/>
                <w:szCs w:val="22"/>
              </w:rPr>
            </w:pPr>
            <w:r w:rsidRPr="007B2410">
              <w:rPr>
                <w:rFonts w:asciiTheme="majorHAnsi" w:hAnsiTheme="majorHAnsi" w:cs="Arial"/>
                <w:sz w:val="22"/>
                <w:szCs w:val="22"/>
              </w:rPr>
              <w:t>1.020.020.690</w:t>
            </w:r>
          </w:p>
        </w:tc>
        <w:tc>
          <w:tcPr>
            <w:tcW w:w="4571" w:type="dxa"/>
          </w:tcPr>
          <w:p w14:paraId="31B95C63" w14:textId="77777777" w:rsidR="00361D17" w:rsidRPr="007B2410" w:rsidRDefault="00361D17" w:rsidP="007B43AB">
            <w:pPr>
              <w:jc w:val="both"/>
              <w:rPr>
                <w:rFonts w:asciiTheme="majorHAnsi" w:hAnsiTheme="majorHAnsi" w:cs="Arial"/>
                <w:sz w:val="22"/>
                <w:szCs w:val="22"/>
              </w:rPr>
            </w:pPr>
            <w:r w:rsidRPr="007B2410">
              <w:rPr>
                <w:rFonts w:asciiTheme="majorHAnsi" w:hAnsiTheme="majorHAnsi" w:cs="Arial"/>
                <w:sz w:val="22"/>
                <w:szCs w:val="22"/>
              </w:rPr>
              <w:t>Instrumentos financieros en partes relacionadas del exterior –Respaldo reservas, provisiones, técnicas y requerimientos de capital</w:t>
            </w:r>
          </w:p>
        </w:tc>
      </w:tr>
      <w:tr w:rsidR="00361D17" w:rsidRPr="007B2410" w14:paraId="56CC514C" w14:textId="77777777" w:rsidTr="007B43AB">
        <w:trPr>
          <w:cantSplit/>
          <w:trHeight w:val="628"/>
        </w:trPr>
        <w:tc>
          <w:tcPr>
            <w:tcW w:w="4355" w:type="dxa"/>
            <w:vAlign w:val="center"/>
          </w:tcPr>
          <w:p w14:paraId="14B58186" w14:textId="77777777" w:rsidR="00361D17" w:rsidRPr="007B2410" w:rsidRDefault="00361D17" w:rsidP="007B43AB">
            <w:pPr>
              <w:rPr>
                <w:rFonts w:asciiTheme="majorHAnsi" w:hAnsiTheme="majorHAnsi" w:cs="Arial"/>
                <w:sz w:val="22"/>
                <w:szCs w:val="22"/>
              </w:rPr>
            </w:pPr>
            <w:r w:rsidRPr="007B2410">
              <w:rPr>
                <w:rFonts w:asciiTheme="majorHAnsi" w:hAnsiTheme="majorHAnsi" w:cs="Arial"/>
                <w:sz w:val="22"/>
                <w:szCs w:val="22"/>
              </w:rPr>
              <w:t>1.020.050.190</w:t>
            </w:r>
          </w:p>
        </w:tc>
        <w:tc>
          <w:tcPr>
            <w:tcW w:w="4571" w:type="dxa"/>
          </w:tcPr>
          <w:p w14:paraId="1236AE60" w14:textId="77777777" w:rsidR="00361D17" w:rsidRPr="007B2410" w:rsidRDefault="00361D17" w:rsidP="007B43AB">
            <w:pPr>
              <w:tabs>
                <w:tab w:val="left" w:pos="1139"/>
              </w:tabs>
              <w:jc w:val="both"/>
              <w:rPr>
                <w:rFonts w:asciiTheme="majorHAnsi" w:hAnsiTheme="majorHAnsi" w:cs="Arial"/>
                <w:sz w:val="22"/>
                <w:szCs w:val="22"/>
              </w:rPr>
            </w:pPr>
            <w:r w:rsidRPr="007B2410">
              <w:rPr>
                <w:rFonts w:asciiTheme="majorHAnsi" w:hAnsiTheme="majorHAnsi" w:cs="Arial"/>
                <w:sz w:val="22"/>
                <w:szCs w:val="22"/>
              </w:rPr>
              <w:t>Instrumentos financieros restringidos por operaciones de reporto</w:t>
            </w:r>
          </w:p>
        </w:tc>
      </w:tr>
      <w:tr w:rsidR="00361D17" w:rsidRPr="007B2410" w14:paraId="23ABB6D1" w14:textId="77777777" w:rsidTr="007B43AB">
        <w:trPr>
          <w:cantSplit/>
          <w:trHeight w:val="615"/>
        </w:trPr>
        <w:tc>
          <w:tcPr>
            <w:tcW w:w="4355" w:type="dxa"/>
            <w:vAlign w:val="center"/>
          </w:tcPr>
          <w:p w14:paraId="7757A1D4" w14:textId="77777777" w:rsidR="00361D17" w:rsidRPr="007B2410" w:rsidRDefault="00361D17" w:rsidP="007B43AB">
            <w:pPr>
              <w:rPr>
                <w:rFonts w:asciiTheme="majorHAnsi" w:hAnsiTheme="majorHAnsi" w:cs="Arial"/>
                <w:sz w:val="22"/>
                <w:szCs w:val="22"/>
              </w:rPr>
            </w:pPr>
            <w:r w:rsidRPr="007B2410">
              <w:rPr>
                <w:rFonts w:asciiTheme="majorHAnsi" w:hAnsiTheme="majorHAnsi" w:cs="Arial"/>
                <w:sz w:val="22"/>
                <w:szCs w:val="22"/>
              </w:rPr>
              <w:t>1.020.050.200</w:t>
            </w:r>
          </w:p>
        </w:tc>
        <w:tc>
          <w:tcPr>
            <w:tcW w:w="4571" w:type="dxa"/>
          </w:tcPr>
          <w:p w14:paraId="77E83E52" w14:textId="77777777" w:rsidR="00361D17" w:rsidRPr="007B2410" w:rsidRDefault="00361D17" w:rsidP="007B43AB">
            <w:pPr>
              <w:jc w:val="both"/>
              <w:rPr>
                <w:rFonts w:asciiTheme="majorHAnsi" w:hAnsiTheme="majorHAnsi" w:cs="Arial"/>
                <w:sz w:val="22"/>
                <w:szCs w:val="22"/>
              </w:rPr>
            </w:pPr>
            <w:r w:rsidRPr="007B2410">
              <w:rPr>
                <w:rFonts w:asciiTheme="majorHAnsi" w:hAnsiTheme="majorHAnsi" w:cs="Arial"/>
                <w:sz w:val="22"/>
                <w:szCs w:val="22"/>
              </w:rPr>
              <w:t>Instrumentos financieros restringidos por operaciones de reportos tripartitos</w:t>
            </w:r>
          </w:p>
        </w:tc>
      </w:tr>
      <w:tr w:rsidR="00361D17" w:rsidRPr="007B2410" w14:paraId="337DE153" w14:textId="77777777" w:rsidTr="007B43AB">
        <w:trPr>
          <w:cantSplit/>
          <w:trHeight w:val="628"/>
        </w:trPr>
        <w:tc>
          <w:tcPr>
            <w:tcW w:w="4355" w:type="dxa"/>
            <w:vAlign w:val="center"/>
          </w:tcPr>
          <w:p w14:paraId="0D91407A" w14:textId="77777777" w:rsidR="00361D17" w:rsidRPr="007B2410" w:rsidRDefault="00361D17" w:rsidP="007B43AB">
            <w:pPr>
              <w:rPr>
                <w:rFonts w:asciiTheme="majorHAnsi" w:hAnsiTheme="majorHAnsi" w:cs="Arial"/>
                <w:sz w:val="22"/>
                <w:szCs w:val="22"/>
              </w:rPr>
            </w:pPr>
            <w:r w:rsidRPr="007B2410">
              <w:rPr>
                <w:rFonts w:asciiTheme="majorHAnsi" w:hAnsiTheme="majorHAnsi" w:cs="Arial"/>
                <w:sz w:val="22"/>
                <w:szCs w:val="22"/>
              </w:rPr>
              <w:t>1.020.050.210</w:t>
            </w:r>
          </w:p>
        </w:tc>
        <w:tc>
          <w:tcPr>
            <w:tcW w:w="4571" w:type="dxa"/>
          </w:tcPr>
          <w:p w14:paraId="186345EA" w14:textId="77777777" w:rsidR="00361D17" w:rsidRPr="007B2410" w:rsidRDefault="00361D17" w:rsidP="007B43AB">
            <w:pPr>
              <w:jc w:val="both"/>
              <w:rPr>
                <w:rFonts w:asciiTheme="majorHAnsi" w:hAnsiTheme="majorHAnsi" w:cs="Arial"/>
                <w:sz w:val="22"/>
                <w:szCs w:val="22"/>
              </w:rPr>
            </w:pPr>
            <w:r w:rsidRPr="007B2410">
              <w:rPr>
                <w:rFonts w:asciiTheme="majorHAnsi" w:hAnsiTheme="majorHAnsi" w:cs="Arial"/>
                <w:sz w:val="22"/>
                <w:szCs w:val="22"/>
              </w:rPr>
              <w:t>Instrumentos financieros restringidos por llamadas a margen de reportos tripartitos</w:t>
            </w:r>
          </w:p>
        </w:tc>
      </w:tr>
      <w:tr w:rsidR="00361D17" w:rsidRPr="007B2410" w14:paraId="74B8C722" w14:textId="77777777" w:rsidTr="007B43AB">
        <w:trPr>
          <w:cantSplit/>
          <w:trHeight w:val="464"/>
        </w:trPr>
        <w:tc>
          <w:tcPr>
            <w:tcW w:w="4355" w:type="dxa"/>
            <w:vAlign w:val="center"/>
          </w:tcPr>
          <w:p w14:paraId="7F39F348" w14:textId="77777777" w:rsidR="00361D17" w:rsidRPr="007B2410" w:rsidRDefault="00361D17" w:rsidP="007B43AB">
            <w:pPr>
              <w:rPr>
                <w:rFonts w:asciiTheme="majorHAnsi" w:hAnsiTheme="majorHAnsi" w:cs="Arial"/>
                <w:sz w:val="22"/>
                <w:szCs w:val="22"/>
              </w:rPr>
            </w:pPr>
            <w:r w:rsidRPr="007B2410">
              <w:rPr>
                <w:rFonts w:asciiTheme="majorHAnsi" w:hAnsiTheme="majorHAnsi" w:cs="Arial"/>
                <w:sz w:val="22"/>
                <w:szCs w:val="22"/>
              </w:rPr>
              <w:t>1.020.050.220</w:t>
            </w:r>
          </w:p>
        </w:tc>
        <w:tc>
          <w:tcPr>
            <w:tcW w:w="4571" w:type="dxa"/>
          </w:tcPr>
          <w:p w14:paraId="6D3711F5" w14:textId="77777777" w:rsidR="00361D17" w:rsidRPr="007B2410" w:rsidRDefault="00361D17" w:rsidP="007B43AB">
            <w:pPr>
              <w:jc w:val="both"/>
              <w:rPr>
                <w:rFonts w:asciiTheme="majorHAnsi" w:hAnsiTheme="majorHAnsi" w:cs="Arial"/>
                <w:sz w:val="22"/>
                <w:szCs w:val="22"/>
              </w:rPr>
            </w:pPr>
            <w:r w:rsidRPr="007B2410">
              <w:rPr>
                <w:rFonts w:asciiTheme="majorHAnsi" w:hAnsiTheme="majorHAnsi" w:cs="Arial"/>
                <w:sz w:val="22"/>
                <w:szCs w:val="22"/>
              </w:rPr>
              <w:t>Instrumentos financieros restringidos por operaciones a plazo</w:t>
            </w:r>
          </w:p>
        </w:tc>
      </w:tr>
      <w:tr w:rsidR="00361D17" w:rsidRPr="007B2410" w14:paraId="1261D3CD" w14:textId="77777777" w:rsidTr="007B43AB">
        <w:trPr>
          <w:cantSplit/>
          <w:trHeight w:val="628"/>
        </w:trPr>
        <w:tc>
          <w:tcPr>
            <w:tcW w:w="4355" w:type="dxa"/>
          </w:tcPr>
          <w:p w14:paraId="6FBC492D" w14:textId="77777777" w:rsidR="00361D17" w:rsidRPr="007B2410" w:rsidRDefault="00361D17" w:rsidP="007B43AB">
            <w:pPr>
              <w:rPr>
                <w:rFonts w:asciiTheme="majorHAnsi" w:hAnsiTheme="majorHAnsi" w:cs="Arial"/>
                <w:sz w:val="22"/>
                <w:szCs w:val="22"/>
              </w:rPr>
            </w:pPr>
            <w:r w:rsidRPr="007B2410">
              <w:rPr>
                <w:rFonts w:asciiTheme="majorHAnsi" w:hAnsiTheme="majorHAnsi" w:cs="Arial"/>
                <w:sz w:val="22"/>
                <w:szCs w:val="22"/>
              </w:rPr>
              <w:lastRenderedPageBreak/>
              <w:t>1.020.050.230</w:t>
            </w:r>
          </w:p>
        </w:tc>
        <w:tc>
          <w:tcPr>
            <w:tcW w:w="4571" w:type="dxa"/>
          </w:tcPr>
          <w:p w14:paraId="25503DDB" w14:textId="77777777" w:rsidR="00361D17" w:rsidRPr="007B2410" w:rsidRDefault="00361D17" w:rsidP="007B43AB">
            <w:pPr>
              <w:jc w:val="both"/>
              <w:rPr>
                <w:rFonts w:asciiTheme="majorHAnsi" w:hAnsiTheme="majorHAnsi" w:cs="Arial"/>
                <w:sz w:val="22"/>
                <w:szCs w:val="22"/>
              </w:rPr>
            </w:pPr>
            <w:r w:rsidRPr="007B2410">
              <w:rPr>
                <w:rFonts w:asciiTheme="majorHAnsi" w:hAnsiTheme="majorHAnsi" w:cs="Arial"/>
                <w:sz w:val="22"/>
                <w:szCs w:val="22"/>
              </w:rPr>
              <w:t>Instrumentos financieros restringidos por llamadas a margen de operaciones a plazo</w:t>
            </w:r>
          </w:p>
        </w:tc>
      </w:tr>
      <w:tr w:rsidR="00361D17" w:rsidRPr="007B2410" w14:paraId="5DB58FF8" w14:textId="77777777" w:rsidTr="007B43AB">
        <w:trPr>
          <w:cantSplit/>
          <w:trHeight w:val="615"/>
        </w:trPr>
        <w:tc>
          <w:tcPr>
            <w:tcW w:w="4355" w:type="dxa"/>
            <w:vAlign w:val="center"/>
          </w:tcPr>
          <w:p w14:paraId="4E071FC3" w14:textId="77777777" w:rsidR="00361D17" w:rsidRPr="007B2410" w:rsidRDefault="00361D17" w:rsidP="007B43AB">
            <w:pPr>
              <w:rPr>
                <w:rFonts w:asciiTheme="majorHAnsi" w:hAnsiTheme="majorHAnsi" w:cs="Arial"/>
                <w:sz w:val="22"/>
                <w:szCs w:val="22"/>
              </w:rPr>
            </w:pPr>
            <w:r w:rsidRPr="007B2410">
              <w:rPr>
                <w:rFonts w:asciiTheme="majorHAnsi" w:hAnsiTheme="majorHAnsi" w:cs="Arial"/>
                <w:sz w:val="22"/>
                <w:szCs w:val="22"/>
              </w:rPr>
              <w:t>1.020.050.240</w:t>
            </w:r>
          </w:p>
        </w:tc>
        <w:tc>
          <w:tcPr>
            <w:tcW w:w="4571" w:type="dxa"/>
          </w:tcPr>
          <w:p w14:paraId="025A4FD7" w14:textId="77777777" w:rsidR="00361D17" w:rsidRPr="007B2410" w:rsidRDefault="00361D17" w:rsidP="007B43AB">
            <w:pPr>
              <w:jc w:val="both"/>
              <w:rPr>
                <w:rFonts w:asciiTheme="majorHAnsi" w:hAnsiTheme="majorHAnsi" w:cs="Arial"/>
                <w:sz w:val="22"/>
                <w:szCs w:val="22"/>
              </w:rPr>
            </w:pPr>
            <w:r w:rsidRPr="007B2410">
              <w:rPr>
                <w:rFonts w:asciiTheme="majorHAnsi" w:hAnsiTheme="majorHAnsi" w:cs="Arial"/>
                <w:sz w:val="22"/>
                <w:szCs w:val="22"/>
              </w:rPr>
              <w:t>Instrumentos financieros restringidos por préstamo de valores</w:t>
            </w:r>
          </w:p>
        </w:tc>
      </w:tr>
      <w:tr w:rsidR="00361D17" w:rsidRPr="007B2410" w14:paraId="3FBE1D45" w14:textId="77777777" w:rsidTr="007B43AB">
        <w:trPr>
          <w:cantSplit/>
          <w:trHeight w:val="791"/>
        </w:trPr>
        <w:tc>
          <w:tcPr>
            <w:tcW w:w="4355" w:type="dxa"/>
            <w:vAlign w:val="center"/>
          </w:tcPr>
          <w:p w14:paraId="19610506" w14:textId="77777777" w:rsidR="00361D17" w:rsidRPr="007B2410" w:rsidRDefault="00361D17" w:rsidP="007B43AB">
            <w:pPr>
              <w:rPr>
                <w:rFonts w:asciiTheme="majorHAnsi" w:hAnsiTheme="majorHAnsi" w:cs="Arial"/>
                <w:sz w:val="22"/>
                <w:szCs w:val="22"/>
              </w:rPr>
            </w:pPr>
            <w:r w:rsidRPr="007B2410">
              <w:rPr>
                <w:rFonts w:asciiTheme="majorHAnsi" w:hAnsiTheme="majorHAnsi" w:cs="Arial"/>
                <w:sz w:val="22"/>
                <w:szCs w:val="22"/>
              </w:rPr>
              <w:t>1.020.050.260</w:t>
            </w:r>
          </w:p>
        </w:tc>
        <w:tc>
          <w:tcPr>
            <w:tcW w:w="4571" w:type="dxa"/>
          </w:tcPr>
          <w:p w14:paraId="3A0A7F30" w14:textId="77777777" w:rsidR="00361D17" w:rsidRPr="007B2410" w:rsidRDefault="00361D17" w:rsidP="007B43AB">
            <w:pPr>
              <w:tabs>
                <w:tab w:val="left" w:pos="1105"/>
              </w:tabs>
              <w:jc w:val="both"/>
              <w:rPr>
                <w:rFonts w:asciiTheme="majorHAnsi" w:hAnsiTheme="majorHAnsi" w:cs="Arial"/>
                <w:sz w:val="22"/>
                <w:szCs w:val="22"/>
              </w:rPr>
            </w:pPr>
            <w:r w:rsidRPr="007B2410">
              <w:rPr>
                <w:rFonts w:asciiTheme="majorHAnsi" w:hAnsiTheme="majorHAnsi" w:cs="Arial"/>
                <w:sz w:val="22"/>
                <w:szCs w:val="22"/>
              </w:rPr>
              <w:t>Instrumentos financieros restringidos por el Fondo Garantía de la Bolsa Nacional de Valores</w:t>
            </w:r>
          </w:p>
        </w:tc>
      </w:tr>
      <w:tr w:rsidR="00361D17" w:rsidRPr="007B2410" w14:paraId="34E57D1C" w14:textId="77777777" w:rsidTr="007B43AB">
        <w:trPr>
          <w:cantSplit/>
          <w:trHeight w:val="628"/>
        </w:trPr>
        <w:tc>
          <w:tcPr>
            <w:tcW w:w="4355" w:type="dxa"/>
            <w:vAlign w:val="center"/>
          </w:tcPr>
          <w:p w14:paraId="7B75A8D2" w14:textId="77777777" w:rsidR="00361D17" w:rsidRPr="007B2410" w:rsidRDefault="00361D17" w:rsidP="007B43AB">
            <w:pPr>
              <w:rPr>
                <w:rFonts w:asciiTheme="majorHAnsi" w:hAnsiTheme="majorHAnsi" w:cs="Arial"/>
                <w:sz w:val="22"/>
                <w:szCs w:val="22"/>
              </w:rPr>
            </w:pPr>
            <w:r w:rsidRPr="007B2410">
              <w:rPr>
                <w:rFonts w:asciiTheme="majorHAnsi" w:hAnsiTheme="majorHAnsi" w:cs="Arial"/>
                <w:sz w:val="22"/>
                <w:szCs w:val="22"/>
              </w:rPr>
              <w:t>1.020.050.270</w:t>
            </w:r>
          </w:p>
        </w:tc>
        <w:tc>
          <w:tcPr>
            <w:tcW w:w="4571" w:type="dxa"/>
          </w:tcPr>
          <w:p w14:paraId="6BDA6870" w14:textId="77777777" w:rsidR="00361D17" w:rsidRPr="007B2410" w:rsidRDefault="00361D17" w:rsidP="007B43AB">
            <w:pPr>
              <w:jc w:val="both"/>
              <w:rPr>
                <w:rFonts w:asciiTheme="majorHAnsi" w:hAnsiTheme="majorHAnsi" w:cs="Arial"/>
                <w:sz w:val="22"/>
                <w:szCs w:val="22"/>
              </w:rPr>
            </w:pPr>
            <w:r w:rsidRPr="007B2410">
              <w:rPr>
                <w:rFonts w:asciiTheme="majorHAnsi" w:hAnsiTheme="majorHAnsi" w:cs="Arial"/>
                <w:sz w:val="22"/>
                <w:szCs w:val="22"/>
              </w:rPr>
              <w:t>Instrumentos financieros restringidos por operaciones de crédito</w:t>
            </w:r>
          </w:p>
        </w:tc>
      </w:tr>
      <w:tr w:rsidR="00361D17" w:rsidRPr="007B2410" w14:paraId="5B5AE46A" w14:textId="77777777" w:rsidTr="007B43AB">
        <w:trPr>
          <w:cantSplit/>
          <w:trHeight w:val="628"/>
        </w:trPr>
        <w:tc>
          <w:tcPr>
            <w:tcW w:w="4355" w:type="dxa"/>
            <w:vAlign w:val="center"/>
          </w:tcPr>
          <w:p w14:paraId="62FD6EB7" w14:textId="77777777" w:rsidR="00361D17" w:rsidRPr="007B2410" w:rsidRDefault="00361D17" w:rsidP="007B43AB">
            <w:pPr>
              <w:rPr>
                <w:rFonts w:asciiTheme="majorHAnsi" w:hAnsiTheme="majorHAnsi" w:cs="Arial"/>
                <w:sz w:val="22"/>
                <w:szCs w:val="22"/>
              </w:rPr>
            </w:pPr>
            <w:r w:rsidRPr="007B2410">
              <w:rPr>
                <w:rFonts w:asciiTheme="majorHAnsi" w:hAnsiTheme="majorHAnsi" w:cs="Arial"/>
                <w:sz w:val="22"/>
                <w:szCs w:val="22"/>
              </w:rPr>
              <w:t>1.020.050.280</w:t>
            </w:r>
          </w:p>
        </w:tc>
        <w:tc>
          <w:tcPr>
            <w:tcW w:w="4571" w:type="dxa"/>
          </w:tcPr>
          <w:p w14:paraId="2F8D50A0" w14:textId="77777777" w:rsidR="00361D17" w:rsidRPr="007B2410" w:rsidRDefault="00361D17" w:rsidP="007B43AB">
            <w:pPr>
              <w:jc w:val="both"/>
              <w:rPr>
                <w:rFonts w:asciiTheme="majorHAnsi" w:hAnsiTheme="majorHAnsi" w:cs="Arial"/>
                <w:sz w:val="22"/>
                <w:szCs w:val="22"/>
              </w:rPr>
            </w:pPr>
            <w:r w:rsidRPr="007B2410">
              <w:rPr>
                <w:rFonts w:asciiTheme="majorHAnsi" w:hAnsiTheme="majorHAnsi" w:cs="Arial"/>
                <w:sz w:val="22"/>
                <w:szCs w:val="22"/>
              </w:rPr>
              <w:t>Instrumentos financieros restringidos por requerimientos judiciales</w:t>
            </w:r>
          </w:p>
        </w:tc>
      </w:tr>
      <w:tr w:rsidR="00361D17" w:rsidRPr="007B2410" w14:paraId="2D6B88A4" w14:textId="77777777" w:rsidTr="007B43AB">
        <w:trPr>
          <w:cantSplit/>
          <w:trHeight w:val="615"/>
        </w:trPr>
        <w:tc>
          <w:tcPr>
            <w:tcW w:w="4355" w:type="dxa"/>
            <w:vAlign w:val="center"/>
          </w:tcPr>
          <w:p w14:paraId="48F98BA0" w14:textId="77777777" w:rsidR="00361D17" w:rsidRPr="007B2410" w:rsidRDefault="00361D17" w:rsidP="007B43AB">
            <w:pPr>
              <w:rPr>
                <w:rFonts w:asciiTheme="majorHAnsi" w:hAnsiTheme="majorHAnsi" w:cs="Arial"/>
                <w:sz w:val="22"/>
                <w:szCs w:val="22"/>
              </w:rPr>
            </w:pPr>
            <w:r w:rsidRPr="007B2410">
              <w:rPr>
                <w:rFonts w:asciiTheme="majorHAnsi" w:hAnsiTheme="majorHAnsi" w:cs="Arial"/>
                <w:sz w:val="22"/>
                <w:szCs w:val="22"/>
              </w:rPr>
              <w:t>1.020.050.290</w:t>
            </w:r>
          </w:p>
        </w:tc>
        <w:tc>
          <w:tcPr>
            <w:tcW w:w="4571" w:type="dxa"/>
          </w:tcPr>
          <w:p w14:paraId="286E6027" w14:textId="77777777" w:rsidR="00361D17" w:rsidRPr="007B2410" w:rsidRDefault="00361D17" w:rsidP="007B43AB">
            <w:pPr>
              <w:tabs>
                <w:tab w:val="left" w:pos="1641"/>
              </w:tabs>
              <w:jc w:val="both"/>
              <w:rPr>
                <w:rFonts w:asciiTheme="majorHAnsi" w:hAnsiTheme="majorHAnsi" w:cs="Arial"/>
                <w:sz w:val="22"/>
                <w:szCs w:val="22"/>
              </w:rPr>
            </w:pPr>
            <w:r w:rsidRPr="007B2410">
              <w:rPr>
                <w:rFonts w:asciiTheme="majorHAnsi" w:hAnsiTheme="majorHAnsi" w:cs="Arial"/>
                <w:sz w:val="22"/>
                <w:szCs w:val="22"/>
              </w:rPr>
              <w:t>Instrumentos financieros restringidos por operaciones de Mercado Interbancario</w:t>
            </w:r>
          </w:p>
        </w:tc>
      </w:tr>
      <w:tr w:rsidR="00361D17" w:rsidRPr="007B2410" w14:paraId="16BB7C4C" w14:textId="77777777" w:rsidTr="007B43AB">
        <w:trPr>
          <w:cantSplit/>
          <w:trHeight w:val="628"/>
        </w:trPr>
        <w:tc>
          <w:tcPr>
            <w:tcW w:w="4355" w:type="dxa"/>
            <w:vAlign w:val="center"/>
          </w:tcPr>
          <w:p w14:paraId="1165D891" w14:textId="77777777" w:rsidR="00361D17" w:rsidRPr="007B2410" w:rsidRDefault="00361D17" w:rsidP="007B43AB">
            <w:pPr>
              <w:rPr>
                <w:rFonts w:asciiTheme="majorHAnsi" w:hAnsiTheme="majorHAnsi" w:cs="Arial"/>
                <w:sz w:val="22"/>
                <w:szCs w:val="22"/>
              </w:rPr>
            </w:pPr>
            <w:r w:rsidRPr="007B2410">
              <w:rPr>
                <w:rFonts w:asciiTheme="majorHAnsi" w:hAnsiTheme="majorHAnsi" w:cs="Arial"/>
                <w:sz w:val="22"/>
                <w:szCs w:val="22"/>
              </w:rPr>
              <w:t>1.020.050.300</w:t>
            </w:r>
          </w:p>
        </w:tc>
        <w:tc>
          <w:tcPr>
            <w:tcW w:w="4571" w:type="dxa"/>
          </w:tcPr>
          <w:p w14:paraId="0B31F61D" w14:textId="77777777" w:rsidR="00361D17" w:rsidRPr="007B2410" w:rsidRDefault="00361D17" w:rsidP="007B43AB">
            <w:pPr>
              <w:jc w:val="both"/>
              <w:rPr>
                <w:rFonts w:asciiTheme="majorHAnsi" w:hAnsiTheme="majorHAnsi" w:cs="Arial"/>
                <w:sz w:val="22"/>
                <w:szCs w:val="22"/>
              </w:rPr>
            </w:pPr>
            <w:r w:rsidRPr="007B2410">
              <w:rPr>
                <w:rFonts w:asciiTheme="majorHAnsi" w:hAnsiTheme="majorHAnsi" w:cs="Arial"/>
                <w:sz w:val="22"/>
                <w:szCs w:val="22"/>
              </w:rPr>
              <w:t>Instrumentos financieros restringidos por operaciones de Mercado de Liquidez</w:t>
            </w:r>
          </w:p>
        </w:tc>
      </w:tr>
      <w:tr w:rsidR="00361D17" w:rsidRPr="007B2410" w14:paraId="5BDE1722" w14:textId="77777777" w:rsidTr="007B43AB">
        <w:trPr>
          <w:cantSplit/>
          <w:trHeight w:val="628"/>
        </w:trPr>
        <w:tc>
          <w:tcPr>
            <w:tcW w:w="4355" w:type="dxa"/>
            <w:vAlign w:val="center"/>
          </w:tcPr>
          <w:p w14:paraId="319C2735" w14:textId="77777777" w:rsidR="00361D17" w:rsidRPr="007B2410" w:rsidRDefault="00361D17" w:rsidP="007B43AB">
            <w:pPr>
              <w:rPr>
                <w:rFonts w:asciiTheme="majorHAnsi" w:hAnsiTheme="majorHAnsi" w:cs="Arial"/>
                <w:sz w:val="22"/>
                <w:szCs w:val="22"/>
              </w:rPr>
            </w:pPr>
            <w:r w:rsidRPr="007B2410">
              <w:rPr>
                <w:rFonts w:asciiTheme="majorHAnsi" w:hAnsiTheme="majorHAnsi" w:cs="Arial"/>
                <w:sz w:val="22"/>
                <w:szCs w:val="22"/>
              </w:rPr>
              <w:t>1.020.050.310</w:t>
            </w:r>
          </w:p>
        </w:tc>
        <w:tc>
          <w:tcPr>
            <w:tcW w:w="4571" w:type="dxa"/>
          </w:tcPr>
          <w:p w14:paraId="4E98ED8D" w14:textId="77777777" w:rsidR="00361D17" w:rsidRPr="007B2410" w:rsidRDefault="00361D17" w:rsidP="007B43AB">
            <w:pPr>
              <w:tabs>
                <w:tab w:val="left" w:pos="1356"/>
              </w:tabs>
              <w:jc w:val="both"/>
              <w:rPr>
                <w:rFonts w:asciiTheme="majorHAnsi" w:hAnsiTheme="majorHAnsi" w:cs="Arial"/>
                <w:sz w:val="22"/>
                <w:szCs w:val="22"/>
              </w:rPr>
            </w:pPr>
            <w:r w:rsidRPr="007B2410">
              <w:rPr>
                <w:rFonts w:asciiTheme="majorHAnsi" w:hAnsiTheme="majorHAnsi" w:cs="Arial"/>
                <w:sz w:val="22"/>
                <w:szCs w:val="22"/>
              </w:rPr>
              <w:t>Instrumentos financieros restringidos por operaciones de corresponsalía</w:t>
            </w:r>
          </w:p>
        </w:tc>
      </w:tr>
      <w:tr w:rsidR="00361D17" w:rsidRPr="007B2410" w14:paraId="7198F860" w14:textId="77777777" w:rsidTr="007B43AB">
        <w:trPr>
          <w:cantSplit/>
          <w:trHeight w:val="464"/>
        </w:trPr>
        <w:tc>
          <w:tcPr>
            <w:tcW w:w="4355" w:type="dxa"/>
            <w:vAlign w:val="center"/>
          </w:tcPr>
          <w:p w14:paraId="722A562E" w14:textId="77777777" w:rsidR="00361D17" w:rsidRPr="007B2410" w:rsidRDefault="00361D17" w:rsidP="007B43AB">
            <w:pPr>
              <w:rPr>
                <w:rFonts w:asciiTheme="majorHAnsi" w:hAnsiTheme="majorHAnsi" w:cs="Arial"/>
                <w:sz w:val="22"/>
                <w:szCs w:val="22"/>
              </w:rPr>
            </w:pPr>
            <w:r w:rsidRPr="007B2410">
              <w:rPr>
                <w:rFonts w:asciiTheme="majorHAnsi" w:hAnsiTheme="majorHAnsi" w:cs="Arial"/>
                <w:sz w:val="22"/>
                <w:szCs w:val="22"/>
              </w:rPr>
              <w:t>1.020.050.320</w:t>
            </w:r>
          </w:p>
        </w:tc>
        <w:tc>
          <w:tcPr>
            <w:tcW w:w="4571" w:type="dxa"/>
          </w:tcPr>
          <w:p w14:paraId="5D3912F4" w14:textId="77777777" w:rsidR="00361D17" w:rsidRPr="007B2410" w:rsidRDefault="00361D17" w:rsidP="007B43AB">
            <w:pPr>
              <w:tabs>
                <w:tab w:val="left" w:pos="1256"/>
              </w:tabs>
              <w:jc w:val="both"/>
              <w:rPr>
                <w:rFonts w:asciiTheme="majorHAnsi" w:hAnsiTheme="majorHAnsi" w:cs="Arial"/>
                <w:sz w:val="22"/>
                <w:szCs w:val="22"/>
              </w:rPr>
            </w:pPr>
            <w:r w:rsidRPr="007B2410">
              <w:rPr>
                <w:rFonts w:asciiTheme="majorHAnsi" w:hAnsiTheme="majorHAnsi" w:cs="Arial"/>
                <w:sz w:val="22"/>
                <w:szCs w:val="22"/>
              </w:rPr>
              <w:t>Instrumentos financieros restringidos por otros conceptos</w:t>
            </w:r>
          </w:p>
        </w:tc>
      </w:tr>
      <w:tr w:rsidR="00361D17" w:rsidRPr="007B2410" w14:paraId="7E112449" w14:textId="77777777" w:rsidTr="007B43AB">
        <w:trPr>
          <w:cantSplit/>
          <w:trHeight w:val="628"/>
        </w:trPr>
        <w:tc>
          <w:tcPr>
            <w:tcW w:w="4355" w:type="dxa"/>
            <w:vAlign w:val="center"/>
          </w:tcPr>
          <w:p w14:paraId="147D5DA2" w14:textId="77777777" w:rsidR="00361D17" w:rsidRPr="007B2410" w:rsidRDefault="00361D17" w:rsidP="007B43AB">
            <w:pPr>
              <w:rPr>
                <w:rFonts w:asciiTheme="majorHAnsi" w:hAnsiTheme="majorHAnsi" w:cs="Arial"/>
                <w:sz w:val="22"/>
                <w:szCs w:val="22"/>
              </w:rPr>
            </w:pPr>
            <w:r w:rsidRPr="007B2410">
              <w:rPr>
                <w:rFonts w:asciiTheme="majorHAnsi" w:hAnsiTheme="majorHAnsi" w:cs="Arial"/>
                <w:sz w:val="22"/>
                <w:szCs w:val="22"/>
              </w:rPr>
              <w:t>1.020.050.330</w:t>
            </w:r>
          </w:p>
        </w:tc>
        <w:tc>
          <w:tcPr>
            <w:tcW w:w="4571" w:type="dxa"/>
          </w:tcPr>
          <w:p w14:paraId="287DD2EA" w14:textId="77777777" w:rsidR="00361D17" w:rsidRPr="007B2410" w:rsidRDefault="00361D17" w:rsidP="007B43AB">
            <w:pPr>
              <w:tabs>
                <w:tab w:val="left" w:pos="1256"/>
              </w:tabs>
              <w:jc w:val="both"/>
              <w:rPr>
                <w:rFonts w:asciiTheme="majorHAnsi" w:hAnsiTheme="majorHAnsi" w:cs="Arial"/>
                <w:sz w:val="22"/>
                <w:szCs w:val="22"/>
              </w:rPr>
            </w:pPr>
            <w:r w:rsidRPr="007B2410">
              <w:rPr>
                <w:rFonts w:asciiTheme="majorHAnsi" w:hAnsiTheme="majorHAnsi" w:cs="Arial"/>
                <w:sz w:val="22"/>
                <w:szCs w:val="22"/>
              </w:rPr>
              <w:t>Instrumentos financieros restringidos por operaciones diferidas de Liquidez</w:t>
            </w:r>
          </w:p>
        </w:tc>
      </w:tr>
      <w:tr w:rsidR="00361D17" w:rsidRPr="007B2410" w14:paraId="1FC96EFA" w14:textId="77777777" w:rsidTr="007B43AB">
        <w:trPr>
          <w:cantSplit/>
          <w:trHeight w:val="942"/>
        </w:trPr>
        <w:tc>
          <w:tcPr>
            <w:tcW w:w="4355" w:type="dxa"/>
            <w:vAlign w:val="center"/>
          </w:tcPr>
          <w:p w14:paraId="72A9F715" w14:textId="77777777" w:rsidR="00361D17" w:rsidRPr="007B2410" w:rsidRDefault="00361D17" w:rsidP="007B43AB">
            <w:pPr>
              <w:rPr>
                <w:rFonts w:asciiTheme="majorHAnsi" w:hAnsiTheme="majorHAnsi" w:cs="Arial"/>
                <w:sz w:val="22"/>
                <w:szCs w:val="22"/>
              </w:rPr>
            </w:pPr>
            <w:r w:rsidRPr="007B2410">
              <w:rPr>
                <w:rFonts w:asciiTheme="majorHAnsi" w:hAnsiTheme="majorHAnsi" w:cs="Arial"/>
                <w:sz w:val="22"/>
                <w:szCs w:val="22"/>
              </w:rPr>
              <w:t>1.020.080.080.M.050</w:t>
            </w:r>
          </w:p>
        </w:tc>
        <w:tc>
          <w:tcPr>
            <w:tcW w:w="4571" w:type="dxa"/>
          </w:tcPr>
          <w:p w14:paraId="7D78D67D" w14:textId="77777777" w:rsidR="00361D17" w:rsidRPr="007B2410" w:rsidRDefault="00361D17" w:rsidP="007B43AB">
            <w:pPr>
              <w:tabs>
                <w:tab w:val="left" w:pos="1256"/>
              </w:tabs>
              <w:jc w:val="both"/>
              <w:rPr>
                <w:rFonts w:asciiTheme="majorHAnsi" w:hAnsiTheme="majorHAnsi" w:cs="Arial"/>
                <w:sz w:val="22"/>
                <w:szCs w:val="22"/>
              </w:rPr>
            </w:pPr>
            <w:r w:rsidRPr="007B2410">
              <w:rPr>
                <w:rFonts w:asciiTheme="majorHAnsi" w:hAnsiTheme="majorHAnsi" w:cs="Arial"/>
                <w:sz w:val="22"/>
                <w:szCs w:val="22"/>
              </w:rPr>
              <w:t>Productos por cobrar por inversiones en instrumentos financieros vencidos y restringidos</w:t>
            </w:r>
          </w:p>
        </w:tc>
      </w:tr>
      <w:tr w:rsidR="00361D17" w:rsidRPr="007B2410" w14:paraId="0E7830C5" w14:textId="77777777" w:rsidTr="007B43AB">
        <w:trPr>
          <w:cantSplit/>
          <w:trHeight w:val="301"/>
        </w:trPr>
        <w:tc>
          <w:tcPr>
            <w:tcW w:w="4355" w:type="dxa"/>
            <w:vAlign w:val="center"/>
          </w:tcPr>
          <w:p w14:paraId="0DB32026" w14:textId="77777777" w:rsidR="00361D17" w:rsidRPr="007B2410" w:rsidRDefault="00361D17" w:rsidP="007B43AB">
            <w:pPr>
              <w:rPr>
                <w:rFonts w:asciiTheme="majorHAnsi" w:hAnsiTheme="majorHAnsi" w:cs="Arial"/>
                <w:sz w:val="22"/>
                <w:szCs w:val="22"/>
              </w:rPr>
            </w:pPr>
            <w:r w:rsidRPr="007B2410">
              <w:rPr>
                <w:rFonts w:asciiTheme="majorHAnsi" w:hAnsiTheme="majorHAnsi" w:cs="Arial"/>
                <w:sz w:val="22"/>
                <w:szCs w:val="22"/>
              </w:rPr>
              <w:t>1.030.010.310.M.100</w:t>
            </w:r>
          </w:p>
        </w:tc>
        <w:tc>
          <w:tcPr>
            <w:tcW w:w="4571" w:type="dxa"/>
          </w:tcPr>
          <w:p w14:paraId="2BE5158B" w14:textId="77777777" w:rsidR="00361D17" w:rsidRPr="007B2410" w:rsidRDefault="00361D17" w:rsidP="007B43AB">
            <w:pPr>
              <w:tabs>
                <w:tab w:val="left" w:pos="1256"/>
              </w:tabs>
              <w:jc w:val="both"/>
              <w:rPr>
                <w:rFonts w:asciiTheme="majorHAnsi" w:hAnsiTheme="majorHAnsi" w:cs="Arial"/>
                <w:sz w:val="22"/>
                <w:szCs w:val="22"/>
              </w:rPr>
            </w:pPr>
            <w:r w:rsidRPr="007B2410">
              <w:rPr>
                <w:rFonts w:asciiTheme="majorHAnsi" w:hAnsiTheme="majorHAnsi" w:cs="Arial"/>
                <w:sz w:val="22"/>
                <w:szCs w:val="22"/>
              </w:rPr>
              <w:t>Partes Relacionadas – Personas Físicas</w:t>
            </w:r>
          </w:p>
        </w:tc>
      </w:tr>
      <w:tr w:rsidR="00361D17" w:rsidRPr="007B2410" w14:paraId="46C4258D" w14:textId="77777777" w:rsidTr="007B43AB">
        <w:trPr>
          <w:cantSplit/>
          <w:trHeight w:val="314"/>
        </w:trPr>
        <w:tc>
          <w:tcPr>
            <w:tcW w:w="4355" w:type="dxa"/>
            <w:vAlign w:val="center"/>
          </w:tcPr>
          <w:p w14:paraId="33F39CAE" w14:textId="77777777" w:rsidR="00361D17" w:rsidRPr="007B2410" w:rsidRDefault="00361D17" w:rsidP="007B43AB">
            <w:pPr>
              <w:rPr>
                <w:rFonts w:asciiTheme="majorHAnsi" w:hAnsiTheme="majorHAnsi" w:cs="Arial"/>
                <w:sz w:val="22"/>
                <w:szCs w:val="22"/>
              </w:rPr>
            </w:pPr>
            <w:r w:rsidRPr="007B2410">
              <w:rPr>
                <w:rFonts w:asciiTheme="majorHAnsi" w:hAnsiTheme="majorHAnsi" w:cs="Arial"/>
                <w:sz w:val="22"/>
                <w:szCs w:val="22"/>
              </w:rPr>
              <w:t>1.030.010.330.M.100</w:t>
            </w:r>
          </w:p>
        </w:tc>
        <w:tc>
          <w:tcPr>
            <w:tcW w:w="4571" w:type="dxa"/>
          </w:tcPr>
          <w:p w14:paraId="23CE9202" w14:textId="77777777" w:rsidR="00361D17" w:rsidRPr="007B2410" w:rsidRDefault="00361D17" w:rsidP="007B43AB">
            <w:pPr>
              <w:tabs>
                <w:tab w:val="left" w:pos="1256"/>
              </w:tabs>
              <w:jc w:val="both"/>
              <w:rPr>
                <w:rFonts w:asciiTheme="majorHAnsi" w:hAnsiTheme="majorHAnsi" w:cs="Arial"/>
                <w:sz w:val="22"/>
                <w:szCs w:val="22"/>
              </w:rPr>
            </w:pPr>
            <w:r w:rsidRPr="007B2410">
              <w:rPr>
                <w:rFonts w:asciiTheme="majorHAnsi" w:hAnsiTheme="majorHAnsi" w:cs="Arial"/>
                <w:sz w:val="22"/>
                <w:szCs w:val="22"/>
              </w:rPr>
              <w:t>Partes Relacionadas – Empresarial</w:t>
            </w:r>
          </w:p>
        </w:tc>
      </w:tr>
      <w:tr w:rsidR="00361D17" w:rsidRPr="007B2410" w14:paraId="6CA468C6" w14:textId="77777777" w:rsidTr="007B43AB">
        <w:trPr>
          <w:cantSplit/>
          <w:trHeight w:val="314"/>
        </w:trPr>
        <w:tc>
          <w:tcPr>
            <w:tcW w:w="4355" w:type="dxa"/>
            <w:vAlign w:val="center"/>
          </w:tcPr>
          <w:p w14:paraId="6DE16F5B" w14:textId="77777777" w:rsidR="00361D17" w:rsidRPr="007B2410" w:rsidRDefault="00361D17" w:rsidP="007B43AB">
            <w:pPr>
              <w:rPr>
                <w:rFonts w:asciiTheme="majorHAnsi" w:hAnsiTheme="majorHAnsi" w:cs="Arial"/>
                <w:sz w:val="22"/>
                <w:szCs w:val="22"/>
              </w:rPr>
            </w:pPr>
            <w:r w:rsidRPr="007B2410">
              <w:rPr>
                <w:rFonts w:asciiTheme="majorHAnsi" w:hAnsiTheme="majorHAnsi" w:cs="Arial"/>
                <w:sz w:val="22"/>
                <w:szCs w:val="22"/>
              </w:rPr>
              <w:t>1.030.010.340.M.100</w:t>
            </w:r>
          </w:p>
        </w:tc>
        <w:tc>
          <w:tcPr>
            <w:tcW w:w="4571" w:type="dxa"/>
          </w:tcPr>
          <w:p w14:paraId="7C79EDCA" w14:textId="77777777" w:rsidR="00361D17" w:rsidRPr="007B2410" w:rsidRDefault="00361D17" w:rsidP="007B43AB">
            <w:pPr>
              <w:tabs>
                <w:tab w:val="left" w:pos="1256"/>
              </w:tabs>
              <w:jc w:val="both"/>
              <w:rPr>
                <w:rFonts w:asciiTheme="majorHAnsi" w:hAnsiTheme="majorHAnsi" w:cs="Arial"/>
                <w:sz w:val="22"/>
                <w:szCs w:val="22"/>
              </w:rPr>
            </w:pPr>
            <w:r w:rsidRPr="007B2410">
              <w:rPr>
                <w:rFonts w:asciiTheme="majorHAnsi" w:hAnsiTheme="majorHAnsi" w:cs="Arial"/>
                <w:sz w:val="22"/>
                <w:szCs w:val="22"/>
              </w:rPr>
              <w:t>Partes Relacionadas – Corporativo</w:t>
            </w:r>
          </w:p>
        </w:tc>
      </w:tr>
      <w:tr w:rsidR="00361D17" w:rsidRPr="007B2410" w14:paraId="0BBE29F2" w14:textId="77777777" w:rsidTr="007B43AB">
        <w:trPr>
          <w:cantSplit/>
          <w:trHeight w:val="301"/>
        </w:trPr>
        <w:tc>
          <w:tcPr>
            <w:tcW w:w="4355" w:type="dxa"/>
            <w:vAlign w:val="center"/>
          </w:tcPr>
          <w:p w14:paraId="7A5460A6" w14:textId="77777777" w:rsidR="00361D17" w:rsidRPr="007B2410" w:rsidRDefault="00361D17" w:rsidP="007B43AB">
            <w:pPr>
              <w:rPr>
                <w:rFonts w:asciiTheme="majorHAnsi" w:hAnsiTheme="majorHAnsi" w:cs="Arial"/>
                <w:sz w:val="22"/>
                <w:szCs w:val="22"/>
              </w:rPr>
            </w:pPr>
            <w:r w:rsidRPr="007B2410">
              <w:rPr>
                <w:rFonts w:asciiTheme="majorHAnsi" w:hAnsiTheme="majorHAnsi" w:cs="Arial"/>
                <w:sz w:val="22"/>
                <w:szCs w:val="22"/>
              </w:rPr>
              <w:t>1.030.010.360.M.100</w:t>
            </w:r>
          </w:p>
        </w:tc>
        <w:tc>
          <w:tcPr>
            <w:tcW w:w="4571" w:type="dxa"/>
          </w:tcPr>
          <w:p w14:paraId="120CAFBA" w14:textId="77777777" w:rsidR="00361D17" w:rsidRPr="007B2410" w:rsidRDefault="00361D17" w:rsidP="007B43AB">
            <w:pPr>
              <w:tabs>
                <w:tab w:val="left" w:pos="1256"/>
              </w:tabs>
              <w:jc w:val="both"/>
              <w:rPr>
                <w:rFonts w:asciiTheme="majorHAnsi" w:hAnsiTheme="majorHAnsi" w:cs="Arial"/>
                <w:sz w:val="22"/>
                <w:szCs w:val="22"/>
              </w:rPr>
            </w:pPr>
            <w:r w:rsidRPr="007B2410">
              <w:rPr>
                <w:rFonts w:asciiTheme="majorHAnsi" w:hAnsiTheme="majorHAnsi" w:cs="Arial"/>
                <w:sz w:val="22"/>
                <w:szCs w:val="22"/>
              </w:rPr>
              <w:t>Partes Relacionadas – Sector Financiero</w:t>
            </w:r>
          </w:p>
        </w:tc>
      </w:tr>
      <w:tr w:rsidR="00361D17" w:rsidRPr="007B2410" w14:paraId="3601A461" w14:textId="77777777" w:rsidTr="007B43AB">
        <w:trPr>
          <w:cantSplit/>
          <w:trHeight w:val="314"/>
        </w:trPr>
        <w:tc>
          <w:tcPr>
            <w:tcW w:w="4355" w:type="dxa"/>
            <w:vAlign w:val="center"/>
          </w:tcPr>
          <w:p w14:paraId="195BE54F" w14:textId="77777777" w:rsidR="00361D17" w:rsidRPr="007B2410" w:rsidRDefault="00361D17" w:rsidP="007B43AB">
            <w:pPr>
              <w:rPr>
                <w:rFonts w:asciiTheme="majorHAnsi" w:hAnsiTheme="majorHAnsi" w:cs="Arial"/>
                <w:sz w:val="22"/>
                <w:szCs w:val="22"/>
              </w:rPr>
            </w:pPr>
            <w:r w:rsidRPr="007B2410">
              <w:rPr>
                <w:rFonts w:asciiTheme="majorHAnsi" w:hAnsiTheme="majorHAnsi" w:cs="Arial"/>
                <w:sz w:val="22"/>
                <w:szCs w:val="22"/>
              </w:rPr>
              <w:t>1.030.020.310.M.100</w:t>
            </w:r>
          </w:p>
        </w:tc>
        <w:tc>
          <w:tcPr>
            <w:tcW w:w="4571" w:type="dxa"/>
          </w:tcPr>
          <w:p w14:paraId="7578CA9B" w14:textId="77777777" w:rsidR="00361D17" w:rsidRPr="007B2410" w:rsidRDefault="00361D17" w:rsidP="007B43AB">
            <w:pPr>
              <w:tabs>
                <w:tab w:val="left" w:pos="1256"/>
              </w:tabs>
              <w:jc w:val="both"/>
              <w:rPr>
                <w:rFonts w:asciiTheme="majorHAnsi" w:hAnsiTheme="majorHAnsi" w:cs="Arial"/>
                <w:sz w:val="22"/>
                <w:szCs w:val="22"/>
              </w:rPr>
            </w:pPr>
            <w:r w:rsidRPr="007B2410">
              <w:rPr>
                <w:rFonts w:asciiTheme="majorHAnsi" w:hAnsiTheme="majorHAnsi" w:cs="Arial"/>
                <w:sz w:val="22"/>
                <w:szCs w:val="22"/>
              </w:rPr>
              <w:t>Partes Relacionadas – Personas Físicas</w:t>
            </w:r>
          </w:p>
        </w:tc>
      </w:tr>
      <w:tr w:rsidR="00361D17" w:rsidRPr="007B2410" w14:paraId="24C1879A" w14:textId="77777777" w:rsidTr="007B43AB">
        <w:trPr>
          <w:cantSplit/>
          <w:trHeight w:val="314"/>
        </w:trPr>
        <w:tc>
          <w:tcPr>
            <w:tcW w:w="4355" w:type="dxa"/>
            <w:vAlign w:val="center"/>
          </w:tcPr>
          <w:p w14:paraId="780BF1AE" w14:textId="77777777" w:rsidR="00361D17" w:rsidRPr="007B2410" w:rsidRDefault="00361D17" w:rsidP="007B43AB">
            <w:pPr>
              <w:rPr>
                <w:rFonts w:asciiTheme="majorHAnsi" w:hAnsiTheme="majorHAnsi" w:cs="Arial"/>
                <w:sz w:val="22"/>
                <w:szCs w:val="22"/>
              </w:rPr>
            </w:pPr>
            <w:r w:rsidRPr="007B2410">
              <w:rPr>
                <w:rFonts w:asciiTheme="majorHAnsi" w:hAnsiTheme="majorHAnsi" w:cs="Arial"/>
                <w:sz w:val="22"/>
                <w:szCs w:val="22"/>
              </w:rPr>
              <w:t>1.030.020.330.M.100</w:t>
            </w:r>
          </w:p>
        </w:tc>
        <w:tc>
          <w:tcPr>
            <w:tcW w:w="4571" w:type="dxa"/>
          </w:tcPr>
          <w:p w14:paraId="7D43953F" w14:textId="77777777" w:rsidR="00361D17" w:rsidRPr="007B2410" w:rsidRDefault="00361D17" w:rsidP="007B43AB">
            <w:pPr>
              <w:tabs>
                <w:tab w:val="left" w:pos="1256"/>
              </w:tabs>
              <w:jc w:val="both"/>
              <w:rPr>
                <w:rFonts w:asciiTheme="majorHAnsi" w:hAnsiTheme="majorHAnsi" w:cs="Arial"/>
                <w:sz w:val="22"/>
                <w:szCs w:val="22"/>
              </w:rPr>
            </w:pPr>
            <w:r w:rsidRPr="007B2410">
              <w:rPr>
                <w:rFonts w:asciiTheme="majorHAnsi" w:hAnsiTheme="majorHAnsi" w:cs="Arial"/>
                <w:sz w:val="22"/>
                <w:szCs w:val="22"/>
              </w:rPr>
              <w:t>Partes Relacionadas – Empresarial</w:t>
            </w:r>
          </w:p>
        </w:tc>
      </w:tr>
      <w:tr w:rsidR="00361D17" w:rsidRPr="007B2410" w14:paraId="65969B8D" w14:textId="77777777" w:rsidTr="007B43AB">
        <w:trPr>
          <w:cantSplit/>
          <w:trHeight w:val="301"/>
        </w:trPr>
        <w:tc>
          <w:tcPr>
            <w:tcW w:w="4355" w:type="dxa"/>
            <w:vAlign w:val="center"/>
          </w:tcPr>
          <w:p w14:paraId="2F7BE036" w14:textId="77777777" w:rsidR="00361D17" w:rsidRPr="007B2410" w:rsidRDefault="00361D17" w:rsidP="007B43AB">
            <w:pPr>
              <w:rPr>
                <w:rFonts w:asciiTheme="majorHAnsi" w:hAnsiTheme="majorHAnsi" w:cs="Arial"/>
                <w:sz w:val="22"/>
                <w:szCs w:val="22"/>
              </w:rPr>
            </w:pPr>
            <w:r w:rsidRPr="007B2410">
              <w:rPr>
                <w:rFonts w:asciiTheme="majorHAnsi" w:hAnsiTheme="majorHAnsi" w:cs="Arial"/>
                <w:sz w:val="22"/>
                <w:szCs w:val="22"/>
              </w:rPr>
              <w:t>1.030.020.340.M.100</w:t>
            </w:r>
          </w:p>
        </w:tc>
        <w:tc>
          <w:tcPr>
            <w:tcW w:w="4571" w:type="dxa"/>
          </w:tcPr>
          <w:p w14:paraId="3E55331C" w14:textId="77777777" w:rsidR="00361D17" w:rsidRPr="007B2410" w:rsidRDefault="00361D17" w:rsidP="007B43AB">
            <w:pPr>
              <w:tabs>
                <w:tab w:val="left" w:pos="1256"/>
              </w:tabs>
              <w:jc w:val="both"/>
              <w:rPr>
                <w:rFonts w:asciiTheme="majorHAnsi" w:hAnsiTheme="majorHAnsi" w:cs="Arial"/>
                <w:sz w:val="22"/>
                <w:szCs w:val="22"/>
              </w:rPr>
            </w:pPr>
            <w:r w:rsidRPr="007B2410">
              <w:rPr>
                <w:rFonts w:asciiTheme="majorHAnsi" w:hAnsiTheme="majorHAnsi" w:cs="Arial"/>
                <w:sz w:val="22"/>
                <w:szCs w:val="22"/>
              </w:rPr>
              <w:t>Partes Relacionadas – Corporativo</w:t>
            </w:r>
          </w:p>
        </w:tc>
      </w:tr>
      <w:tr w:rsidR="00361D17" w:rsidRPr="007B2410" w14:paraId="3C6D29C6" w14:textId="77777777" w:rsidTr="007B43AB">
        <w:trPr>
          <w:cantSplit/>
          <w:trHeight w:val="314"/>
        </w:trPr>
        <w:tc>
          <w:tcPr>
            <w:tcW w:w="4355" w:type="dxa"/>
            <w:vAlign w:val="center"/>
          </w:tcPr>
          <w:p w14:paraId="5DDA5D04" w14:textId="77777777" w:rsidR="00361D17" w:rsidRPr="007B2410" w:rsidRDefault="00361D17" w:rsidP="007B43AB">
            <w:pPr>
              <w:rPr>
                <w:rFonts w:asciiTheme="majorHAnsi" w:hAnsiTheme="majorHAnsi" w:cs="Arial"/>
                <w:sz w:val="22"/>
                <w:szCs w:val="22"/>
              </w:rPr>
            </w:pPr>
            <w:r w:rsidRPr="007B2410">
              <w:rPr>
                <w:rFonts w:asciiTheme="majorHAnsi" w:hAnsiTheme="majorHAnsi" w:cs="Arial"/>
                <w:sz w:val="22"/>
                <w:szCs w:val="22"/>
              </w:rPr>
              <w:t>1.030.020.360.M.100</w:t>
            </w:r>
          </w:p>
        </w:tc>
        <w:tc>
          <w:tcPr>
            <w:tcW w:w="4571" w:type="dxa"/>
          </w:tcPr>
          <w:p w14:paraId="1D2F58C4" w14:textId="77777777" w:rsidR="00361D17" w:rsidRPr="007B2410" w:rsidRDefault="00361D17" w:rsidP="007B43AB">
            <w:pPr>
              <w:tabs>
                <w:tab w:val="left" w:pos="1256"/>
              </w:tabs>
              <w:jc w:val="both"/>
              <w:rPr>
                <w:rFonts w:asciiTheme="majorHAnsi" w:hAnsiTheme="majorHAnsi" w:cs="Arial"/>
                <w:sz w:val="22"/>
                <w:szCs w:val="22"/>
              </w:rPr>
            </w:pPr>
            <w:r w:rsidRPr="007B2410">
              <w:rPr>
                <w:rFonts w:asciiTheme="majorHAnsi" w:hAnsiTheme="majorHAnsi" w:cs="Arial"/>
                <w:sz w:val="22"/>
                <w:szCs w:val="22"/>
              </w:rPr>
              <w:t>Partes Relacionadas – Sector Financiero</w:t>
            </w:r>
          </w:p>
        </w:tc>
      </w:tr>
      <w:tr w:rsidR="00361D17" w:rsidRPr="007B2410" w14:paraId="02C66527" w14:textId="77777777" w:rsidTr="007B43AB">
        <w:trPr>
          <w:cantSplit/>
          <w:trHeight w:val="314"/>
        </w:trPr>
        <w:tc>
          <w:tcPr>
            <w:tcW w:w="4355" w:type="dxa"/>
            <w:vAlign w:val="center"/>
          </w:tcPr>
          <w:p w14:paraId="42E87136" w14:textId="77777777" w:rsidR="00361D17" w:rsidRPr="007B2410" w:rsidRDefault="00361D17" w:rsidP="007B43AB">
            <w:pPr>
              <w:rPr>
                <w:rFonts w:asciiTheme="majorHAnsi" w:hAnsiTheme="majorHAnsi" w:cs="Arial"/>
                <w:sz w:val="22"/>
                <w:szCs w:val="22"/>
              </w:rPr>
            </w:pPr>
            <w:r w:rsidRPr="007B2410">
              <w:rPr>
                <w:rFonts w:asciiTheme="majorHAnsi" w:hAnsiTheme="majorHAnsi" w:cs="Arial"/>
                <w:sz w:val="22"/>
                <w:szCs w:val="22"/>
              </w:rPr>
              <w:t>1.030.030.310.M.100</w:t>
            </w:r>
          </w:p>
        </w:tc>
        <w:tc>
          <w:tcPr>
            <w:tcW w:w="4571" w:type="dxa"/>
          </w:tcPr>
          <w:p w14:paraId="6A4C0E1D" w14:textId="77777777" w:rsidR="00361D17" w:rsidRPr="007B2410" w:rsidRDefault="00361D17" w:rsidP="007B43AB">
            <w:pPr>
              <w:tabs>
                <w:tab w:val="left" w:pos="1256"/>
              </w:tabs>
              <w:jc w:val="both"/>
              <w:rPr>
                <w:rFonts w:asciiTheme="majorHAnsi" w:hAnsiTheme="majorHAnsi" w:cs="Arial"/>
                <w:sz w:val="22"/>
                <w:szCs w:val="22"/>
              </w:rPr>
            </w:pPr>
            <w:r w:rsidRPr="007B2410">
              <w:rPr>
                <w:rFonts w:asciiTheme="majorHAnsi" w:hAnsiTheme="majorHAnsi" w:cs="Arial"/>
                <w:sz w:val="22"/>
                <w:szCs w:val="22"/>
              </w:rPr>
              <w:t>Partes Relacionadas – Personas Físicas</w:t>
            </w:r>
          </w:p>
        </w:tc>
      </w:tr>
      <w:tr w:rsidR="00361D17" w:rsidRPr="007B2410" w14:paraId="66300A57" w14:textId="77777777" w:rsidTr="007B43AB">
        <w:trPr>
          <w:cantSplit/>
          <w:trHeight w:val="301"/>
        </w:trPr>
        <w:tc>
          <w:tcPr>
            <w:tcW w:w="4355" w:type="dxa"/>
            <w:vAlign w:val="center"/>
          </w:tcPr>
          <w:p w14:paraId="10232AE4" w14:textId="77777777" w:rsidR="00361D17" w:rsidRPr="007B2410" w:rsidRDefault="00361D17" w:rsidP="007B43AB">
            <w:pPr>
              <w:rPr>
                <w:rFonts w:asciiTheme="majorHAnsi" w:hAnsiTheme="majorHAnsi" w:cs="Arial"/>
                <w:sz w:val="22"/>
                <w:szCs w:val="22"/>
              </w:rPr>
            </w:pPr>
            <w:r w:rsidRPr="007B2410">
              <w:rPr>
                <w:rFonts w:asciiTheme="majorHAnsi" w:hAnsiTheme="majorHAnsi" w:cs="Arial"/>
                <w:sz w:val="22"/>
                <w:szCs w:val="22"/>
              </w:rPr>
              <w:lastRenderedPageBreak/>
              <w:t>1.030.030.330.M.100</w:t>
            </w:r>
          </w:p>
        </w:tc>
        <w:tc>
          <w:tcPr>
            <w:tcW w:w="4571" w:type="dxa"/>
          </w:tcPr>
          <w:p w14:paraId="30311644" w14:textId="77777777" w:rsidR="00361D17" w:rsidRPr="007B2410" w:rsidRDefault="00361D17" w:rsidP="007B43AB">
            <w:pPr>
              <w:tabs>
                <w:tab w:val="left" w:pos="1256"/>
              </w:tabs>
              <w:jc w:val="both"/>
              <w:rPr>
                <w:rFonts w:asciiTheme="majorHAnsi" w:hAnsiTheme="majorHAnsi" w:cs="Arial"/>
                <w:sz w:val="22"/>
                <w:szCs w:val="22"/>
              </w:rPr>
            </w:pPr>
            <w:r w:rsidRPr="007B2410">
              <w:rPr>
                <w:rFonts w:asciiTheme="majorHAnsi" w:hAnsiTheme="majorHAnsi" w:cs="Arial"/>
                <w:sz w:val="22"/>
                <w:szCs w:val="22"/>
              </w:rPr>
              <w:t>Partes Relacionadas – Empresarial</w:t>
            </w:r>
          </w:p>
        </w:tc>
      </w:tr>
      <w:tr w:rsidR="00361D17" w:rsidRPr="007B2410" w14:paraId="3982832F" w14:textId="77777777" w:rsidTr="007B43AB">
        <w:trPr>
          <w:cantSplit/>
          <w:trHeight w:val="314"/>
        </w:trPr>
        <w:tc>
          <w:tcPr>
            <w:tcW w:w="4355" w:type="dxa"/>
            <w:vAlign w:val="center"/>
          </w:tcPr>
          <w:p w14:paraId="5C098B10" w14:textId="77777777" w:rsidR="00361D17" w:rsidRPr="007B2410" w:rsidRDefault="00361D17" w:rsidP="007B43AB">
            <w:pPr>
              <w:rPr>
                <w:rFonts w:asciiTheme="majorHAnsi" w:hAnsiTheme="majorHAnsi" w:cs="Arial"/>
                <w:sz w:val="22"/>
                <w:szCs w:val="22"/>
              </w:rPr>
            </w:pPr>
            <w:r w:rsidRPr="007B2410">
              <w:rPr>
                <w:rFonts w:asciiTheme="majorHAnsi" w:hAnsiTheme="majorHAnsi" w:cs="Arial"/>
                <w:sz w:val="22"/>
                <w:szCs w:val="22"/>
              </w:rPr>
              <w:t>1.030.030.340.M.100</w:t>
            </w:r>
          </w:p>
        </w:tc>
        <w:tc>
          <w:tcPr>
            <w:tcW w:w="4571" w:type="dxa"/>
          </w:tcPr>
          <w:p w14:paraId="7528CE62" w14:textId="77777777" w:rsidR="00361D17" w:rsidRPr="007B2410" w:rsidRDefault="00361D17" w:rsidP="007B43AB">
            <w:pPr>
              <w:tabs>
                <w:tab w:val="left" w:pos="1256"/>
              </w:tabs>
              <w:jc w:val="both"/>
              <w:rPr>
                <w:rFonts w:asciiTheme="majorHAnsi" w:hAnsiTheme="majorHAnsi" w:cs="Arial"/>
                <w:sz w:val="22"/>
                <w:szCs w:val="22"/>
              </w:rPr>
            </w:pPr>
            <w:r w:rsidRPr="007B2410">
              <w:rPr>
                <w:rFonts w:asciiTheme="majorHAnsi" w:hAnsiTheme="majorHAnsi" w:cs="Arial"/>
                <w:sz w:val="22"/>
                <w:szCs w:val="22"/>
              </w:rPr>
              <w:t>Partes Relacionadas – Corporativo</w:t>
            </w:r>
          </w:p>
        </w:tc>
      </w:tr>
      <w:tr w:rsidR="00361D17" w:rsidRPr="007B2410" w14:paraId="6B9DD186" w14:textId="77777777" w:rsidTr="007B43AB">
        <w:trPr>
          <w:cantSplit/>
          <w:trHeight w:val="314"/>
        </w:trPr>
        <w:tc>
          <w:tcPr>
            <w:tcW w:w="4355" w:type="dxa"/>
            <w:vAlign w:val="center"/>
          </w:tcPr>
          <w:p w14:paraId="5EEF6608" w14:textId="77777777" w:rsidR="00361D17" w:rsidRPr="007B2410" w:rsidRDefault="00361D17" w:rsidP="007B43AB">
            <w:pPr>
              <w:rPr>
                <w:rFonts w:asciiTheme="majorHAnsi" w:hAnsiTheme="majorHAnsi" w:cs="Arial"/>
                <w:sz w:val="22"/>
                <w:szCs w:val="22"/>
              </w:rPr>
            </w:pPr>
            <w:r w:rsidRPr="007B2410">
              <w:rPr>
                <w:rFonts w:asciiTheme="majorHAnsi" w:hAnsiTheme="majorHAnsi" w:cs="Arial"/>
                <w:sz w:val="22"/>
                <w:szCs w:val="22"/>
              </w:rPr>
              <w:t>1.030.030.360.M.100</w:t>
            </w:r>
          </w:p>
        </w:tc>
        <w:tc>
          <w:tcPr>
            <w:tcW w:w="4571" w:type="dxa"/>
          </w:tcPr>
          <w:p w14:paraId="212A3772" w14:textId="77777777" w:rsidR="00361D17" w:rsidRPr="007B2410" w:rsidRDefault="00361D17" w:rsidP="007B43AB">
            <w:pPr>
              <w:tabs>
                <w:tab w:val="left" w:pos="1256"/>
              </w:tabs>
              <w:jc w:val="both"/>
              <w:rPr>
                <w:rFonts w:asciiTheme="majorHAnsi" w:hAnsiTheme="majorHAnsi" w:cs="Arial"/>
                <w:sz w:val="22"/>
                <w:szCs w:val="22"/>
              </w:rPr>
            </w:pPr>
            <w:r w:rsidRPr="007B2410">
              <w:rPr>
                <w:rFonts w:asciiTheme="majorHAnsi" w:hAnsiTheme="majorHAnsi" w:cs="Arial"/>
                <w:sz w:val="22"/>
                <w:szCs w:val="22"/>
              </w:rPr>
              <w:t>Partes Relacionadas – Sector Financiero</w:t>
            </w:r>
          </w:p>
        </w:tc>
      </w:tr>
      <w:tr w:rsidR="00361D17" w:rsidRPr="007B2410" w14:paraId="2E7933F5" w14:textId="77777777" w:rsidTr="007B43AB">
        <w:trPr>
          <w:cantSplit/>
          <w:trHeight w:val="150"/>
        </w:trPr>
        <w:tc>
          <w:tcPr>
            <w:tcW w:w="4355" w:type="dxa"/>
            <w:vAlign w:val="center"/>
          </w:tcPr>
          <w:p w14:paraId="207BFBF7" w14:textId="77777777" w:rsidR="00361D17" w:rsidRPr="007B2410" w:rsidRDefault="00361D17" w:rsidP="007B43AB">
            <w:pPr>
              <w:rPr>
                <w:rFonts w:asciiTheme="majorHAnsi" w:hAnsiTheme="majorHAnsi" w:cs="Arial"/>
                <w:sz w:val="22"/>
                <w:szCs w:val="22"/>
              </w:rPr>
            </w:pPr>
            <w:r w:rsidRPr="007B2410">
              <w:rPr>
                <w:rFonts w:asciiTheme="majorHAnsi" w:hAnsiTheme="majorHAnsi" w:cs="Arial"/>
                <w:sz w:val="22"/>
                <w:szCs w:val="22"/>
              </w:rPr>
              <w:t>1.030.040</w:t>
            </w:r>
          </w:p>
        </w:tc>
        <w:tc>
          <w:tcPr>
            <w:tcW w:w="4571" w:type="dxa"/>
          </w:tcPr>
          <w:p w14:paraId="4F7DF6FD" w14:textId="77777777" w:rsidR="00361D17" w:rsidRPr="007B2410" w:rsidRDefault="00361D17" w:rsidP="007B43AB">
            <w:pPr>
              <w:tabs>
                <w:tab w:val="left" w:pos="1256"/>
              </w:tabs>
              <w:jc w:val="both"/>
              <w:rPr>
                <w:rFonts w:asciiTheme="majorHAnsi" w:hAnsiTheme="majorHAnsi" w:cs="Arial"/>
                <w:sz w:val="22"/>
                <w:szCs w:val="22"/>
              </w:rPr>
            </w:pPr>
            <w:r w:rsidRPr="007B2410">
              <w:rPr>
                <w:rFonts w:asciiTheme="majorHAnsi" w:hAnsiTheme="majorHAnsi" w:cs="Arial"/>
                <w:sz w:val="22"/>
                <w:szCs w:val="22"/>
              </w:rPr>
              <w:t>Créditos restringidos</w:t>
            </w:r>
          </w:p>
        </w:tc>
      </w:tr>
      <w:tr w:rsidR="00361D17" w:rsidRPr="007B2410" w14:paraId="5399059F" w14:textId="77777777" w:rsidTr="007B43AB">
        <w:trPr>
          <w:cantSplit/>
          <w:trHeight w:val="615"/>
        </w:trPr>
        <w:tc>
          <w:tcPr>
            <w:tcW w:w="4355" w:type="dxa"/>
            <w:vAlign w:val="center"/>
          </w:tcPr>
          <w:p w14:paraId="7ACB14FE" w14:textId="77777777" w:rsidR="00361D17" w:rsidRPr="007B2410" w:rsidRDefault="00361D17" w:rsidP="007B43AB">
            <w:pPr>
              <w:rPr>
                <w:rFonts w:asciiTheme="majorHAnsi" w:hAnsiTheme="majorHAnsi" w:cs="Arial"/>
                <w:sz w:val="22"/>
                <w:szCs w:val="22"/>
              </w:rPr>
            </w:pPr>
            <w:r w:rsidRPr="007B2410">
              <w:rPr>
                <w:rFonts w:asciiTheme="majorHAnsi" w:hAnsiTheme="majorHAnsi" w:cs="Arial"/>
                <w:sz w:val="22"/>
                <w:szCs w:val="22"/>
              </w:rPr>
              <w:t>1.030.080.310.M.100</w:t>
            </w:r>
          </w:p>
        </w:tc>
        <w:tc>
          <w:tcPr>
            <w:tcW w:w="4571" w:type="dxa"/>
          </w:tcPr>
          <w:p w14:paraId="5BF1500E" w14:textId="77777777" w:rsidR="00361D17" w:rsidRPr="007B2410" w:rsidRDefault="00361D17" w:rsidP="007B43AB">
            <w:pPr>
              <w:tabs>
                <w:tab w:val="left" w:pos="1256"/>
              </w:tabs>
              <w:jc w:val="both"/>
              <w:rPr>
                <w:rFonts w:asciiTheme="majorHAnsi" w:hAnsiTheme="majorHAnsi" w:cs="Arial"/>
                <w:sz w:val="22"/>
                <w:szCs w:val="22"/>
              </w:rPr>
            </w:pPr>
            <w:r w:rsidRPr="007B2410">
              <w:rPr>
                <w:rFonts w:asciiTheme="majorHAnsi" w:hAnsiTheme="majorHAnsi" w:cs="Arial"/>
                <w:sz w:val="22"/>
                <w:szCs w:val="22"/>
              </w:rPr>
              <w:t>Productos por cobrar asociados a Partes relacionadas – Personas Físicas</w:t>
            </w:r>
          </w:p>
        </w:tc>
      </w:tr>
      <w:tr w:rsidR="00361D17" w:rsidRPr="007B2410" w14:paraId="7E85B986" w14:textId="77777777" w:rsidTr="007B43AB">
        <w:trPr>
          <w:cantSplit/>
          <w:trHeight w:val="640"/>
        </w:trPr>
        <w:tc>
          <w:tcPr>
            <w:tcW w:w="4355" w:type="dxa"/>
            <w:vAlign w:val="center"/>
          </w:tcPr>
          <w:p w14:paraId="30798B1D" w14:textId="77777777" w:rsidR="00361D17" w:rsidRPr="007B2410" w:rsidRDefault="00361D17" w:rsidP="007B43AB">
            <w:pPr>
              <w:rPr>
                <w:rFonts w:asciiTheme="majorHAnsi" w:hAnsiTheme="majorHAnsi" w:cs="Arial"/>
                <w:sz w:val="22"/>
                <w:szCs w:val="22"/>
              </w:rPr>
            </w:pPr>
            <w:r w:rsidRPr="007B2410">
              <w:rPr>
                <w:rFonts w:asciiTheme="majorHAnsi" w:hAnsiTheme="majorHAnsi" w:cs="Arial"/>
                <w:sz w:val="22"/>
                <w:szCs w:val="22"/>
              </w:rPr>
              <w:t>1.030.080.330.M.100</w:t>
            </w:r>
          </w:p>
        </w:tc>
        <w:tc>
          <w:tcPr>
            <w:tcW w:w="4571" w:type="dxa"/>
          </w:tcPr>
          <w:p w14:paraId="41DAB605" w14:textId="77777777" w:rsidR="00361D17" w:rsidRPr="007B2410" w:rsidRDefault="00361D17" w:rsidP="007B43AB">
            <w:pPr>
              <w:tabs>
                <w:tab w:val="left" w:pos="1256"/>
              </w:tabs>
              <w:jc w:val="both"/>
              <w:rPr>
                <w:rFonts w:asciiTheme="majorHAnsi" w:hAnsiTheme="majorHAnsi" w:cs="Arial"/>
                <w:sz w:val="22"/>
                <w:szCs w:val="22"/>
              </w:rPr>
            </w:pPr>
            <w:r w:rsidRPr="007B2410">
              <w:rPr>
                <w:rFonts w:asciiTheme="majorHAnsi" w:hAnsiTheme="majorHAnsi" w:cs="Arial"/>
                <w:sz w:val="22"/>
                <w:szCs w:val="22"/>
              </w:rPr>
              <w:t>Productos por cobrar asociados a Partes relacionadas – Empresarial</w:t>
            </w:r>
          </w:p>
        </w:tc>
      </w:tr>
      <w:tr w:rsidR="00361D17" w:rsidRPr="007B2410" w14:paraId="5833C6E5" w14:textId="77777777" w:rsidTr="007B43AB">
        <w:trPr>
          <w:cantSplit/>
          <w:trHeight w:val="628"/>
        </w:trPr>
        <w:tc>
          <w:tcPr>
            <w:tcW w:w="4355" w:type="dxa"/>
            <w:vAlign w:val="center"/>
          </w:tcPr>
          <w:p w14:paraId="6B2B5678" w14:textId="77777777" w:rsidR="00361D17" w:rsidRPr="007B2410" w:rsidRDefault="00361D17" w:rsidP="007B43AB">
            <w:pPr>
              <w:rPr>
                <w:rFonts w:asciiTheme="majorHAnsi" w:hAnsiTheme="majorHAnsi" w:cs="Arial"/>
                <w:sz w:val="22"/>
                <w:szCs w:val="22"/>
              </w:rPr>
            </w:pPr>
            <w:r w:rsidRPr="007B2410">
              <w:rPr>
                <w:rFonts w:asciiTheme="majorHAnsi" w:hAnsiTheme="majorHAnsi" w:cs="Arial"/>
                <w:sz w:val="22"/>
                <w:szCs w:val="22"/>
              </w:rPr>
              <w:t>1.030.080.340.M.100</w:t>
            </w:r>
          </w:p>
        </w:tc>
        <w:tc>
          <w:tcPr>
            <w:tcW w:w="4571" w:type="dxa"/>
          </w:tcPr>
          <w:p w14:paraId="78A11F1E" w14:textId="77777777" w:rsidR="00361D17" w:rsidRPr="007B2410" w:rsidRDefault="00361D17" w:rsidP="007B43AB">
            <w:pPr>
              <w:tabs>
                <w:tab w:val="left" w:pos="1256"/>
              </w:tabs>
              <w:jc w:val="both"/>
              <w:rPr>
                <w:rFonts w:asciiTheme="majorHAnsi" w:hAnsiTheme="majorHAnsi" w:cs="Arial"/>
                <w:sz w:val="22"/>
                <w:szCs w:val="22"/>
              </w:rPr>
            </w:pPr>
            <w:r w:rsidRPr="007B2410">
              <w:rPr>
                <w:rFonts w:asciiTheme="majorHAnsi" w:hAnsiTheme="majorHAnsi" w:cs="Arial"/>
                <w:sz w:val="22"/>
                <w:szCs w:val="22"/>
              </w:rPr>
              <w:t>Productos por cobrar asociados a Partes relacionadas – Corporativo</w:t>
            </w:r>
          </w:p>
        </w:tc>
      </w:tr>
      <w:tr w:rsidR="00361D17" w:rsidRPr="007B2410" w14:paraId="739CCCF9" w14:textId="77777777" w:rsidTr="007B43AB">
        <w:trPr>
          <w:cantSplit/>
          <w:trHeight w:val="615"/>
        </w:trPr>
        <w:tc>
          <w:tcPr>
            <w:tcW w:w="4355" w:type="dxa"/>
            <w:vAlign w:val="center"/>
          </w:tcPr>
          <w:p w14:paraId="556228EA" w14:textId="77777777" w:rsidR="00361D17" w:rsidRPr="007B2410" w:rsidRDefault="00361D17" w:rsidP="007B43AB">
            <w:pPr>
              <w:rPr>
                <w:rFonts w:asciiTheme="majorHAnsi" w:hAnsiTheme="majorHAnsi" w:cs="Arial"/>
                <w:sz w:val="22"/>
                <w:szCs w:val="22"/>
              </w:rPr>
            </w:pPr>
            <w:r w:rsidRPr="007B2410">
              <w:rPr>
                <w:rFonts w:asciiTheme="majorHAnsi" w:hAnsiTheme="majorHAnsi" w:cs="Arial"/>
                <w:sz w:val="22"/>
                <w:szCs w:val="22"/>
              </w:rPr>
              <w:t>1.030.080.360.M.100</w:t>
            </w:r>
          </w:p>
        </w:tc>
        <w:tc>
          <w:tcPr>
            <w:tcW w:w="4571" w:type="dxa"/>
          </w:tcPr>
          <w:p w14:paraId="31C87E2A" w14:textId="77777777" w:rsidR="00361D17" w:rsidRPr="007B2410" w:rsidRDefault="00361D17" w:rsidP="007B43AB">
            <w:pPr>
              <w:tabs>
                <w:tab w:val="left" w:pos="1256"/>
              </w:tabs>
              <w:jc w:val="both"/>
              <w:rPr>
                <w:rFonts w:asciiTheme="majorHAnsi" w:hAnsiTheme="majorHAnsi" w:cs="Arial"/>
                <w:sz w:val="22"/>
                <w:szCs w:val="22"/>
              </w:rPr>
            </w:pPr>
            <w:r w:rsidRPr="007B2410">
              <w:rPr>
                <w:rFonts w:asciiTheme="majorHAnsi" w:hAnsiTheme="majorHAnsi" w:cs="Arial"/>
                <w:sz w:val="22"/>
                <w:szCs w:val="22"/>
              </w:rPr>
              <w:t>Productos por cobrar asociados a Partes relacionadas – Sector Financiero</w:t>
            </w:r>
          </w:p>
        </w:tc>
      </w:tr>
      <w:tr w:rsidR="00361D17" w:rsidRPr="007B2410" w14:paraId="73AE6993" w14:textId="77777777" w:rsidTr="007B43AB">
        <w:trPr>
          <w:cantSplit/>
          <w:trHeight w:val="477"/>
        </w:trPr>
        <w:tc>
          <w:tcPr>
            <w:tcW w:w="4355" w:type="dxa"/>
            <w:vAlign w:val="center"/>
          </w:tcPr>
          <w:p w14:paraId="617063BE" w14:textId="77777777" w:rsidR="00361D17" w:rsidRPr="007B2410" w:rsidRDefault="00361D17" w:rsidP="007B43AB">
            <w:pPr>
              <w:rPr>
                <w:rFonts w:asciiTheme="majorHAnsi" w:hAnsiTheme="majorHAnsi" w:cs="Arial"/>
                <w:sz w:val="22"/>
                <w:szCs w:val="22"/>
              </w:rPr>
            </w:pPr>
            <w:r w:rsidRPr="007B2410">
              <w:rPr>
                <w:rFonts w:asciiTheme="majorHAnsi" w:hAnsiTheme="majorHAnsi" w:cs="Arial"/>
                <w:sz w:val="22"/>
                <w:szCs w:val="22"/>
              </w:rPr>
              <w:t>1.040.060.010</w:t>
            </w:r>
          </w:p>
        </w:tc>
        <w:tc>
          <w:tcPr>
            <w:tcW w:w="4571" w:type="dxa"/>
          </w:tcPr>
          <w:p w14:paraId="2FAF5075" w14:textId="77777777" w:rsidR="00361D17" w:rsidRPr="007B2410" w:rsidRDefault="00361D17" w:rsidP="007B43AB">
            <w:pPr>
              <w:tabs>
                <w:tab w:val="left" w:pos="1256"/>
              </w:tabs>
              <w:jc w:val="both"/>
              <w:rPr>
                <w:rFonts w:asciiTheme="majorHAnsi" w:hAnsiTheme="majorHAnsi" w:cs="Arial"/>
                <w:sz w:val="22"/>
                <w:szCs w:val="22"/>
              </w:rPr>
            </w:pPr>
            <w:r w:rsidRPr="007B2410">
              <w:rPr>
                <w:rFonts w:asciiTheme="majorHAnsi" w:hAnsiTheme="majorHAnsi" w:cs="Arial"/>
                <w:sz w:val="22"/>
                <w:szCs w:val="22"/>
              </w:rPr>
              <w:t>Cuentas por cobrar por operaciones con partes relacionadas</w:t>
            </w:r>
          </w:p>
        </w:tc>
      </w:tr>
      <w:tr w:rsidR="00361D17" w:rsidRPr="007B2410" w14:paraId="3E946F77" w14:textId="77777777" w:rsidTr="007B43AB">
        <w:trPr>
          <w:cantSplit/>
          <w:trHeight w:val="301"/>
        </w:trPr>
        <w:tc>
          <w:tcPr>
            <w:tcW w:w="4355" w:type="dxa"/>
            <w:vAlign w:val="center"/>
          </w:tcPr>
          <w:p w14:paraId="05151AC7" w14:textId="77777777" w:rsidR="00361D17" w:rsidRPr="007B2410" w:rsidRDefault="00361D17" w:rsidP="007B43AB">
            <w:pPr>
              <w:rPr>
                <w:rFonts w:asciiTheme="majorHAnsi" w:hAnsiTheme="majorHAnsi" w:cs="Arial"/>
                <w:sz w:val="22"/>
                <w:szCs w:val="22"/>
              </w:rPr>
            </w:pPr>
            <w:r w:rsidRPr="007B2410">
              <w:rPr>
                <w:rFonts w:asciiTheme="majorHAnsi" w:hAnsiTheme="majorHAnsi" w:cs="Arial"/>
                <w:sz w:val="22"/>
                <w:szCs w:val="22"/>
              </w:rPr>
              <w:t>1.040.070.010</w:t>
            </w:r>
          </w:p>
        </w:tc>
        <w:tc>
          <w:tcPr>
            <w:tcW w:w="4571" w:type="dxa"/>
          </w:tcPr>
          <w:p w14:paraId="15B0E6D6" w14:textId="77777777" w:rsidR="00361D17" w:rsidRPr="007B2410" w:rsidRDefault="00361D17" w:rsidP="007B43AB">
            <w:pPr>
              <w:tabs>
                <w:tab w:val="left" w:pos="1256"/>
              </w:tabs>
              <w:jc w:val="both"/>
              <w:rPr>
                <w:rFonts w:asciiTheme="majorHAnsi" w:hAnsiTheme="majorHAnsi" w:cs="Arial"/>
                <w:sz w:val="22"/>
                <w:szCs w:val="22"/>
              </w:rPr>
            </w:pPr>
            <w:r w:rsidRPr="007B2410">
              <w:rPr>
                <w:rFonts w:asciiTheme="majorHAnsi" w:hAnsiTheme="majorHAnsi" w:cs="Arial"/>
                <w:sz w:val="22"/>
                <w:szCs w:val="22"/>
              </w:rPr>
              <w:t>Impuesto sobre la renta diferido</w:t>
            </w:r>
          </w:p>
        </w:tc>
      </w:tr>
      <w:tr w:rsidR="00361D17" w:rsidRPr="007B2410" w14:paraId="02A0B824" w14:textId="77777777" w:rsidTr="007B43AB">
        <w:trPr>
          <w:cantSplit/>
          <w:trHeight w:val="314"/>
        </w:trPr>
        <w:tc>
          <w:tcPr>
            <w:tcW w:w="4355" w:type="dxa"/>
            <w:vAlign w:val="center"/>
          </w:tcPr>
          <w:p w14:paraId="5F850C42" w14:textId="77777777" w:rsidR="00361D17" w:rsidRPr="007B2410" w:rsidRDefault="00361D17" w:rsidP="007B43AB">
            <w:pPr>
              <w:rPr>
                <w:rFonts w:asciiTheme="majorHAnsi" w:hAnsiTheme="majorHAnsi" w:cs="Arial"/>
                <w:sz w:val="22"/>
                <w:szCs w:val="22"/>
              </w:rPr>
            </w:pPr>
            <w:r w:rsidRPr="007B2410">
              <w:rPr>
                <w:rFonts w:asciiTheme="majorHAnsi" w:hAnsiTheme="majorHAnsi" w:cs="Arial"/>
                <w:sz w:val="22"/>
                <w:szCs w:val="22"/>
              </w:rPr>
              <w:t>1.040.090.030</w:t>
            </w:r>
          </w:p>
        </w:tc>
        <w:tc>
          <w:tcPr>
            <w:tcW w:w="4571" w:type="dxa"/>
          </w:tcPr>
          <w:p w14:paraId="0E342CA0" w14:textId="77777777" w:rsidR="00361D17" w:rsidRPr="007B2410" w:rsidRDefault="00361D17" w:rsidP="007B43AB">
            <w:pPr>
              <w:tabs>
                <w:tab w:val="left" w:pos="1256"/>
              </w:tabs>
              <w:jc w:val="both"/>
              <w:rPr>
                <w:rFonts w:asciiTheme="majorHAnsi" w:hAnsiTheme="majorHAnsi" w:cs="Arial"/>
                <w:sz w:val="22"/>
                <w:szCs w:val="22"/>
              </w:rPr>
            </w:pPr>
            <w:r w:rsidRPr="007B2410">
              <w:rPr>
                <w:rFonts w:asciiTheme="majorHAnsi" w:hAnsiTheme="majorHAnsi" w:cs="Arial"/>
                <w:sz w:val="22"/>
                <w:szCs w:val="22"/>
              </w:rPr>
              <w:t>Productos por cobrar con partes relacionadas</w:t>
            </w:r>
          </w:p>
        </w:tc>
      </w:tr>
      <w:tr w:rsidR="00361D17" w:rsidRPr="007B2410" w14:paraId="6993B9F2" w14:textId="77777777" w:rsidTr="007B43AB">
        <w:trPr>
          <w:cantSplit/>
          <w:trHeight w:val="314"/>
        </w:trPr>
        <w:tc>
          <w:tcPr>
            <w:tcW w:w="4355" w:type="dxa"/>
            <w:vAlign w:val="center"/>
          </w:tcPr>
          <w:p w14:paraId="6AC4F187" w14:textId="77777777" w:rsidR="00361D17" w:rsidRPr="007B2410" w:rsidRDefault="00361D17" w:rsidP="007B43AB">
            <w:pPr>
              <w:rPr>
                <w:rFonts w:asciiTheme="majorHAnsi" w:hAnsiTheme="majorHAnsi" w:cs="Arial"/>
                <w:sz w:val="22"/>
                <w:szCs w:val="22"/>
              </w:rPr>
            </w:pPr>
            <w:r w:rsidRPr="007B2410">
              <w:rPr>
                <w:rFonts w:asciiTheme="majorHAnsi" w:hAnsiTheme="majorHAnsi" w:cs="Arial"/>
                <w:sz w:val="22"/>
                <w:szCs w:val="22"/>
              </w:rPr>
              <w:t>1.090.010</w:t>
            </w:r>
          </w:p>
        </w:tc>
        <w:tc>
          <w:tcPr>
            <w:tcW w:w="4571" w:type="dxa"/>
          </w:tcPr>
          <w:p w14:paraId="2072A795" w14:textId="77777777" w:rsidR="00361D17" w:rsidRPr="007B2410" w:rsidRDefault="00361D17" w:rsidP="007B43AB">
            <w:pPr>
              <w:tabs>
                <w:tab w:val="left" w:pos="1256"/>
              </w:tabs>
              <w:jc w:val="both"/>
              <w:rPr>
                <w:rFonts w:asciiTheme="majorHAnsi" w:hAnsiTheme="majorHAnsi" w:cs="Arial"/>
                <w:sz w:val="22"/>
                <w:szCs w:val="22"/>
              </w:rPr>
            </w:pPr>
            <w:r w:rsidRPr="007B2410">
              <w:rPr>
                <w:rFonts w:asciiTheme="majorHAnsi" w:hAnsiTheme="majorHAnsi" w:cs="Arial"/>
                <w:sz w:val="22"/>
                <w:szCs w:val="22"/>
              </w:rPr>
              <w:t>Gastos pagados por anticipado</w:t>
            </w:r>
          </w:p>
        </w:tc>
      </w:tr>
      <w:tr w:rsidR="00361D17" w:rsidRPr="007B2410" w14:paraId="06908481" w14:textId="77777777" w:rsidTr="007B43AB">
        <w:trPr>
          <w:cantSplit/>
          <w:trHeight w:val="150"/>
        </w:trPr>
        <w:tc>
          <w:tcPr>
            <w:tcW w:w="4355" w:type="dxa"/>
            <w:vAlign w:val="center"/>
          </w:tcPr>
          <w:p w14:paraId="6351694E" w14:textId="77777777" w:rsidR="00361D17" w:rsidRPr="007B2410" w:rsidRDefault="00361D17" w:rsidP="007B43AB">
            <w:pPr>
              <w:rPr>
                <w:rFonts w:asciiTheme="majorHAnsi" w:hAnsiTheme="majorHAnsi" w:cs="Arial"/>
                <w:sz w:val="22"/>
                <w:szCs w:val="22"/>
              </w:rPr>
            </w:pPr>
            <w:r w:rsidRPr="007B2410">
              <w:rPr>
                <w:rFonts w:asciiTheme="majorHAnsi" w:hAnsiTheme="majorHAnsi" w:cs="Arial"/>
                <w:sz w:val="22"/>
                <w:szCs w:val="22"/>
              </w:rPr>
              <w:t>1.090.060</w:t>
            </w:r>
          </w:p>
        </w:tc>
        <w:tc>
          <w:tcPr>
            <w:tcW w:w="4571" w:type="dxa"/>
          </w:tcPr>
          <w:p w14:paraId="4541C0DC" w14:textId="77777777" w:rsidR="00361D17" w:rsidRPr="007B2410" w:rsidRDefault="00361D17" w:rsidP="007B43AB">
            <w:pPr>
              <w:tabs>
                <w:tab w:val="left" w:pos="1256"/>
              </w:tabs>
              <w:jc w:val="both"/>
              <w:rPr>
                <w:rFonts w:asciiTheme="majorHAnsi" w:hAnsiTheme="majorHAnsi" w:cs="Arial"/>
                <w:sz w:val="22"/>
                <w:szCs w:val="22"/>
              </w:rPr>
            </w:pPr>
            <w:r w:rsidRPr="007B2410">
              <w:rPr>
                <w:rFonts w:asciiTheme="majorHAnsi" w:hAnsiTheme="majorHAnsi" w:cs="Arial"/>
                <w:sz w:val="22"/>
                <w:szCs w:val="22"/>
              </w:rPr>
              <w:t>Activos Intangibles</w:t>
            </w:r>
          </w:p>
        </w:tc>
      </w:tr>
      <w:tr w:rsidR="00361D17" w:rsidRPr="007B2410" w14:paraId="68D5F884" w14:textId="77777777" w:rsidTr="007B43AB">
        <w:trPr>
          <w:cantSplit/>
          <w:trHeight w:val="301"/>
        </w:trPr>
        <w:tc>
          <w:tcPr>
            <w:tcW w:w="4355" w:type="dxa"/>
            <w:vAlign w:val="center"/>
          </w:tcPr>
          <w:p w14:paraId="7137EE66" w14:textId="77777777" w:rsidR="00361D17" w:rsidRPr="007B2410" w:rsidRDefault="00361D17" w:rsidP="007B43AB">
            <w:pPr>
              <w:rPr>
                <w:rFonts w:asciiTheme="majorHAnsi" w:hAnsiTheme="majorHAnsi" w:cs="Arial"/>
                <w:sz w:val="22"/>
                <w:szCs w:val="22"/>
              </w:rPr>
            </w:pPr>
            <w:r w:rsidRPr="007B2410">
              <w:rPr>
                <w:rFonts w:asciiTheme="majorHAnsi" w:hAnsiTheme="majorHAnsi" w:cs="Arial"/>
                <w:sz w:val="22"/>
                <w:szCs w:val="22"/>
              </w:rPr>
              <w:t>1.090.070</w:t>
            </w:r>
          </w:p>
        </w:tc>
        <w:tc>
          <w:tcPr>
            <w:tcW w:w="4571" w:type="dxa"/>
          </w:tcPr>
          <w:p w14:paraId="09C1BF56" w14:textId="77777777" w:rsidR="00361D17" w:rsidRPr="007B2410" w:rsidRDefault="00361D17" w:rsidP="007B43AB">
            <w:pPr>
              <w:tabs>
                <w:tab w:val="left" w:pos="1256"/>
              </w:tabs>
              <w:jc w:val="both"/>
              <w:rPr>
                <w:rFonts w:asciiTheme="majorHAnsi" w:hAnsiTheme="majorHAnsi" w:cs="Arial"/>
                <w:sz w:val="22"/>
                <w:szCs w:val="22"/>
              </w:rPr>
            </w:pPr>
            <w:r w:rsidRPr="007B2410">
              <w:rPr>
                <w:rFonts w:asciiTheme="majorHAnsi" w:hAnsiTheme="majorHAnsi" w:cs="Arial"/>
                <w:sz w:val="22"/>
                <w:szCs w:val="22"/>
              </w:rPr>
              <w:t>Otros activos restringidos</w:t>
            </w:r>
          </w:p>
        </w:tc>
      </w:tr>
      <w:tr w:rsidR="00361D17" w:rsidRPr="007B2410" w14:paraId="4B55D906" w14:textId="77777777" w:rsidTr="007B43AB">
        <w:trPr>
          <w:cantSplit/>
          <w:trHeight w:val="285"/>
        </w:trPr>
        <w:tc>
          <w:tcPr>
            <w:tcW w:w="4355" w:type="dxa"/>
            <w:vAlign w:val="center"/>
          </w:tcPr>
          <w:p w14:paraId="73ABDB95" w14:textId="77777777" w:rsidR="00361D17" w:rsidRPr="007B2410" w:rsidRDefault="00361D17" w:rsidP="007B43AB">
            <w:pPr>
              <w:rPr>
                <w:rFonts w:asciiTheme="majorHAnsi" w:hAnsiTheme="majorHAnsi" w:cs="Arial"/>
                <w:sz w:val="22"/>
                <w:szCs w:val="22"/>
              </w:rPr>
            </w:pPr>
            <w:r w:rsidRPr="007B2410">
              <w:rPr>
                <w:rFonts w:asciiTheme="majorHAnsi" w:hAnsiTheme="majorHAnsi" w:cs="Arial"/>
                <w:sz w:val="22"/>
                <w:szCs w:val="22"/>
              </w:rPr>
              <w:t>1.110</w:t>
            </w:r>
          </w:p>
        </w:tc>
        <w:tc>
          <w:tcPr>
            <w:tcW w:w="4571" w:type="dxa"/>
          </w:tcPr>
          <w:p w14:paraId="2313D818" w14:textId="77777777" w:rsidR="00361D17" w:rsidRPr="007B2410" w:rsidRDefault="00361D17" w:rsidP="007B43AB">
            <w:pPr>
              <w:tabs>
                <w:tab w:val="left" w:pos="1256"/>
              </w:tabs>
              <w:jc w:val="both"/>
              <w:rPr>
                <w:rFonts w:asciiTheme="majorHAnsi" w:hAnsiTheme="majorHAnsi" w:cs="Arial"/>
                <w:sz w:val="22"/>
                <w:szCs w:val="22"/>
              </w:rPr>
            </w:pPr>
            <w:r w:rsidRPr="007B2410">
              <w:rPr>
                <w:rFonts w:asciiTheme="majorHAnsi" w:hAnsiTheme="majorHAnsi" w:cs="Arial"/>
                <w:sz w:val="22"/>
                <w:szCs w:val="22"/>
              </w:rPr>
              <w:t>Participación en el capital de otras empresas</w:t>
            </w:r>
          </w:p>
        </w:tc>
      </w:tr>
      <w:tr w:rsidR="00361D17" w:rsidRPr="007B2410" w14:paraId="723638F1" w14:textId="77777777" w:rsidTr="007B43AB">
        <w:trPr>
          <w:cantSplit/>
          <w:trHeight w:val="930"/>
        </w:trPr>
        <w:tc>
          <w:tcPr>
            <w:tcW w:w="4355" w:type="dxa"/>
            <w:vAlign w:val="center"/>
          </w:tcPr>
          <w:p w14:paraId="37739FE2" w14:textId="77777777" w:rsidR="00361D17" w:rsidRPr="007B2410" w:rsidRDefault="00361D17" w:rsidP="007B43AB">
            <w:pPr>
              <w:rPr>
                <w:rFonts w:asciiTheme="majorHAnsi" w:hAnsiTheme="majorHAnsi" w:cs="Arial"/>
                <w:sz w:val="22"/>
                <w:szCs w:val="22"/>
              </w:rPr>
            </w:pPr>
            <w:r w:rsidRPr="007B2410">
              <w:rPr>
                <w:rFonts w:asciiTheme="majorHAnsi" w:hAnsiTheme="majorHAnsi" w:cs="Arial"/>
                <w:sz w:val="22"/>
                <w:szCs w:val="22"/>
              </w:rPr>
              <w:t>IA103000000003</w:t>
            </w:r>
          </w:p>
        </w:tc>
        <w:tc>
          <w:tcPr>
            <w:tcW w:w="4571" w:type="dxa"/>
          </w:tcPr>
          <w:p w14:paraId="69C97FBC" w14:textId="77777777" w:rsidR="00361D17" w:rsidRPr="007B2410" w:rsidRDefault="00361D17" w:rsidP="007B43AB">
            <w:pPr>
              <w:tabs>
                <w:tab w:val="left" w:pos="1256"/>
              </w:tabs>
              <w:jc w:val="both"/>
              <w:rPr>
                <w:rFonts w:asciiTheme="majorHAnsi" w:hAnsiTheme="majorHAnsi" w:cs="Arial"/>
                <w:sz w:val="22"/>
                <w:szCs w:val="22"/>
              </w:rPr>
            </w:pPr>
            <w:r w:rsidRPr="007B2410">
              <w:rPr>
                <w:rFonts w:asciiTheme="majorHAnsi" w:hAnsiTheme="majorHAnsi" w:cs="Arial"/>
                <w:sz w:val="22"/>
                <w:szCs w:val="22"/>
              </w:rPr>
              <w:t>Créditos e inversiones en fideicomisos  u otras comisiones de confianza estructurados o administrados  por empresas del mismo grupo financiero</w:t>
            </w:r>
          </w:p>
        </w:tc>
      </w:tr>
    </w:tbl>
    <w:p w14:paraId="25337A1A" w14:textId="77777777" w:rsidR="00361D17" w:rsidRDefault="00361D17" w:rsidP="00361D17">
      <w:pPr>
        <w:jc w:val="both"/>
        <w:rPr>
          <w:rFonts w:asciiTheme="majorHAnsi" w:hAnsiTheme="majorHAnsi"/>
          <w:b/>
          <w:sz w:val="36"/>
        </w:rPr>
      </w:pPr>
    </w:p>
    <w:p w14:paraId="42DFF75C" w14:textId="77777777" w:rsidR="00361D17" w:rsidRDefault="00361D17" w:rsidP="00361D17">
      <w:pPr>
        <w:jc w:val="both"/>
        <w:rPr>
          <w:rFonts w:asciiTheme="majorHAnsi" w:hAnsiTheme="majorHAnsi" w:cs="Arial"/>
          <w:b/>
          <w:szCs w:val="16"/>
        </w:rPr>
      </w:pPr>
      <w:r>
        <w:rPr>
          <w:rFonts w:asciiTheme="majorHAnsi" w:hAnsiTheme="majorHAnsi" w:cs="Arial"/>
          <w:b/>
          <w:szCs w:val="16"/>
        </w:rPr>
        <w:t>Partidas que restan</w:t>
      </w:r>
      <w:r>
        <w:rPr>
          <w:rStyle w:val="Refdenotaalpie"/>
          <w:rFonts w:asciiTheme="majorHAnsi" w:hAnsiTheme="majorHAnsi" w:cs="Arial"/>
          <w:b/>
          <w:szCs w:val="16"/>
        </w:rPr>
        <w:footnoteReference w:id="4"/>
      </w:r>
      <w:r>
        <w:rPr>
          <w:rFonts w:asciiTheme="majorHAnsi" w:hAnsiTheme="majorHAnsi" w:cs="Arial"/>
          <w:b/>
          <w:szCs w:val="16"/>
        </w:rPr>
        <w:t>:</w:t>
      </w:r>
    </w:p>
    <w:p w14:paraId="25215BF1" w14:textId="77777777" w:rsidR="00361D17" w:rsidRPr="007B2410" w:rsidRDefault="00361D17" w:rsidP="00361D17">
      <w:pPr>
        <w:jc w:val="both"/>
        <w:rPr>
          <w:rFonts w:asciiTheme="majorHAnsi" w:hAnsiTheme="majorHAnsi" w:cs="Arial"/>
          <w:b/>
          <w:szCs w:val="16"/>
        </w:rPr>
      </w:pPr>
    </w:p>
    <w:tbl>
      <w:tblPr>
        <w:tblW w:w="8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5"/>
        <w:gridCol w:w="4618"/>
      </w:tblGrid>
      <w:tr w:rsidR="00361D17" w:rsidRPr="007B2410" w14:paraId="1073B4A0" w14:textId="77777777" w:rsidTr="007B43AB">
        <w:trPr>
          <w:trHeight w:val="527"/>
        </w:trPr>
        <w:tc>
          <w:tcPr>
            <w:tcW w:w="4335" w:type="dxa"/>
            <w:shd w:val="clear" w:color="auto" w:fill="BFBFBF" w:themeFill="background1" w:themeFillShade="BF"/>
            <w:vAlign w:val="center"/>
          </w:tcPr>
          <w:p w14:paraId="0BD0E606" w14:textId="77777777" w:rsidR="00361D17" w:rsidRPr="007B2410" w:rsidRDefault="00361D17" w:rsidP="007B43AB">
            <w:pPr>
              <w:jc w:val="center"/>
              <w:rPr>
                <w:rFonts w:asciiTheme="majorHAnsi" w:hAnsiTheme="majorHAnsi" w:cs="Arial"/>
                <w:b/>
                <w:i/>
                <w:sz w:val="22"/>
                <w:szCs w:val="22"/>
              </w:rPr>
            </w:pPr>
            <w:r w:rsidRPr="007B2410">
              <w:rPr>
                <w:rFonts w:asciiTheme="majorHAnsi" w:hAnsiTheme="majorHAnsi" w:cs="Arial"/>
                <w:b/>
                <w:i/>
                <w:sz w:val="22"/>
                <w:szCs w:val="22"/>
              </w:rPr>
              <w:t>Número de Cuenta</w:t>
            </w:r>
          </w:p>
        </w:tc>
        <w:tc>
          <w:tcPr>
            <w:tcW w:w="4618" w:type="dxa"/>
            <w:shd w:val="clear" w:color="auto" w:fill="BFBFBF" w:themeFill="background1" w:themeFillShade="BF"/>
            <w:vAlign w:val="center"/>
          </w:tcPr>
          <w:p w14:paraId="681533DE" w14:textId="77777777" w:rsidR="00361D17" w:rsidRPr="007B2410" w:rsidRDefault="00361D17" w:rsidP="007B43AB">
            <w:pPr>
              <w:jc w:val="center"/>
              <w:rPr>
                <w:rFonts w:asciiTheme="majorHAnsi" w:hAnsiTheme="majorHAnsi" w:cs="Arial"/>
                <w:b/>
                <w:i/>
                <w:sz w:val="22"/>
                <w:szCs w:val="22"/>
              </w:rPr>
            </w:pPr>
            <w:r w:rsidRPr="007B2410">
              <w:rPr>
                <w:rFonts w:asciiTheme="majorHAnsi" w:hAnsiTheme="majorHAnsi" w:cs="Arial"/>
                <w:b/>
                <w:i/>
                <w:sz w:val="22"/>
                <w:szCs w:val="22"/>
              </w:rPr>
              <w:t>Descripción</w:t>
            </w:r>
          </w:p>
        </w:tc>
      </w:tr>
      <w:tr w:rsidR="00361D17" w:rsidRPr="007B2410" w14:paraId="5DF76800" w14:textId="77777777" w:rsidTr="007B43AB">
        <w:trPr>
          <w:trHeight w:val="549"/>
        </w:trPr>
        <w:tc>
          <w:tcPr>
            <w:tcW w:w="4335" w:type="dxa"/>
            <w:vAlign w:val="center"/>
          </w:tcPr>
          <w:p w14:paraId="41E523F5" w14:textId="77777777" w:rsidR="00361D17" w:rsidRPr="007B2410" w:rsidRDefault="00361D17" w:rsidP="007B43AB">
            <w:pPr>
              <w:rPr>
                <w:rFonts w:asciiTheme="majorHAnsi" w:hAnsiTheme="majorHAnsi" w:cs="Arial"/>
                <w:sz w:val="22"/>
                <w:szCs w:val="22"/>
              </w:rPr>
            </w:pPr>
            <w:r w:rsidRPr="007B2410">
              <w:rPr>
                <w:rFonts w:asciiTheme="majorHAnsi" w:hAnsiTheme="majorHAnsi" w:cs="Arial"/>
                <w:sz w:val="22"/>
                <w:szCs w:val="22"/>
              </w:rPr>
              <w:t>1.020.090.050</w:t>
            </w:r>
          </w:p>
        </w:tc>
        <w:tc>
          <w:tcPr>
            <w:tcW w:w="4618" w:type="dxa"/>
          </w:tcPr>
          <w:p w14:paraId="0EA152F0" w14:textId="77777777" w:rsidR="00361D17" w:rsidRPr="007B2410" w:rsidRDefault="00361D17" w:rsidP="007B43AB">
            <w:pPr>
              <w:jc w:val="both"/>
              <w:rPr>
                <w:rFonts w:asciiTheme="majorHAnsi" w:hAnsiTheme="majorHAnsi" w:cs="Arial"/>
                <w:sz w:val="22"/>
                <w:szCs w:val="22"/>
              </w:rPr>
            </w:pPr>
            <w:r w:rsidRPr="007B2410">
              <w:rPr>
                <w:rFonts w:asciiTheme="majorHAnsi" w:hAnsiTheme="majorHAnsi" w:cs="Arial"/>
                <w:sz w:val="22"/>
                <w:szCs w:val="22"/>
              </w:rPr>
              <w:t>Estimación por inversiones en instrumentos financieros vencidos y restringidos</w:t>
            </w:r>
          </w:p>
        </w:tc>
      </w:tr>
      <w:tr w:rsidR="00361D17" w:rsidRPr="007B2410" w14:paraId="71E460A6" w14:textId="77777777" w:rsidTr="007B43AB">
        <w:trPr>
          <w:trHeight w:val="712"/>
        </w:trPr>
        <w:tc>
          <w:tcPr>
            <w:tcW w:w="4335" w:type="dxa"/>
            <w:vAlign w:val="center"/>
          </w:tcPr>
          <w:p w14:paraId="775DA548" w14:textId="77777777" w:rsidR="00361D17" w:rsidRPr="007B2410" w:rsidRDefault="00361D17" w:rsidP="007B43AB">
            <w:pPr>
              <w:tabs>
                <w:tab w:val="left" w:pos="2662"/>
              </w:tabs>
              <w:rPr>
                <w:rFonts w:asciiTheme="majorHAnsi" w:hAnsiTheme="majorHAnsi" w:cs="Arial"/>
                <w:sz w:val="22"/>
                <w:szCs w:val="22"/>
              </w:rPr>
            </w:pPr>
            <w:r w:rsidRPr="007B2410">
              <w:rPr>
                <w:rFonts w:asciiTheme="majorHAnsi" w:hAnsiTheme="majorHAnsi" w:cs="Arial"/>
                <w:sz w:val="22"/>
                <w:szCs w:val="22"/>
              </w:rPr>
              <w:lastRenderedPageBreak/>
              <w:t>1.040.100.050</w:t>
            </w:r>
          </w:p>
        </w:tc>
        <w:tc>
          <w:tcPr>
            <w:tcW w:w="4618" w:type="dxa"/>
          </w:tcPr>
          <w:p w14:paraId="5E9AC0D4" w14:textId="77777777" w:rsidR="00361D17" w:rsidRPr="007B2410" w:rsidRDefault="00361D17" w:rsidP="007B43AB">
            <w:pPr>
              <w:jc w:val="both"/>
              <w:rPr>
                <w:rFonts w:asciiTheme="majorHAnsi" w:hAnsiTheme="majorHAnsi" w:cs="Arial"/>
                <w:sz w:val="22"/>
                <w:szCs w:val="22"/>
              </w:rPr>
            </w:pPr>
            <w:r w:rsidRPr="007B2410">
              <w:rPr>
                <w:rFonts w:asciiTheme="majorHAnsi" w:hAnsiTheme="majorHAnsi" w:cs="Arial"/>
                <w:sz w:val="22"/>
                <w:szCs w:val="22"/>
              </w:rPr>
              <w:t>Estimación por deterioro de comisiones, primas, y cuentas por cobrar -Estimación por operaciones con partes relacionadas-</w:t>
            </w:r>
          </w:p>
        </w:tc>
      </w:tr>
      <w:tr w:rsidR="00361D17" w:rsidRPr="007B2410" w14:paraId="3B6C727C" w14:textId="77777777" w:rsidTr="007B43AB">
        <w:trPr>
          <w:trHeight w:val="184"/>
        </w:trPr>
        <w:tc>
          <w:tcPr>
            <w:tcW w:w="4335" w:type="dxa"/>
            <w:vAlign w:val="center"/>
          </w:tcPr>
          <w:p w14:paraId="615CC620" w14:textId="77777777" w:rsidR="00361D17" w:rsidRPr="007B2410" w:rsidRDefault="00361D17" w:rsidP="007B43AB">
            <w:pPr>
              <w:rPr>
                <w:rFonts w:asciiTheme="majorHAnsi" w:hAnsiTheme="majorHAnsi" w:cs="Arial"/>
                <w:sz w:val="22"/>
                <w:szCs w:val="22"/>
              </w:rPr>
            </w:pPr>
            <w:r w:rsidRPr="007B2410">
              <w:rPr>
                <w:rFonts w:asciiTheme="majorHAnsi" w:hAnsiTheme="majorHAnsi" w:cs="Arial"/>
                <w:sz w:val="22"/>
                <w:szCs w:val="22"/>
              </w:rPr>
              <w:t>1.090.060.020</w:t>
            </w:r>
          </w:p>
        </w:tc>
        <w:tc>
          <w:tcPr>
            <w:tcW w:w="4618" w:type="dxa"/>
          </w:tcPr>
          <w:p w14:paraId="3F29A359" w14:textId="77777777" w:rsidR="00361D17" w:rsidRPr="007B2410" w:rsidRDefault="00361D17" w:rsidP="007B43AB">
            <w:pPr>
              <w:tabs>
                <w:tab w:val="left" w:pos="1306"/>
              </w:tabs>
              <w:jc w:val="both"/>
              <w:rPr>
                <w:rFonts w:asciiTheme="majorHAnsi" w:hAnsiTheme="majorHAnsi" w:cs="Arial"/>
                <w:sz w:val="22"/>
                <w:szCs w:val="22"/>
              </w:rPr>
            </w:pPr>
            <w:r w:rsidRPr="007B2410">
              <w:rPr>
                <w:rFonts w:asciiTheme="majorHAnsi" w:hAnsiTheme="majorHAnsi" w:cs="Arial"/>
                <w:sz w:val="22"/>
                <w:szCs w:val="22"/>
              </w:rPr>
              <w:t>Plusvalía comprada</w:t>
            </w:r>
          </w:p>
        </w:tc>
      </w:tr>
      <w:tr w:rsidR="00361D17" w:rsidRPr="007B2410" w14:paraId="3B2CEE14" w14:textId="77777777" w:rsidTr="007B43AB">
        <w:trPr>
          <w:trHeight w:val="501"/>
        </w:trPr>
        <w:tc>
          <w:tcPr>
            <w:tcW w:w="4335" w:type="dxa"/>
            <w:vAlign w:val="center"/>
          </w:tcPr>
          <w:p w14:paraId="4A70E121" w14:textId="77777777" w:rsidR="00361D17" w:rsidRPr="007B2410" w:rsidRDefault="00361D17" w:rsidP="007B43AB">
            <w:pPr>
              <w:rPr>
                <w:rFonts w:asciiTheme="majorHAnsi" w:hAnsiTheme="majorHAnsi" w:cs="Arial"/>
                <w:sz w:val="22"/>
                <w:szCs w:val="22"/>
              </w:rPr>
            </w:pPr>
            <w:r w:rsidRPr="007B2410">
              <w:rPr>
                <w:rFonts w:asciiTheme="majorHAnsi" w:hAnsiTheme="majorHAnsi" w:cs="Arial"/>
                <w:sz w:val="22"/>
                <w:szCs w:val="22"/>
              </w:rPr>
              <w:t>IA103000000001</w:t>
            </w:r>
          </w:p>
        </w:tc>
        <w:tc>
          <w:tcPr>
            <w:tcW w:w="4618" w:type="dxa"/>
          </w:tcPr>
          <w:p w14:paraId="67797FE9" w14:textId="77777777" w:rsidR="00361D17" w:rsidRPr="007B2410" w:rsidRDefault="00361D17" w:rsidP="007B43AB">
            <w:pPr>
              <w:tabs>
                <w:tab w:val="left" w:pos="1289"/>
              </w:tabs>
              <w:jc w:val="both"/>
              <w:rPr>
                <w:rFonts w:asciiTheme="majorHAnsi" w:hAnsiTheme="majorHAnsi" w:cs="Arial"/>
                <w:sz w:val="22"/>
                <w:szCs w:val="22"/>
              </w:rPr>
            </w:pPr>
            <w:r w:rsidRPr="007B2410">
              <w:rPr>
                <w:rFonts w:asciiTheme="majorHAnsi" w:hAnsiTheme="majorHAnsi" w:cs="Arial"/>
                <w:sz w:val="22"/>
                <w:szCs w:val="22"/>
              </w:rPr>
              <w:t>Estimación por deterioro de operaciones de crédito con partes relacionadas</w:t>
            </w:r>
          </w:p>
        </w:tc>
      </w:tr>
      <w:tr w:rsidR="00361D17" w:rsidRPr="007B2410" w14:paraId="505632DD" w14:textId="77777777" w:rsidTr="007B43AB">
        <w:trPr>
          <w:trHeight w:val="551"/>
        </w:trPr>
        <w:tc>
          <w:tcPr>
            <w:tcW w:w="4335" w:type="dxa"/>
            <w:vAlign w:val="center"/>
          </w:tcPr>
          <w:p w14:paraId="45B64657" w14:textId="77777777" w:rsidR="00361D17" w:rsidRPr="007B2410" w:rsidRDefault="00361D17" w:rsidP="007B43AB">
            <w:pPr>
              <w:rPr>
                <w:rFonts w:asciiTheme="majorHAnsi" w:hAnsiTheme="majorHAnsi" w:cs="Arial"/>
                <w:sz w:val="22"/>
                <w:szCs w:val="22"/>
              </w:rPr>
            </w:pPr>
            <w:r w:rsidRPr="007B2410">
              <w:rPr>
                <w:rFonts w:asciiTheme="majorHAnsi" w:hAnsiTheme="majorHAnsi" w:cs="Arial"/>
                <w:sz w:val="22"/>
                <w:szCs w:val="22"/>
              </w:rPr>
              <w:t>IA103000000002</w:t>
            </w:r>
          </w:p>
        </w:tc>
        <w:tc>
          <w:tcPr>
            <w:tcW w:w="4618" w:type="dxa"/>
          </w:tcPr>
          <w:p w14:paraId="7CB53F9C" w14:textId="77777777" w:rsidR="00361D17" w:rsidRPr="007B2410" w:rsidRDefault="00361D17" w:rsidP="007B43AB">
            <w:pPr>
              <w:jc w:val="both"/>
              <w:rPr>
                <w:rFonts w:asciiTheme="majorHAnsi" w:hAnsiTheme="majorHAnsi" w:cs="Arial"/>
                <w:sz w:val="22"/>
                <w:szCs w:val="22"/>
              </w:rPr>
            </w:pPr>
            <w:r w:rsidRPr="007B2410">
              <w:rPr>
                <w:rFonts w:asciiTheme="majorHAnsi" w:hAnsiTheme="majorHAnsi" w:cs="Arial"/>
                <w:sz w:val="22"/>
                <w:szCs w:val="22"/>
              </w:rPr>
              <w:t>Estimación por deterioro de créditos restringidos</w:t>
            </w:r>
          </w:p>
        </w:tc>
      </w:tr>
      <w:tr w:rsidR="00361D17" w:rsidRPr="007B2410" w14:paraId="51D870F2" w14:textId="77777777" w:rsidTr="007B43AB">
        <w:trPr>
          <w:trHeight w:val="800"/>
        </w:trPr>
        <w:tc>
          <w:tcPr>
            <w:tcW w:w="4335" w:type="dxa"/>
            <w:vAlign w:val="center"/>
          </w:tcPr>
          <w:p w14:paraId="15EA3768" w14:textId="77777777" w:rsidR="00361D17" w:rsidRPr="007B2410" w:rsidRDefault="00361D17" w:rsidP="007B43AB">
            <w:pPr>
              <w:rPr>
                <w:rFonts w:asciiTheme="majorHAnsi" w:hAnsiTheme="majorHAnsi" w:cs="Arial"/>
                <w:sz w:val="22"/>
                <w:szCs w:val="22"/>
              </w:rPr>
            </w:pPr>
            <w:r w:rsidRPr="007B2410">
              <w:rPr>
                <w:rFonts w:asciiTheme="majorHAnsi" w:hAnsiTheme="majorHAnsi" w:cs="Arial"/>
                <w:sz w:val="22"/>
                <w:szCs w:val="22"/>
              </w:rPr>
              <w:t>IA104000000001</w:t>
            </w:r>
          </w:p>
        </w:tc>
        <w:tc>
          <w:tcPr>
            <w:tcW w:w="4618" w:type="dxa"/>
          </w:tcPr>
          <w:p w14:paraId="555C5291" w14:textId="77777777" w:rsidR="00361D17" w:rsidRPr="007B2410" w:rsidRDefault="00361D17" w:rsidP="007B43AB">
            <w:pPr>
              <w:tabs>
                <w:tab w:val="left" w:pos="1139"/>
              </w:tabs>
              <w:jc w:val="both"/>
              <w:rPr>
                <w:rFonts w:asciiTheme="majorHAnsi" w:hAnsiTheme="majorHAnsi" w:cs="Arial"/>
                <w:sz w:val="22"/>
                <w:szCs w:val="22"/>
              </w:rPr>
            </w:pPr>
            <w:r w:rsidRPr="007B2410">
              <w:rPr>
                <w:rFonts w:asciiTheme="majorHAnsi" w:hAnsiTheme="majorHAnsi" w:cs="Arial"/>
                <w:sz w:val="22"/>
                <w:szCs w:val="22"/>
              </w:rPr>
              <w:t>Cuentas por cobrar a empleados producto de la venta de contratos de seguros neto de la correspondiente estimación</w:t>
            </w:r>
          </w:p>
        </w:tc>
      </w:tr>
    </w:tbl>
    <w:p w14:paraId="7771DFCF" w14:textId="77777777" w:rsidR="00361D17" w:rsidRDefault="00361D17" w:rsidP="00361D17">
      <w:pPr>
        <w:jc w:val="both"/>
        <w:rPr>
          <w:rFonts w:asciiTheme="majorHAnsi" w:hAnsiTheme="majorHAnsi"/>
          <w:b/>
          <w:sz w:val="36"/>
        </w:rPr>
      </w:pPr>
    </w:p>
    <w:p w14:paraId="66A3F79E" w14:textId="77777777" w:rsidR="00361D17" w:rsidRPr="00DE530D" w:rsidRDefault="00361D17" w:rsidP="00361D17">
      <w:pPr>
        <w:contextualSpacing/>
        <w:jc w:val="both"/>
        <w:rPr>
          <w:rFonts w:asciiTheme="majorHAnsi" w:hAnsiTheme="majorHAnsi" w:cs="Arial"/>
          <w:sz w:val="28"/>
          <w:szCs w:val="28"/>
        </w:rPr>
      </w:pPr>
      <w:r w:rsidRPr="00DE530D">
        <w:rPr>
          <w:rFonts w:asciiTheme="majorHAnsi" w:hAnsiTheme="majorHAnsi" w:cs="Arial"/>
          <w:b/>
          <w:sz w:val="28"/>
          <w:szCs w:val="28"/>
        </w:rPr>
        <w:t>SEGUNDO</w:t>
      </w:r>
      <w:r w:rsidRPr="00DE530D">
        <w:rPr>
          <w:rFonts w:asciiTheme="majorHAnsi" w:hAnsiTheme="majorHAnsi" w:cs="Arial"/>
          <w:sz w:val="28"/>
          <w:szCs w:val="28"/>
        </w:rPr>
        <w:t xml:space="preserve">: Modificar los artículos 1 y 2 del acuerdo SGS-DES-A-028-2013 denominado </w:t>
      </w:r>
      <w:r w:rsidRPr="00DE530D">
        <w:rPr>
          <w:rFonts w:asciiTheme="majorHAnsi" w:hAnsiTheme="majorHAnsi" w:cs="Arial"/>
          <w:i/>
          <w:sz w:val="28"/>
          <w:szCs w:val="28"/>
        </w:rPr>
        <w:t>Guías de Aplicación Contable para la Actividad Aseguradora y Reaseguradora</w:t>
      </w:r>
      <w:r w:rsidRPr="00DE530D">
        <w:rPr>
          <w:rFonts w:asciiTheme="majorHAnsi" w:hAnsiTheme="majorHAnsi" w:cs="Arial"/>
          <w:sz w:val="28"/>
          <w:szCs w:val="28"/>
        </w:rPr>
        <w:t>, para que se lean de la siguiente manera:</w:t>
      </w:r>
    </w:p>
    <w:p w14:paraId="3B5F4622" w14:textId="77777777" w:rsidR="00361D17" w:rsidRPr="007B2410" w:rsidRDefault="00361D17" w:rsidP="00361D17">
      <w:pPr>
        <w:contextualSpacing/>
        <w:jc w:val="both"/>
        <w:rPr>
          <w:rFonts w:asciiTheme="majorHAnsi" w:hAnsiTheme="majorHAnsi" w:cs="Arial"/>
        </w:rPr>
      </w:pPr>
    </w:p>
    <w:p w14:paraId="5112691B" w14:textId="77777777" w:rsidR="00361D17" w:rsidRPr="007B2410" w:rsidRDefault="00361D17" w:rsidP="00361D17">
      <w:pPr>
        <w:jc w:val="both"/>
        <w:rPr>
          <w:rFonts w:asciiTheme="majorHAnsi" w:hAnsiTheme="majorHAnsi" w:cs="Arial"/>
          <w:b/>
          <w:bCs/>
          <w:iCs/>
        </w:rPr>
      </w:pPr>
      <w:r>
        <w:rPr>
          <w:rFonts w:asciiTheme="majorHAnsi" w:hAnsiTheme="majorHAnsi" w:cs="Arial"/>
          <w:b/>
          <w:bCs/>
          <w:iCs/>
        </w:rPr>
        <w:t>“</w:t>
      </w:r>
      <w:r w:rsidRPr="007B2410">
        <w:rPr>
          <w:rFonts w:asciiTheme="majorHAnsi" w:hAnsiTheme="majorHAnsi" w:cs="Arial"/>
          <w:b/>
          <w:bCs/>
          <w:iCs/>
        </w:rPr>
        <w:t>Artículo 1. Alcance</w:t>
      </w:r>
    </w:p>
    <w:p w14:paraId="4A571A15" w14:textId="77777777" w:rsidR="00361D17" w:rsidRDefault="00361D17" w:rsidP="00361D17">
      <w:pPr>
        <w:autoSpaceDE w:val="0"/>
        <w:autoSpaceDN w:val="0"/>
        <w:adjustRightInd w:val="0"/>
        <w:jc w:val="both"/>
        <w:rPr>
          <w:rFonts w:asciiTheme="majorHAnsi" w:hAnsiTheme="majorHAnsi" w:cs="Arial"/>
          <w:bCs/>
          <w:iCs/>
        </w:rPr>
      </w:pPr>
    </w:p>
    <w:p w14:paraId="0A907957" w14:textId="77777777" w:rsidR="00361D17" w:rsidRPr="007B2410" w:rsidRDefault="00361D17" w:rsidP="00361D17">
      <w:pPr>
        <w:autoSpaceDE w:val="0"/>
        <w:autoSpaceDN w:val="0"/>
        <w:adjustRightInd w:val="0"/>
        <w:jc w:val="both"/>
        <w:rPr>
          <w:rFonts w:asciiTheme="majorHAnsi" w:hAnsiTheme="majorHAnsi" w:cs="Arial"/>
          <w:bCs/>
          <w:iCs/>
        </w:rPr>
      </w:pPr>
      <w:r w:rsidRPr="007B2410">
        <w:rPr>
          <w:rFonts w:asciiTheme="majorHAnsi" w:hAnsiTheme="majorHAnsi" w:cs="Arial"/>
          <w:bCs/>
          <w:iCs/>
        </w:rPr>
        <w:t xml:space="preserve">Estas guías aplican para todas las entidades aseguradoras y reaseguradoras, incluyendo las operaciones que realicen las entidades de seguros constituidas bajo la figura de sucursal,   de conformidad con lo señalado en el Reglamento de Información Financiera. </w:t>
      </w:r>
    </w:p>
    <w:p w14:paraId="638BACAF" w14:textId="77777777" w:rsidR="00361D17" w:rsidRDefault="00361D17" w:rsidP="00361D17">
      <w:pPr>
        <w:jc w:val="both"/>
        <w:rPr>
          <w:rFonts w:asciiTheme="majorHAnsi" w:hAnsiTheme="majorHAnsi" w:cs="Arial"/>
          <w:b/>
          <w:bCs/>
          <w:iCs/>
        </w:rPr>
      </w:pPr>
    </w:p>
    <w:p w14:paraId="006CAA9E" w14:textId="77777777" w:rsidR="00361D17" w:rsidRPr="007B2410" w:rsidRDefault="00361D17" w:rsidP="00361D17">
      <w:pPr>
        <w:jc w:val="both"/>
        <w:rPr>
          <w:rFonts w:asciiTheme="majorHAnsi" w:hAnsiTheme="majorHAnsi" w:cs="Arial"/>
          <w:b/>
          <w:bCs/>
          <w:iCs/>
        </w:rPr>
      </w:pPr>
      <w:r w:rsidRPr="007B2410">
        <w:rPr>
          <w:rFonts w:asciiTheme="majorHAnsi" w:hAnsiTheme="majorHAnsi" w:cs="Arial"/>
          <w:b/>
          <w:bCs/>
          <w:iCs/>
        </w:rPr>
        <w:t>Artículo 2. Lineamientos Generales</w:t>
      </w:r>
    </w:p>
    <w:p w14:paraId="63DA183C" w14:textId="77777777" w:rsidR="00361D17" w:rsidRPr="007B2410" w:rsidRDefault="00361D17" w:rsidP="00361D17">
      <w:pPr>
        <w:jc w:val="both"/>
        <w:rPr>
          <w:rFonts w:asciiTheme="majorHAnsi" w:hAnsiTheme="majorHAnsi" w:cs="Arial"/>
          <w:b/>
          <w:bCs/>
          <w:iCs/>
        </w:rPr>
      </w:pPr>
    </w:p>
    <w:p w14:paraId="40E08F6A" w14:textId="77777777" w:rsidR="00361D17" w:rsidRPr="007B2410" w:rsidRDefault="00361D17" w:rsidP="00361D17">
      <w:pPr>
        <w:numPr>
          <w:ilvl w:val="0"/>
          <w:numId w:val="10"/>
        </w:numPr>
        <w:ind w:left="317" w:hanging="284"/>
        <w:jc w:val="both"/>
        <w:rPr>
          <w:rFonts w:asciiTheme="majorHAnsi" w:hAnsiTheme="majorHAnsi" w:cs="Arial"/>
          <w:bCs/>
          <w:iCs/>
        </w:rPr>
      </w:pPr>
      <w:r w:rsidRPr="007B2410">
        <w:rPr>
          <w:rFonts w:asciiTheme="majorHAnsi" w:hAnsiTheme="majorHAnsi" w:cs="Arial"/>
          <w:bCs/>
          <w:iCs/>
        </w:rPr>
        <w:t xml:space="preserve">Las guías son esquemas básicos que describen el adecuado registro de operaciones ligadas a la actividad aseguradora y reaseguradora, por lo que no constituyen una lista exhaustiva de todos los registros contables de una entidad de seguros. </w:t>
      </w:r>
    </w:p>
    <w:p w14:paraId="01EA9DBE" w14:textId="77777777" w:rsidR="00361D17" w:rsidRPr="007B2410" w:rsidRDefault="00361D17" w:rsidP="00361D17">
      <w:pPr>
        <w:ind w:left="317" w:hanging="284"/>
        <w:jc w:val="both"/>
        <w:rPr>
          <w:rFonts w:asciiTheme="majorHAnsi" w:hAnsiTheme="majorHAnsi" w:cs="Arial"/>
          <w:bCs/>
          <w:iCs/>
        </w:rPr>
      </w:pPr>
    </w:p>
    <w:p w14:paraId="20B23966" w14:textId="77777777" w:rsidR="00361D17" w:rsidRPr="007B2410" w:rsidRDefault="00361D17" w:rsidP="00361D17">
      <w:pPr>
        <w:numPr>
          <w:ilvl w:val="0"/>
          <w:numId w:val="10"/>
        </w:numPr>
        <w:ind w:left="317" w:hanging="284"/>
        <w:jc w:val="both"/>
        <w:rPr>
          <w:rFonts w:asciiTheme="majorHAnsi" w:hAnsiTheme="majorHAnsi" w:cs="Arial"/>
          <w:bCs/>
          <w:iCs/>
        </w:rPr>
      </w:pPr>
      <w:r w:rsidRPr="007B2410">
        <w:rPr>
          <w:rFonts w:asciiTheme="majorHAnsi" w:hAnsiTheme="majorHAnsi" w:cs="Arial"/>
          <w:bCs/>
          <w:iCs/>
        </w:rPr>
        <w:t xml:space="preserve">Para las operaciones relacionadas con el registro de inversiones: intereses acumulados y los cobros o las reversiones de éste, registros de valoración de activos, registro de primas y descuentos, registro de ganancias o pérdidas en las ventas de inversiones,  y demás operaciones no contempladas en las presentes guías, se debe considerar lo que señala el Reglamento de Información Financiera.  </w:t>
      </w:r>
    </w:p>
    <w:p w14:paraId="7050BA72" w14:textId="77777777" w:rsidR="00361D17" w:rsidRPr="007B2410" w:rsidRDefault="00361D17" w:rsidP="00361D17">
      <w:pPr>
        <w:ind w:left="317" w:hanging="284"/>
        <w:jc w:val="both"/>
        <w:rPr>
          <w:rFonts w:asciiTheme="majorHAnsi" w:hAnsiTheme="majorHAnsi" w:cs="Arial"/>
          <w:bCs/>
          <w:iCs/>
        </w:rPr>
      </w:pPr>
    </w:p>
    <w:p w14:paraId="640DA7B0" w14:textId="77777777" w:rsidR="00361D17" w:rsidRPr="007B2410" w:rsidRDefault="00361D17" w:rsidP="00361D17">
      <w:pPr>
        <w:numPr>
          <w:ilvl w:val="0"/>
          <w:numId w:val="10"/>
        </w:numPr>
        <w:ind w:left="317" w:hanging="284"/>
        <w:jc w:val="both"/>
        <w:rPr>
          <w:rFonts w:asciiTheme="majorHAnsi" w:hAnsiTheme="majorHAnsi" w:cs="Arial"/>
          <w:bCs/>
          <w:iCs/>
        </w:rPr>
      </w:pPr>
      <w:r w:rsidRPr="007B2410">
        <w:rPr>
          <w:rFonts w:asciiTheme="majorHAnsi" w:hAnsiTheme="majorHAnsi" w:cs="Arial"/>
          <w:bCs/>
          <w:iCs/>
        </w:rPr>
        <w:t>El desglose de los registros contables se presenta de acuerdo al estado y al momento en que fue realizada cada transacción;   por ejemplo: el registro de la póliza, el cobro de las primas, etc.</w:t>
      </w:r>
    </w:p>
    <w:p w14:paraId="7AE709F0" w14:textId="77777777" w:rsidR="00361D17" w:rsidRPr="007B2410" w:rsidRDefault="00361D17" w:rsidP="00361D17">
      <w:pPr>
        <w:ind w:left="-644"/>
        <w:jc w:val="both"/>
        <w:rPr>
          <w:rFonts w:asciiTheme="majorHAnsi" w:hAnsiTheme="majorHAnsi" w:cs="Arial"/>
          <w:bCs/>
          <w:iCs/>
        </w:rPr>
      </w:pPr>
    </w:p>
    <w:p w14:paraId="0C7537D3" w14:textId="77777777" w:rsidR="00361D17" w:rsidRPr="007B2410" w:rsidRDefault="00361D17" w:rsidP="00361D17">
      <w:pPr>
        <w:autoSpaceDE w:val="0"/>
        <w:autoSpaceDN w:val="0"/>
        <w:adjustRightInd w:val="0"/>
        <w:jc w:val="both"/>
        <w:rPr>
          <w:rFonts w:asciiTheme="majorHAnsi" w:hAnsiTheme="majorHAnsi" w:cs="Arial"/>
          <w:bCs/>
          <w:i/>
          <w:iCs/>
        </w:rPr>
      </w:pPr>
      <w:r w:rsidRPr="007B2410">
        <w:rPr>
          <w:rFonts w:asciiTheme="majorHAnsi" w:hAnsiTheme="majorHAnsi" w:cs="Arial"/>
          <w:bCs/>
          <w:iCs/>
        </w:rPr>
        <w:lastRenderedPageBreak/>
        <w:t>En el caso de operaciones que se realizan en monedas diferentes al colón, los registros deben efectuarse en la cuenta correspondiente a cada moneda</w:t>
      </w:r>
      <w:r>
        <w:rPr>
          <w:rFonts w:asciiTheme="majorHAnsi" w:hAnsiTheme="majorHAnsi" w:cs="Arial"/>
          <w:bCs/>
          <w:iCs/>
        </w:rPr>
        <w:t>.”</w:t>
      </w:r>
    </w:p>
    <w:p w14:paraId="07EB420B" w14:textId="77777777" w:rsidR="00361D17" w:rsidRDefault="00361D17" w:rsidP="00361D17">
      <w:pPr>
        <w:jc w:val="both"/>
        <w:rPr>
          <w:rFonts w:asciiTheme="majorHAnsi" w:hAnsiTheme="majorHAnsi" w:cs="Arial"/>
          <w:b/>
          <w:bCs/>
          <w:iCs/>
        </w:rPr>
      </w:pPr>
    </w:p>
    <w:p w14:paraId="356F40F8" w14:textId="77777777" w:rsidR="00361D17" w:rsidRPr="00DE530D" w:rsidRDefault="00361D17" w:rsidP="00361D17">
      <w:pPr>
        <w:jc w:val="both"/>
        <w:rPr>
          <w:rFonts w:asciiTheme="majorHAnsi" w:hAnsiTheme="majorHAnsi" w:cs="Arial"/>
          <w:bCs/>
          <w:iCs/>
          <w:sz w:val="28"/>
          <w:szCs w:val="28"/>
        </w:rPr>
      </w:pPr>
      <w:r w:rsidRPr="00DE530D">
        <w:rPr>
          <w:rFonts w:asciiTheme="majorHAnsi" w:hAnsiTheme="majorHAnsi" w:cs="Arial"/>
          <w:b/>
          <w:bCs/>
          <w:iCs/>
          <w:sz w:val="28"/>
          <w:szCs w:val="28"/>
        </w:rPr>
        <w:t xml:space="preserve">TERCERO: </w:t>
      </w:r>
      <w:r w:rsidRPr="00DE530D">
        <w:rPr>
          <w:rFonts w:asciiTheme="majorHAnsi" w:hAnsiTheme="majorHAnsi" w:cs="Arial"/>
          <w:bCs/>
          <w:iCs/>
          <w:sz w:val="28"/>
          <w:szCs w:val="28"/>
        </w:rPr>
        <w:t xml:space="preserve">Adicionar el artículo 3bis al acuerdo SGS-DES-A-021-2013 </w:t>
      </w:r>
      <w:r w:rsidRPr="00DE530D">
        <w:rPr>
          <w:rFonts w:asciiTheme="majorHAnsi" w:hAnsiTheme="majorHAnsi" w:cs="Arial"/>
          <w:bCs/>
          <w:i/>
          <w:iCs/>
          <w:sz w:val="28"/>
          <w:szCs w:val="28"/>
        </w:rPr>
        <w:t>Disposiciones para la Remisión de la Información Contable y Estadística a la Superintendencia General De Seguros por parte de las Entidades Supervisadas</w:t>
      </w:r>
      <w:r w:rsidRPr="00DE530D">
        <w:rPr>
          <w:rFonts w:asciiTheme="majorHAnsi" w:hAnsiTheme="majorHAnsi" w:cs="Arial"/>
          <w:bCs/>
          <w:iCs/>
          <w:sz w:val="28"/>
          <w:szCs w:val="28"/>
        </w:rPr>
        <w:t xml:space="preserve"> a efectos de incorporar lo indicado en los artículos 31 y 35 del RIF de forma que se lea de la siguiente manera:</w:t>
      </w:r>
    </w:p>
    <w:p w14:paraId="081C273D" w14:textId="77777777" w:rsidR="00361D17" w:rsidRPr="007B2410" w:rsidRDefault="00361D17" w:rsidP="00361D17">
      <w:pPr>
        <w:jc w:val="both"/>
        <w:rPr>
          <w:rFonts w:asciiTheme="majorHAnsi" w:hAnsiTheme="majorHAnsi" w:cs="Arial"/>
          <w:bCs/>
          <w:iCs/>
        </w:rPr>
      </w:pPr>
    </w:p>
    <w:p w14:paraId="3B1A0B07" w14:textId="77777777" w:rsidR="00361D17" w:rsidRPr="007B2410" w:rsidRDefault="00361D17" w:rsidP="00361D17">
      <w:pPr>
        <w:jc w:val="both"/>
        <w:rPr>
          <w:rFonts w:asciiTheme="majorHAnsi" w:hAnsiTheme="majorHAnsi" w:cs="Arial"/>
          <w:b/>
          <w:bCs/>
          <w:iCs/>
        </w:rPr>
      </w:pPr>
      <w:r>
        <w:rPr>
          <w:rFonts w:asciiTheme="majorHAnsi" w:hAnsiTheme="majorHAnsi" w:cs="Arial"/>
          <w:b/>
          <w:bCs/>
          <w:iCs/>
        </w:rPr>
        <w:t>“</w:t>
      </w:r>
      <w:r w:rsidRPr="007B2410">
        <w:rPr>
          <w:rFonts w:asciiTheme="majorHAnsi" w:hAnsiTheme="majorHAnsi" w:cs="Arial"/>
          <w:b/>
          <w:bCs/>
          <w:iCs/>
        </w:rPr>
        <w:t>Artículo 3bis. Definición y Remisión de Estados Financieros Intermedios y Auditados.</w:t>
      </w:r>
    </w:p>
    <w:p w14:paraId="7125EA66" w14:textId="77777777" w:rsidR="00361D17" w:rsidRPr="007B2410" w:rsidRDefault="00361D17" w:rsidP="00361D17">
      <w:pPr>
        <w:jc w:val="both"/>
        <w:rPr>
          <w:rFonts w:asciiTheme="majorHAnsi" w:hAnsiTheme="majorHAnsi" w:cs="Arial"/>
          <w:b/>
          <w:bCs/>
          <w:iCs/>
        </w:rPr>
      </w:pPr>
    </w:p>
    <w:p w14:paraId="569E499C" w14:textId="77777777" w:rsidR="00361D17" w:rsidRPr="007B2410" w:rsidRDefault="00361D17" w:rsidP="00361D17">
      <w:pPr>
        <w:jc w:val="both"/>
        <w:rPr>
          <w:rFonts w:asciiTheme="majorHAnsi" w:hAnsiTheme="majorHAnsi" w:cs="Arial"/>
          <w:bCs/>
          <w:iCs/>
        </w:rPr>
      </w:pPr>
      <w:r w:rsidRPr="007B2410">
        <w:rPr>
          <w:rFonts w:asciiTheme="majorHAnsi" w:hAnsiTheme="majorHAnsi" w:cs="Arial"/>
          <w:bCs/>
          <w:iCs/>
        </w:rPr>
        <w:t xml:space="preserve">La remisión de los estados financieros intermedios por parte de las aseguradoras y reaseguradoras, solamente será requerida en forma electrónica mediante </w:t>
      </w:r>
      <w:r w:rsidRPr="007B2410">
        <w:rPr>
          <w:rFonts w:asciiTheme="majorHAnsi" w:hAnsiTheme="majorHAnsi" w:cs="Arial"/>
          <w:bCs/>
          <w:i/>
          <w:iCs/>
        </w:rPr>
        <w:t>Sugese en Línea</w:t>
      </w:r>
      <w:r w:rsidRPr="007B2410">
        <w:rPr>
          <w:rFonts w:asciiTheme="majorHAnsi" w:hAnsiTheme="majorHAnsi" w:cs="Arial"/>
          <w:bCs/>
          <w:iCs/>
        </w:rPr>
        <w:t xml:space="preserve">, según se detalla en el artículo 2 de este acuerdo, en lo que se refiere a los modelos de estados financieros (1, 2 y 4). </w:t>
      </w:r>
    </w:p>
    <w:p w14:paraId="117AB792" w14:textId="77777777" w:rsidR="00361D17" w:rsidRPr="007B2410" w:rsidRDefault="00361D17" w:rsidP="00361D17">
      <w:pPr>
        <w:jc w:val="both"/>
        <w:rPr>
          <w:rFonts w:asciiTheme="majorHAnsi" w:hAnsiTheme="majorHAnsi" w:cs="Arial"/>
          <w:bCs/>
          <w:iCs/>
        </w:rPr>
      </w:pPr>
    </w:p>
    <w:p w14:paraId="2BE123F9" w14:textId="77777777" w:rsidR="00361D17" w:rsidRPr="007B2410" w:rsidRDefault="00361D17" w:rsidP="00361D17">
      <w:pPr>
        <w:jc w:val="both"/>
        <w:rPr>
          <w:rFonts w:asciiTheme="majorHAnsi" w:hAnsiTheme="majorHAnsi" w:cs="Arial"/>
          <w:bCs/>
          <w:iCs/>
        </w:rPr>
      </w:pPr>
      <w:r w:rsidRPr="007B2410">
        <w:rPr>
          <w:rFonts w:asciiTheme="majorHAnsi" w:hAnsiTheme="majorHAnsi" w:cs="Arial"/>
          <w:bCs/>
          <w:iCs/>
        </w:rPr>
        <w:t xml:space="preserve">La presentación de información financiera anual auditada, por parte de entidades supervisadas (entidades de seguros e intermediarios de seguros) se realizará de forma física (soporte papel), cumpliendo los plazos definidos en el </w:t>
      </w:r>
      <w:r w:rsidRPr="007B2410">
        <w:rPr>
          <w:rFonts w:asciiTheme="majorHAnsi" w:hAnsiTheme="majorHAnsi" w:cs="Arial"/>
          <w:bCs/>
          <w:i/>
          <w:iCs/>
        </w:rPr>
        <w:t>Reglamento de Información Financiera</w:t>
      </w:r>
      <w:r w:rsidRPr="007B2410">
        <w:rPr>
          <w:rFonts w:asciiTheme="majorHAnsi" w:hAnsiTheme="majorHAnsi" w:cs="Arial"/>
          <w:bCs/>
          <w:iCs/>
        </w:rPr>
        <w:t>.</w:t>
      </w:r>
      <w:r>
        <w:rPr>
          <w:rFonts w:asciiTheme="majorHAnsi" w:hAnsiTheme="majorHAnsi" w:cs="Arial"/>
          <w:bCs/>
          <w:iCs/>
        </w:rPr>
        <w:t>”</w:t>
      </w:r>
    </w:p>
    <w:p w14:paraId="772DC951" w14:textId="77777777" w:rsidR="00361D17" w:rsidRDefault="00361D17" w:rsidP="00361D17">
      <w:pPr>
        <w:pStyle w:val="Prrafodelista"/>
        <w:ind w:left="0"/>
        <w:jc w:val="both"/>
        <w:rPr>
          <w:rFonts w:asciiTheme="majorHAnsi" w:hAnsiTheme="majorHAnsi"/>
          <w:b/>
        </w:rPr>
      </w:pPr>
    </w:p>
    <w:p w14:paraId="32911BAB" w14:textId="77777777" w:rsidR="00361D17" w:rsidRPr="007B2410" w:rsidRDefault="00361D17" w:rsidP="00361D17">
      <w:pPr>
        <w:pStyle w:val="Prrafodelista"/>
        <w:ind w:left="0"/>
        <w:jc w:val="both"/>
        <w:rPr>
          <w:rFonts w:asciiTheme="majorHAnsi" w:hAnsiTheme="majorHAnsi"/>
          <w:b/>
        </w:rPr>
      </w:pPr>
    </w:p>
    <w:p w14:paraId="03DF30B0" w14:textId="77777777" w:rsidR="00361D17" w:rsidRPr="00A250C8" w:rsidRDefault="00361D17" w:rsidP="00361D17">
      <w:pPr>
        <w:pStyle w:val="Prrafodelista"/>
        <w:ind w:left="0"/>
        <w:jc w:val="both"/>
        <w:rPr>
          <w:rFonts w:asciiTheme="majorHAnsi" w:hAnsiTheme="majorHAnsi"/>
          <w:b/>
          <w:sz w:val="28"/>
          <w:szCs w:val="28"/>
        </w:rPr>
      </w:pPr>
      <w:r w:rsidRPr="00A250C8">
        <w:rPr>
          <w:rFonts w:asciiTheme="majorHAnsi" w:hAnsiTheme="majorHAnsi" w:cs="Arial"/>
          <w:b/>
          <w:bCs/>
          <w:iCs/>
          <w:sz w:val="28"/>
          <w:szCs w:val="28"/>
        </w:rPr>
        <w:t xml:space="preserve">CUARTO: </w:t>
      </w:r>
      <w:r w:rsidRPr="00A250C8">
        <w:rPr>
          <w:rFonts w:asciiTheme="majorHAnsi" w:hAnsiTheme="majorHAnsi" w:cs="Arial"/>
          <w:bCs/>
          <w:iCs/>
          <w:sz w:val="28"/>
          <w:szCs w:val="28"/>
        </w:rPr>
        <w:t>Modificar el artículo 9 y los Anexos 4</w:t>
      </w:r>
      <w:r w:rsidRPr="00A250C8">
        <w:rPr>
          <w:rFonts w:asciiTheme="majorHAnsi" w:hAnsiTheme="majorHAnsi" w:cs="Arial"/>
          <w:bCs/>
          <w:iCs/>
          <w:color w:val="0000FF"/>
          <w:sz w:val="28"/>
          <w:szCs w:val="28"/>
        </w:rPr>
        <w:t xml:space="preserve">, </w:t>
      </w:r>
      <w:r w:rsidRPr="00A250C8">
        <w:rPr>
          <w:rFonts w:asciiTheme="majorHAnsi" w:hAnsiTheme="majorHAnsi" w:cs="Arial"/>
          <w:bCs/>
          <w:iCs/>
          <w:sz w:val="28"/>
          <w:szCs w:val="28"/>
        </w:rPr>
        <w:t xml:space="preserve">5 y 11 del acuerdo SGS-DES-A-021-2013 </w:t>
      </w:r>
      <w:r w:rsidRPr="00A250C8">
        <w:rPr>
          <w:rFonts w:asciiTheme="majorHAnsi" w:hAnsiTheme="majorHAnsi" w:cs="Arial"/>
          <w:bCs/>
          <w:i/>
          <w:iCs/>
          <w:sz w:val="28"/>
          <w:szCs w:val="28"/>
        </w:rPr>
        <w:t>Disposiciones para la Remisión de la Información Contable y Estadística a la Superintendencia General de Seguros por parte de las Entidades Supervisadas</w:t>
      </w:r>
      <w:r w:rsidRPr="00A250C8">
        <w:rPr>
          <w:rFonts w:asciiTheme="majorHAnsi" w:hAnsiTheme="majorHAnsi" w:cs="Arial"/>
          <w:bCs/>
          <w:iCs/>
          <w:sz w:val="28"/>
          <w:szCs w:val="28"/>
        </w:rPr>
        <w:t xml:space="preserve"> de forma que se lean de la siguiente manera:</w:t>
      </w:r>
    </w:p>
    <w:p w14:paraId="245B80F1" w14:textId="77777777" w:rsidR="00361D17" w:rsidRDefault="00361D17" w:rsidP="00361D17">
      <w:pPr>
        <w:jc w:val="both"/>
        <w:rPr>
          <w:rFonts w:asciiTheme="majorHAnsi" w:hAnsiTheme="majorHAnsi" w:cs="Arial"/>
          <w:b/>
          <w:bCs/>
          <w:iCs/>
        </w:rPr>
      </w:pPr>
    </w:p>
    <w:p w14:paraId="656E6F72" w14:textId="77777777" w:rsidR="00361D17" w:rsidRPr="007B2410" w:rsidRDefault="00361D17" w:rsidP="00361D17">
      <w:pPr>
        <w:jc w:val="both"/>
        <w:rPr>
          <w:rFonts w:asciiTheme="majorHAnsi" w:hAnsiTheme="majorHAnsi" w:cs="Arial"/>
          <w:b/>
          <w:bCs/>
          <w:iCs/>
        </w:rPr>
      </w:pPr>
      <w:r>
        <w:rPr>
          <w:rFonts w:asciiTheme="majorHAnsi" w:hAnsiTheme="majorHAnsi" w:cs="Arial"/>
          <w:b/>
          <w:bCs/>
          <w:iCs/>
        </w:rPr>
        <w:t>“</w:t>
      </w:r>
      <w:r w:rsidRPr="007B2410">
        <w:rPr>
          <w:rFonts w:asciiTheme="majorHAnsi" w:hAnsiTheme="majorHAnsi" w:cs="Arial"/>
          <w:b/>
          <w:bCs/>
          <w:iCs/>
        </w:rPr>
        <w:t>Artículo 9. Corrección de información financiera o contable</w:t>
      </w:r>
    </w:p>
    <w:p w14:paraId="58B656B5" w14:textId="77777777" w:rsidR="00361D17" w:rsidRDefault="00361D17" w:rsidP="00361D17">
      <w:pPr>
        <w:jc w:val="both"/>
        <w:rPr>
          <w:rFonts w:asciiTheme="majorHAnsi" w:hAnsiTheme="majorHAnsi" w:cs="Arial"/>
          <w:bCs/>
          <w:iCs/>
        </w:rPr>
      </w:pPr>
    </w:p>
    <w:p w14:paraId="662945FA" w14:textId="77777777" w:rsidR="00361D17" w:rsidRPr="007B2410" w:rsidRDefault="00361D17" w:rsidP="00361D17">
      <w:pPr>
        <w:jc w:val="both"/>
        <w:rPr>
          <w:rFonts w:asciiTheme="majorHAnsi" w:hAnsiTheme="majorHAnsi" w:cs="Arial"/>
          <w:bCs/>
          <w:iCs/>
        </w:rPr>
      </w:pPr>
      <w:r w:rsidRPr="007B2410">
        <w:rPr>
          <w:rFonts w:asciiTheme="majorHAnsi" w:hAnsiTheme="majorHAnsi" w:cs="Arial"/>
          <w:bCs/>
          <w:iCs/>
        </w:rPr>
        <w:t>La corrección de la información financiera y contable de las entidades supervisadas descrita en los artículos 2 y 3 de este acuerdo, a solicitud de la Superintendencia, se regirá por lo dispuesto en el Reglamento de Información Financiera.   Además se constituirá en un hecho relevante y se comunicará según la normativa que emita el Sup</w:t>
      </w:r>
      <w:r>
        <w:rPr>
          <w:rFonts w:asciiTheme="majorHAnsi" w:hAnsiTheme="majorHAnsi" w:cs="Arial"/>
          <w:bCs/>
          <w:iCs/>
        </w:rPr>
        <w:t>erintendente para estos efectos”</w:t>
      </w:r>
    </w:p>
    <w:p w14:paraId="586E7B0F" w14:textId="77777777" w:rsidR="00361D17" w:rsidRDefault="00361D17" w:rsidP="00361D17">
      <w:pPr>
        <w:ind w:right="338"/>
        <w:jc w:val="center"/>
        <w:rPr>
          <w:rFonts w:asciiTheme="majorHAnsi" w:hAnsiTheme="majorHAnsi"/>
          <w:b/>
          <w:sz w:val="28"/>
          <w:szCs w:val="28"/>
        </w:rPr>
      </w:pPr>
    </w:p>
    <w:p w14:paraId="2173D63A" w14:textId="77777777" w:rsidR="00361D17" w:rsidRDefault="00361D17" w:rsidP="00361D17">
      <w:pPr>
        <w:ind w:right="338"/>
        <w:jc w:val="center"/>
        <w:rPr>
          <w:rFonts w:asciiTheme="majorHAnsi" w:hAnsiTheme="majorHAnsi"/>
          <w:b/>
          <w:sz w:val="28"/>
          <w:szCs w:val="28"/>
        </w:rPr>
      </w:pPr>
    </w:p>
    <w:p w14:paraId="73EE387F" w14:textId="77777777" w:rsidR="00361D17" w:rsidRPr="007B2410" w:rsidRDefault="00361D17" w:rsidP="00361D17">
      <w:pPr>
        <w:ind w:right="338"/>
        <w:jc w:val="center"/>
        <w:rPr>
          <w:rFonts w:asciiTheme="majorHAnsi" w:hAnsiTheme="majorHAnsi"/>
          <w:b/>
          <w:sz w:val="28"/>
          <w:szCs w:val="28"/>
        </w:rPr>
      </w:pPr>
      <w:r w:rsidRPr="007B2410">
        <w:rPr>
          <w:rFonts w:asciiTheme="majorHAnsi" w:hAnsiTheme="majorHAnsi"/>
          <w:b/>
          <w:sz w:val="28"/>
          <w:szCs w:val="28"/>
        </w:rPr>
        <w:lastRenderedPageBreak/>
        <w:t xml:space="preserve">Anexo 4. </w:t>
      </w:r>
    </w:p>
    <w:p w14:paraId="14FA60A4" w14:textId="77777777" w:rsidR="00361D17" w:rsidRDefault="00361D17" w:rsidP="00361D17">
      <w:pPr>
        <w:jc w:val="center"/>
        <w:rPr>
          <w:rFonts w:asciiTheme="majorHAnsi" w:hAnsiTheme="majorHAnsi"/>
          <w:b/>
          <w:szCs w:val="16"/>
        </w:rPr>
      </w:pPr>
      <w:r w:rsidRPr="007B2410">
        <w:rPr>
          <w:rFonts w:asciiTheme="majorHAnsi" w:hAnsiTheme="majorHAnsi"/>
          <w:b/>
          <w:szCs w:val="16"/>
        </w:rPr>
        <w:t>Régimen de Suficiencia de Capital y Solvencia</w:t>
      </w:r>
    </w:p>
    <w:p w14:paraId="645A3AD5" w14:textId="77777777" w:rsidR="00361D17" w:rsidRPr="007B2410" w:rsidRDefault="00361D17" w:rsidP="00361D17">
      <w:pPr>
        <w:jc w:val="center"/>
        <w:rPr>
          <w:rFonts w:asciiTheme="majorHAnsi" w:hAnsiTheme="majorHAnsi"/>
          <w:b/>
          <w:szCs w:val="16"/>
        </w:rPr>
      </w:pPr>
    </w:p>
    <w:bookmarkStart w:id="1" w:name="_MON_1629801874"/>
    <w:bookmarkEnd w:id="1"/>
    <w:p w14:paraId="748FF39D" w14:textId="77777777" w:rsidR="00361D17" w:rsidRPr="007B2410" w:rsidRDefault="00361D17" w:rsidP="00361D17">
      <w:pPr>
        <w:contextualSpacing/>
        <w:jc w:val="center"/>
        <w:rPr>
          <w:rFonts w:asciiTheme="majorHAnsi" w:hAnsiTheme="majorHAnsi"/>
          <w:color w:val="000000"/>
          <w:szCs w:val="16"/>
          <w:lang w:val="es-CR"/>
        </w:rPr>
      </w:pPr>
      <w:r w:rsidRPr="007B2410">
        <w:rPr>
          <w:rFonts w:asciiTheme="majorHAnsi" w:hAnsiTheme="majorHAnsi"/>
          <w:color w:val="000000"/>
          <w:szCs w:val="16"/>
          <w:lang w:val="es-CR"/>
        </w:rPr>
        <w:object w:dxaOrig="2133" w:dyaOrig="1477" w14:anchorId="4F46B5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in" o:ole="">
            <v:imagedata r:id="rId13" o:title=""/>
          </v:shape>
          <o:OLEObject Type="Embed" ProgID="Excel.SheetMacroEnabled.12" ShapeID="_x0000_i1025" DrawAspect="Icon" ObjectID="_1630330300" r:id="rId14"/>
        </w:object>
      </w:r>
    </w:p>
    <w:p w14:paraId="5181C000" w14:textId="77777777" w:rsidR="00361D17" w:rsidRPr="007B2410" w:rsidRDefault="00361D17" w:rsidP="00361D17">
      <w:pPr>
        <w:jc w:val="center"/>
        <w:rPr>
          <w:rFonts w:asciiTheme="majorHAnsi" w:hAnsiTheme="majorHAnsi" w:cs="Arial"/>
          <w:b/>
          <w:szCs w:val="16"/>
        </w:rPr>
      </w:pPr>
    </w:p>
    <w:p w14:paraId="79AFA47A" w14:textId="77777777" w:rsidR="00361D17" w:rsidRDefault="00361D17" w:rsidP="00361D17">
      <w:pPr>
        <w:spacing w:after="200" w:line="276" w:lineRule="auto"/>
        <w:rPr>
          <w:rFonts w:asciiTheme="majorHAnsi" w:hAnsiTheme="majorHAnsi" w:cs="Arial"/>
          <w:b/>
          <w:sz w:val="28"/>
          <w:szCs w:val="16"/>
        </w:rPr>
      </w:pPr>
    </w:p>
    <w:p w14:paraId="6245CC69" w14:textId="77777777" w:rsidR="00361D17" w:rsidRPr="007B2410" w:rsidRDefault="00361D17" w:rsidP="00361D17">
      <w:pPr>
        <w:jc w:val="center"/>
        <w:rPr>
          <w:rFonts w:asciiTheme="majorHAnsi" w:hAnsiTheme="majorHAnsi" w:cs="Arial"/>
          <w:b/>
          <w:szCs w:val="16"/>
        </w:rPr>
      </w:pPr>
      <w:r w:rsidRPr="007B2410">
        <w:rPr>
          <w:rFonts w:asciiTheme="majorHAnsi" w:hAnsiTheme="majorHAnsi" w:cs="Arial"/>
          <w:b/>
          <w:sz w:val="28"/>
          <w:szCs w:val="16"/>
        </w:rPr>
        <w:t>Anexo 5</w:t>
      </w:r>
      <w:r w:rsidRPr="007B2410">
        <w:rPr>
          <w:rFonts w:asciiTheme="majorHAnsi" w:hAnsiTheme="majorHAnsi" w:cs="Arial"/>
          <w:b/>
          <w:szCs w:val="16"/>
        </w:rPr>
        <w:t xml:space="preserve">. </w:t>
      </w:r>
    </w:p>
    <w:p w14:paraId="2ABFCE29" w14:textId="77777777" w:rsidR="00361D17" w:rsidRPr="007B2410" w:rsidRDefault="00361D17" w:rsidP="00361D17">
      <w:pPr>
        <w:jc w:val="center"/>
        <w:rPr>
          <w:rFonts w:asciiTheme="majorHAnsi" w:hAnsiTheme="majorHAnsi" w:cs="Arial"/>
          <w:b/>
          <w:szCs w:val="16"/>
        </w:rPr>
      </w:pPr>
      <w:r w:rsidRPr="007B2410">
        <w:rPr>
          <w:rFonts w:asciiTheme="majorHAnsi" w:hAnsiTheme="majorHAnsi" w:cs="Arial"/>
          <w:b/>
          <w:szCs w:val="16"/>
        </w:rPr>
        <w:t>Estándar de Negocio para Entidades de Seguros</w:t>
      </w:r>
    </w:p>
    <w:p w14:paraId="1B54B198" w14:textId="77777777" w:rsidR="00361D17" w:rsidRPr="007B2410" w:rsidRDefault="00361D17" w:rsidP="00361D17">
      <w:pPr>
        <w:jc w:val="center"/>
        <w:rPr>
          <w:rFonts w:asciiTheme="majorHAnsi" w:hAnsiTheme="majorHAnsi" w:cs="Arial"/>
          <w:b/>
          <w:szCs w:val="16"/>
        </w:rPr>
      </w:pPr>
    </w:p>
    <w:bookmarkStart w:id="2" w:name="_MON_1629802214"/>
    <w:bookmarkEnd w:id="2"/>
    <w:p w14:paraId="1B2DDEA0" w14:textId="77777777" w:rsidR="00361D17" w:rsidRPr="007B2410" w:rsidRDefault="00361D17" w:rsidP="00361D17">
      <w:pPr>
        <w:jc w:val="center"/>
        <w:rPr>
          <w:rFonts w:asciiTheme="majorHAnsi" w:hAnsiTheme="majorHAnsi" w:cs="Arial"/>
          <w:b/>
          <w:szCs w:val="16"/>
        </w:rPr>
      </w:pPr>
      <w:r w:rsidRPr="007B2410">
        <w:rPr>
          <w:rFonts w:asciiTheme="majorHAnsi" w:hAnsiTheme="majorHAnsi" w:cs="Arial"/>
          <w:b/>
          <w:szCs w:val="16"/>
        </w:rPr>
        <w:object w:dxaOrig="2133" w:dyaOrig="1477" w14:anchorId="66A651EB">
          <v:shape id="_x0000_i1026" type="#_x0000_t75" style="width:108pt;height:1in" o:ole="">
            <v:imagedata r:id="rId15" o:title=""/>
          </v:shape>
          <o:OLEObject Type="Embed" ProgID="Word.Document.12" ShapeID="_x0000_i1026" DrawAspect="Icon" ObjectID="_1630330301" r:id="rId16">
            <o:FieldCodes>\s</o:FieldCodes>
          </o:OLEObject>
        </w:object>
      </w:r>
    </w:p>
    <w:p w14:paraId="4F01517E" w14:textId="77777777" w:rsidR="00361D17" w:rsidRDefault="00361D17" w:rsidP="00361D17">
      <w:pPr>
        <w:tabs>
          <w:tab w:val="left" w:pos="4080"/>
          <w:tab w:val="center" w:pos="4702"/>
        </w:tabs>
        <w:jc w:val="center"/>
        <w:rPr>
          <w:rFonts w:asciiTheme="majorHAnsi" w:hAnsiTheme="majorHAnsi" w:cs="Arial"/>
          <w:b/>
          <w:szCs w:val="16"/>
        </w:rPr>
      </w:pPr>
    </w:p>
    <w:p w14:paraId="1C9C862B" w14:textId="77777777" w:rsidR="00361D17" w:rsidRPr="007B2410" w:rsidRDefault="00361D17" w:rsidP="00361D17">
      <w:pPr>
        <w:tabs>
          <w:tab w:val="left" w:pos="4080"/>
          <w:tab w:val="center" w:pos="4702"/>
        </w:tabs>
        <w:jc w:val="center"/>
        <w:rPr>
          <w:rFonts w:asciiTheme="majorHAnsi" w:hAnsiTheme="majorHAnsi"/>
          <w:b/>
          <w:i/>
          <w:color w:val="000000"/>
          <w:sz w:val="28"/>
          <w:szCs w:val="16"/>
        </w:rPr>
      </w:pPr>
      <w:r w:rsidRPr="007B2410">
        <w:rPr>
          <w:rFonts w:asciiTheme="majorHAnsi" w:hAnsiTheme="majorHAnsi"/>
          <w:b/>
          <w:i/>
          <w:color w:val="000000"/>
          <w:sz w:val="28"/>
          <w:szCs w:val="16"/>
        </w:rPr>
        <w:t>Anexo 11</w:t>
      </w:r>
    </w:p>
    <w:p w14:paraId="3BD3EEE5" w14:textId="77777777" w:rsidR="00361D17" w:rsidRPr="007B2410" w:rsidRDefault="00361D17" w:rsidP="00361D17">
      <w:pPr>
        <w:jc w:val="center"/>
        <w:rPr>
          <w:rFonts w:asciiTheme="majorHAnsi" w:hAnsiTheme="majorHAnsi"/>
          <w:b/>
          <w:sz w:val="28"/>
          <w:szCs w:val="16"/>
        </w:rPr>
      </w:pPr>
      <w:r w:rsidRPr="007B2410">
        <w:rPr>
          <w:rFonts w:asciiTheme="majorHAnsi" w:hAnsiTheme="majorHAnsi"/>
          <w:b/>
          <w:sz w:val="28"/>
          <w:szCs w:val="16"/>
        </w:rPr>
        <w:t xml:space="preserve">Ingresos por primas y siniestros pagados según ramo de seguros </w:t>
      </w:r>
    </w:p>
    <w:p w14:paraId="4C80A7C6" w14:textId="77777777" w:rsidR="00361D17" w:rsidRPr="007B2410" w:rsidRDefault="00361D17" w:rsidP="00361D17">
      <w:pPr>
        <w:jc w:val="center"/>
        <w:rPr>
          <w:rFonts w:asciiTheme="majorHAnsi" w:hAnsiTheme="majorHAnsi"/>
          <w:b/>
          <w:sz w:val="28"/>
          <w:szCs w:val="16"/>
        </w:rPr>
      </w:pPr>
      <w:r w:rsidRPr="007B2410">
        <w:rPr>
          <w:rFonts w:asciiTheme="majorHAnsi" w:hAnsiTheme="majorHAnsi"/>
          <w:b/>
          <w:sz w:val="28"/>
          <w:szCs w:val="16"/>
        </w:rPr>
        <w:t>Nombre de la Aseguradora: _____</w:t>
      </w:r>
    </w:p>
    <w:p w14:paraId="7EB135EF" w14:textId="77777777" w:rsidR="00361D17" w:rsidRPr="007B2410" w:rsidRDefault="00361D17" w:rsidP="00361D17">
      <w:pPr>
        <w:jc w:val="center"/>
        <w:rPr>
          <w:rFonts w:asciiTheme="majorHAnsi" w:hAnsiTheme="majorHAnsi"/>
          <w:b/>
          <w:sz w:val="28"/>
          <w:szCs w:val="16"/>
        </w:rPr>
      </w:pPr>
      <w:r w:rsidRPr="007B2410">
        <w:rPr>
          <w:rFonts w:asciiTheme="majorHAnsi" w:hAnsiTheme="majorHAnsi"/>
          <w:b/>
          <w:sz w:val="28"/>
          <w:szCs w:val="16"/>
        </w:rPr>
        <w:t>Acumulado al Mes ___, Año _____</w:t>
      </w:r>
    </w:p>
    <w:p w14:paraId="6F6F1E50" w14:textId="77777777" w:rsidR="00361D17" w:rsidRPr="007B2410" w:rsidRDefault="00361D17" w:rsidP="00361D17">
      <w:pPr>
        <w:jc w:val="center"/>
        <w:rPr>
          <w:rFonts w:asciiTheme="majorHAnsi" w:hAnsiTheme="majorHAnsi"/>
          <w:i/>
          <w:color w:val="000000"/>
          <w:sz w:val="28"/>
          <w:szCs w:val="16"/>
        </w:rPr>
      </w:pPr>
      <w:r w:rsidRPr="007B2410">
        <w:rPr>
          <w:rFonts w:asciiTheme="majorHAnsi" w:hAnsiTheme="majorHAnsi"/>
          <w:i/>
          <w:color w:val="000000"/>
          <w:sz w:val="28"/>
          <w:szCs w:val="16"/>
        </w:rPr>
        <w:t>En colones</w:t>
      </w:r>
    </w:p>
    <w:tbl>
      <w:tblPr>
        <w:tblStyle w:val="Tablaconcuadrcula"/>
        <w:tblW w:w="8647" w:type="dxa"/>
        <w:tblLayout w:type="fixed"/>
        <w:tblLook w:val="04A0" w:firstRow="1" w:lastRow="0" w:firstColumn="1" w:lastColumn="0" w:noHBand="0" w:noVBand="1"/>
      </w:tblPr>
      <w:tblGrid>
        <w:gridCol w:w="3358"/>
        <w:gridCol w:w="2312"/>
        <w:gridCol w:w="2977"/>
      </w:tblGrid>
      <w:tr w:rsidR="00361D17" w:rsidRPr="007B2410" w14:paraId="673F8A05" w14:textId="77777777" w:rsidTr="007B43AB">
        <w:trPr>
          <w:trHeight w:val="291"/>
        </w:trPr>
        <w:tc>
          <w:tcPr>
            <w:tcW w:w="3358" w:type="dxa"/>
            <w:shd w:val="clear" w:color="auto" w:fill="BFBFBF" w:themeFill="background1" w:themeFillShade="BF"/>
            <w:noWrap/>
          </w:tcPr>
          <w:p w14:paraId="14EAD315" w14:textId="77777777" w:rsidR="00361D17" w:rsidRPr="007B2410" w:rsidRDefault="00361D17" w:rsidP="007B43AB">
            <w:pPr>
              <w:jc w:val="center"/>
              <w:rPr>
                <w:rFonts w:asciiTheme="majorHAnsi" w:hAnsiTheme="majorHAnsi"/>
                <w:color w:val="000000"/>
                <w:sz w:val="22"/>
                <w:szCs w:val="22"/>
                <w:lang w:val="es-CR" w:eastAsia="es-CR"/>
              </w:rPr>
            </w:pPr>
            <w:r w:rsidRPr="007B2410">
              <w:rPr>
                <w:rFonts w:asciiTheme="majorHAnsi" w:hAnsiTheme="majorHAnsi"/>
                <w:b/>
                <w:i/>
                <w:sz w:val="22"/>
                <w:szCs w:val="22"/>
                <w:lang w:val="es-CR" w:eastAsia="es-CR"/>
              </w:rPr>
              <w:t>Ramo</w:t>
            </w:r>
            <w:r w:rsidRPr="007B2410">
              <w:rPr>
                <w:rFonts w:asciiTheme="majorHAnsi" w:hAnsiTheme="majorHAnsi"/>
                <w:b/>
                <w:i/>
                <w:sz w:val="22"/>
                <w:szCs w:val="22"/>
                <w:vertAlign w:val="superscript"/>
                <w:lang w:val="es-CR" w:eastAsia="es-CR"/>
              </w:rPr>
              <w:t>1/</w:t>
            </w:r>
          </w:p>
        </w:tc>
        <w:tc>
          <w:tcPr>
            <w:tcW w:w="2312" w:type="dxa"/>
            <w:shd w:val="clear" w:color="auto" w:fill="BFBFBF" w:themeFill="background1" w:themeFillShade="BF"/>
            <w:noWrap/>
          </w:tcPr>
          <w:p w14:paraId="0FB09563" w14:textId="77777777" w:rsidR="00361D17" w:rsidRPr="007B2410" w:rsidRDefault="00361D17" w:rsidP="007B43AB">
            <w:pPr>
              <w:jc w:val="center"/>
              <w:rPr>
                <w:rFonts w:asciiTheme="majorHAnsi" w:hAnsiTheme="majorHAnsi"/>
                <w:sz w:val="22"/>
                <w:szCs w:val="22"/>
                <w:lang w:val="es-CR" w:eastAsia="es-CR"/>
              </w:rPr>
            </w:pPr>
            <w:r w:rsidRPr="007B2410">
              <w:rPr>
                <w:rFonts w:asciiTheme="majorHAnsi" w:hAnsiTheme="majorHAnsi"/>
                <w:b/>
                <w:i/>
                <w:sz w:val="22"/>
                <w:szCs w:val="22"/>
                <w:lang w:val="es-CR" w:eastAsia="es-CR"/>
              </w:rPr>
              <w:t>Ingresos por primas</w:t>
            </w:r>
            <w:r w:rsidRPr="007B2410">
              <w:rPr>
                <w:rFonts w:asciiTheme="majorHAnsi" w:hAnsiTheme="majorHAnsi"/>
                <w:b/>
                <w:i/>
                <w:sz w:val="22"/>
                <w:szCs w:val="22"/>
                <w:vertAlign w:val="superscript"/>
                <w:lang w:val="es-CR" w:eastAsia="es-CR"/>
              </w:rPr>
              <w:t>2/</w:t>
            </w:r>
          </w:p>
        </w:tc>
        <w:tc>
          <w:tcPr>
            <w:tcW w:w="2977" w:type="dxa"/>
            <w:shd w:val="clear" w:color="auto" w:fill="BFBFBF" w:themeFill="background1" w:themeFillShade="BF"/>
            <w:noWrap/>
          </w:tcPr>
          <w:p w14:paraId="045FB8C1" w14:textId="77777777" w:rsidR="00361D17" w:rsidRPr="007B2410" w:rsidRDefault="00361D17" w:rsidP="007B43AB">
            <w:pPr>
              <w:jc w:val="center"/>
              <w:rPr>
                <w:rFonts w:asciiTheme="majorHAnsi" w:hAnsiTheme="majorHAnsi"/>
                <w:sz w:val="22"/>
                <w:szCs w:val="22"/>
                <w:lang w:val="es-CR" w:eastAsia="es-CR"/>
              </w:rPr>
            </w:pPr>
            <w:r w:rsidRPr="007B2410">
              <w:rPr>
                <w:rFonts w:asciiTheme="majorHAnsi" w:hAnsiTheme="majorHAnsi"/>
                <w:b/>
                <w:i/>
                <w:sz w:val="22"/>
                <w:szCs w:val="22"/>
                <w:lang w:val="es-CR" w:eastAsia="es-CR"/>
              </w:rPr>
              <w:t>Gastos por prestaciones</w:t>
            </w:r>
            <w:r w:rsidRPr="007B2410">
              <w:rPr>
                <w:rFonts w:asciiTheme="majorHAnsi" w:hAnsiTheme="majorHAnsi"/>
                <w:b/>
                <w:i/>
                <w:sz w:val="22"/>
                <w:szCs w:val="22"/>
                <w:vertAlign w:val="superscript"/>
                <w:lang w:val="es-CR" w:eastAsia="es-CR"/>
              </w:rPr>
              <w:t>3/</w:t>
            </w:r>
          </w:p>
        </w:tc>
      </w:tr>
      <w:tr w:rsidR="00361D17" w:rsidRPr="007B2410" w14:paraId="3931A6C0" w14:textId="77777777" w:rsidTr="007B43AB">
        <w:trPr>
          <w:trHeight w:val="291"/>
        </w:trPr>
        <w:tc>
          <w:tcPr>
            <w:tcW w:w="3358" w:type="dxa"/>
            <w:noWrap/>
            <w:hideMark/>
          </w:tcPr>
          <w:p w14:paraId="0B9ECDB7" w14:textId="77777777" w:rsidR="00361D17" w:rsidRPr="007B2410" w:rsidRDefault="00361D17" w:rsidP="007B43AB">
            <w:pPr>
              <w:rPr>
                <w:rFonts w:asciiTheme="majorHAnsi" w:hAnsiTheme="majorHAnsi"/>
                <w:color w:val="000000"/>
                <w:sz w:val="22"/>
                <w:szCs w:val="22"/>
                <w:lang w:val="es-CR" w:eastAsia="es-CR"/>
              </w:rPr>
            </w:pPr>
            <w:r w:rsidRPr="007B2410">
              <w:rPr>
                <w:rFonts w:asciiTheme="majorHAnsi" w:hAnsiTheme="majorHAnsi"/>
                <w:color w:val="000000"/>
                <w:sz w:val="22"/>
                <w:szCs w:val="22"/>
                <w:lang w:val="es-CR" w:eastAsia="es-CR"/>
              </w:rPr>
              <w:t>Automóviles</w:t>
            </w:r>
          </w:p>
        </w:tc>
        <w:tc>
          <w:tcPr>
            <w:tcW w:w="2312" w:type="dxa"/>
            <w:noWrap/>
            <w:hideMark/>
          </w:tcPr>
          <w:p w14:paraId="6646AE89" w14:textId="77777777" w:rsidR="00361D17" w:rsidRPr="007B2410" w:rsidRDefault="00361D17" w:rsidP="007B43AB">
            <w:pPr>
              <w:rPr>
                <w:rFonts w:asciiTheme="majorHAnsi" w:hAnsiTheme="majorHAnsi"/>
                <w:sz w:val="22"/>
                <w:szCs w:val="22"/>
                <w:lang w:val="es-CR" w:eastAsia="es-CR"/>
              </w:rPr>
            </w:pPr>
            <w:r w:rsidRPr="007B2410">
              <w:rPr>
                <w:rFonts w:asciiTheme="majorHAnsi" w:hAnsiTheme="majorHAnsi"/>
                <w:sz w:val="22"/>
                <w:szCs w:val="22"/>
                <w:lang w:val="es-CR" w:eastAsia="es-CR"/>
              </w:rPr>
              <w:t> </w:t>
            </w:r>
          </w:p>
        </w:tc>
        <w:tc>
          <w:tcPr>
            <w:tcW w:w="2977" w:type="dxa"/>
            <w:noWrap/>
            <w:hideMark/>
          </w:tcPr>
          <w:p w14:paraId="40A29B6E" w14:textId="77777777" w:rsidR="00361D17" w:rsidRPr="007B2410" w:rsidRDefault="00361D17" w:rsidP="007B43AB">
            <w:pPr>
              <w:rPr>
                <w:rFonts w:asciiTheme="majorHAnsi" w:hAnsiTheme="majorHAnsi"/>
                <w:sz w:val="22"/>
                <w:szCs w:val="22"/>
                <w:lang w:val="es-CR" w:eastAsia="es-CR"/>
              </w:rPr>
            </w:pPr>
            <w:r w:rsidRPr="007B2410">
              <w:rPr>
                <w:rFonts w:asciiTheme="majorHAnsi" w:hAnsiTheme="majorHAnsi"/>
                <w:sz w:val="22"/>
                <w:szCs w:val="22"/>
                <w:lang w:val="es-CR" w:eastAsia="es-CR"/>
              </w:rPr>
              <w:t> </w:t>
            </w:r>
          </w:p>
        </w:tc>
      </w:tr>
      <w:tr w:rsidR="00361D17" w:rsidRPr="007B2410" w14:paraId="2FA034A8" w14:textId="77777777" w:rsidTr="007B43AB">
        <w:trPr>
          <w:trHeight w:val="291"/>
        </w:trPr>
        <w:tc>
          <w:tcPr>
            <w:tcW w:w="3358" w:type="dxa"/>
            <w:noWrap/>
            <w:hideMark/>
          </w:tcPr>
          <w:p w14:paraId="40D6DAC8" w14:textId="77777777" w:rsidR="00361D17" w:rsidRPr="007B2410" w:rsidRDefault="00361D17" w:rsidP="007B43AB">
            <w:pPr>
              <w:rPr>
                <w:rFonts w:asciiTheme="majorHAnsi" w:hAnsiTheme="majorHAnsi"/>
                <w:color w:val="000000"/>
                <w:sz w:val="22"/>
                <w:szCs w:val="22"/>
                <w:lang w:val="es-CR" w:eastAsia="es-CR"/>
              </w:rPr>
            </w:pPr>
            <w:r w:rsidRPr="007B2410">
              <w:rPr>
                <w:rFonts w:asciiTheme="majorHAnsi" w:hAnsiTheme="majorHAnsi"/>
                <w:color w:val="000000"/>
                <w:sz w:val="22"/>
                <w:szCs w:val="22"/>
                <w:lang w:val="es-CR" w:eastAsia="es-CR"/>
              </w:rPr>
              <w:t>Vehículos Marítimos</w:t>
            </w:r>
          </w:p>
        </w:tc>
        <w:tc>
          <w:tcPr>
            <w:tcW w:w="2312" w:type="dxa"/>
            <w:noWrap/>
            <w:hideMark/>
          </w:tcPr>
          <w:p w14:paraId="0D940BFE" w14:textId="77777777" w:rsidR="00361D17" w:rsidRPr="007B2410" w:rsidRDefault="00361D17" w:rsidP="007B43AB">
            <w:pPr>
              <w:rPr>
                <w:rFonts w:asciiTheme="majorHAnsi" w:hAnsiTheme="majorHAnsi"/>
                <w:sz w:val="22"/>
                <w:szCs w:val="22"/>
                <w:lang w:val="es-CR" w:eastAsia="es-CR"/>
              </w:rPr>
            </w:pPr>
            <w:r w:rsidRPr="007B2410">
              <w:rPr>
                <w:rFonts w:asciiTheme="majorHAnsi" w:hAnsiTheme="majorHAnsi"/>
                <w:sz w:val="22"/>
                <w:szCs w:val="22"/>
                <w:lang w:val="es-CR" w:eastAsia="es-CR"/>
              </w:rPr>
              <w:t> </w:t>
            </w:r>
          </w:p>
        </w:tc>
        <w:tc>
          <w:tcPr>
            <w:tcW w:w="2977" w:type="dxa"/>
            <w:noWrap/>
            <w:hideMark/>
          </w:tcPr>
          <w:p w14:paraId="039CC0E1" w14:textId="77777777" w:rsidR="00361D17" w:rsidRPr="007B2410" w:rsidRDefault="00361D17" w:rsidP="007B43AB">
            <w:pPr>
              <w:rPr>
                <w:rFonts w:asciiTheme="majorHAnsi" w:hAnsiTheme="majorHAnsi"/>
                <w:sz w:val="22"/>
                <w:szCs w:val="22"/>
                <w:lang w:val="es-CR" w:eastAsia="es-CR"/>
              </w:rPr>
            </w:pPr>
            <w:r w:rsidRPr="007B2410">
              <w:rPr>
                <w:rFonts w:asciiTheme="majorHAnsi" w:hAnsiTheme="majorHAnsi"/>
                <w:sz w:val="22"/>
                <w:szCs w:val="22"/>
                <w:lang w:val="es-CR" w:eastAsia="es-CR"/>
              </w:rPr>
              <w:t> </w:t>
            </w:r>
          </w:p>
        </w:tc>
      </w:tr>
      <w:tr w:rsidR="00361D17" w:rsidRPr="007B2410" w14:paraId="6104B818" w14:textId="77777777" w:rsidTr="007B43AB">
        <w:trPr>
          <w:trHeight w:val="291"/>
        </w:trPr>
        <w:tc>
          <w:tcPr>
            <w:tcW w:w="3358" w:type="dxa"/>
            <w:noWrap/>
            <w:hideMark/>
          </w:tcPr>
          <w:p w14:paraId="3010DE5C" w14:textId="77777777" w:rsidR="00361D17" w:rsidRPr="007B2410" w:rsidRDefault="00361D17" w:rsidP="007B43AB">
            <w:pPr>
              <w:rPr>
                <w:rFonts w:asciiTheme="majorHAnsi" w:hAnsiTheme="majorHAnsi"/>
                <w:color w:val="000000"/>
                <w:sz w:val="22"/>
                <w:szCs w:val="22"/>
                <w:lang w:val="es-CR" w:eastAsia="es-CR"/>
              </w:rPr>
            </w:pPr>
            <w:r w:rsidRPr="007B2410">
              <w:rPr>
                <w:rFonts w:asciiTheme="majorHAnsi" w:hAnsiTheme="majorHAnsi"/>
                <w:color w:val="000000"/>
                <w:sz w:val="22"/>
                <w:szCs w:val="22"/>
                <w:lang w:val="es-CR" w:eastAsia="es-CR"/>
              </w:rPr>
              <w:t>Aviación</w:t>
            </w:r>
          </w:p>
        </w:tc>
        <w:tc>
          <w:tcPr>
            <w:tcW w:w="2312" w:type="dxa"/>
            <w:noWrap/>
            <w:hideMark/>
          </w:tcPr>
          <w:p w14:paraId="122F3449" w14:textId="77777777" w:rsidR="00361D17" w:rsidRPr="007B2410" w:rsidRDefault="00361D17" w:rsidP="007B43AB">
            <w:pPr>
              <w:rPr>
                <w:rFonts w:asciiTheme="majorHAnsi" w:hAnsiTheme="majorHAnsi"/>
                <w:sz w:val="22"/>
                <w:szCs w:val="22"/>
                <w:lang w:val="es-CR" w:eastAsia="es-CR"/>
              </w:rPr>
            </w:pPr>
            <w:r w:rsidRPr="007B2410">
              <w:rPr>
                <w:rFonts w:asciiTheme="majorHAnsi" w:hAnsiTheme="majorHAnsi"/>
                <w:sz w:val="22"/>
                <w:szCs w:val="22"/>
                <w:lang w:val="es-CR" w:eastAsia="es-CR"/>
              </w:rPr>
              <w:t> </w:t>
            </w:r>
          </w:p>
        </w:tc>
        <w:tc>
          <w:tcPr>
            <w:tcW w:w="2977" w:type="dxa"/>
            <w:noWrap/>
            <w:hideMark/>
          </w:tcPr>
          <w:p w14:paraId="37F58539" w14:textId="77777777" w:rsidR="00361D17" w:rsidRPr="007B2410" w:rsidRDefault="00361D17" w:rsidP="007B43AB">
            <w:pPr>
              <w:rPr>
                <w:rFonts w:asciiTheme="majorHAnsi" w:hAnsiTheme="majorHAnsi"/>
                <w:sz w:val="22"/>
                <w:szCs w:val="22"/>
                <w:lang w:val="es-CR" w:eastAsia="es-CR"/>
              </w:rPr>
            </w:pPr>
            <w:r w:rsidRPr="007B2410">
              <w:rPr>
                <w:rFonts w:asciiTheme="majorHAnsi" w:hAnsiTheme="majorHAnsi"/>
                <w:sz w:val="22"/>
                <w:szCs w:val="22"/>
                <w:lang w:val="es-CR" w:eastAsia="es-CR"/>
              </w:rPr>
              <w:t> </w:t>
            </w:r>
          </w:p>
        </w:tc>
      </w:tr>
      <w:tr w:rsidR="00361D17" w:rsidRPr="007B2410" w14:paraId="3314748B" w14:textId="77777777" w:rsidTr="007B43AB">
        <w:trPr>
          <w:trHeight w:val="291"/>
        </w:trPr>
        <w:tc>
          <w:tcPr>
            <w:tcW w:w="3358" w:type="dxa"/>
            <w:noWrap/>
            <w:hideMark/>
          </w:tcPr>
          <w:p w14:paraId="0D174923" w14:textId="77777777" w:rsidR="00361D17" w:rsidRPr="007B2410" w:rsidRDefault="00361D17" w:rsidP="007B43AB">
            <w:pPr>
              <w:rPr>
                <w:rFonts w:asciiTheme="majorHAnsi" w:hAnsiTheme="majorHAnsi"/>
                <w:color w:val="000000"/>
                <w:sz w:val="22"/>
                <w:szCs w:val="22"/>
                <w:lang w:val="es-CR" w:eastAsia="es-CR"/>
              </w:rPr>
            </w:pPr>
            <w:r w:rsidRPr="007B2410">
              <w:rPr>
                <w:rFonts w:asciiTheme="majorHAnsi" w:hAnsiTheme="majorHAnsi"/>
                <w:color w:val="000000"/>
                <w:sz w:val="22"/>
                <w:szCs w:val="22"/>
                <w:lang w:val="es-CR" w:eastAsia="es-CR"/>
              </w:rPr>
              <w:t>Mercancías Transportadas</w:t>
            </w:r>
          </w:p>
        </w:tc>
        <w:tc>
          <w:tcPr>
            <w:tcW w:w="2312" w:type="dxa"/>
            <w:noWrap/>
            <w:hideMark/>
          </w:tcPr>
          <w:p w14:paraId="515D8414" w14:textId="77777777" w:rsidR="00361D17" w:rsidRPr="007B2410" w:rsidRDefault="00361D17" w:rsidP="007B43AB">
            <w:pPr>
              <w:rPr>
                <w:rFonts w:asciiTheme="majorHAnsi" w:hAnsiTheme="majorHAnsi"/>
                <w:sz w:val="22"/>
                <w:szCs w:val="22"/>
                <w:lang w:val="es-CR" w:eastAsia="es-CR"/>
              </w:rPr>
            </w:pPr>
            <w:r w:rsidRPr="007B2410">
              <w:rPr>
                <w:rFonts w:asciiTheme="majorHAnsi" w:hAnsiTheme="majorHAnsi"/>
                <w:sz w:val="22"/>
                <w:szCs w:val="22"/>
                <w:lang w:val="es-CR" w:eastAsia="es-CR"/>
              </w:rPr>
              <w:t> </w:t>
            </w:r>
          </w:p>
        </w:tc>
        <w:tc>
          <w:tcPr>
            <w:tcW w:w="2977" w:type="dxa"/>
            <w:noWrap/>
            <w:hideMark/>
          </w:tcPr>
          <w:p w14:paraId="0BA0CE3B" w14:textId="77777777" w:rsidR="00361D17" w:rsidRPr="007B2410" w:rsidRDefault="00361D17" w:rsidP="007B43AB">
            <w:pPr>
              <w:rPr>
                <w:rFonts w:asciiTheme="majorHAnsi" w:hAnsiTheme="majorHAnsi"/>
                <w:sz w:val="22"/>
                <w:szCs w:val="22"/>
                <w:lang w:val="es-CR" w:eastAsia="es-CR"/>
              </w:rPr>
            </w:pPr>
            <w:r w:rsidRPr="007B2410">
              <w:rPr>
                <w:rFonts w:asciiTheme="majorHAnsi" w:hAnsiTheme="majorHAnsi"/>
                <w:sz w:val="22"/>
                <w:szCs w:val="22"/>
                <w:lang w:val="es-CR" w:eastAsia="es-CR"/>
              </w:rPr>
              <w:t> </w:t>
            </w:r>
          </w:p>
        </w:tc>
      </w:tr>
      <w:tr w:rsidR="00361D17" w:rsidRPr="007B2410" w14:paraId="39319699" w14:textId="77777777" w:rsidTr="007B43AB">
        <w:trPr>
          <w:trHeight w:val="291"/>
        </w:trPr>
        <w:tc>
          <w:tcPr>
            <w:tcW w:w="3358" w:type="dxa"/>
            <w:noWrap/>
            <w:hideMark/>
          </w:tcPr>
          <w:p w14:paraId="32C7BA6F" w14:textId="77777777" w:rsidR="00361D17" w:rsidRPr="007B2410" w:rsidRDefault="00361D17" w:rsidP="007B43AB">
            <w:pPr>
              <w:rPr>
                <w:rFonts w:asciiTheme="majorHAnsi" w:hAnsiTheme="majorHAnsi"/>
                <w:color w:val="000000"/>
                <w:sz w:val="22"/>
                <w:szCs w:val="22"/>
                <w:lang w:val="es-CR" w:eastAsia="es-CR"/>
              </w:rPr>
            </w:pPr>
            <w:r w:rsidRPr="007B2410">
              <w:rPr>
                <w:rFonts w:asciiTheme="majorHAnsi" w:hAnsiTheme="majorHAnsi"/>
                <w:color w:val="000000"/>
                <w:sz w:val="22"/>
                <w:szCs w:val="22"/>
                <w:lang w:val="es-CR" w:eastAsia="es-CR"/>
              </w:rPr>
              <w:t>Incendio y líneas aliadas</w:t>
            </w:r>
          </w:p>
        </w:tc>
        <w:tc>
          <w:tcPr>
            <w:tcW w:w="2312" w:type="dxa"/>
            <w:noWrap/>
            <w:hideMark/>
          </w:tcPr>
          <w:p w14:paraId="3348082C" w14:textId="77777777" w:rsidR="00361D17" w:rsidRPr="007B2410" w:rsidRDefault="00361D17" w:rsidP="007B43AB">
            <w:pPr>
              <w:rPr>
                <w:rFonts w:asciiTheme="majorHAnsi" w:hAnsiTheme="majorHAnsi"/>
                <w:sz w:val="22"/>
                <w:szCs w:val="22"/>
                <w:lang w:val="es-CR" w:eastAsia="es-CR"/>
              </w:rPr>
            </w:pPr>
            <w:r w:rsidRPr="007B2410">
              <w:rPr>
                <w:rFonts w:asciiTheme="majorHAnsi" w:hAnsiTheme="majorHAnsi"/>
                <w:sz w:val="22"/>
                <w:szCs w:val="22"/>
                <w:lang w:val="es-CR" w:eastAsia="es-CR"/>
              </w:rPr>
              <w:t> </w:t>
            </w:r>
          </w:p>
        </w:tc>
        <w:tc>
          <w:tcPr>
            <w:tcW w:w="2977" w:type="dxa"/>
            <w:noWrap/>
            <w:hideMark/>
          </w:tcPr>
          <w:p w14:paraId="6D6E3D46" w14:textId="77777777" w:rsidR="00361D17" w:rsidRPr="007B2410" w:rsidRDefault="00361D17" w:rsidP="007B43AB">
            <w:pPr>
              <w:rPr>
                <w:rFonts w:asciiTheme="majorHAnsi" w:hAnsiTheme="majorHAnsi"/>
                <w:sz w:val="22"/>
                <w:szCs w:val="22"/>
                <w:lang w:val="es-CR" w:eastAsia="es-CR"/>
              </w:rPr>
            </w:pPr>
            <w:r w:rsidRPr="007B2410">
              <w:rPr>
                <w:rFonts w:asciiTheme="majorHAnsi" w:hAnsiTheme="majorHAnsi"/>
                <w:sz w:val="22"/>
                <w:szCs w:val="22"/>
                <w:lang w:val="es-CR" w:eastAsia="es-CR"/>
              </w:rPr>
              <w:t> </w:t>
            </w:r>
          </w:p>
        </w:tc>
      </w:tr>
      <w:tr w:rsidR="00361D17" w:rsidRPr="007B2410" w14:paraId="1A00CE32" w14:textId="77777777" w:rsidTr="007B43AB">
        <w:trPr>
          <w:trHeight w:val="291"/>
        </w:trPr>
        <w:tc>
          <w:tcPr>
            <w:tcW w:w="3358" w:type="dxa"/>
            <w:noWrap/>
            <w:hideMark/>
          </w:tcPr>
          <w:p w14:paraId="3E6B4246" w14:textId="77777777" w:rsidR="00361D17" w:rsidRPr="007B2410" w:rsidRDefault="00361D17" w:rsidP="007B43AB">
            <w:pPr>
              <w:rPr>
                <w:rFonts w:asciiTheme="majorHAnsi" w:hAnsiTheme="majorHAnsi"/>
                <w:color w:val="000000"/>
                <w:sz w:val="22"/>
                <w:szCs w:val="22"/>
                <w:lang w:val="es-CR" w:eastAsia="es-CR"/>
              </w:rPr>
            </w:pPr>
            <w:r w:rsidRPr="007B2410">
              <w:rPr>
                <w:rFonts w:asciiTheme="majorHAnsi" w:hAnsiTheme="majorHAnsi"/>
                <w:color w:val="000000"/>
                <w:sz w:val="22"/>
                <w:szCs w:val="22"/>
                <w:lang w:val="es-CR" w:eastAsia="es-CR"/>
              </w:rPr>
              <w:t>Otros daños a los bienes</w:t>
            </w:r>
          </w:p>
        </w:tc>
        <w:tc>
          <w:tcPr>
            <w:tcW w:w="2312" w:type="dxa"/>
            <w:noWrap/>
            <w:hideMark/>
          </w:tcPr>
          <w:p w14:paraId="33DA5757" w14:textId="77777777" w:rsidR="00361D17" w:rsidRPr="007B2410" w:rsidRDefault="00361D17" w:rsidP="007B43AB">
            <w:pPr>
              <w:rPr>
                <w:rFonts w:asciiTheme="majorHAnsi" w:hAnsiTheme="majorHAnsi"/>
                <w:sz w:val="22"/>
                <w:szCs w:val="22"/>
                <w:lang w:val="es-CR" w:eastAsia="es-CR"/>
              </w:rPr>
            </w:pPr>
            <w:r w:rsidRPr="007B2410">
              <w:rPr>
                <w:rFonts w:asciiTheme="majorHAnsi" w:hAnsiTheme="majorHAnsi"/>
                <w:sz w:val="22"/>
                <w:szCs w:val="22"/>
                <w:lang w:val="es-CR" w:eastAsia="es-CR"/>
              </w:rPr>
              <w:t> </w:t>
            </w:r>
          </w:p>
        </w:tc>
        <w:tc>
          <w:tcPr>
            <w:tcW w:w="2977" w:type="dxa"/>
            <w:noWrap/>
            <w:hideMark/>
          </w:tcPr>
          <w:p w14:paraId="5A556B43" w14:textId="77777777" w:rsidR="00361D17" w:rsidRPr="007B2410" w:rsidRDefault="00361D17" w:rsidP="007B43AB">
            <w:pPr>
              <w:rPr>
                <w:rFonts w:asciiTheme="majorHAnsi" w:hAnsiTheme="majorHAnsi"/>
                <w:sz w:val="22"/>
                <w:szCs w:val="22"/>
                <w:lang w:val="es-CR" w:eastAsia="es-CR"/>
              </w:rPr>
            </w:pPr>
            <w:r w:rsidRPr="007B2410">
              <w:rPr>
                <w:rFonts w:asciiTheme="majorHAnsi" w:hAnsiTheme="majorHAnsi"/>
                <w:sz w:val="22"/>
                <w:szCs w:val="22"/>
                <w:lang w:val="es-CR" w:eastAsia="es-CR"/>
              </w:rPr>
              <w:t> </w:t>
            </w:r>
          </w:p>
        </w:tc>
      </w:tr>
      <w:tr w:rsidR="00361D17" w:rsidRPr="007B2410" w14:paraId="4496D47F" w14:textId="77777777" w:rsidTr="007B43AB">
        <w:trPr>
          <w:trHeight w:val="291"/>
        </w:trPr>
        <w:tc>
          <w:tcPr>
            <w:tcW w:w="3358" w:type="dxa"/>
            <w:noWrap/>
            <w:hideMark/>
          </w:tcPr>
          <w:p w14:paraId="2BF31A60" w14:textId="77777777" w:rsidR="00361D17" w:rsidRPr="007B2410" w:rsidRDefault="00361D17" w:rsidP="007B43AB">
            <w:pPr>
              <w:rPr>
                <w:rFonts w:asciiTheme="majorHAnsi" w:hAnsiTheme="majorHAnsi"/>
                <w:color w:val="000000"/>
                <w:sz w:val="22"/>
                <w:szCs w:val="22"/>
                <w:lang w:val="es-CR" w:eastAsia="es-CR"/>
              </w:rPr>
            </w:pPr>
            <w:r w:rsidRPr="007B2410">
              <w:rPr>
                <w:rFonts w:asciiTheme="majorHAnsi" w:hAnsiTheme="majorHAnsi"/>
                <w:color w:val="000000"/>
                <w:sz w:val="22"/>
                <w:szCs w:val="22"/>
                <w:lang w:val="es-CR" w:eastAsia="es-CR"/>
              </w:rPr>
              <w:t>Responsabilidad Civil</w:t>
            </w:r>
          </w:p>
        </w:tc>
        <w:tc>
          <w:tcPr>
            <w:tcW w:w="2312" w:type="dxa"/>
            <w:noWrap/>
            <w:hideMark/>
          </w:tcPr>
          <w:p w14:paraId="28478FEC" w14:textId="77777777" w:rsidR="00361D17" w:rsidRPr="007B2410" w:rsidRDefault="00361D17" w:rsidP="007B43AB">
            <w:pPr>
              <w:rPr>
                <w:rFonts w:asciiTheme="majorHAnsi" w:hAnsiTheme="majorHAnsi"/>
                <w:sz w:val="22"/>
                <w:szCs w:val="22"/>
                <w:lang w:val="es-CR" w:eastAsia="es-CR"/>
              </w:rPr>
            </w:pPr>
            <w:r w:rsidRPr="007B2410">
              <w:rPr>
                <w:rFonts w:asciiTheme="majorHAnsi" w:hAnsiTheme="majorHAnsi"/>
                <w:sz w:val="22"/>
                <w:szCs w:val="22"/>
                <w:lang w:val="es-CR" w:eastAsia="es-CR"/>
              </w:rPr>
              <w:t> </w:t>
            </w:r>
          </w:p>
        </w:tc>
        <w:tc>
          <w:tcPr>
            <w:tcW w:w="2977" w:type="dxa"/>
            <w:noWrap/>
            <w:hideMark/>
          </w:tcPr>
          <w:p w14:paraId="5C69094E" w14:textId="77777777" w:rsidR="00361D17" w:rsidRPr="007B2410" w:rsidRDefault="00361D17" w:rsidP="007B43AB">
            <w:pPr>
              <w:rPr>
                <w:rFonts w:asciiTheme="majorHAnsi" w:hAnsiTheme="majorHAnsi"/>
                <w:sz w:val="22"/>
                <w:szCs w:val="22"/>
                <w:lang w:val="es-CR" w:eastAsia="es-CR"/>
              </w:rPr>
            </w:pPr>
            <w:r w:rsidRPr="007B2410">
              <w:rPr>
                <w:rFonts w:asciiTheme="majorHAnsi" w:hAnsiTheme="majorHAnsi"/>
                <w:sz w:val="22"/>
                <w:szCs w:val="22"/>
                <w:lang w:val="es-CR" w:eastAsia="es-CR"/>
              </w:rPr>
              <w:t> </w:t>
            </w:r>
          </w:p>
        </w:tc>
      </w:tr>
      <w:tr w:rsidR="00361D17" w:rsidRPr="007B2410" w14:paraId="578A48A2" w14:textId="77777777" w:rsidTr="007B43AB">
        <w:trPr>
          <w:trHeight w:val="291"/>
        </w:trPr>
        <w:tc>
          <w:tcPr>
            <w:tcW w:w="3358" w:type="dxa"/>
            <w:noWrap/>
            <w:hideMark/>
          </w:tcPr>
          <w:p w14:paraId="6962D9D6" w14:textId="77777777" w:rsidR="00361D17" w:rsidRPr="007B2410" w:rsidRDefault="00361D17" w:rsidP="007B43AB">
            <w:pPr>
              <w:rPr>
                <w:rFonts w:asciiTheme="majorHAnsi" w:hAnsiTheme="majorHAnsi"/>
                <w:color w:val="000000"/>
                <w:sz w:val="22"/>
                <w:szCs w:val="22"/>
                <w:lang w:val="es-CR" w:eastAsia="es-CR"/>
              </w:rPr>
            </w:pPr>
            <w:r w:rsidRPr="007B2410">
              <w:rPr>
                <w:rFonts w:asciiTheme="majorHAnsi" w:hAnsiTheme="majorHAnsi"/>
                <w:color w:val="000000"/>
                <w:sz w:val="22"/>
                <w:szCs w:val="22"/>
                <w:lang w:val="es-CR" w:eastAsia="es-CR"/>
              </w:rPr>
              <w:t>Crédito</w:t>
            </w:r>
          </w:p>
        </w:tc>
        <w:tc>
          <w:tcPr>
            <w:tcW w:w="2312" w:type="dxa"/>
            <w:noWrap/>
            <w:hideMark/>
          </w:tcPr>
          <w:p w14:paraId="104BCE72" w14:textId="77777777" w:rsidR="00361D17" w:rsidRPr="007B2410" w:rsidRDefault="00361D17" w:rsidP="007B43AB">
            <w:pPr>
              <w:rPr>
                <w:rFonts w:asciiTheme="majorHAnsi" w:hAnsiTheme="majorHAnsi"/>
                <w:sz w:val="22"/>
                <w:szCs w:val="22"/>
                <w:lang w:val="es-CR" w:eastAsia="es-CR"/>
              </w:rPr>
            </w:pPr>
            <w:r w:rsidRPr="007B2410">
              <w:rPr>
                <w:rFonts w:asciiTheme="majorHAnsi" w:hAnsiTheme="majorHAnsi"/>
                <w:sz w:val="22"/>
                <w:szCs w:val="22"/>
                <w:lang w:val="es-CR" w:eastAsia="es-CR"/>
              </w:rPr>
              <w:t> </w:t>
            </w:r>
          </w:p>
        </w:tc>
        <w:tc>
          <w:tcPr>
            <w:tcW w:w="2977" w:type="dxa"/>
            <w:noWrap/>
            <w:hideMark/>
          </w:tcPr>
          <w:p w14:paraId="473BADE0" w14:textId="77777777" w:rsidR="00361D17" w:rsidRPr="007B2410" w:rsidRDefault="00361D17" w:rsidP="007B43AB">
            <w:pPr>
              <w:rPr>
                <w:rFonts w:asciiTheme="majorHAnsi" w:hAnsiTheme="majorHAnsi"/>
                <w:sz w:val="22"/>
                <w:szCs w:val="22"/>
                <w:lang w:val="es-CR" w:eastAsia="es-CR"/>
              </w:rPr>
            </w:pPr>
            <w:r w:rsidRPr="007B2410">
              <w:rPr>
                <w:rFonts w:asciiTheme="majorHAnsi" w:hAnsiTheme="majorHAnsi"/>
                <w:sz w:val="22"/>
                <w:szCs w:val="22"/>
                <w:lang w:val="es-CR" w:eastAsia="es-CR"/>
              </w:rPr>
              <w:t> </w:t>
            </w:r>
          </w:p>
        </w:tc>
      </w:tr>
      <w:tr w:rsidR="00361D17" w:rsidRPr="007B2410" w14:paraId="0B19C360" w14:textId="77777777" w:rsidTr="007B43AB">
        <w:trPr>
          <w:trHeight w:val="291"/>
        </w:trPr>
        <w:tc>
          <w:tcPr>
            <w:tcW w:w="3358" w:type="dxa"/>
            <w:noWrap/>
            <w:hideMark/>
          </w:tcPr>
          <w:p w14:paraId="6F115C05" w14:textId="77777777" w:rsidR="00361D17" w:rsidRPr="007B2410" w:rsidRDefault="00361D17" w:rsidP="007B43AB">
            <w:pPr>
              <w:rPr>
                <w:rFonts w:asciiTheme="majorHAnsi" w:hAnsiTheme="majorHAnsi"/>
                <w:color w:val="000000"/>
                <w:sz w:val="22"/>
                <w:szCs w:val="22"/>
                <w:lang w:val="es-CR" w:eastAsia="es-CR"/>
              </w:rPr>
            </w:pPr>
            <w:r w:rsidRPr="007B2410">
              <w:rPr>
                <w:rFonts w:asciiTheme="majorHAnsi" w:hAnsiTheme="majorHAnsi"/>
                <w:color w:val="000000"/>
                <w:sz w:val="22"/>
                <w:szCs w:val="22"/>
                <w:lang w:val="es-CR" w:eastAsia="es-CR"/>
              </w:rPr>
              <w:t>Caución</w:t>
            </w:r>
          </w:p>
        </w:tc>
        <w:tc>
          <w:tcPr>
            <w:tcW w:w="2312" w:type="dxa"/>
            <w:noWrap/>
            <w:hideMark/>
          </w:tcPr>
          <w:p w14:paraId="08041E9C" w14:textId="77777777" w:rsidR="00361D17" w:rsidRPr="007B2410" w:rsidRDefault="00361D17" w:rsidP="007B43AB">
            <w:pPr>
              <w:rPr>
                <w:rFonts w:asciiTheme="majorHAnsi" w:hAnsiTheme="majorHAnsi"/>
                <w:sz w:val="22"/>
                <w:szCs w:val="22"/>
                <w:lang w:val="es-CR" w:eastAsia="es-CR"/>
              </w:rPr>
            </w:pPr>
            <w:r w:rsidRPr="007B2410">
              <w:rPr>
                <w:rFonts w:asciiTheme="majorHAnsi" w:hAnsiTheme="majorHAnsi"/>
                <w:sz w:val="22"/>
                <w:szCs w:val="22"/>
                <w:lang w:val="es-CR" w:eastAsia="es-CR"/>
              </w:rPr>
              <w:t> </w:t>
            </w:r>
          </w:p>
        </w:tc>
        <w:tc>
          <w:tcPr>
            <w:tcW w:w="2977" w:type="dxa"/>
            <w:noWrap/>
            <w:hideMark/>
          </w:tcPr>
          <w:p w14:paraId="211704A4" w14:textId="77777777" w:rsidR="00361D17" w:rsidRPr="007B2410" w:rsidRDefault="00361D17" w:rsidP="007B43AB">
            <w:pPr>
              <w:rPr>
                <w:rFonts w:asciiTheme="majorHAnsi" w:hAnsiTheme="majorHAnsi"/>
                <w:sz w:val="22"/>
                <w:szCs w:val="22"/>
                <w:lang w:val="es-CR" w:eastAsia="es-CR"/>
              </w:rPr>
            </w:pPr>
            <w:r w:rsidRPr="007B2410">
              <w:rPr>
                <w:rFonts w:asciiTheme="majorHAnsi" w:hAnsiTheme="majorHAnsi"/>
                <w:sz w:val="22"/>
                <w:szCs w:val="22"/>
                <w:lang w:val="es-CR" w:eastAsia="es-CR"/>
              </w:rPr>
              <w:t> </w:t>
            </w:r>
          </w:p>
        </w:tc>
      </w:tr>
      <w:tr w:rsidR="00361D17" w:rsidRPr="007B2410" w14:paraId="23160917" w14:textId="77777777" w:rsidTr="007B43AB">
        <w:trPr>
          <w:trHeight w:val="291"/>
        </w:trPr>
        <w:tc>
          <w:tcPr>
            <w:tcW w:w="3358" w:type="dxa"/>
            <w:noWrap/>
            <w:hideMark/>
          </w:tcPr>
          <w:p w14:paraId="7668EB66" w14:textId="77777777" w:rsidR="00361D17" w:rsidRPr="007B2410" w:rsidRDefault="00361D17" w:rsidP="007B43AB">
            <w:pPr>
              <w:rPr>
                <w:rFonts w:asciiTheme="majorHAnsi" w:hAnsiTheme="majorHAnsi"/>
                <w:color w:val="000000"/>
                <w:sz w:val="22"/>
                <w:szCs w:val="22"/>
                <w:lang w:val="es-CR" w:eastAsia="es-CR"/>
              </w:rPr>
            </w:pPr>
            <w:r w:rsidRPr="007B2410">
              <w:rPr>
                <w:rFonts w:asciiTheme="majorHAnsi" w:hAnsiTheme="majorHAnsi"/>
                <w:color w:val="000000"/>
                <w:sz w:val="22"/>
                <w:szCs w:val="22"/>
                <w:lang w:val="es-CR" w:eastAsia="es-CR"/>
              </w:rPr>
              <w:lastRenderedPageBreak/>
              <w:t>Pérdidas pecuniarias</w:t>
            </w:r>
          </w:p>
        </w:tc>
        <w:tc>
          <w:tcPr>
            <w:tcW w:w="2312" w:type="dxa"/>
            <w:noWrap/>
            <w:hideMark/>
          </w:tcPr>
          <w:p w14:paraId="321BAABB" w14:textId="77777777" w:rsidR="00361D17" w:rsidRPr="007B2410" w:rsidRDefault="00361D17" w:rsidP="007B43AB">
            <w:pPr>
              <w:rPr>
                <w:rFonts w:asciiTheme="majorHAnsi" w:hAnsiTheme="majorHAnsi"/>
                <w:sz w:val="22"/>
                <w:szCs w:val="22"/>
                <w:lang w:val="es-CR" w:eastAsia="es-CR"/>
              </w:rPr>
            </w:pPr>
            <w:r w:rsidRPr="007B2410">
              <w:rPr>
                <w:rFonts w:asciiTheme="majorHAnsi" w:hAnsiTheme="majorHAnsi"/>
                <w:sz w:val="22"/>
                <w:szCs w:val="22"/>
                <w:lang w:val="es-CR" w:eastAsia="es-CR"/>
              </w:rPr>
              <w:t> </w:t>
            </w:r>
          </w:p>
        </w:tc>
        <w:tc>
          <w:tcPr>
            <w:tcW w:w="2977" w:type="dxa"/>
            <w:noWrap/>
            <w:hideMark/>
          </w:tcPr>
          <w:p w14:paraId="6A719961" w14:textId="77777777" w:rsidR="00361D17" w:rsidRPr="007B2410" w:rsidRDefault="00361D17" w:rsidP="007B43AB">
            <w:pPr>
              <w:rPr>
                <w:rFonts w:asciiTheme="majorHAnsi" w:hAnsiTheme="majorHAnsi"/>
                <w:sz w:val="22"/>
                <w:szCs w:val="22"/>
                <w:lang w:val="es-CR" w:eastAsia="es-CR"/>
              </w:rPr>
            </w:pPr>
            <w:r w:rsidRPr="007B2410">
              <w:rPr>
                <w:rFonts w:asciiTheme="majorHAnsi" w:hAnsiTheme="majorHAnsi"/>
                <w:sz w:val="22"/>
                <w:szCs w:val="22"/>
                <w:lang w:val="es-CR" w:eastAsia="es-CR"/>
              </w:rPr>
              <w:t> </w:t>
            </w:r>
          </w:p>
        </w:tc>
      </w:tr>
      <w:tr w:rsidR="00361D17" w:rsidRPr="007B2410" w14:paraId="6932DBC9" w14:textId="77777777" w:rsidTr="007B43AB">
        <w:trPr>
          <w:trHeight w:val="291"/>
        </w:trPr>
        <w:tc>
          <w:tcPr>
            <w:tcW w:w="3358" w:type="dxa"/>
            <w:noWrap/>
            <w:hideMark/>
          </w:tcPr>
          <w:p w14:paraId="1F676B95" w14:textId="77777777" w:rsidR="00361D17" w:rsidRPr="007B2410" w:rsidRDefault="00361D17" w:rsidP="007B43AB">
            <w:pPr>
              <w:rPr>
                <w:rFonts w:asciiTheme="majorHAnsi" w:hAnsiTheme="majorHAnsi"/>
                <w:color w:val="000000"/>
                <w:sz w:val="22"/>
                <w:szCs w:val="22"/>
                <w:lang w:val="es-CR" w:eastAsia="es-CR"/>
              </w:rPr>
            </w:pPr>
            <w:r w:rsidRPr="007B2410">
              <w:rPr>
                <w:rFonts w:asciiTheme="majorHAnsi" w:hAnsiTheme="majorHAnsi"/>
                <w:color w:val="000000"/>
                <w:sz w:val="22"/>
                <w:szCs w:val="22"/>
                <w:lang w:val="es-CR" w:eastAsia="es-CR"/>
              </w:rPr>
              <w:t>Agrícolas y pecuarios</w:t>
            </w:r>
          </w:p>
        </w:tc>
        <w:tc>
          <w:tcPr>
            <w:tcW w:w="2312" w:type="dxa"/>
            <w:noWrap/>
            <w:hideMark/>
          </w:tcPr>
          <w:p w14:paraId="5D96FDC2" w14:textId="77777777" w:rsidR="00361D17" w:rsidRPr="007B2410" w:rsidRDefault="00361D17" w:rsidP="007B43AB">
            <w:pPr>
              <w:rPr>
                <w:rFonts w:asciiTheme="majorHAnsi" w:hAnsiTheme="majorHAnsi"/>
                <w:sz w:val="22"/>
                <w:szCs w:val="22"/>
                <w:lang w:val="es-CR" w:eastAsia="es-CR"/>
              </w:rPr>
            </w:pPr>
            <w:r w:rsidRPr="007B2410">
              <w:rPr>
                <w:rFonts w:asciiTheme="majorHAnsi" w:hAnsiTheme="majorHAnsi"/>
                <w:sz w:val="22"/>
                <w:szCs w:val="22"/>
                <w:lang w:val="es-CR" w:eastAsia="es-CR"/>
              </w:rPr>
              <w:t> </w:t>
            </w:r>
          </w:p>
        </w:tc>
        <w:tc>
          <w:tcPr>
            <w:tcW w:w="2977" w:type="dxa"/>
            <w:noWrap/>
            <w:hideMark/>
          </w:tcPr>
          <w:p w14:paraId="0491D206" w14:textId="77777777" w:rsidR="00361D17" w:rsidRPr="007B2410" w:rsidRDefault="00361D17" w:rsidP="007B43AB">
            <w:pPr>
              <w:rPr>
                <w:rFonts w:asciiTheme="majorHAnsi" w:hAnsiTheme="majorHAnsi"/>
                <w:sz w:val="22"/>
                <w:szCs w:val="22"/>
                <w:lang w:val="es-CR" w:eastAsia="es-CR"/>
              </w:rPr>
            </w:pPr>
            <w:r w:rsidRPr="007B2410">
              <w:rPr>
                <w:rFonts w:asciiTheme="majorHAnsi" w:hAnsiTheme="majorHAnsi"/>
                <w:sz w:val="22"/>
                <w:szCs w:val="22"/>
                <w:lang w:val="es-CR" w:eastAsia="es-CR"/>
              </w:rPr>
              <w:t> </w:t>
            </w:r>
          </w:p>
        </w:tc>
      </w:tr>
      <w:tr w:rsidR="00361D17" w:rsidRPr="007B2410" w14:paraId="4D806D1C" w14:textId="77777777" w:rsidTr="007B43AB">
        <w:trPr>
          <w:trHeight w:val="291"/>
        </w:trPr>
        <w:tc>
          <w:tcPr>
            <w:tcW w:w="3358" w:type="dxa"/>
            <w:noWrap/>
            <w:hideMark/>
          </w:tcPr>
          <w:p w14:paraId="5F26A348" w14:textId="77777777" w:rsidR="00361D17" w:rsidRPr="007B2410" w:rsidRDefault="00361D17" w:rsidP="007B43AB">
            <w:pPr>
              <w:rPr>
                <w:rFonts w:asciiTheme="majorHAnsi" w:hAnsiTheme="majorHAnsi"/>
                <w:sz w:val="22"/>
                <w:szCs w:val="22"/>
                <w:lang w:val="es-CR" w:eastAsia="es-CR"/>
              </w:rPr>
            </w:pPr>
            <w:r w:rsidRPr="007B2410">
              <w:rPr>
                <w:rFonts w:asciiTheme="majorHAnsi" w:hAnsiTheme="majorHAnsi"/>
                <w:sz w:val="22"/>
                <w:szCs w:val="22"/>
                <w:lang w:val="es-CR" w:eastAsia="es-CR"/>
              </w:rPr>
              <w:t>Seguro Obligatorio Automóviles</w:t>
            </w:r>
          </w:p>
        </w:tc>
        <w:tc>
          <w:tcPr>
            <w:tcW w:w="2312" w:type="dxa"/>
            <w:noWrap/>
            <w:hideMark/>
          </w:tcPr>
          <w:p w14:paraId="6852E542" w14:textId="77777777" w:rsidR="00361D17" w:rsidRPr="007B2410" w:rsidRDefault="00361D17" w:rsidP="007B43AB">
            <w:pPr>
              <w:rPr>
                <w:rFonts w:asciiTheme="majorHAnsi" w:hAnsiTheme="majorHAnsi"/>
                <w:sz w:val="22"/>
                <w:szCs w:val="22"/>
                <w:lang w:val="es-CR" w:eastAsia="es-CR"/>
              </w:rPr>
            </w:pPr>
            <w:r w:rsidRPr="007B2410">
              <w:rPr>
                <w:rFonts w:asciiTheme="majorHAnsi" w:hAnsiTheme="majorHAnsi"/>
                <w:sz w:val="22"/>
                <w:szCs w:val="22"/>
                <w:lang w:val="es-CR" w:eastAsia="es-CR"/>
              </w:rPr>
              <w:t> </w:t>
            </w:r>
          </w:p>
        </w:tc>
        <w:tc>
          <w:tcPr>
            <w:tcW w:w="2977" w:type="dxa"/>
            <w:noWrap/>
            <w:hideMark/>
          </w:tcPr>
          <w:p w14:paraId="4F320897" w14:textId="77777777" w:rsidR="00361D17" w:rsidRPr="007B2410" w:rsidRDefault="00361D17" w:rsidP="007B43AB">
            <w:pPr>
              <w:rPr>
                <w:rFonts w:asciiTheme="majorHAnsi" w:hAnsiTheme="majorHAnsi"/>
                <w:sz w:val="22"/>
                <w:szCs w:val="22"/>
                <w:lang w:val="es-CR" w:eastAsia="es-CR"/>
              </w:rPr>
            </w:pPr>
            <w:r w:rsidRPr="007B2410">
              <w:rPr>
                <w:rFonts w:asciiTheme="majorHAnsi" w:hAnsiTheme="majorHAnsi"/>
                <w:sz w:val="22"/>
                <w:szCs w:val="22"/>
                <w:lang w:val="es-CR" w:eastAsia="es-CR"/>
              </w:rPr>
              <w:t> </w:t>
            </w:r>
          </w:p>
        </w:tc>
      </w:tr>
      <w:tr w:rsidR="00361D17" w:rsidRPr="007B2410" w14:paraId="066F7063" w14:textId="77777777" w:rsidTr="007B43AB">
        <w:trPr>
          <w:trHeight w:val="291"/>
        </w:trPr>
        <w:tc>
          <w:tcPr>
            <w:tcW w:w="3358" w:type="dxa"/>
            <w:noWrap/>
            <w:hideMark/>
          </w:tcPr>
          <w:p w14:paraId="52E6A65C" w14:textId="77777777" w:rsidR="00361D17" w:rsidRPr="007B2410" w:rsidRDefault="00361D17" w:rsidP="007B43AB">
            <w:pPr>
              <w:rPr>
                <w:rFonts w:asciiTheme="majorHAnsi" w:hAnsiTheme="majorHAnsi"/>
                <w:color w:val="000000"/>
                <w:sz w:val="22"/>
                <w:szCs w:val="22"/>
                <w:lang w:val="es-CR" w:eastAsia="es-CR"/>
              </w:rPr>
            </w:pPr>
            <w:r w:rsidRPr="007B2410">
              <w:rPr>
                <w:rFonts w:asciiTheme="majorHAnsi" w:hAnsiTheme="majorHAnsi"/>
                <w:color w:val="000000"/>
                <w:sz w:val="22"/>
                <w:szCs w:val="22"/>
                <w:lang w:val="es-CR" w:eastAsia="es-CR"/>
              </w:rPr>
              <w:t>Asistencias generales</w:t>
            </w:r>
          </w:p>
        </w:tc>
        <w:tc>
          <w:tcPr>
            <w:tcW w:w="2312" w:type="dxa"/>
            <w:noWrap/>
            <w:hideMark/>
          </w:tcPr>
          <w:p w14:paraId="7588F36E" w14:textId="77777777" w:rsidR="00361D17" w:rsidRPr="007B2410" w:rsidRDefault="00361D17" w:rsidP="007B43AB">
            <w:pPr>
              <w:rPr>
                <w:rFonts w:asciiTheme="majorHAnsi" w:hAnsiTheme="majorHAnsi"/>
                <w:sz w:val="22"/>
                <w:szCs w:val="22"/>
                <w:lang w:val="es-CR" w:eastAsia="es-CR"/>
              </w:rPr>
            </w:pPr>
            <w:r w:rsidRPr="007B2410">
              <w:rPr>
                <w:rFonts w:asciiTheme="majorHAnsi" w:hAnsiTheme="majorHAnsi"/>
                <w:sz w:val="22"/>
                <w:szCs w:val="22"/>
                <w:lang w:val="es-CR" w:eastAsia="es-CR"/>
              </w:rPr>
              <w:t> </w:t>
            </w:r>
          </w:p>
        </w:tc>
        <w:tc>
          <w:tcPr>
            <w:tcW w:w="2977" w:type="dxa"/>
            <w:noWrap/>
            <w:hideMark/>
          </w:tcPr>
          <w:p w14:paraId="21EFC543" w14:textId="77777777" w:rsidR="00361D17" w:rsidRPr="007B2410" w:rsidRDefault="00361D17" w:rsidP="007B43AB">
            <w:pPr>
              <w:rPr>
                <w:rFonts w:asciiTheme="majorHAnsi" w:hAnsiTheme="majorHAnsi"/>
                <w:sz w:val="22"/>
                <w:szCs w:val="22"/>
                <w:lang w:val="es-CR" w:eastAsia="es-CR"/>
              </w:rPr>
            </w:pPr>
            <w:r w:rsidRPr="007B2410">
              <w:rPr>
                <w:rFonts w:asciiTheme="majorHAnsi" w:hAnsiTheme="majorHAnsi"/>
                <w:sz w:val="22"/>
                <w:szCs w:val="22"/>
                <w:lang w:val="es-CR" w:eastAsia="es-CR"/>
              </w:rPr>
              <w:t> </w:t>
            </w:r>
          </w:p>
        </w:tc>
      </w:tr>
      <w:tr w:rsidR="00361D17" w:rsidRPr="007B2410" w14:paraId="1E058396" w14:textId="77777777" w:rsidTr="007B43AB">
        <w:trPr>
          <w:trHeight w:val="291"/>
        </w:trPr>
        <w:tc>
          <w:tcPr>
            <w:tcW w:w="3358" w:type="dxa"/>
            <w:noWrap/>
          </w:tcPr>
          <w:p w14:paraId="7C373FA8" w14:textId="77777777" w:rsidR="00361D17" w:rsidRPr="007B2410" w:rsidRDefault="00361D17" w:rsidP="007B43AB">
            <w:pPr>
              <w:rPr>
                <w:rFonts w:asciiTheme="majorHAnsi" w:hAnsiTheme="majorHAnsi"/>
                <w:color w:val="000000"/>
                <w:sz w:val="22"/>
                <w:szCs w:val="22"/>
                <w:lang w:val="es-CR" w:eastAsia="es-CR"/>
              </w:rPr>
            </w:pPr>
            <w:r w:rsidRPr="007B2410">
              <w:rPr>
                <w:rFonts w:asciiTheme="majorHAnsi" w:hAnsiTheme="majorHAnsi"/>
                <w:color w:val="000000"/>
                <w:sz w:val="22"/>
                <w:szCs w:val="22"/>
                <w:lang w:val="es-CR" w:eastAsia="es-CR"/>
              </w:rPr>
              <w:t>Seguros Misceláneos Generales</w:t>
            </w:r>
          </w:p>
        </w:tc>
        <w:tc>
          <w:tcPr>
            <w:tcW w:w="2312" w:type="dxa"/>
            <w:noWrap/>
          </w:tcPr>
          <w:p w14:paraId="6E920AFC" w14:textId="77777777" w:rsidR="00361D17" w:rsidRPr="007B2410" w:rsidRDefault="00361D17" w:rsidP="007B43AB">
            <w:pPr>
              <w:rPr>
                <w:rFonts w:asciiTheme="majorHAnsi" w:hAnsiTheme="majorHAnsi"/>
                <w:sz w:val="22"/>
                <w:szCs w:val="22"/>
                <w:lang w:val="es-CR" w:eastAsia="es-CR"/>
              </w:rPr>
            </w:pPr>
          </w:p>
        </w:tc>
        <w:tc>
          <w:tcPr>
            <w:tcW w:w="2977" w:type="dxa"/>
            <w:noWrap/>
          </w:tcPr>
          <w:p w14:paraId="73BC6898" w14:textId="77777777" w:rsidR="00361D17" w:rsidRPr="007B2410" w:rsidRDefault="00361D17" w:rsidP="007B43AB">
            <w:pPr>
              <w:rPr>
                <w:rFonts w:asciiTheme="majorHAnsi" w:hAnsiTheme="majorHAnsi"/>
                <w:sz w:val="22"/>
                <w:szCs w:val="22"/>
                <w:lang w:val="es-CR" w:eastAsia="es-CR"/>
              </w:rPr>
            </w:pPr>
          </w:p>
        </w:tc>
      </w:tr>
      <w:tr w:rsidR="00361D17" w:rsidRPr="007B2410" w14:paraId="0F1A3DC6" w14:textId="77777777" w:rsidTr="007B43AB">
        <w:trPr>
          <w:trHeight w:val="291"/>
        </w:trPr>
        <w:tc>
          <w:tcPr>
            <w:tcW w:w="3358" w:type="dxa"/>
            <w:noWrap/>
            <w:hideMark/>
          </w:tcPr>
          <w:p w14:paraId="5495C86A" w14:textId="77777777" w:rsidR="00361D17" w:rsidRPr="007B2410" w:rsidRDefault="00361D17" w:rsidP="007B43AB">
            <w:pPr>
              <w:rPr>
                <w:rFonts w:asciiTheme="majorHAnsi" w:hAnsiTheme="majorHAnsi"/>
                <w:sz w:val="22"/>
                <w:szCs w:val="22"/>
                <w:lang w:val="es-CR" w:eastAsia="es-CR"/>
              </w:rPr>
            </w:pPr>
            <w:r w:rsidRPr="007B2410">
              <w:rPr>
                <w:rFonts w:asciiTheme="majorHAnsi" w:hAnsiTheme="majorHAnsi"/>
                <w:sz w:val="22"/>
                <w:szCs w:val="22"/>
                <w:lang w:val="es-CR" w:eastAsia="es-CR"/>
              </w:rPr>
              <w:t>Total Seguros Generales</w:t>
            </w:r>
          </w:p>
        </w:tc>
        <w:tc>
          <w:tcPr>
            <w:tcW w:w="2312" w:type="dxa"/>
            <w:noWrap/>
            <w:hideMark/>
          </w:tcPr>
          <w:p w14:paraId="113669D2" w14:textId="77777777" w:rsidR="00361D17" w:rsidRPr="007B2410" w:rsidRDefault="00361D17" w:rsidP="007B43AB">
            <w:pPr>
              <w:rPr>
                <w:rFonts w:asciiTheme="majorHAnsi" w:hAnsiTheme="majorHAnsi"/>
                <w:sz w:val="22"/>
                <w:szCs w:val="22"/>
                <w:lang w:val="es-CR" w:eastAsia="es-CR"/>
              </w:rPr>
            </w:pPr>
            <w:r w:rsidRPr="007B2410">
              <w:rPr>
                <w:rFonts w:asciiTheme="majorHAnsi" w:hAnsiTheme="majorHAnsi"/>
                <w:sz w:val="22"/>
                <w:szCs w:val="22"/>
                <w:lang w:val="es-CR" w:eastAsia="es-CR"/>
              </w:rPr>
              <w:t> </w:t>
            </w:r>
          </w:p>
        </w:tc>
        <w:tc>
          <w:tcPr>
            <w:tcW w:w="2977" w:type="dxa"/>
            <w:noWrap/>
            <w:hideMark/>
          </w:tcPr>
          <w:p w14:paraId="6F86528F" w14:textId="77777777" w:rsidR="00361D17" w:rsidRPr="007B2410" w:rsidRDefault="00361D17" w:rsidP="007B43AB">
            <w:pPr>
              <w:rPr>
                <w:rFonts w:asciiTheme="majorHAnsi" w:hAnsiTheme="majorHAnsi"/>
                <w:sz w:val="22"/>
                <w:szCs w:val="22"/>
                <w:lang w:val="es-CR" w:eastAsia="es-CR"/>
              </w:rPr>
            </w:pPr>
            <w:r w:rsidRPr="007B2410">
              <w:rPr>
                <w:rFonts w:asciiTheme="majorHAnsi" w:hAnsiTheme="majorHAnsi"/>
                <w:sz w:val="22"/>
                <w:szCs w:val="22"/>
                <w:lang w:val="es-CR" w:eastAsia="es-CR"/>
              </w:rPr>
              <w:t> </w:t>
            </w:r>
          </w:p>
        </w:tc>
      </w:tr>
      <w:tr w:rsidR="00361D17" w:rsidRPr="007B2410" w14:paraId="3971505C" w14:textId="77777777" w:rsidTr="007B43AB">
        <w:trPr>
          <w:trHeight w:val="291"/>
        </w:trPr>
        <w:tc>
          <w:tcPr>
            <w:tcW w:w="3358" w:type="dxa"/>
            <w:noWrap/>
            <w:hideMark/>
          </w:tcPr>
          <w:p w14:paraId="7CC09849" w14:textId="77777777" w:rsidR="00361D17" w:rsidRPr="007B2410" w:rsidRDefault="00361D17" w:rsidP="007B43AB">
            <w:pPr>
              <w:rPr>
                <w:rFonts w:asciiTheme="majorHAnsi" w:hAnsiTheme="majorHAnsi"/>
                <w:color w:val="000000"/>
                <w:sz w:val="22"/>
                <w:szCs w:val="22"/>
                <w:lang w:val="es-CR" w:eastAsia="es-CR"/>
              </w:rPr>
            </w:pPr>
            <w:r w:rsidRPr="007B2410">
              <w:rPr>
                <w:rFonts w:asciiTheme="majorHAnsi" w:hAnsiTheme="majorHAnsi"/>
                <w:color w:val="000000"/>
                <w:sz w:val="22"/>
                <w:szCs w:val="22"/>
                <w:lang w:val="es-CR" w:eastAsia="es-CR"/>
              </w:rPr>
              <w:t>Vida</w:t>
            </w:r>
          </w:p>
        </w:tc>
        <w:tc>
          <w:tcPr>
            <w:tcW w:w="2312" w:type="dxa"/>
            <w:noWrap/>
            <w:hideMark/>
          </w:tcPr>
          <w:p w14:paraId="039F340A" w14:textId="77777777" w:rsidR="00361D17" w:rsidRPr="007B2410" w:rsidRDefault="00361D17" w:rsidP="007B43AB">
            <w:pPr>
              <w:rPr>
                <w:rFonts w:asciiTheme="majorHAnsi" w:hAnsiTheme="majorHAnsi"/>
                <w:color w:val="000000"/>
                <w:sz w:val="22"/>
                <w:szCs w:val="22"/>
                <w:lang w:val="es-CR" w:eastAsia="es-CR"/>
              </w:rPr>
            </w:pPr>
            <w:r w:rsidRPr="007B2410">
              <w:rPr>
                <w:rFonts w:asciiTheme="majorHAnsi" w:hAnsiTheme="majorHAnsi"/>
                <w:color w:val="000000"/>
                <w:sz w:val="22"/>
                <w:szCs w:val="22"/>
                <w:lang w:val="es-CR" w:eastAsia="es-CR"/>
              </w:rPr>
              <w:t> </w:t>
            </w:r>
          </w:p>
        </w:tc>
        <w:tc>
          <w:tcPr>
            <w:tcW w:w="2977" w:type="dxa"/>
            <w:noWrap/>
            <w:hideMark/>
          </w:tcPr>
          <w:p w14:paraId="0D9C1F81" w14:textId="77777777" w:rsidR="00361D17" w:rsidRPr="007B2410" w:rsidRDefault="00361D17" w:rsidP="007B43AB">
            <w:pPr>
              <w:rPr>
                <w:rFonts w:asciiTheme="majorHAnsi" w:hAnsiTheme="majorHAnsi"/>
                <w:sz w:val="22"/>
                <w:szCs w:val="22"/>
                <w:lang w:val="es-CR" w:eastAsia="es-CR"/>
              </w:rPr>
            </w:pPr>
            <w:r w:rsidRPr="007B2410">
              <w:rPr>
                <w:rFonts w:asciiTheme="majorHAnsi" w:hAnsiTheme="majorHAnsi"/>
                <w:sz w:val="22"/>
                <w:szCs w:val="22"/>
                <w:lang w:val="es-CR" w:eastAsia="es-CR"/>
              </w:rPr>
              <w:t> </w:t>
            </w:r>
          </w:p>
        </w:tc>
      </w:tr>
      <w:tr w:rsidR="00361D17" w:rsidRPr="007B2410" w14:paraId="159B2F73" w14:textId="77777777" w:rsidTr="007B43AB">
        <w:trPr>
          <w:trHeight w:val="291"/>
        </w:trPr>
        <w:tc>
          <w:tcPr>
            <w:tcW w:w="3358" w:type="dxa"/>
            <w:noWrap/>
            <w:hideMark/>
          </w:tcPr>
          <w:p w14:paraId="4B24B19D" w14:textId="77777777" w:rsidR="00361D17" w:rsidRPr="007B2410" w:rsidRDefault="00361D17" w:rsidP="007B43AB">
            <w:pPr>
              <w:rPr>
                <w:rFonts w:asciiTheme="majorHAnsi" w:hAnsiTheme="majorHAnsi"/>
                <w:color w:val="000000"/>
                <w:sz w:val="22"/>
                <w:szCs w:val="22"/>
                <w:lang w:val="es-CR" w:eastAsia="es-CR"/>
              </w:rPr>
            </w:pPr>
            <w:r w:rsidRPr="007B2410">
              <w:rPr>
                <w:rFonts w:asciiTheme="majorHAnsi" w:hAnsiTheme="majorHAnsi"/>
                <w:color w:val="000000"/>
                <w:sz w:val="22"/>
                <w:szCs w:val="22"/>
                <w:lang w:val="es-CR" w:eastAsia="es-CR"/>
              </w:rPr>
              <w:t>Rentas</w:t>
            </w:r>
          </w:p>
        </w:tc>
        <w:tc>
          <w:tcPr>
            <w:tcW w:w="2312" w:type="dxa"/>
            <w:noWrap/>
            <w:hideMark/>
          </w:tcPr>
          <w:p w14:paraId="59BEA5DB" w14:textId="77777777" w:rsidR="00361D17" w:rsidRPr="007B2410" w:rsidRDefault="00361D17" w:rsidP="007B43AB">
            <w:pPr>
              <w:rPr>
                <w:rFonts w:asciiTheme="majorHAnsi" w:hAnsiTheme="majorHAnsi"/>
                <w:color w:val="000000"/>
                <w:sz w:val="22"/>
                <w:szCs w:val="22"/>
                <w:lang w:val="es-CR" w:eastAsia="es-CR"/>
              </w:rPr>
            </w:pPr>
            <w:r w:rsidRPr="007B2410">
              <w:rPr>
                <w:rFonts w:asciiTheme="majorHAnsi" w:hAnsiTheme="majorHAnsi"/>
                <w:color w:val="000000"/>
                <w:sz w:val="22"/>
                <w:szCs w:val="22"/>
                <w:lang w:val="es-CR" w:eastAsia="es-CR"/>
              </w:rPr>
              <w:t> </w:t>
            </w:r>
          </w:p>
        </w:tc>
        <w:tc>
          <w:tcPr>
            <w:tcW w:w="2977" w:type="dxa"/>
            <w:noWrap/>
            <w:hideMark/>
          </w:tcPr>
          <w:p w14:paraId="01EDA9E4" w14:textId="77777777" w:rsidR="00361D17" w:rsidRPr="007B2410" w:rsidRDefault="00361D17" w:rsidP="007B43AB">
            <w:pPr>
              <w:rPr>
                <w:rFonts w:asciiTheme="majorHAnsi" w:hAnsiTheme="majorHAnsi"/>
                <w:sz w:val="22"/>
                <w:szCs w:val="22"/>
                <w:lang w:val="es-CR" w:eastAsia="es-CR"/>
              </w:rPr>
            </w:pPr>
            <w:r w:rsidRPr="007B2410">
              <w:rPr>
                <w:rFonts w:asciiTheme="majorHAnsi" w:hAnsiTheme="majorHAnsi"/>
                <w:sz w:val="22"/>
                <w:szCs w:val="22"/>
                <w:lang w:val="es-CR" w:eastAsia="es-CR"/>
              </w:rPr>
              <w:t> </w:t>
            </w:r>
          </w:p>
        </w:tc>
      </w:tr>
      <w:tr w:rsidR="00361D17" w:rsidRPr="007B2410" w14:paraId="7EDF8EE5" w14:textId="77777777" w:rsidTr="007B43AB">
        <w:trPr>
          <w:trHeight w:val="291"/>
        </w:trPr>
        <w:tc>
          <w:tcPr>
            <w:tcW w:w="3358" w:type="dxa"/>
            <w:noWrap/>
            <w:hideMark/>
          </w:tcPr>
          <w:p w14:paraId="7D781B47" w14:textId="77777777" w:rsidR="00361D17" w:rsidRPr="007B2410" w:rsidRDefault="00361D17" w:rsidP="007B43AB">
            <w:pPr>
              <w:rPr>
                <w:rFonts w:asciiTheme="majorHAnsi" w:hAnsiTheme="majorHAnsi"/>
                <w:color w:val="000000"/>
                <w:sz w:val="22"/>
                <w:szCs w:val="22"/>
                <w:lang w:val="es-CR" w:eastAsia="es-CR"/>
              </w:rPr>
            </w:pPr>
            <w:r w:rsidRPr="007B2410">
              <w:rPr>
                <w:rFonts w:asciiTheme="majorHAnsi" w:hAnsiTheme="majorHAnsi"/>
                <w:color w:val="000000"/>
                <w:sz w:val="22"/>
                <w:szCs w:val="22"/>
                <w:lang w:val="es-CR" w:eastAsia="es-CR"/>
              </w:rPr>
              <w:t>Accidentes</w:t>
            </w:r>
          </w:p>
        </w:tc>
        <w:tc>
          <w:tcPr>
            <w:tcW w:w="2312" w:type="dxa"/>
            <w:noWrap/>
            <w:hideMark/>
          </w:tcPr>
          <w:p w14:paraId="03BB7519" w14:textId="77777777" w:rsidR="00361D17" w:rsidRPr="007B2410" w:rsidRDefault="00361D17" w:rsidP="007B43AB">
            <w:pPr>
              <w:rPr>
                <w:rFonts w:asciiTheme="majorHAnsi" w:hAnsiTheme="majorHAnsi"/>
                <w:color w:val="000000"/>
                <w:sz w:val="22"/>
                <w:szCs w:val="22"/>
                <w:lang w:val="es-CR" w:eastAsia="es-CR"/>
              </w:rPr>
            </w:pPr>
            <w:r w:rsidRPr="007B2410">
              <w:rPr>
                <w:rFonts w:asciiTheme="majorHAnsi" w:hAnsiTheme="majorHAnsi"/>
                <w:color w:val="000000"/>
                <w:sz w:val="22"/>
                <w:szCs w:val="22"/>
                <w:lang w:val="es-CR" w:eastAsia="es-CR"/>
              </w:rPr>
              <w:t> </w:t>
            </w:r>
          </w:p>
        </w:tc>
        <w:tc>
          <w:tcPr>
            <w:tcW w:w="2977" w:type="dxa"/>
            <w:noWrap/>
            <w:hideMark/>
          </w:tcPr>
          <w:p w14:paraId="4987EEC3" w14:textId="77777777" w:rsidR="00361D17" w:rsidRPr="007B2410" w:rsidRDefault="00361D17" w:rsidP="007B43AB">
            <w:pPr>
              <w:rPr>
                <w:rFonts w:asciiTheme="majorHAnsi" w:hAnsiTheme="majorHAnsi"/>
                <w:sz w:val="22"/>
                <w:szCs w:val="22"/>
                <w:lang w:val="es-CR" w:eastAsia="es-CR"/>
              </w:rPr>
            </w:pPr>
            <w:r w:rsidRPr="007B2410">
              <w:rPr>
                <w:rFonts w:asciiTheme="majorHAnsi" w:hAnsiTheme="majorHAnsi"/>
                <w:sz w:val="22"/>
                <w:szCs w:val="22"/>
                <w:lang w:val="es-CR" w:eastAsia="es-CR"/>
              </w:rPr>
              <w:t> </w:t>
            </w:r>
          </w:p>
        </w:tc>
      </w:tr>
      <w:tr w:rsidR="00361D17" w:rsidRPr="007B2410" w14:paraId="75FD2444" w14:textId="77777777" w:rsidTr="007B43AB">
        <w:trPr>
          <w:trHeight w:val="291"/>
        </w:trPr>
        <w:tc>
          <w:tcPr>
            <w:tcW w:w="3358" w:type="dxa"/>
            <w:noWrap/>
            <w:hideMark/>
          </w:tcPr>
          <w:p w14:paraId="6179E226" w14:textId="77777777" w:rsidR="00361D17" w:rsidRPr="007B2410" w:rsidRDefault="00361D17" w:rsidP="007B43AB">
            <w:pPr>
              <w:rPr>
                <w:rFonts w:asciiTheme="majorHAnsi" w:hAnsiTheme="majorHAnsi"/>
                <w:color w:val="000000"/>
                <w:sz w:val="22"/>
                <w:szCs w:val="22"/>
                <w:lang w:val="es-CR" w:eastAsia="es-CR"/>
              </w:rPr>
            </w:pPr>
            <w:r w:rsidRPr="007B2410">
              <w:rPr>
                <w:rFonts w:asciiTheme="majorHAnsi" w:hAnsiTheme="majorHAnsi"/>
                <w:color w:val="000000"/>
                <w:sz w:val="22"/>
                <w:szCs w:val="22"/>
                <w:lang w:val="es-CR" w:eastAsia="es-CR"/>
              </w:rPr>
              <w:t>Salud</w:t>
            </w:r>
          </w:p>
        </w:tc>
        <w:tc>
          <w:tcPr>
            <w:tcW w:w="2312" w:type="dxa"/>
            <w:noWrap/>
            <w:hideMark/>
          </w:tcPr>
          <w:p w14:paraId="1BE5A87E" w14:textId="77777777" w:rsidR="00361D17" w:rsidRPr="007B2410" w:rsidRDefault="00361D17" w:rsidP="007B43AB">
            <w:pPr>
              <w:rPr>
                <w:rFonts w:asciiTheme="majorHAnsi" w:hAnsiTheme="majorHAnsi"/>
                <w:color w:val="000000"/>
                <w:sz w:val="22"/>
                <w:szCs w:val="22"/>
                <w:lang w:val="es-CR" w:eastAsia="es-CR"/>
              </w:rPr>
            </w:pPr>
            <w:r w:rsidRPr="007B2410">
              <w:rPr>
                <w:rFonts w:asciiTheme="majorHAnsi" w:hAnsiTheme="majorHAnsi"/>
                <w:color w:val="000000"/>
                <w:sz w:val="22"/>
                <w:szCs w:val="22"/>
                <w:lang w:val="es-CR" w:eastAsia="es-CR"/>
              </w:rPr>
              <w:t> </w:t>
            </w:r>
          </w:p>
        </w:tc>
        <w:tc>
          <w:tcPr>
            <w:tcW w:w="2977" w:type="dxa"/>
            <w:noWrap/>
            <w:hideMark/>
          </w:tcPr>
          <w:p w14:paraId="547DB7B3" w14:textId="77777777" w:rsidR="00361D17" w:rsidRPr="007B2410" w:rsidRDefault="00361D17" w:rsidP="007B43AB">
            <w:pPr>
              <w:rPr>
                <w:rFonts w:asciiTheme="majorHAnsi" w:hAnsiTheme="majorHAnsi"/>
                <w:sz w:val="22"/>
                <w:szCs w:val="22"/>
                <w:lang w:val="es-CR" w:eastAsia="es-CR"/>
              </w:rPr>
            </w:pPr>
            <w:r w:rsidRPr="007B2410">
              <w:rPr>
                <w:rFonts w:asciiTheme="majorHAnsi" w:hAnsiTheme="majorHAnsi"/>
                <w:sz w:val="22"/>
                <w:szCs w:val="22"/>
                <w:lang w:val="es-CR" w:eastAsia="es-CR"/>
              </w:rPr>
              <w:t> </w:t>
            </w:r>
          </w:p>
        </w:tc>
      </w:tr>
      <w:tr w:rsidR="00361D17" w:rsidRPr="007B2410" w14:paraId="28309F03" w14:textId="77777777" w:rsidTr="007B43AB">
        <w:trPr>
          <w:trHeight w:val="291"/>
        </w:trPr>
        <w:tc>
          <w:tcPr>
            <w:tcW w:w="3358" w:type="dxa"/>
            <w:noWrap/>
            <w:hideMark/>
          </w:tcPr>
          <w:p w14:paraId="0B654788" w14:textId="77777777" w:rsidR="00361D17" w:rsidRPr="007B2410" w:rsidRDefault="00361D17" w:rsidP="007B43AB">
            <w:pPr>
              <w:rPr>
                <w:rFonts w:asciiTheme="majorHAnsi" w:hAnsiTheme="majorHAnsi"/>
                <w:sz w:val="22"/>
                <w:szCs w:val="22"/>
                <w:lang w:val="es-CR" w:eastAsia="es-CR"/>
              </w:rPr>
            </w:pPr>
            <w:r w:rsidRPr="007B2410">
              <w:rPr>
                <w:rFonts w:asciiTheme="majorHAnsi" w:hAnsiTheme="majorHAnsi"/>
                <w:sz w:val="22"/>
                <w:szCs w:val="22"/>
                <w:lang w:val="es-CR" w:eastAsia="es-CR"/>
              </w:rPr>
              <w:t>Seguro Riesgos del Trabajo</w:t>
            </w:r>
          </w:p>
        </w:tc>
        <w:tc>
          <w:tcPr>
            <w:tcW w:w="2312" w:type="dxa"/>
            <w:noWrap/>
            <w:hideMark/>
          </w:tcPr>
          <w:p w14:paraId="4775E594" w14:textId="77777777" w:rsidR="00361D17" w:rsidRPr="007B2410" w:rsidRDefault="00361D17" w:rsidP="007B43AB">
            <w:pPr>
              <w:rPr>
                <w:rFonts w:asciiTheme="majorHAnsi" w:hAnsiTheme="majorHAnsi"/>
                <w:sz w:val="22"/>
                <w:szCs w:val="22"/>
                <w:lang w:val="es-CR" w:eastAsia="es-CR"/>
              </w:rPr>
            </w:pPr>
            <w:r w:rsidRPr="007B2410">
              <w:rPr>
                <w:rFonts w:asciiTheme="majorHAnsi" w:hAnsiTheme="majorHAnsi"/>
                <w:sz w:val="22"/>
                <w:szCs w:val="22"/>
                <w:lang w:val="es-CR" w:eastAsia="es-CR"/>
              </w:rPr>
              <w:t> </w:t>
            </w:r>
          </w:p>
        </w:tc>
        <w:tc>
          <w:tcPr>
            <w:tcW w:w="2977" w:type="dxa"/>
            <w:noWrap/>
            <w:hideMark/>
          </w:tcPr>
          <w:p w14:paraId="10F528F3" w14:textId="77777777" w:rsidR="00361D17" w:rsidRPr="007B2410" w:rsidRDefault="00361D17" w:rsidP="007B43AB">
            <w:pPr>
              <w:rPr>
                <w:rFonts w:asciiTheme="majorHAnsi" w:hAnsiTheme="majorHAnsi"/>
                <w:sz w:val="22"/>
                <w:szCs w:val="22"/>
                <w:lang w:val="es-CR" w:eastAsia="es-CR"/>
              </w:rPr>
            </w:pPr>
            <w:r w:rsidRPr="007B2410">
              <w:rPr>
                <w:rFonts w:asciiTheme="majorHAnsi" w:hAnsiTheme="majorHAnsi"/>
                <w:sz w:val="22"/>
                <w:szCs w:val="22"/>
                <w:lang w:val="es-CR" w:eastAsia="es-CR"/>
              </w:rPr>
              <w:t> </w:t>
            </w:r>
          </w:p>
        </w:tc>
      </w:tr>
      <w:tr w:rsidR="00361D17" w:rsidRPr="007B2410" w14:paraId="5ED37100" w14:textId="77777777" w:rsidTr="007B43AB">
        <w:trPr>
          <w:trHeight w:val="291"/>
        </w:trPr>
        <w:tc>
          <w:tcPr>
            <w:tcW w:w="3358" w:type="dxa"/>
            <w:noWrap/>
            <w:hideMark/>
          </w:tcPr>
          <w:p w14:paraId="6C50FA6C" w14:textId="77777777" w:rsidR="00361D17" w:rsidRPr="007B2410" w:rsidRDefault="00361D17" w:rsidP="007B43AB">
            <w:pPr>
              <w:rPr>
                <w:rFonts w:asciiTheme="majorHAnsi" w:hAnsiTheme="majorHAnsi"/>
                <w:color w:val="000000"/>
                <w:sz w:val="22"/>
                <w:szCs w:val="22"/>
                <w:lang w:val="es-CR" w:eastAsia="es-CR"/>
              </w:rPr>
            </w:pPr>
            <w:r w:rsidRPr="007B2410">
              <w:rPr>
                <w:rFonts w:asciiTheme="majorHAnsi" w:hAnsiTheme="majorHAnsi"/>
                <w:color w:val="000000"/>
                <w:sz w:val="22"/>
                <w:szCs w:val="22"/>
                <w:lang w:val="es-CR" w:eastAsia="es-CR"/>
              </w:rPr>
              <w:t>Asistencias personales</w:t>
            </w:r>
          </w:p>
        </w:tc>
        <w:tc>
          <w:tcPr>
            <w:tcW w:w="2312" w:type="dxa"/>
            <w:noWrap/>
            <w:hideMark/>
          </w:tcPr>
          <w:p w14:paraId="79A3F43F" w14:textId="77777777" w:rsidR="00361D17" w:rsidRPr="007B2410" w:rsidRDefault="00361D17" w:rsidP="007B43AB">
            <w:pPr>
              <w:rPr>
                <w:rFonts w:asciiTheme="majorHAnsi" w:hAnsiTheme="majorHAnsi"/>
                <w:color w:val="000000"/>
                <w:sz w:val="22"/>
                <w:szCs w:val="22"/>
                <w:lang w:val="es-CR" w:eastAsia="es-CR"/>
              </w:rPr>
            </w:pPr>
            <w:r w:rsidRPr="007B2410">
              <w:rPr>
                <w:rFonts w:asciiTheme="majorHAnsi" w:hAnsiTheme="majorHAnsi"/>
                <w:color w:val="000000"/>
                <w:sz w:val="22"/>
                <w:szCs w:val="22"/>
                <w:lang w:val="es-CR" w:eastAsia="es-CR"/>
              </w:rPr>
              <w:t> </w:t>
            </w:r>
          </w:p>
        </w:tc>
        <w:tc>
          <w:tcPr>
            <w:tcW w:w="2977" w:type="dxa"/>
            <w:noWrap/>
            <w:hideMark/>
          </w:tcPr>
          <w:p w14:paraId="21DE0E33" w14:textId="77777777" w:rsidR="00361D17" w:rsidRPr="007B2410" w:rsidRDefault="00361D17" w:rsidP="007B43AB">
            <w:pPr>
              <w:rPr>
                <w:rFonts w:asciiTheme="majorHAnsi" w:hAnsiTheme="majorHAnsi"/>
                <w:sz w:val="22"/>
                <w:szCs w:val="22"/>
                <w:lang w:val="es-CR" w:eastAsia="es-CR"/>
              </w:rPr>
            </w:pPr>
            <w:r w:rsidRPr="007B2410">
              <w:rPr>
                <w:rFonts w:asciiTheme="majorHAnsi" w:hAnsiTheme="majorHAnsi"/>
                <w:sz w:val="22"/>
                <w:szCs w:val="22"/>
                <w:lang w:val="es-CR" w:eastAsia="es-CR"/>
              </w:rPr>
              <w:t> </w:t>
            </w:r>
          </w:p>
        </w:tc>
      </w:tr>
      <w:tr w:rsidR="00361D17" w:rsidRPr="007B2410" w14:paraId="7DF80B24" w14:textId="77777777" w:rsidTr="007B43AB">
        <w:trPr>
          <w:trHeight w:val="291"/>
        </w:trPr>
        <w:tc>
          <w:tcPr>
            <w:tcW w:w="3358" w:type="dxa"/>
            <w:noWrap/>
            <w:hideMark/>
          </w:tcPr>
          <w:p w14:paraId="70A2E8DC" w14:textId="77777777" w:rsidR="00361D17" w:rsidRPr="007B2410" w:rsidRDefault="00361D17" w:rsidP="007B43AB">
            <w:pPr>
              <w:rPr>
                <w:rFonts w:asciiTheme="majorHAnsi" w:hAnsiTheme="majorHAnsi"/>
                <w:color w:val="000000"/>
                <w:sz w:val="22"/>
                <w:szCs w:val="22"/>
                <w:lang w:val="es-CR" w:eastAsia="es-CR"/>
              </w:rPr>
            </w:pPr>
            <w:r w:rsidRPr="007B2410">
              <w:rPr>
                <w:rFonts w:asciiTheme="majorHAnsi" w:hAnsiTheme="majorHAnsi"/>
                <w:color w:val="000000"/>
                <w:sz w:val="22"/>
                <w:szCs w:val="22"/>
                <w:lang w:val="es-CR" w:eastAsia="es-CR"/>
              </w:rPr>
              <w:t>Vinculados a fondos de inversión</w:t>
            </w:r>
          </w:p>
        </w:tc>
        <w:tc>
          <w:tcPr>
            <w:tcW w:w="2312" w:type="dxa"/>
            <w:noWrap/>
            <w:hideMark/>
          </w:tcPr>
          <w:p w14:paraId="34CC3449" w14:textId="77777777" w:rsidR="00361D17" w:rsidRPr="007B2410" w:rsidRDefault="00361D17" w:rsidP="007B43AB">
            <w:pPr>
              <w:rPr>
                <w:rFonts w:asciiTheme="majorHAnsi" w:hAnsiTheme="majorHAnsi"/>
                <w:color w:val="000000"/>
                <w:sz w:val="22"/>
                <w:szCs w:val="22"/>
                <w:lang w:val="es-CR" w:eastAsia="es-CR"/>
              </w:rPr>
            </w:pPr>
            <w:r w:rsidRPr="007B2410">
              <w:rPr>
                <w:rFonts w:asciiTheme="majorHAnsi" w:hAnsiTheme="majorHAnsi"/>
                <w:color w:val="000000"/>
                <w:sz w:val="22"/>
                <w:szCs w:val="22"/>
                <w:lang w:val="es-CR" w:eastAsia="es-CR"/>
              </w:rPr>
              <w:t> </w:t>
            </w:r>
          </w:p>
        </w:tc>
        <w:tc>
          <w:tcPr>
            <w:tcW w:w="2977" w:type="dxa"/>
            <w:noWrap/>
            <w:hideMark/>
          </w:tcPr>
          <w:p w14:paraId="18FEB1CF" w14:textId="77777777" w:rsidR="00361D17" w:rsidRPr="007B2410" w:rsidRDefault="00361D17" w:rsidP="007B43AB">
            <w:pPr>
              <w:rPr>
                <w:rFonts w:asciiTheme="majorHAnsi" w:hAnsiTheme="majorHAnsi"/>
                <w:sz w:val="22"/>
                <w:szCs w:val="22"/>
                <w:lang w:val="es-CR" w:eastAsia="es-CR"/>
              </w:rPr>
            </w:pPr>
            <w:r w:rsidRPr="007B2410">
              <w:rPr>
                <w:rFonts w:asciiTheme="majorHAnsi" w:hAnsiTheme="majorHAnsi"/>
                <w:sz w:val="22"/>
                <w:szCs w:val="22"/>
                <w:lang w:val="es-CR" w:eastAsia="es-CR"/>
              </w:rPr>
              <w:t> </w:t>
            </w:r>
          </w:p>
        </w:tc>
      </w:tr>
      <w:tr w:rsidR="00361D17" w:rsidRPr="007B2410" w14:paraId="585D5FC3" w14:textId="77777777" w:rsidTr="007B43AB">
        <w:trPr>
          <w:trHeight w:val="291"/>
        </w:trPr>
        <w:tc>
          <w:tcPr>
            <w:tcW w:w="3358" w:type="dxa"/>
            <w:noWrap/>
          </w:tcPr>
          <w:p w14:paraId="2FD06614" w14:textId="77777777" w:rsidR="00361D17" w:rsidRPr="007B2410" w:rsidRDefault="00361D17" w:rsidP="007B43AB">
            <w:pPr>
              <w:rPr>
                <w:rFonts w:asciiTheme="majorHAnsi" w:hAnsiTheme="majorHAnsi"/>
                <w:color w:val="000000"/>
                <w:sz w:val="22"/>
                <w:szCs w:val="22"/>
                <w:lang w:val="es-CR" w:eastAsia="es-CR"/>
              </w:rPr>
            </w:pPr>
            <w:r w:rsidRPr="007B2410">
              <w:rPr>
                <w:rFonts w:asciiTheme="majorHAnsi" w:hAnsiTheme="majorHAnsi"/>
                <w:color w:val="000000"/>
                <w:sz w:val="22"/>
                <w:szCs w:val="22"/>
                <w:lang w:val="es-CR" w:eastAsia="es-CR"/>
              </w:rPr>
              <w:t>Seguros Misceláneos Personales</w:t>
            </w:r>
          </w:p>
        </w:tc>
        <w:tc>
          <w:tcPr>
            <w:tcW w:w="2312" w:type="dxa"/>
            <w:noWrap/>
          </w:tcPr>
          <w:p w14:paraId="68E8ECCC" w14:textId="77777777" w:rsidR="00361D17" w:rsidRPr="007B2410" w:rsidRDefault="00361D17" w:rsidP="007B43AB">
            <w:pPr>
              <w:rPr>
                <w:rFonts w:asciiTheme="majorHAnsi" w:hAnsiTheme="majorHAnsi"/>
                <w:color w:val="000000"/>
                <w:sz w:val="22"/>
                <w:szCs w:val="22"/>
                <w:lang w:val="es-CR" w:eastAsia="es-CR"/>
              </w:rPr>
            </w:pPr>
          </w:p>
        </w:tc>
        <w:tc>
          <w:tcPr>
            <w:tcW w:w="2977" w:type="dxa"/>
            <w:noWrap/>
          </w:tcPr>
          <w:p w14:paraId="4AD13EA7" w14:textId="77777777" w:rsidR="00361D17" w:rsidRPr="007B2410" w:rsidRDefault="00361D17" w:rsidP="007B43AB">
            <w:pPr>
              <w:rPr>
                <w:rFonts w:asciiTheme="majorHAnsi" w:hAnsiTheme="majorHAnsi"/>
                <w:sz w:val="22"/>
                <w:szCs w:val="22"/>
                <w:lang w:val="es-CR" w:eastAsia="es-CR"/>
              </w:rPr>
            </w:pPr>
          </w:p>
        </w:tc>
      </w:tr>
      <w:tr w:rsidR="00361D17" w:rsidRPr="007B2410" w14:paraId="458795C5" w14:textId="77777777" w:rsidTr="007B43AB">
        <w:trPr>
          <w:trHeight w:val="291"/>
        </w:trPr>
        <w:tc>
          <w:tcPr>
            <w:tcW w:w="3358" w:type="dxa"/>
            <w:noWrap/>
            <w:hideMark/>
          </w:tcPr>
          <w:p w14:paraId="112FA68A" w14:textId="77777777" w:rsidR="00361D17" w:rsidRPr="007B2410" w:rsidRDefault="00361D17" w:rsidP="007B43AB">
            <w:pPr>
              <w:rPr>
                <w:rFonts w:asciiTheme="majorHAnsi" w:hAnsiTheme="majorHAnsi"/>
                <w:sz w:val="22"/>
                <w:szCs w:val="22"/>
                <w:lang w:val="es-CR" w:eastAsia="es-CR"/>
              </w:rPr>
            </w:pPr>
            <w:r w:rsidRPr="007B2410">
              <w:rPr>
                <w:rFonts w:asciiTheme="majorHAnsi" w:hAnsiTheme="majorHAnsi"/>
                <w:sz w:val="22"/>
                <w:szCs w:val="22"/>
                <w:lang w:val="es-CR" w:eastAsia="es-CR"/>
              </w:rPr>
              <w:t>Total Seguros Personales</w:t>
            </w:r>
          </w:p>
        </w:tc>
        <w:tc>
          <w:tcPr>
            <w:tcW w:w="2312" w:type="dxa"/>
            <w:noWrap/>
            <w:hideMark/>
          </w:tcPr>
          <w:p w14:paraId="6C14C8C8" w14:textId="77777777" w:rsidR="00361D17" w:rsidRPr="007B2410" w:rsidRDefault="00361D17" w:rsidP="007B43AB">
            <w:pPr>
              <w:rPr>
                <w:rFonts w:asciiTheme="majorHAnsi" w:hAnsiTheme="majorHAnsi"/>
                <w:sz w:val="22"/>
                <w:szCs w:val="22"/>
                <w:lang w:val="es-CR" w:eastAsia="es-CR"/>
              </w:rPr>
            </w:pPr>
            <w:r w:rsidRPr="007B2410">
              <w:rPr>
                <w:rFonts w:asciiTheme="majorHAnsi" w:hAnsiTheme="majorHAnsi"/>
                <w:sz w:val="22"/>
                <w:szCs w:val="22"/>
                <w:lang w:val="es-CR" w:eastAsia="es-CR"/>
              </w:rPr>
              <w:t> </w:t>
            </w:r>
          </w:p>
        </w:tc>
        <w:tc>
          <w:tcPr>
            <w:tcW w:w="2977" w:type="dxa"/>
            <w:noWrap/>
            <w:hideMark/>
          </w:tcPr>
          <w:p w14:paraId="746799E3" w14:textId="77777777" w:rsidR="00361D17" w:rsidRPr="007B2410" w:rsidRDefault="00361D17" w:rsidP="007B43AB">
            <w:pPr>
              <w:rPr>
                <w:rFonts w:asciiTheme="majorHAnsi" w:hAnsiTheme="majorHAnsi"/>
                <w:sz w:val="22"/>
                <w:szCs w:val="22"/>
                <w:lang w:val="es-CR" w:eastAsia="es-CR"/>
              </w:rPr>
            </w:pPr>
            <w:r w:rsidRPr="007B2410">
              <w:rPr>
                <w:rFonts w:asciiTheme="majorHAnsi" w:hAnsiTheme="majorHAnsi"/>
                <w:sz w:val="22"/>
                <w:szCs w:val="22"/>
                <w:lang w:val="es-CR" w:eastAsia="es-CR"/>
              </w:rPr>
              <w:t> </w:t>
            </w:r>
          </w:p>
        </w:tc>
      </w:tr>
      <w:tr w:rsidR="00361D17" w:rsidRPr="007B2410" w14:paraId="3062E110" w14:textId="77777777" w:rsidTr="007B43AB">
        <w:trPr>
          <w:trHeight w:val="291"/>
        </w:trPr>
        <w:tc>
          <w:tcPr>
            <w:tcW w:w="3358" w:type="dxa"/>
            <w:noWrap/>
            <w:hideMark/>
          </w:tcPr>
          <w:p w14:paraId="7D898D97" w14:textId="77777777" w:rsidR="00361D17" w:rsidRPr="007B2410" w:rsidRDefault="00361D17" w:rsidP="007B43AB">
            <w:pPr>
              <w:rPr>
                <w:rFonts w:asciiTheme="majorHAnsi" w:hAnsiTheme="majorHAnsi"/>
                <w:sz w:val="22"/>
                <w:szCs w:val="22"/>
                <w:lang w:val="es-CR" w:eastAsia="es-CR"/>
              </w:rPr>
            </w:pPr>
            <w:r w:rsidRPr="007B2410">
              <w:rPr>
                <w:rFonts w:asciiTheme="majorHAnsi" w:hAnsiTheme="majorHAnsi"/>
                <w:sz w:val="22"/>
                <w:szCs w:val="22"/>
                <w:lang w:val="es-CR" w:eastAsia="es-CR"/>
              </w:rPr>
              <w:t>TOTAL</w:t>
            </w:r>
          </w:p>
        </w:tc>
        <w:tc>
          <w:tcPr>
            <w:tcW w:w="2312" w:type="dxa"/>
            <w:noWrap/>
            <w:hideMark/>
          </w:tcPr>
          <w:p w14:paraId="2109D0B2" w14:textId="77777777" w:rsidR="00361D17" w:rsidRPr="007B2410" w:rsidRDefault="00361D17" w:rsidP="007B43AB">
            <w:pPr>
              <w:rPr>
                <w:rFonts w:asciiTheme="majorHAnsi" w:hAnsiTheme="majorHAnsi"/>
                <w:sz w:val="22"/>
                <w:szCs w:val="22"/>
                <w:lang w:val="es-CR" w:eastAsia="es-CR"/>
              </w:rPr>
            </w:pPr>
            <w:r w:rsidRPr="007B2410">
              <w:rPr>
                <w:rFonts w:asciiTheme="majorHAnsi" w:hAnsiTheme="majorHAnsi"/>
                <w:sz w:val="22"/>
                <w:szCs w:val="22"/>
                <w:lang w:val="es-CR" w:eastAsia="es-CR"/>
              </w:rPr>
              <w:t> </w:t>
            </w:r>
          </w:p>
        </w:tc>
        <w:tc>
          <w:tcPr>
            <w:tcW w:w="2977" w:type="dxa"/>
            <w:noWrap/>
            <w:hideMark/>
          </w:tcPr>
          <w:p w14:paraId="1097F371" w14:textId="77777777" w:rsidR="00361D17" w:rsidRPr="007B2410" w:rsidRDefault="00361D17" w:rsidP="007B43AB">
            <w:pPr>
              <w:rPr>
                <w:rFonts w:asciiTheme="majorHAnsi" w:hAnsiTheme="majorHAnsi"/>
                <w:sz w:val="22"/>
                <w:szCs w:val="22"/>
                <w:lang w:val="es-CR" w:eastAsia="es-CR"/>
              </w:rPr>
            </w:pPr>
            <w:r w:rsidRPr="007B2410">
              <w:rPr>
                <w:rFonts w:asciiTheme="majorHAnsi" w:hAnsiTheme="majorHAnsi"/>
                <w:sz w:val="22"/>
                <w:szCs w:val="22"/>
                <w:lang w:val="es-CR" w:eastAsia="es-CR"/>
              </w:rPr>
              <w:t> </w:t>
            </w:r>
          </w:p>
        </w:tc>
      </w:tr>
      <w:tr w:rsidR="00361D17" w:rsidRPr="007B2410" w14:paraId="6822DC52" w14:textId="77777777" w:rsidTr="007B43AB">
        <w:trPr>
          <w:trHeight w:val="462"/>
        </w:trPr>
        <w:tc>
          <w:tcPr>
            <w:tcW w:w="8647" w:type="dxa"/>
            <w:gridSpan w:val="3"/>
            <w:hideMark/>
          </w:tcPr>
          <w:p w14:paraId="5C60E054" w14:textId="77777777" w:rsidR="00361D17" w:rsidRPr="007B2410" w:rsidRDefault="00361D17" w:rsidP="007B43AB">
            <w:pPr>
              <w:jc w:val="both"/>
              <w:rPr>
                <w:rFonts w:asciiTheme="majorHAnsi" w:hAnsiTheme="majorHAnsi"/>
                <w:i/>
                <w:iCs/>
                <w:sz w:val="22"/>
                <w:szCs w:val="22"/>
                <w:lang w:val="es-CR" w:eastAsia="es-CR"/>
              </w:rPr>
            </w:pPr>
            <w:r w:rsidRPr="007B2410">
              <w:rPr>
                <w:rFonts w:asciiTheme="majorHAnsi" w:hAnsiTheme="majorHAnsi"/>
                <w:i/>
                <w:iCs/>
                <w:sz w:val="22"/>
                <w:szCs w:val="22"/>
                <w:lang w:val="es-CR" w:eastAsia="es-CR"/>
              </w:rPr>
              <w:t>1/ Clasificación de ramos vigente, de conformidad con el Anexo 1 del Reglamento de Autorizaciones, Registros y Requisitos de Funcionamiento de entidades supervisadas por Sugese.</w:t>
            </w:r>
          </w:p>
          <w:p w14:paraId="0B8AD53A" w14:textId="77777777" w:rsidR="00361D17" w:rsidRPr="007B2410" w:rsidRDefault="00361D17" w:rsidP="007B43AB">
            <w:pPr>
              <w:jc w:val="both"/>
              <w:rPr>
                <w:rFonts w:asciiTheme="majorHAnsi" w:hAnsiTheme="majorHAnsi"/>
                <w:i/>
                <w:iCs/>
                <w:sz w:val="22"/>
                <w:szCs w:val="22"/>
                <w:lang w:val="es-CR" w:eastAsia="es-CR"/>
              </w:rPr>
            </w:pPr>
            <w:r w:rsidRPr="007B2410">
              <w:rPr>
                <w:rFonts w:asciiTheme="majorHAnsi" w:hAnsiTheme="majorHAnsi"/>
                <w:i/>
                <w:iCs/>
                <w:sz w:val="22"/>
                <w:szCs w:val="22"/>
                <w:lang w:val="es-CR" w:eastAsia="es-CR"/>
              </w:rPr>
              <w:t>2</w:t>
            </w:r>
            <w:r w:rsidRPr="007B2410">
              <w:rPr>
                <w:rFonts w:asciiTheme="majorHAnsi" w:hAnsiTheme="majorHAnsi"/>
                <w:i/>
                <w:iCs/>
                <w:color w:val="000000"/>
                <w:sz w:val="22"/>
                <w:szCs w:val="22"/>
                <w:lang w:val="es-CR" w:eastAsia="es-CR"/>
              </w:rPr>
              <w:t>/ De conformidad con plan de cuentas, ingresos por primas por seguro directo y reaseguro aceptado (5.020), brutos (sin ajuste por reaseguro).</w:t>
            </w:r>
          </w:p>
        </w:tc>
      </w:tr>
      <w:tr w:rsidR="00361D17" w:rsidRPr="007B2410" w14:paraId="580BC28E" w14:textId="77777777" w:rsidTr="007B43AB">
        <w:trPr>
          <w:trHeight w:val="671"/>
        </w:trPr>
        <w:tc>
          <w:tcPr>
            <w:tcW w:w="8647" w:type="dxa"/>
            <w:gridSpan w:val="3"/>
            <w:hideMark/>
          </w:tcPr>
          <w:p w14:paraId="1C6B3638" w14:textId="77777777" w:rsidR="00361D17" w:rsidRPr="007B2410" w:rsidRDefault="00361D17" w:rsidP="007B43AB">
            <w:pPr>
              <w:jc w:val="both"/>
              <w:rPr>
                <w:rFonts w:asciiTheme="majorHAnsi" w:hAnsiTheme="majorHAnsi"/>
                <w:i/>
                <w:iCs/>
                <w:color w:val="000000"/>
                <w:sz w:val="22"/>
                <w:szCs w:val="22"/>
                <w:lang w:val="es-CR" w:eastAsia="es-CR"/>
              </w:rPr>
            </w:pPr>
            <w:r w:rsidRPr="007B2410">
              <w:rPr>
                <w:rFonts w:asciiTheme="majorHAnsi" w:hAnsiTheme="majorHAnsi"/>
                <w:i/>
                <w:iCs/>
                <w:color w:val="000000"/>
                <w:sz w:val="22"/>
                <w:szCs w:val="22"/>
                <w:lang w:val="es-CR" w:eastAsia="es-CR"/>
              </w:rPr>
              <w:t>3/ De conformidad con plan de cuentas: Siniestros pagados seguro directo y reaseguro aceptado (4.020.010 + 4.020.020), brutos (sin ajuste por reaseguro). No se incluyen participaciones en beneficios y extornos (4.020.030).</w:t>
            </w:r>
          </w:p>
        </w:tc>
      </w:tr>
    </w:tbl>
    <w:p w14:paraId="5633B4F9" w14:textId="77777777" w:rsidR="00361D17" w:rsidRPr="00A250C8" w:rsidRDefault="00361D17" w:rsidP="00361D17">
      <w:pPr>
        <w:jc w:val="both"/>
        <w:rPr>
          <w:rFonts w:asciiTheme="majorHAnsi" w:hAnsiTheme="majorHAnsi"/>
          <w:b/>
          <w:sz w:val="28"/>
          <w:szCs w:val="28"/>
        </w:rPr>
      </w:pPr>
    </w:p>
    <w:p w14:paraId="18B2AA2C" w14:textId="77777777" w:rsidR="00361D17" w:rsidRPr="00A250C8" w:rsidRDefault="00361D17" w:rsidP="00361D17">
      <w:pPr>
        <w:pStyle w:val="Prrafodelista"/>
        <w:framePr w:hSpace="141" w:wrap="around" w:vAnchor="text" w:hAnchor="page" w:x="1390" w:y="14633"/>
        <w:ind w:left="0"/>
        <w:suppressOverlap/>
        <w:jc w:val="both"/>
        <w:rPr>
          <w:rFonts w:asciiTheme="majorHAnsi" w:hAnsiTheme="majorHAnsi"/>
          <w:b/>
          <w:bCs/>
          <w:sz w:val="28"/>
          <w:szCs w:val="28"/>
        </w:rPr>
      </w:pPr>
    </w:p>
    <w:p w14:paraId="19371B2D" w14:textId="77777777" w:rsidR="00361D17" w:rsidRDefault="00361D17" w:rsidP="00361D17">
      <w:pPr>
        <w:jc w:val="both"/>
        <w:rPr>
          <w:rFonts w:asciiTheme="majorHAnsi" w:hAnsiTheme="majorHAnsi" w:cs="Arial"/>
          <w:bCs/>
          <w:iCs/>
          <w:sz w:val="28"/>
          <w:szCs w:val="28"/>
        </w:rPr>
      </w:pPr>
      <w:r w:rsidRPr="00A250C8">
        <w:rPr>
          <w:rFonts w:asciiTheme="majorHAnsi" w:hAnsiTheme="majorHAnsi" w:cs="Arial"/>
          <w:b/>
          <w:bCs/>
          <w:iCs/>
          <w:sz w:val="28"/>
          <w:szCs w:val="28"/>
        </w:rPr>
        <w:t>QUINT0</w:t>
      </w:r>
      <w:r w:rsidRPr="00A250C8">
        <w:rPr>
          <w:rFonts w:asciiTheme="majorHAnsi" w:hAnsiTheme="majorHAnsi" w:cs="Arial"/>
          <w:bCs/>
          <w:iCs/>
          <w:sz w:val="28"/>
          <w:szCs w:val="28"/>
        </w:rPr>
        <w:t>: Actualizar la versión publicada del Acuerdo SGS-DES-A-021-2013 para incluir las modificaciones señaladas en este acuerdo.</w:t>
      </w:r>
    </w:p>
    <w:p w14:paraId="721A41DF" w14:textId="77777777" w:rsidR="00361D17" w:rsidRDefault="00361D17" w:rsidP="00361D17">
      <w:pPr>
        <w:jc w:val="both"/>
        <w:rPr>
          <w:rFonts w:asciiTheme="majorHAnsi" w:hAnsiTheme="majorHAnsi"/>
          <w:b/>
          <w:i/>
          <w:sz w:val="28"/>
          <w:szCs w:val="28"/>
        </w:rPr>
      </w:pPr>
    </w:p>
    <w:p w14:paraId="52940403" w14:textId="1AE9C4B8" w:rsidR="00361D17" w:rsidRPr="00DB00DD" w:rsidRDefault="00361D17" w:rsidP="00361D17">
      <w:pPr>
        <w:jc w:val="both"/>
        <w:rPr>
          <w:rFonts w:asciiTheme="majorHAnsi" w:hAnsiTheme="majorHAnsi"/>
          <w:b/>
          <w:sz w:val="28"/>
          <w:szCs w:val="28"/>
        </w:rPr>
      </w:pPr>
      <w:r w:rsidRPr="00DB00DD">
        <w:rPr>
          <w:rFonts w:asciiTheme="majorHAnsi" w:hAnsiTheme="majorHAnsi"/>
          <w:b/>
          <w:sz w:val="28"/>
          <w:szCs w:val="28"/>
        </w:rPr>
        <w:t>Rige a partir del 1° de enero de 2020</w:t>
      </w:r>
      <w:r>
        <w:rPr>
          <w:rFonts w:asciiTheme="majorHAnsi" w:hAnsiTheme="majorHAnsi"/>
          <w:b/>
          <w:sz w:val="28"/>
          <w:szCs w:val="28"/>
        </w:rPr>
        <w:t>, salvo el apartado tercero y los anexos 4 y 11 del apartado cuarto, que rigen a partir de la comunicación de este acuerdo.</w:t>
      </w:r>
    </w:p>
    <w:p w14:paraId="136ABAA3" w14:textId="77777777" w:rsidR="00361D17" w:rsidRDefault="00361D17" w:rsidP="00361D17">
      <w:pPr>
        <w:rPr>
          <w:rFonts w:asciiTheme="majorHAnsi" w:hAnsiTheme="majorHAnsi"/>
          <w:sz w:val="16"/>
          <w:szCs w:val="16"/>
        </w:rPr>
      </w:pPr>
    </w:p>
    <w:p w14:paraId="5E54817A" w14:textId="77777777" w:rsidR="005876B5" w:rsidRDefault="005876B5" w:rsidP="007F09F5">
      <w:pPr>
        <w:jc w:val="both"/>
        <w:rPr>
          <w:rFonts w:ascii="Cambria" w:hAnsi="Cambria"/>
        </w:rPr>
      </w:pPr>
    </w:p>
    <w:p w14:paraId="4EF1233C" w14:textId="6DED1F5F" w:rsidR="00761D54" w:rsidRDefault="005876B5" w:rsidP="007F09F5">
      <w:pPr>
        <w:jc w:val="both"/>
        <w:rPr>
          <w:rFonts w:ascii="Cambria" w:hAnsi="Cambria"/>
        </w:rPr>
      </w:pPr>
      <w:r>
        <w:rPr>
          <w:noProof/>
          <w:lang w:val="es-CR" w:eastAsia="es-CR"/>
        </w:rPr>
        <w:drawing>
          <wp:inline distT="0" distB="0" distL="0" distR="0" wp14:anchorId="500FCA8A" wp14:editId="08D9F91C">
            <wp:extent cx="2499360" cy="524291"/>
            <wp:effectExtent l="0" t="0" r="0" b="9525"/>
            <wp:docPr id="1" name="0 Imagen"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image00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9360" cy="524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13E194A2" w14:textId="77777777" w:rsidR="00761D54" w:rsidRPr="006A3734" w:rsidRDefault="00761D54" w:rsidP="007F09F5">
      <w:pPr>
        <w:jc w:val="both"/>
        <w:rPr>
          <w:rFonts w:ascii="Cambria" w:hAnsi="Cambria"/>
        </w:rPr>
      </w:pPr>
    </w:p>
    <w:sectPr w:rsidR="00761D54" w:rsidRPr="006A3734" w:rsidSect="00A83BA5">
      <w:headerReference w:type="default" r:id="rId18"/>
      <w:footerReference w:type="default" r:id="rId19"/>
      <w:headerReference w:type="first" r:id="rId20"/>
      <w:footerReference w:type="first" r:id="rId2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1D0C3" w14:textId="77777777" w:rsidR="005D5299" w:rsidRDefault="005D5299" w:rsidP="005A1442">
      <w:r>
        <w:separator/>
      </w:r>
    </w:p>
  </w:endnote>
  <w:endnote w:type="continuationSeparator" w:id="0">
    <w:p w14:paraId="1462350F" w14:textId="77777777" w:rsidR="005D5299" w:rsidRDefault="005D5299" w:rsidP="005A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9219D" w14:textId="77777777" w:rsidR="00843EE4" w:rsidRDefault="00843EE4" w:rsidP="005A1442">
    <w:pPr>
      <w:pStyle w:val="Piedepgina"/>
      <w:pBdr>
        <w:top w:val="single" w:sz="4" w:space="1" w:color="auto"/>
      </w:pBdr>
      <w:rPr>
        <w:sz w:val="16"/>
        <w:szCs w:val="16"/>
      </w:rPr>
    </w:pPr>
  </w:p>
  <w:p w14:paraId="214B6645" w14:textId="77777777" w:rsidR="00843EE4" w:rsidRDefault="00843EE4" w:rsidP="005A1442">
    <w:pPr>
      <w:pStyle w:val="Piedepgina"/>
      <w:tabs>
        <w:tab w:val="clear" w:pos="8838"/>
      </w:tabs>
      <w:jc w:val="right"/>
      <w:rPr>
        <w:rFonts w:ascii="Baskerville Old Face" w:hAnsi="Baskerville Old Face"/>
        <w:sz w:val="18"/>
        <w:szCs w:val="18"/>
      </w:rPr>
    </w:pPr>
    <w:r w:rsidRPr="00121F8C">
      <w:rPr>
        <w:rFonts w:ascii="Baskerville Old Face" w:hAnsi="Baskerville Old Face"/>
        <w:sz w:val="18"/>
        <w:szCs w:val="18"/>
      </w:rPr>
      <w:t>Teléfonos: 2243-5108</w:t>
    </w:r>
    <w:r>
      <w:rPr>
        <w:rFonts w:ascii="Baskerville Old Face" w:hAnsi="Baskerville Old Face"/>
        <w:sz w:val="18"/>
        <w:szCs w:val="18"/>
      </w:rPr>
      <w:t xml:space="preserve">, </w:t>
    </w:r>
    <w:r w:rsidRPr="00121F8C">
      <w:rPr>
        <w:rFonts w:ascii="Baskerville Old Face" w:hAnsi="Baskerville Old Face"/>
        <w:sz w:val="18"/>
        <w:szCs w:val="18"/>
      </w:rPr>
      <w:t>2243-5103  •  Fax: 2243-5151</w:t>
    </w:r>
  </w:p>
  <w:p w14:paraId="649F1D8F" w14:textId="77777777" w:rsidR="00843EE4" w:rsidRDefault="00843EE4" w:rsidP="005A1442">
    <w:pPr>
      <w:pStyle w:val="Piedepgina"/>
      <w:tabs>
        <w:tab w:val="clear" w:pos="8838"/>
      </w:tabs>
      <w:jc w:val="right"/>
      <w:rPr>
        <w:rFonts w:ascii="Baskerville Old Face" w:hAnsi="Baskerville Old Face"/>
        <w:sz w:val="18"/>
        <w:szCs w:val="18"/>
      </w:rPr>
    </w:pPr>
    <w:r w:rsidRPr="00121F8C">
      <w:rPr>
        <w:rFonts w:ascii="Baskerville Old Face" w:hAnsi="Baskerville Old Face"/>
        <w:sz w:val="18"/>
        <w:szCs w:val="18"/>
      </w:rPr>
      <w:t>Dirección: Edificio Torre del Este, Piso 8</w:t>
    </w:r>
  </w:p>
  <w:p w14:paraId="473DF581" w14:textId="77777777" w:rsidR="00843EE4" w:rsidRPr="005A1442" w:rsidRDefault="009C427E" w:rsidP="005A1442">
    <w:pPr>
      <w:pStyle w:val="Piedepgina"/>
      <w:tabs>
        <w:tab w:val="clear" w:pos="8838"/>
      </w:tabs>
      <w:jc w:val="right"/>
      <w:rPr>
        <w:rFonts w:ascii="Baskerville Old Face" w:hAnsi="Baskerville Old Face"/>
        <w:sz w:val="18"/>
        <w:szCs w:val="18"/>
      </w:rPr>
    </w:pPr>
    <w:hyperlink r:id="rId1" w:history="1">
      <w:r w:rsidR="00843EE4" w:rsidRPr="00121F8C">
        <w:rPr>
          <w:rStyle w:val="Hipervnculo"/>
          <w:rFonts w:ascii="Baskerville Old Face" w:hAnsi="Baskerville Old Face"/>
          <w:sz w:val="18"/>
          <w:szCs w:val="18"/>
        </w:rPr>
        <w:t>sugese@sugese.fi.cr</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2A82A" w14:textId="77777777" w:rsidR="00843EE4" w:rsidRDefault="00843EE4" w:rsidP="00A83BA5">
    <w:pPr>
      <w:pStyle w:val="Piedepgina"/>
      <w:pBdr>
        <w:top w:val="single" w:sz="4" w:space="1" w:color="auto"/>
      </w:pBdr>
      <w:rPr>
        <w:sz w:val="16"/>
        <w:szCs w:val="16"/>
      </w:rPr>
    </w:pPr>
  </w:p>
  <w:p w14:paraId="612A57A8" w14:textId="77777777" w:rsidR="00FF10F7" w:rsidRDefault="00FF10F7" w:rsidP="00FF10F7">
    <w:pPr>
      <w:pStyle w:val="Piedepgina"/>
      <w:jc w:val="right"/>
      <w:rPr>
        <w:rFonts w:asciiTheme="majorHAnsi" w:hAnsiTheme="majorHAnsi"/>
        <w:sz w:val="18"/>
        <w:szCs w:val="18"/>
      </w:rPr>
    </w:pPr>
    <w:r>
      <w:rPr>
        <w:rFonts w:asciiTheme="majorHAnsi" w:hAnsiTheme="majorHAnsi"/>
        <w:sz w:val="18"/>
        <w:szCs w:val="18"/>
      </w:rPr>
      <w:t>Teléfonos: 2243-5108, 2243-5103  •  Fax: 2243-5151</w:t>
    </w:r>
  </w:p>
  <w:p w14:paraId="3071A05F" w14:textId="77777777" w:rsidR="00FF10F7" w:rsidRDefault="00FF10F7" w:rsidP="00FF10F7">
    <w:pPr>
      <w:pStyle w:val="Piedepgina"/>
      <w:jc w:val="right"/>
      <w:rPr>
        <w:rFonts w:ascii="Baskerville Old Face" w:hAnsi="Baskerville Old Face"/>
        <w:sz w:val="18"/>
        <w:szCs w:val="18"/>
      </w:rPr>
    </w:pPr>
    <w:r>
      <w:rPr>
        <w:rFonts w:asciiTheme="majorHAnsi" w:hAnsiTheme="majorHAnsi"/>
        <w:sz w:val="18"/>
        <w:szCs w:val="18"/>
      </w:rPr>
      <w:t>Dirección:</w:t>
    </w:r>
    <w:r>
      <w:rPr>
        <w:rFonts w:ascii="Baskerville Old Face" w:hAnsi="Baskerville Old Face"/>
        <w:sz w:val="18"/>
        <w:szCs w:val="18"/>
      </w:rPr>
      <w:t xml:space="preserve"> </w:t>
    </w:r>
    <w:r>
      <w:rPr>
        <w:rFonts w:asciiTheme="majorHAnsi" w:hAnsiTheme="majorHAnsi"/>
        <w:sz w:val="18"/>
        <w:szCs w:val="18"/>
      </w:rPr>
      <w:t>Edificio ODMs, Barrio Tournón, Piso 4</w:t>
    </w:r>
  </w:p>
  <w:p w14:paraId="12223C46" w14:textId="77777777" w:rsidR="00FF10F7" w:rsidRDefault="009C427E" w:rsidP="00FF10F7">
    <w:pPr>
      <w:pStyle w:val="Piedepgina"/>
      <w:jc w:val="right"/>
      <w:rPr>
        <w:rFonts w:ascii="Baskerville Old Face" w:hAnsi="Baskerville Old Face"/>
        <w:sz w:val="18"/>
        <w:szCs w:val="18"/>
      </w:rPr>
    </w:pPr>
    <w:hyperlink r:id="rId1" w:history="1">
      <w:r w:rsidR="00FF10F7">
        <w:rPr>
          <w:rStyle w:val="Hipervnculo"/>
          <w:rFonts w:ascii="Baskerville Old Face" w:hAnsi="Baskerville Old Face"/>
          <w:sz w:val="18"/>
          <w:szCs w:val="18"/>
        </w:rPr>
        <w:t>sugese@sugese.fi.cr</w:t>
      </w:r>
    </w:hyperlink>
  </w:p>
  <w:p w14:paraId="466F0226" w14:textId="77777777" w:rsidR="00843EE4" w:rsidRPr="00A83BA5" w:rsidRDefault="00843EE4" w:rsidP="00FF10F7">
    <w:pPr>
      <w:pStyle w:val="Piedepgina"/>
      <w:tabs>
        <w:tab w:val="clear" w:pos="8838"/>
      </w:tabs>
      <w:jc w:val="right"/>
      <w:rPr>
        <w:rFonts w:ascii="Baskerville Old Face" w:hAnsi="Baskerville Old Face"/>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0A44B" w14:textId="77777777" w:rsidR="005D5299" w:rsidRDefault="005D5299" w:rsidP="005A1442">
      <w:r>
        <w:separator/>
      </w:r>
    </w:p>
  </w:footnote>
  <w:footnote w:type="continuationSeparator" w:id="0">
    <w:p w14:paraId="55E97285" w14:textId="77777777" w:rsidR="005D5299" w:rsidRDefault="005D5299" w:rsidP="005A1442">
      <w:r>
        <w:continuationSeparator/>
      </w:r>
    </w:p>
  </w:footnote>
  <w:footnote w:id="1">
    <w:p w14:paraId="0086C700" w14:textId="77777777" w:rsidR="00361D17" w:rsidRDefault="00361D17" w:rsidP="00361D17">
      <w:pPr>
        <w:pStyle w:val="Textonotapie"/>
      </w:pPr>
      <w:r>
        <w:rPr>
          <w:rStyle w:val="Refdenotaalpie"/>
        </w:rPr>
        <w:footnoteRef/>
      </w:r>
      <w:r>
        <w:t xml:space="preserve"> El saldo de estas partidas debe considerarse en términos brutos.  </w:t>
      </w:r>
    </w:p>
  </w:footnote>
  <w:footnote w:id="2">
    <w:p w14:paraId="4D8CFEED" w14:textId="77777777" w:rsidR="00361D17" w:rsidRDefault="00361D17" w:rsidP="00361D17">
      <w:pPr>
        <w:pStyle w:val="Textonotapie"/>
      </w:pPr>
      <w:r>
        <w:rPr>
          <w:rStyle w:val="Refdenotaalpie"/>
        </w:rPr>
        <w:footnoteRef/>
      </w:r>
      <w:r>
        <w:t xml:space="preserve"> Máximo 100% del capital primario.  </w:t>
      </w:r>
    </w:p>
  </w:footnote>
  <w:footnote w:id="3">
    <w:p w14:paraId="351C9F38" w14:textId="77777777" w:rsidR="00361D17" w:rsidRDefault="00361D17" w:rsidP="00361D17">
      <w:pPr>
        <w:pStyle w:val="Textonotapie"/>
      </w:pPr>
      <w:r>
        <w:rPr>
          <w:rStyle w:val="Refdenotaalpie"/>
        </w:rPr>
        <w:footnoteRef/>
      </w:r>
      <w:r>
        <w:t xml:space="preserve"> Hasta un 70% del monto registrado.  </w:t>
      </w:r>
    </w:p>
  </w:footnote>
  <w:footnote w:id="4">
    <w:p w14:paraId="2614F379" w14:textId="77777777" w:rsidR="00361D17" w:rsidRDefault="00361D17" w:rsidP="00361D17">
      <w:pPr>
        <w:pStyle w:val="Textonotapie"/>
      </w:pPr>
      <w:r>
        <w:rPr>
          <w:rStyle w:val="Refdenotaalpie"/>
        </w:rPr>
        <w:footnoteRef/>
      </w:r>
      <w:r>
        <w:t xml:space="preserve"> El saldo de estas partidas debe considerarse en términos brutos.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9E827" w14:textId="7F5AE168" w:rsidR="00843EE4" w:rsidRDefault="00361D17" w:rsidP="00361D17">
    <w:pPr>
      <w:pStyle w:val="Encabezado"/>
      <w:jc w:val="center"/>
    </w:pPr>
    <w:r>
      <w:rPr>
        <w:noProof/>
        <w:lang w:eastAsia="es-CR"/>
      </w:rPr>
      <w:drawing>
        <wp:inline distT="0" distB="0" distL="0" distR="0" wp14:anchorId="0D022D59" wp14:editId="5C86426C">
          <wp:extent cx="1209580" cy="971550"/>
          <wp:effectExtent l="19050" t="0" r="0" b="0"/>
          <wp:docPr id="3" name="1 Imagen"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se reducido.jpg"/>
                  <pic:cNvPicPr/>
                </pic:nvPicPr>
                <pic:blipFill>
                  <a:blip r:embed="rId1"/>
                  <a:stretch>
                    <a:fillRect/>
                  </a:stretch>
                </pic:blipFill>
                <pic:spPr>
                  <a:xfrm>
                    <a:off x="0" y="0"/>
                    <a:ext cx="1209580" cy="971550"/>
                  </a:xfrm>
                  <a:prstGeom prst="rect">
                    <a:avLst/>
                  </a:prstGeom>
                </pic:spPr>
              </pic:pic>
            </a:graphicData>
          </a:graphic>
        </wp:inline>
      </w:drawing>
    </w:r>
  </w:p>
  <w:p w14:paraId="63DBE493" w14:textId="77777777" w:rsidR="00843EE4" w:rsidRDefault="00843EE4">
    <w:pPr>
      <w:pStyle w:val="Encabezado"/>
    </w:pPr>
  </w:p>
  <w:p w14:paraId="05DCD564" w14:textId="79D3FB16" w:rsidR="00761D54" w:rsidRPr="00401D4C" w:rsidRDefault="00761D54" w:rsidP="00761D54">
    <w:pPr>
      <w:jc w:val="both"/>
      <w:rPr>
        <w:rFonts w:asciiTheme="majorHAnsi" w:hAnsiTheme="majorHAnsi"/>
        <w:b/>
        <w:i/>
        <w:color w:val="000000"/>
      </w:rPr>
    </w:pPr>
    <w:r w:rsidRPr="00401D4C">
      <w:rPr>
        <w:rFonts w:asciiTheme="majorHAnsi" w:hAnsiTheme="majorHAnsi"/>
        <w:b/>
        <w:i/>
        <w:color w:val="000000"/>
      </w:rPr>
      <w:t>SGS-</w:t>
    </w:r>
    <w:r w:rsidR="00032D9A">
      <w:rPr>
        <w:rFonts w:asciiTheme="majorHAnsi" w:hAnsiTheme="majorHAnsi"/>
        <w:b/>
        <w:i/>
        <w:color w:val="000000"/>
      </w:rPr>
      <w:t>A</w:t>
    </w:r>
    <w:r w:rsidRPr="00401D4C">
      <w:rPr>
        <w:rFonts w:asciiTheme="majorHAnsi" w:hAnsiTheme="majorHAnsi"/>
        <w:b/>
        <w:i/>
        <w:color w:val="000000"/>
      </w:rPr>
      <w:t>-</w:t>
    </w:r>
    <w:r w:rsidR="00032D9A">
      <w:rPr>
        <w:rFonts w:asciiTheme="majorHAnsi" w:hAnsiTheme="majorHAnsi"/>
        <w:b/>
        <w:i/>
        <w:color w:val="000000"/>
      </w:rPr>
      <w:t>0066</w:t>
    </w:r>
    <w:r w:rsidRPr="00401D4C">
      <w:rPr>
        <w:rFonts w:asciiTheme="majorHAnsi" w:hAnsiTheme="majorHAnsi"/>
        <w:b/>
        <w:i/>
        <w:color w:val="000000"/>
      </w:rPr>
      <w:t>-201</w:t>
    </w:r>
    <w:r w:rsidR="00032D9A">
      <w:rPr>
        <w:rFonts w:asciiTheme="majorHAnsi" w:hAnsiTheme="majorHAnsi"/>
        <w:b/>
        <w:i/>
        <w:color w:val="000000"/>
      </w:rPr>
      <w:t>9</w:t>
    </w:r>
  </w:p>
  <w:p w14:paraId="03F305B8" w14:textId="77777777" w:rsidR="00843EE4" w:rsidRPr="00221460" w:rsidRDefault="00843EE4" w:rsidP="005B70A7">
    <w:pPr>
      <w:pStyle w:val="Encabezado"/>
      <w:rPr>
        <w:rFonts w:asciiTheme="majorHAnsi" w:hAnsiTheme="majorHAnsi"/>
        <w:i/>
        <w:lang w:val="es-MX"/>
      </w:rPr>
    </w:pPr>
    <w:r w:rsidRPr="00221460">
      <w:rPr>
        <w:rFonts w:asciiTheme="majorHAnsi" w:hAnsiTheme="majorHAnsi"/>
        <w:i/>
        <w:lang w:val="es-MX"/>
      </w:rPr>
      <w:t xml:space="preserve">Página | </w:t>
    </w:r>
    <w:r w:rsidRPr="00221460">
      <w:rPr>
        <w:rFonts w:asciiTheme="majorHAnsi" w:hAnsiTheme="majorHAnsi"/>
        <w:i/>
        <w:lang w:val="es-MX"/>
      </w:rPr>
      <w:fldChar w:fldCharType="begin"/>
    </w:r>
    <w:r w:rsidRPr="00221460">
      <w:rPr>
        <w:rFonts w:asciiTheme="majorHAnsi" w:hAnsiTheme="majorHAnsi"/>
        <w:i/>
        <w:lang w:val="es-MX"/>
      </w:rPr>
      <w:instrText xml:space="preserve"> PAGE   \* MERGEFORMAT </w:instrText>
    </w:r>
    <w:r w:rsidRPr="00221460">
      <w:rPr>
        <w:rFonts w:asciiTheme="majorHAnsi" w:hAnsiTheme="majorHAnsi"/>
        <w:i/>
        <w:lang w:val="es-MX"/>
      </w:rPr>
      <w:fldChar w:fldCharType="separate"/>
    </w:r>
    <w:r w:rsidR="009C427E">
      <w:rPr>
        <w:rFonts w:asciiTheme="majorHAnsi" w:hAnsiTheme="majorHAnsi"/>
        <w:i/>
        <w:noProof/>
        <w:lang w:val="es-MX"/>
      </w:rPr>
      <w:t>13</w:t>
    </w:r>
    <w:r w:rsidRPr="00221460">
      <w:rPr>
        <w:rFonts w:asciiTheme="majorHAnsi" w:hAnsiTheme="majorHAnsi"/>
        <w:i/>
        <w:lang w:val="es-MX"/>
      </w:rPr>
      <w:fldChar w:fldCharType="end"/>
    </w:r>
  </w:p>
  <w:p w14:paraId="1D2F13A7" w14:textId="77777777" w:rsidR="00843EE4" w:rsidRPr="005B70A7" w:rsidRDefault="00843EE4">
    <w:pPr>
      <w:pStyle w:val="Encabezado"/>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F4BE7" w14:textId="77777777" w:rsidR="00843EE4" w:rsidRDefault="00843EE4" w:rsidP="00FF10F7">
    <w:pPr>
      <w:pStyle w:val="Encabezado"/>
      <w:jc w:val="center"/>
    </w:pPr>
    <w:r>
      <w:rPr>
        <w:noProof/>
        <w:lang w:eastAsia="es-CR"/>
      </w:rPr>
      <w:drawing>
        <wp:inline distT="0" distB="0" distL="0" distR="0" wp14:anchorId="09F86D77" wp14:editId="1A8C16EC">
          <wp:extent cx="1209580" cy="971550"/>
          <wp:effectExtent l="19050" t="0" r="0" b="0"/>
          <wp:docPr id="5" name="1 Imagen"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se reducido.jpg"/>
                  <pic:cNvPicPr/>
                </pic:nvPicPr>
                <pic:blipFill>
                  <a:blip r:embed="rId1"/>
                  <a:stretch>
                    <a:fillRect/>
                  </a:stretch>
                </pic:blipFill>
                <pic:spPr>
                  <a:xfrm>
                    <a:off x="0" y="0"/>
                    <a:ext cx="1209580" cy="971550"/>
                  </a:xfrm>
                  <a:prstGeom prst="rect">
                    <a:avLst/>
                  </a:prstGeom>
                </pic:spPr>
              </pic:pic>
            </a:graphicData>
          </a:graphic>
        </wp:inline>
      </w:drawing>
    </w:r>
  </w:p>
  <w:p w14:paraId="640FA2E6" w14:textId="77777777" w:rsidR="00843EE4" w:rsidRDefault="00843EE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E058D"/>
    <w:multiLevelType w:val="hybridMultilevel"/>
    <w:tmpl w:val="A734065C"/>
    <w:lvl w:ilvl="0" w:tplc="3F8AF6C6">
      <w:start w:val="1"/>
      <w:numFmt w:val="decimal"/>
      <w:lvlText w:val="%1."/>
      <w:lvlJc w:val="left"/>
      <w:pPr>
        <w:ind w:left="720" w:hanging="360"/>
      </w:pPr>
      <w:rPr>
        <w:rFonts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7DB007D"/>
    <w:multiLevelType w:val="hybridMultilevel"/>
    <w:tmpl w:val="B9C8C480"/>
    <w:lvl w:ilvl="0" w:tplc="E2824AD4">
      <w:start w:val="10"/>
      <w:numFmt w:val="decimal"/>
      <w:lvlText w:val="%1."/>
      <w:lvlJc w:val="left"/>
      <w:pPr>
        <w:ind w:left="720" w:hanging="360"/>
      </w:pPr>
      <w:rPr>
        <w:rFonts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A4E2B44"/>
    <w:multiLevelType w:val="hybridMultilevel"/>
    <w:tmpl w:val="016024FE"/>
    <w:lvl w:ilvl="0" w:tplc="C1FA1300">
      <w:start w:val="4"/>
      <w:numFmt w:val="decimal"/>
      <w:lvlText w:val="%1."/>
      <w:lvlJc w:val="left"/>
      <w:pPr>
        <w:ind w:left="720" w:hanging="360"/>
      </w:pPr>
      <w:rPr>
        <w:rFonts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D1C392A"/>
    <w:multiLevelType w:val="hybridMultilevel"/>
    <w:tmpl w:val="764A6A98"/>
    <w:lvl w:ilvl="0" w:tplc="EF90F2FC">
      <w:start w:val="9"/>
      <w:numFmt w:val="decimal"/>
      <w:lvlText w:val="%1."/>
      <w:lvlJc w:val="left"/>
      <w:pPr>
        <w:ind w:left="720" w:hanging="360"/>
      </w:pPr>
      <w:rPr>
        <w:rFonts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404E2F87"/>
    <w:multiLevelType w:val="hybridMultilevel"/>
    <w:tmpl w:val="F73C6B3C"/>
    <w:lvl w:ilvl="0" w:tplc="9F90E778">
      <w:start w:val="2"/>
      <w:numFmt w:val="decimal"/>
      <w:lvlText w:val="%1."/>
      <w:lvlJc w:val="left"/>
      <w:pPr>
        <w:ind w:left="720" w:hanging="360"/>
      </w:pPr>
      <w:rPr>
        <w:rFonts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51C42185"/>
    <w:multiLevelType w:val="hybridMultilevel"/>
    <w:tmpl w:val="648E104C"/>
    <w:lvl w:ilvl="0" w:tplc="E1CE1E66">
      <w:start w:val="6"/>
      <w:numFmt w:val="decimal"/>
      <w:lvlText w:val="%1."/>
      <w:lvlJc w:val="left"/>
      <w:pPr>
        <w:ind w:left="720" w:hanging="360"/>
      </w:pPr>
      <w:rPr>
        <w:rFonts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547842DB"/>
    <w:multiLevelType w:val="hybridMultilevel"/>
    <w:tmpl w:val="F84C1172"/>
    <w:lvl w:ilvl="0" w:tplc="B2FCEE40">
      <w:start w:val="5"/>
      <w:numFmt w:val="decimal"/>
      <w:lvlText w:val="%1."/>
      <w:lvlJc w:val="left"/>
      <w:pPr>
        <w:ind w:left="720" w:hanging="360"/>
      </w:pPr>
      <w:rPr>
        <w:rFonts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5F2C7612"/>
    <w:multiLevelType w:val="hybridMultilevel"/>
    <w:tmpl w:val="B498CC58"/>
    <w:lvl w:ilvl="0" w:tplc="5A1E9836">
      <w:start w:val="7"/>
      <w:numFmt w:val="decimal"/>
      <w:lvlText w:val="%1."/>
      <w:lvlJc w:val="left"/>
      <w:pPr>
        <w:ind w:left="720" w:hanging="360"/>
      </w:pPr>
      <w:rPr>
        <w:rFonts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64351B7A"/>
    <w:multiLevelType w:val="hybridMultilevel"/>
    <w:tmpl w:val="A064BD5C"/>
    <w:lvl w:ilvl="0" w:tplc="7DEA13F4">
      <w:start w:val="1"/>
      <w:numFmt w:val="lowerLetter"/>
      <w:lvlText w:val="%1)"/>
      <w:lvlJc w:val="left"/>
      <w:pPr>
        <w:ind w:left="1004" w:hanging="360"/>
      </w:pPr>
      <w:rPr>
        <w:rFonts w:hint="default"/>
        <w:sz w:val="18"/>
        <w:szCs w:val="18"/>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C6935E8"/>
    <w:multiLevelType w:val="hybridMultilevel"/>
    <w:tmpl w:val="61DA3EAE"/>
    <w:lvl w:ilvl="0" w:tplc="30AA65A4">
      <w:start w:val="8"/>
      <w:numFmt w:val="decimal"/>
      <w:lvlText w:val="%1."/>
      <w:lvlJc w:val="left"/>
      <w:pPr>
        <w:ind w:left="720" w:hanging="360"/>
      </w:pPr>
      <w:rPr>
        <w:rFonts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5"/>
  </w:num>
  <w:num w:numId="6">
    <w:abstractNumId w:val="7"/>
  </w:num>
  <w:num w:numId="7">
    <w:abstractNumId w:val="9"/>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299"/>
    <w:rsid w:val="00003EEF"/>
    <w:rsid w:val="000076D1"/>
    <w:rsid w:val="000105FD"/>
    <w:rsid w:val="00015CC4"/>
    <w:rsid w:val="0002274F"/>
    <w:rsid w:val="000230EC"/>
    <w:rsid w:val="00032D9A"/>
    <w:rsid w:val="00037F14"/>
    <w:rsid w:val="00043989"/>
    <w:rsid w:val="000476C1"/>
    <w:rsid w:val="00055413"/>
    <w:rsid w:val="00067CF6"/>
    <w:rsid w:val="000752F9"/>
    <w:rsid w:val="000760ED"/>
    <w:rsid w:val="00083A78"/>
    <w:rsid w:val="0008604D"/>
    <w:rsid w:val="000A2288"/>
    <w:rsid w:val="000B2E1D"/>
    <w:rsid w:val="000B4150"/>
    <w:rsid w:val="000C7644"/>
    <w:rsid w:val="000D4883"/>
    <w:rsid w:val="000E78B1"/>
    <w:rsid w:val="000F4177"/>
    <w:rsid w:val="00107380"/>
    <w:rsid w:val="00112325"/>
    <w:rsid w:val="00133DA2"/>
    <w:rsid w:val="00135FBF"/>
    <w:rsid w:val="00140B90"/>
    <w:rsid w:val="00145DE7"/>
    <w:rsid w:val="00146B1D"/>
    <w:rsid w:val="001551CB"/>
    <w:rsid w:val="0016515C"/>
    <w:rsid w:val="00167B6E"/>
    <w:rsid w:val="0017138C"/>
    <w:rsid w:val="00180BA2"/>
    <w:rsid w:val="0018143B"/>
    <w:rsid w:val="001A29D3"/>
    <w:rsid w:val="001A6FE9"/>
    <w:rsid w:val="001B3C85"/>
    <w:rsid w:val="001B6EE9"/>
    <w:rsid w:val="001C344D"/>
    <w:rsid w:val="001D2BCA"/>
    <w:rsid w:val="001F362F"/>
    <w:rsid w:val="002048C0"/>
    <w:rsid w:val="00221996"/>
    <w:rsid w:val="00222862"/>
    <w:rsid w:val="00234ECC"/>
    <w:rsid w:val="002440B8"/>
    <w:rsid w:val="00247E9E"/>
    <w:rsid w:val="0026145C"/>
    <w:rsid w:val="00267429"/>
    <w:rsid w:val="0028286F"/>
    <w:rsid w:val="00286975"/>
    <w:rsid w:val="002878BA"/>
    <w:rsid w:val="00291CE7"/>
    <w:rsid w:val="002A04A2"/>
    <w:rsid w:val="002C3B80"/>
    <w:rsid w:val="002C3DDE"/>
    <w:rsid w:val="002C572C"/>
    <w:rsid w:val="002C76DF"/>
    <w:rsid w:val="002D7832"/>
    <w:rsid w:val="002E02EC"/>
    <w:rsid w:val="002E6AFE"/>
    <w:rsid w:val="002F22F3"/>
    <w:rsid w:val="002F2345"/>
    <w:rsid w:val="002F51B5"/>
    <w:rsid w:val="00304DCB"/>
    <w:rsid w:val="0030537C"/>
    <w:rsid w:val="00305398"/>
    <w:rsid w:val="00317C1E"/>
    <w:rsid w:val="00333BA8"/>
    <w:rsid w:val="00336659"/>
    <w:rsid w:val="00343523"/>
    <w:rsid w:val="00343D0D"/>
    <w:rsid w:val="00361D17"/>
    <w:rsid w:val="003623F7"/>
    <w:rsid w:val="0036475D"/>
    <w:rsid w:val="00366016"/>
    <w:rsid w:val="003758F1"/>
    <w:rsid w:val="00376DE7"/>
    <w:rsid w:val="00385D10"/>
    <w:rsid w:val="00391C88"/>
    <w:rsid w:val="00393A97"/>
    <w:rsid w:val="003A39BC"/>
    <w:rsid w:val="003A53B0"/>
    <w:rsid w:val="003B043B"/>
    <w:rsid w:val="003B6304"/>
    <w:rsid w:val="003B721F"/>
    <w:rsid w:val="003B7CC2"/>
    <w:rsid w:val="003D3009"/>
    <w:rsid w:val="003E469F"/>
    <w:rsid w:val="003E62CB"/>
    <w:rsid w:val="003E721F"/>
    <w:rsid w:val="004263F9"/>
    <w:rsid w:val="004277B9"/>
    <w:rsid w:val="00432474"/>
    <w:rsid w:val="00450703"/>
    <w:rsid w:val="00454C55"/>
    <w:rsid w:val="0047219D"/>
    <w:rsid w:val="004948D8"/>
    <w:rsid w:val="00495470"/>
    <w:rsid w:val="00496C81"/>
    <w:rsid w:val="004A03B7"/>
    <w:rsid w:val="004A495A"/>
    <w:rsid w:val="004B767D"/>
    <w:rsid w:val="004C3B15"/>
    <w:rsid w:val="004C4D3C"/>
    <w:rsid w:val="004D2EB0"/>
    <w:rsid w:val="004D3D77"/>
    <w:rsid w:val="004D7196"/>
    <w:rsid w:val="004E7104"/>
    <w:rsid w:val="004F5023"/>
    <w:rsid w:val="004F6969"/>
    <w:rsid w:val="0050151B"/>
    <w:rsid w:val="0050185B"/>
    <w:rsid w:val="00501E0F"/>
    <w:rsid w:val="005078E4"/>
    <w:rsid w:val="00514940"/>
    <w:rsid w:val="005241EE"/>
    <w:rsid w:val="00524C83"/>
    <w:rsid w:val="0053290C"/>
    <w:rsid w:val="00533746"/>
    <w:rsid w:val="005442FF"/>
    <w:rsid w:val="00545CD6"/>
    <w:rsid w:val="00556620"/>
    <w:rsid w:val="00560026"/>
    <w:rsid w:val="0056158A"/>
    <w:rsid w:val="0056224B"/>
    <w:rsid w:val="0056751A"/>
    <w:rsid w:val="00576230"/>
    <w:rsid w:val="005876B5"/>
    <w:rsid w:val="005A1442"/>
    <w:rsid w:val="005B70A7"/>
    <w:rsid w:val="005C5B11"/>
    <w:rsid w:val="005C69FA"/>
    <w:rsid w:val="005C7CD2"/>
    <w:rsid w:val="005D13DD"/>
    <w:rsid w:val="005D5299"/>
    <w:rsid w:val="005E7FD4"/>
    <w:rsid w:val="005F395A"/>
    <w:rsid w:val="00602EC0"/>
    <w:rsid w:val="00604DED"/>
    <w:rsid w:val="00621BF4"/>
    <w:rsid w:val="00626ECF"/>
    <w:rsid w:val="00632C9E"/>
    <w:rsid w:val="006428F4"/>
    <w:rsid w:val="00646CD3"/>
    <w:rsid w:val="00650488"/>
    <w:rsid w:val="00650E64"/>
    <w:rsid w:val="00652E5B"/>
    <w:rsid w:val="00663DB8"/>
    <w:rsid w:val="00664692"/>
    <w:rsid w:val="0066556D"/>
    <w:rsid w:val="006655C3"/>
    <w:rsid w:val="006678C2"/>
    <w:rsid w:val="006679E1"/>
    <w:rsid w:val="00671DEB"/>
    <w:rsid w:val="00672C4A"/>
    <w:rsid w:val="00673269"/>
    <w:rsid w:val="00674F4F"/>
    <w:rsid w:val="006772DD"/>
    <w:rsid w:val="006829C1"/>
    <w:rsid w:val="0068417D"/>
    <w:rsid w:val="006848D6"/>
    <w:rsid w:val="006943A2"/>
    <w:rsid w:val="006A1A25"/>
    <w:rsid w:val="006A3734"/>
    <w:rsid w:val="006B4EA1"/>
    <w:rsid w:val="006C12D6"/>
    <w:rsid w:val="006C624C"/>
    <w:rsid w:val="006C76B1"/>
    <w:rsid w:val="006D0952"/>
    <w:rsid w:val="006E01DB"/>
    <w:rsid w:val="006E1EC2"/>
    <w:rsid w:val="006F4CAF"/>
    <w:rsid w:val="006F4D20"/>
    <w:rsid w:val="006F64FC"/>
    <w:rsid w:val="00706543"/>
    <w:rsid w:val="00712FFB"/>
    <w:rsid w:val="00715BD0"/>
    <w:rsid w:val="007170ED"/>
    <w:rsid w:val="00717F1A"/>
    <w:rsid w:val="00725048"/>
    <w:rsid w:val="00725493"/>
    <w:rsid w:val="00726CEB"/>
    <w:rsid w:val="007272CC"/>
    <w:rsid w:val="007324F8"/>
    <w:rsid w:val="007327C9"/>
    <w:rsid w:val="0074198B"/>
    <w:rsid w:val="007437E6"/>
    <w:rsid w:val="00744A2C"/>
    <w:rsid w:val="00746E52"/>
    <w:rsid w:val="00761D54"/>
    <w:rsid w:val="007636BD"/>
    <w:rsid w:val="00771580"/>
    <w:rsid w:val="00792726"/>
    <w:rsid w:val="007A0A2A"/>
    <w:rsid w:val="007A1E7F"/>
    <w:rsid w:val="007A22EA"/>
    <w:rsid w:val="007A2A51"/>
    <w:rsid w:val="007B04A5"/>
    <w:rsid w:val="007C19A7"/>
    <w:rsid w:val="007D2DAF"/>
    <w:rsid w:val="007E41E5"/>
    <w:rsid w:val="007E46F1"/>
    <w:rsid w:val="007E5094"/>
    <w:rsid w:val="007E66C6"/>
    <w:rsid w:val="007F09F5"/>
    <w:rsid w:val="008022A8"/>
    <w:rsid w:val="0080328F"/>
    <w:rsid w:val="00821436"/>
    <w:rsid w:val="008259A0"/>
    <w:rsid w:val="008370FF"/>
    <w:rsid w:val="00843EE4"/>
    <w:rsid w:val="0085586B"/>
    <w:rsid w:val="00857125"/>
    <w:rsid w:val="00857848"/>
    <w:rsid w:val="00857AD8"/>
    <w:rsid w:val="008605C0"/>
    <w:rsid w:val="00866B92"/>
    <w:rsid w:val="008704B7"/>
    <w:rsid w:val="008747C3"/>
    <w:rsid w:val="008778EF"/>
    <w:rsid w:val="00877EB5"/>
    <w:rsid w:val="00895D99"/>
    <w:rsid w:val="008962DC"/>
    <w:rsid w:val="00896B04"/>
    <w:rsid w:val="008974D8"/>
    <w:rsid w:val="008A3070"/>
    <w:rsid w:val="008A591C"/>
    <w:rsid w:val="008D17A9"/>
    <w:rsid w:val="008D2116"/>
    <w:rsid w:val="008D2BC8"/>
    <w:rsid w:val="008F727F"/>
    <w:rsid w:val="00901240"/>
    <w:rsid w:val="00915452"/>
    <w:rsid w:val="00922C3E"/>
    <w:rsid w:val="00947CCD"/>
    <w:rsid w:val="0095414B"/>
    <w:rsid w:val="009565BF"/>
    <w:rsid w:val="00963CA8"/>
    <w:rsid w:val="00964169"/>
    <w:rsid w:val="00975A49"/>
    <w:rsid w:val="00987B3B"/>
    <w:rsid w:val="009A2106"/>
    <w:rsid w:val="009A6A84"/>
    <w:rsid w:val="009B35A6"/>
    <w:rsid w:val="009C427E"/>
    <w:rsid w:val="009D11AB"/>
    <w:rsid w:val="009D5FAF"/>
    <w:rsid w:val="009F37D9"/>
    <w:rsid w:val="00A07AB5"/>
    <w:rsid w:val="00A12AE9"/>
    <w:rsid w:val="00A16168"/>
    <w:rsid w:val="00A2009B"/>
    <w:rsid w:val="00A33527"/>
    <w:rsid w:val="00A46328"/>
    <w:rsid w:val="00A57156"/>
    <w:rsid w:val="00A66E6E"/>
    <w:rsid w:val="00A81FF0"/>
    <w:rsid w:val="00A83BA5"/>
    <w:rsid w:val="00A8710B"/>
    <w:rsid w:val="00AA35AB"/>
    <w:rsid w:val="00AA4CA2"/>
    <w:rsid w:val="00AB1CD0"/>
    <w:rsid w:val="00AB33C3"/>
    <w:rsid w:val="00AC0D3F"/>
    <w:rsid w:val="00AD00BB"/>
    <w:rsid w:val="00AE0313"/>
    <w:rsid w:val="00B04011"/>
    <w:rsid w:val="00B12501"/>
    <w:rsid w:val="00B21C1A"/>
    <w:rsid w:val="00B2475F"/>
    <w:rsid w:val="00B25C9B"/>
    <w:rsid w:val="00B300E9"/>
    <w:rsid w:val="00B32651"/>
    <w:rsid w:val="00B32EEB"/>
    <w:rsid w:val="00B330AC"/>
    <w:rsid w:val="00B40526"/>
    <w:rsid w:val="00B45FD8"/>
    <w:rsid w:val="00B50514"/>
    <w:rsid w:val="00B70578"/>
    <w:rsid w:val="00B73C42"/>
    <w:rsid w:val="00B826E2"/>
    <w:rsid w:val="00B910A3"/>
    <w:rsid w:val="00B95233"/>
    <w:rsid w:val="00B96A9E"/>
    <w:rsid w:val="00BA2A3A"/>
    <w:rsid w:val="00BA4095"/>
    <w:rsid w:val="00BA4EB8"/>
    <w:rsid w:val="00BB64F2"/>
    <w:rsid w:val="00BC2F23"/>
    <w:rsid w:val="00BC5BBE"/>
    <w:rsid w:val="00BD18FF"/>
    <w:rsid w:val="00BE08B6"/>
    <w:rsid w:val="00BE1D1E"/>
    <w:rsid w:val="00BE61CE"/>
    <w:rsid w:val="00BF28E2"/>
    <w:rsid w:val="00BF581F"/>
    <w:rsid w:val="00BF5BF7"/>
    <w:rsid w:val="00BF67A7"/>
    <w:rsid w:val="00C00485"/>
    <w:rsid w:val="00C05704"/>
    <w:rsid w:val="00C240F2"/>
    <w:rsid w:val="00C276E6"/>
    <w:rsid w:val="00C505F6"/>
    <w:rsid w:val="00C52BC9"/>
    <w:rsid w:val="00C64061"/>
    <w:rsid w:val="00C73E1C"/>
    <w:rsid w:val="00C7547D"/>
    <w:rsid w:val="00C82150"/>
    <w:rsid w:val="00C846AA"/>
    <w:rsid w:val="00C85E4F"/>
    <w:rsid w:val="00CA7870"/>
    <w:rsid w:val="00CA7AE4"/>
    <w:rsid w:val="00CB0CC5"/>
    <w:rsid w:val="00CC4427"/>
    <w:rsid w:val="00CC5D7F"/>
    <w:rsid w:val="00CE3032"/>
    <w:rsid w:val="00CF181A"/>
    <w:rsid w:val="00CF516F"/>
    <w:rsid w:val="00D06152"/>
    <w:rsid w:val="00D13047"/>
    <w:rsid w:val="00D15050"/>
    <w:rsid w:val="00D15CCE"/>
    <w:rsid w:val="00D20E5C"/>
    <w:rsid w:val="00D24975"/>
    <w:rsid w:val="00D27227"/>
    <w:rsid w:val="00D332E9"/>
    <w:rsid w:val="00D36B9F"/>
    <w:rsid w:val="00D6484A"/>
    <w:rsid w:val="00D70C14"/>
    <w:rsid w:val="00D72FBE"/>
    <w:rsid w:val="00D74E1D"/>
    <w:rsid w:val="00D84595"/>
    <w:rsid w:val="00D858A4"/>
    <w:rsid w:val="00D92485"/>
    <w:rsid w:val="00D92CD1"/>
    <w:rsid w:val="00DA2D4F"/>
    <w:rsid w:val="00DA5032"/>
    <w:rsid w:val="00DB041E"/>
    <w:rsid w:val="00DB1CE2"/>
    <w:rsid w:val="00DB4D57"/>
    <w:rsid w:val="00DB63A8"/>
    <w:rsid w:val="00DC1346"/>
    <w:rsid w:val="00DC26B0"/>
    <w:rsid w:val="00DC2FD3"/>
    <w:rsid w:val="00DC37EE"/>
    <w:rsid w:val="00DD035E"/>
    <w:rsid w:val="00DD1A0E"/>
    <w:rsid w:val="00DD480F"/>
    <w:rsid w:val="00DD4EE4"/>
    <w:rsid w:val="00DD5BAA"/>
    <w:rsid w:val="00DF1CE6"/>
    <w:rsid w:val="00DF2BE9"/>
    <w:rsid w:val="00DF3ABA"/>
    <w:rsid w:val="00E04EAD"/>
    <w:rsid w:val="00E06E7D"/>
    <w:rsid w:val="00E06F9A"/>
    <w:rsid w:val="00E157FF"/>
    <w:rsid w:val="00E20D65"/>
    <w:rsid w:val="00E25B90"/>
    <w:rsid w:val="00E2643F"/>
    <w:rsid w:val="00E320DA"/>
    <w:rsid w:val="00E37A14"/>
    <w:rsid w:val="00E40FF3"/>
    <w:rsid w:val="00E42E5A"/>
    <w:rsid w:val="00E43276"/>
    <w:rsid w:val="00E51B7E"/>
    <w:rsid w:val="00E645D5"/>
    <w:rsid w:val="00E67EDC"/>
    <w:rsid w:val="00E75421"/>
    <w:rsid w:val="00E8166D"/>
    <w:rsid w:val="00E86F7B"/>
    <w:rsid w:val="00E913C9"/>
    <w:rsid w:val="00E93FB0"/>
    <w:rsid w:val="00EA03A0"/>
    <w:rsid w:val="00EA0A06"/>
    <w:rsid w:val="00EA1A46"/>
    <w:rsid w:val="00EB1C88"/>
    <w:rsid w:val="00EB5517"/>
    <w:rsid w:val="00EC0737"/>
    <w:rsid w:val="00EC1421"/>
    <w:rsid w:val="00EE6EF6"/>
    <w:rsid w:val="00EF0B3D"/>
    <w:rsid w:val="00EF5858"/>
    <w:rsid w:val="00F04463"/>
    <w:rsid w:val="00F046DF"/>
    <w:rsid w:val="00F0751F"/>
    <w:rsid w:val="00F14C3C"/>
    <w:rsid w:val="00F17004"/>
    <w:rsid w:val="00F1744F"/>
    <w:rsid w:val="00F178E2"/>
    <w:rsid w:val="00F17E74"/>
    <w:rsid w:val="00F30C6B"/>
    <w:rsid w:val="00F33704"/>
    <w:rsid w:val="00F34196"/>
    <w:rsid w:val="00F36332"/>
    <w:rsid w:val="00F41D5A"/>
    <w:rsid w:val="00F43651"/>
    <w:rsid w:val="00F465B9"/>
    <w:rsid w:val="00F46E76"/>
    <w:rsid w:val="00F47064"/>
    <w:rsid w:val="00F5139D"/>
    <w:rsid w:val="00F5386D"/>
    <w:rsid w:val="00F611D6"/>
    <w:rsid w:val="00F615EE"/>
    <w:rsid w:val="00F6508B"/>
    <w:rsid w:val="00F84235"/>
    <w:rsid w:val="00F87AC4"/>
    <w:rsid w:val="00F952FA"/>
    <w:rsid w:val="00FA4D98"/>
    <w:rsid w:val="00FA56C0"/>
    <w:rsid w:val="00FB6C78"/>
    <w:rsid w:val="00FC2DDB"/>
    <w:rsid w:val="00FC5636"/>
    <w:rsid w:val="00FC7C8A"/>
    <w:rsid w:val="00FD0685"/>
    <w:rsid w:val="00FE165F"/>
    <w:rsid w:val="00FE1C22"/>
    <w:rsid w:val="00FE3A47"/>
    <w:rsid w:val="00FF04DB"/>
    <w:rsid w:val="00FF10F7"/>
    <w:rsid w:val="00FF375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4197A7"/>
  <w15:docId w15:val="{9B767431-E206-43DF-9746-9F009ACD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44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1442"/>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EncabezadoCar">
    <w:name w:val="Encabezado Car"/>
    <w:basedOn w:val="Fuentedeprrafopredeter"/>
    <w:link w:val="Encabezado"/>
    <w:uiPriority w:val="99"/>
    <w:rsid w:val="005A1442"/>
  </w:style>
  <w:style w:type="paragraph" w:styleId="Piedepgina">
    <w:name w:val="footer"/>
    <w:basedOn w:val="Normal"/>
    <w:link w:val="PiedepginaCar"/>
    <w:unhideWhenUsed/>
    <w:rsid w:val="005A1442"/>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PiedepginaCar">
    <w:name w:val="Pie de página Car"/>
    <w:basedOn w:val="Fuentedeprrafopredeter"/>
    <w:link w:val="Piedepgina"/>
    <w:rsid w:val="005A1442"/>
  </w:style>
  <w:style w:type="paragraph" w:styleId="Textodeglobo">
    <w:name w:val="Balloon Text"/>
    <w:basedOn w:val="Normal"/>
    <w:link w:val="TextodegloboCar"/>
    <w:uiPriority w:val="99"/>
    <w:semiHidden/>
    <w:unhideWhenUsed/>
    <w:rsid w:val="005A1442"/>
    <w:rPr>
      <w:rFonts w:ascii="Tahoma" w:eastAsiaTheme="minorHAnsi" w:hAnsi="Tahoma" w:cs="Tahoma"/>
      <w:sz w:val="16"/>
      <w:szCs w:val="16"/>
      <w:lang w:val="es-CR" w:eastAsia="en-US"/>
    </w:rPr>
  </w:style>
  <w:style w:type="character" w:customStyle="1" w:styleId="TextodegloboCar">
    <w:name w:val="Texto de globo Car"/>
    <w:basedOn w:val="Fuentedeprrafopredeter"/>
    <w:link w:val="Textodeglobo"/>
    <w:uiPriority w:val="99"/>
    <w:semiHidden/>
    <w:rsid w:val="005A1442"/>
    <w:rPr>
      <w:rFonts w:ascii="Tahoma" w:hAnsi="Tahoma" w:cs="Tahoma"/>
      <w:sz w:val="16"/>
      <w:szCs w:val="16"/>
    </w:rPr>
  </w:style>
  <w:style w:type="character" w:styleId="Hipervnculo">
    <w:name w:val="Hyperlink"/>
    <w:basedOn w:val="Fuentedeprrafopredeter"/>
    <w:uiPriority w:val="99"/>
    <w:rsid w:val="005A1442"/>
    <w:rPr>
      <w:color w:val="0000FF"/>
      <w:u w:val="single"/>
    </w:rPr>
  </w:style>
  <w:style w:type="paragraph" w:styleId="Textonotapie">
    <w:name w:val="footnote text"/>
    <w:basedOn w:val="Normal"/>
    <w:link w:val="TextonotapieCar"/>
    <w:uiPriority w:val="99"/>
    <w:rsid w:val="004C3B15"/>
    <w:rPr>
      <w:sz w:val="20"/>
    </w:rPr>
  </w:style>
  <w:style w:type="character" w:customStyle="1" w:styleId="TextonotapieCar">
    <w:name w:val="Texto nota pie Car"/>
    <w:basedOn w:val="Fuentedeprrafopredeter"/>
    <w:link w:val="Textonotapie"/>
    <w:uiPriority w:val="99"/>
    <w:rsid w:val="004C3B15"/>
    <w:rPr>
      <w:rFonts w:ascii="Times New Roman" w:eastAsia="Times New Roman" w:hAnsi="Times New Roman" w:cs="Times New Roman"/>
      <w:sz w:val="20"/>
      <w:szCs w:val="24"/>
      <w:lang w:val="es-ES" w:eastAsia="es-ES"/>
    </w:rPr>
  </w:style>
  <w:style w:type="character" w:styleId="Refdenotaalpie">
    <w:name w:val="footnote reference"/>
    <w:basedOn w:val="Fuentedeprrafopredeter"/>
    <w:uiPriority w:val="99"/>
    <w:rsid w:val="004C3B15"/>
    <w:rPr>
      <w:vertAlign w:val="superscript"/>
    </w:rPr>
  </w:style>
  <w:style w:type="table" w:styleId="Tablaconcuadrcula">
    <w:name w:val="Table Grid"/>
    <w:basedOn w:val="Tablanormal"/>
    <w:uiPriority w:val="39"/>
    <w:rsid w:val="004C3B1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09F5"/>
    <w:pPr>
      <w:autoSpaceDE w:val="0"/>
      <w:autoSpaceDN w:val="0"/>
      <w:adjustRightInd w:val="0"/>
      <w:spacing w:after="0" w:line="240" w:lineRule="auto"/>
    </w:pPr>
    <w:rPr>
      <w:rFonts w:ascii="Calibri" w:eastAsia="Times New Roman" w:hAnsi="Calibri" w:cs="Calibri"/>
      <w:color w:val="000000"/>
      <w:sz w:val="24"/>
      <w:szCs w:val="24"/>
    </w:rPr>
  </w:style>
  <w:style w:type="character" w:styleId="Textodelmarcadordeposicin">
    <w:name w:val="Placeholder Text"/>
    <w:basedOn w:val="Fuentedeprrafopredeter"/>
    <w:uiPriority w:val="99"/>
    <w:semiHidden/>
    <w:rsid w:val="00FF3752"/>
    <w:rPr>
      <w:color w:val="808080"/>
    </w:rPr>
  </w:style>
  <w:style w:type="paragraph" w:styleId="Prrafodelista">
    <w:name w:val="List Paragraph"/>
    <w:basedOn w:val="Normal"/>
    <w:link w:val="PrrafodelistaCar"/>
    <w:uiPriority w:val="34"/>
    <w:qFormat/>
    <w:rsid w:val="00361D17"/>
    <w:pPr>
      <w:ind w:left="720"/>
      <w:contextualSpacing/>
    </w:pPr>
  </w:style>
  <w:style w:type="character" w:customStyle="1" w:styleId="PrrafodelistaCar">
    <w:name w:val="Párrafo de lista Car"/>
    <w:basedOn w:val="Fuentedeprrafopredeter"/>
    <w:link w:val="Prrafodelista"/>
    <w:uiPriority w:val="34"/>
    <w:locked/>
    <w:rsid w:val="00361D17"/>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rsid w:val="00361D17"/>
    <w:pPr>
      <w:spacing w:after="120" w:line="276" w:lineRule="auto"/>
    </w:pPr>
    <w:rPr>
      <w:rFonts w:asciiTheme="minorHAnsi" w:eastAsiaTheme="minorEastAsia" w:hAnsiTheme="minorHAnsi" w:cstheme="minorBidi"/>
      <w:sz w:val="22"/>
      <w:szCs w:val="22"/>
      <w:lang w:val="es-CR" w:eastAsia="es-CR"/>
    </w:rPr>
  </w:style>
  <w:style w:type="character" w:customStyle="1" w:styleId="TextoindependienteCar">
    <w:name w:val="Texto independiente Car"/>
    <w:basedOn w:val="Fuentedeprrafopredeter"/>
    <w:link w:val="Textoindependiente"/>
    <w:rsid w:val="00361D17"/>
    <w:rPr>
      <w:rFonts w:eastAsiaTheme="minorEastAsia"/>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285867">
      <w:bodyDiv w:val="1"/>
      <w:marLeft w:val="0"/>
      <w:marRight w:val="0"/>
      <w:marTop w:val="0"/>
      <w:marBottom w:val="0"/>
      <w:divBdr>
        <w:top w:val="none" w:sz="0" w:space="0" w:color="auto"/>
        <w:left w:val="none" w:sz="0" w:space="0" w:color="auto"/>
        <w:bottom w:val="none" w:sz="0" w:space="0" w:color="auto"/>
        <w:right w:val="none" w:sz="0" w:space="0" w:color="auto"/>
      </w:divBdr>
    </w:div>
    <w:div w:id="210005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package" Target="embeddings/Documento_de_Microsoft_Word2.docx"/><Relationship Id="rId20" Type="http://schemas.openxmlformats.org/officeDocument/2006/relationships/header" Target="header2.xml"/><Relationship Id="rId24" Type="http://schemas.openxmlformats.org/officeDocument/2006/relationships/theme" Target="theme/theme1.xml"/><Relationship Id="rId11" Type="http://schemas.openxmlformats.org/officeDocument/2006/relationships/footnotes" Target="footnotes.xml"/><Relationship Id="rId23" Type="http://schemas.openxmlformats.org/officeDocument/2006/relationships/glossaryDocument" Target="glossary/document.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Hoja_de_c_lculo_habilitada_para_macros_de_Microsoft_Excel1.xlsm"/><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ugese@sugese.fi.c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ugese@sugese.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http://intranet/sites/GEC/SalienteSUGESEAcuerdos/Forms/Correspondencia%20Externa/Plantilla-SGS-A-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60BE80341A342E2823DA41C4CE99C70"/>
        <w:category>
          <w:name w:val="General"/>
          <w:gallery w:val="placeholder"/>
        </w:category>
        <w:types>
          <w:type w:val="bbPlcHdr"/>
        </w:types>
        <w:behaviors>
          <w:behavior w:val="content"/>
        </w:behaviors>
        <w:guid w:val="{233B5920-70AE-4BBE-862E-3582ED5D0072}"/>
      </w:docPartPr>
      <w:docPartBody>
        <w:p w:rsidR="00A91E99" w:rsidRDefault="00A91E99">
          <w:pPr>
            <w:pStyle w:val="860BE80341A342E2823DA41C4CE99C70"/>
          </w:pPr>
          <w:r>
            <w:rPr>
              <w:rStyle w:val="Textodelmarcadordeposicin"/>
              <w:rFonts w:eastAsiaTheme="minorHAnsi"/>
            </w:rPr>
            <w:t>SGS-A-0000-AÑO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E99"/>
    <w:rsid w:val="00A91E9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860BE80341A342E2823DA41C4CE99C70">
    <w:name w:val="860BE80341A342E2823DA41C4CE99C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Cbfq9VSG+DdfDtmHNUCudvBoNQhS9/KdN00UXEQJEjc=</DigestValue>
    </Reference>
    <Reference Type="http://www.w3.org/2000/09/xmldsig#Object" URI="#idOfficeObject">
      <DigestMethod Algorithm="http://www.w3.org/2001/04/xmlenc#sha256"/>
      <DigestValue>PCe61GOoFHPtxbQPcOL8G4dP/EDBlzy8Ofsq5H10iHc=</DigestValue>
    </Reference>
    <Reference Type="http://uri.etsi.org/01903#SignedProperties" URI="#idSignedProperties">
      <Transforms>
        <Transform Algorithm="http://www.w3.org/TR/2001/REC-xml-c14n-20010315"/>
      </Transforms>
      <DigestMethod Algorithm="http://www.w3.org/2001/04/xmlenc#sha256"/>
      <DigestValue>ZADgioR5Qy+UGJ2LjivCOWh6K8OclZXcgwNZSsGl6JA=</DigestValue>
    </Reference>
  </SignedInfo>
  <SignatureValue>h0sjs3BAAPI0BW82sqKWVnUdC/jtU3I4lpFDqicoQ5y2nXSbSTnz30jyeROi3qnxFwE3W2P+noNT
q0l8coVGf5QnZITKEZ5gnapUeyg+LxdQC17aAd/lDOGzkNsvnoUlWyhCbm+SlDgEZdsKvfUmH4WQ
SvcuNFqwJDj+IY63H42wJt+8X/8KtEUgmCO72k+gDegHCfYPF9/s19qhMGk/ZhPWJukbdBNkJybG
oi4mmSiNUZ/pZE5vMhjQ0L+yoFz/vwZEymPiF99qRa/W85iUCkbCxWdShvt0JPJi3qQcKEVgMqVR
MfZi4x9lgufRdhbi948dVXIoTRNRb6JMsuKzeA==</SignatureValue>
  <KeyInfo>
    <X509Data>
      <X509Certificate>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ukqV++ybU8Sg/EM4gxrifi+5hB7I+OWNdguLBzRh56EVszoQpCUQtxjY2vKwUrzu15B7QWeztPgtdkJVKwhP7zHYSBEfxxitKeReTWJO1vVQezlYwMacmqDIk+PGzDY6G4zsYj3KSz6OwNSPKg2A0Rqg0nCl40KRgCB76DsOp1h/pgP8AeCq/WXjp//tZTurP3GFOehlH/Co8SWNA/iqQ2lfFlj0bOAwzcvc4uDGxMhQQJygutcCuclqnyLqYl0P8wt3vwcvcr4NtaVMGE7TeWKN9MZfI/7AJMLV5gYlcrNmYLEODp6VuYxzg9gkf7gswdM1EIRK05D2CZmNYnBGu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OlzF2kVwue1tg9RL3oyecqrkUHzlugrHurIvfEh3E6s=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AQxEVLqD71T0GROhZeJIwqAxa7OiAtCV8niqVHURrPc=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AQxEVLqD71T0GROhZeJIwqAxa7OiAtCV8niqVHURrPc=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6U57BlFAFphj59X8P6VgTe3Zkt2rfhv9viT+ahq2bSM=</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6U57BlFAFphj59X8P6VgTe3Zkt2rfhv9viT+ahq2bSM=</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ngZZlj1CHxao5W0uijZYJcuY9EIjlRzoz/fpqD2201A=</DigestValue>
      </Reference>
      <Reference URI="/word/document.xml?ContentType=application/vnd.openxmlformats-officedocument.wordprocessingml.document.main+xml">
        <DigestMethod Algorithm="http://www.w3.org/2001/04/xmlenc#sha256"/>
        <DigestValue>PEZs6h11d/bY7LfblFU8Hnw9c08xWjtcsq0S5oNMGrU=</DigestValue>
      </Reference>
      <Reference URI="/word/embeddings/Documento_de_Microsoft_Word2.docx?ContentType=application/vnd.openxmlformats-officedocument.wordprocessingml.document">
        <DigestMethod Algorithm="http://www.w3.org/2001/04/xmlenc#sha256"/>
        <DigestValue>LpijECLlGirOE2Q8QhgbjJF/B6V6ePnDjLBqRE4Btic=</DigestValue>
      </Reference>
      <Reference URI="/word/embeddings/Hoja_de_c_lculo_habilitada_para_macros_de_Microsoft_Excel1.xlsm?ContentType=application/vnd.ms-excel.sheet.macroEnabled.12">
        <DigestMethod Algorithm="http://www.w3.org/2001/04/xmlenc#sha256"/>
        <DigestValue>IqssZIy69G+lbpNOMBmP9U4YQGfjCnqx3/IZQNdwgxs=</DigestValue>
      </Reference>
      <Reference URI="/word/endnotes.xml?ContentType=application/vnd.openxmlformats-officedocument.wordprocessingml.endnotes+xml">
        <DigestMethod Algorithm="http://www.w3.org/2001/04/xmlenc#sha256"/>
        <DigestValue>9shqnh9TMr6L+czjBflPdzQ9N+G1eSlFKIOv0WbPXTc=</DigestValue>
      </Reference>
      <Reference URI="/word/fontTable.xml?ContentType=application/vnd.openxmlformats-officedocument.wordprocessingml.fontTable+xml">
        <DigestMethod Algorithm="http://www.w3.org/2001/04/xmlenc#sha256"/>
        <DigestValue>f3uObP78o8xQjzzDYSW2+P74ztl731rdTRw23Z4P7vs=</DigestValue>
      </Reference>
      <Reference URI="/word/footer1.xml?ContentType=application/vnd.openxmlformats-officedocument.wordprocessingml.footer+xml">
        <DigestMethod Algorithm="http://www.w3.org/2001/04/xmlenc#sha256"/>
        <DigestValue>R3WxaUfzvkzyU0i1DqjFLkb9EArlNjch1d7n+5CgBr4=</DigestValue>
      </Reference>
      <Reference URI="/word/footer2.xml?ContentType=application/vnd.openxmlformats-officedocument.wordprocessingml.footer+xml">
        <DigestMethod Algorithm="http://www.w3.org/2001/04/xmlenc#sha256"/>
        <DigestValue>phYP2G7klE8QPC+kfQ3iZsMduVsnRO+AD9wjUFjSs0U=</DigestValue>
      </Reference>
      <Reference URI="/word/footnotes.xml?ContentType=application/vnd.openxmlformats-officedocument.wordprocessingml.footnotes+xml">
        <DigestMethod Algorithm="http://www.w3.org/2001/04/xmlenc#sha256"/>
        <DigestValue>WP3JJ7uAmk15GzVa1uJf1x45ddSs3ZKfvFpFx3KqqRE=</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DXyaAkShqZxGzbzqzM+B33/0/2a/22rBkXkW/V9d+oo=</DigestValue>
      </Reference>
      <Reference URI="/word/glossary/fontTable.xml?ContentType=application/vnd.openxmlformats-officedocument.wordprocessingml.fontTable+xml">
        <DigestMethod Algorithm="http://www.w3.org/2001/04/xmlenc#sha256"/>
        <DigestValue>cm9LN/M2/UqRM2Dx+RM358HWkdDBG+CIitxG3rhPRNc=</DigestValue>
      </Reference>
      <Reference URI="/word/glossary/settings.xml?ContentType=application/vnd.openxmlformats-officedocument.wordprocessingml.settings+xml">
        <DigestMethod Algorithm="http://www.w3.org/2001/04/xmlenc#sha256"/>
        <DigestValue>w7trexa8bXnPqNcN2t2R8L/Bhpb726rA48dtDapRi20=</DigestValue>
      </Reference>
      <Reference URI="/word/glossary/styles.xml?ContentType=application/vnd.openxmlformats-officedocument.wordprocessingml.styles+xml">
        <DigestMethod Algorithm="http://www.w3.org/2001/04/xmlenc#sha256"/>
        <DigestValue>BFS4H72+yP8juxUxft0faFqBxkOL0iQDlZ1PuMPMMsA=</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7ywSEKb8Zy1IWghNI0Yph1e+s1rBdGZBSqd17m2ipJM=</DigestValue>
      </Reference>
      <Reference URI="/word/header2.xml?ContentType=application/vnd.openxmlformats-officedocument.wordprocessingml.header+xml">
        <DigestMethod Algorithm="http://www.w3.org/2001/04/xmlenc#sha256"/>
        <DigestValue>s4MDyt8QH8FqMQ/k/6PpPB8Ke1N1/1DzWAUWWAvIoh0=</DigestValue>
      </Reference>
      <Reference URI="/word/media/image1.emf?ContentType=image/x-emf">
        <DigestMethod Algorithm="http://www.w3.org/2001/04/xmlenc#sha256"/>
        <DigestValue>eSok2l32ODMEbwD/cEFtHBgEX5vs/Y0EmvpnwGObIF0=</DigestValue>
      </Reference>
      <Reference URI="/word/media/image2.emf?ContentType=image/x-emf">
        <DigestMethod Algorithm="http://www.w3.org/2001/04/xmlenc#sha256"/>
        <DigestValue>XdXXJBBWoezpZDISho9D3LJwz9TQCDGKRIsdoLvlOi0=</DigestValue>
      </Reference>
      <Reference URI="/word/media/image3.png?ContentType=image/png">
        <DigestMethod Algorithm="http://www.w3.org/2001/04/xmlenc#sha256"/>
        <DigestValue>8ow0IbLvIuBewu4WCsfpgILO/EmmHhLyHA30uNxvsQ8=</DigestValue>
      </Reference>
      <Reference URI="/word/media/image4.jpeg?ContentType=image/jpeg">
        <DigestMethod Algorithm="http://www.w3.org/2001/04/xmlenc#sha256"/>
        <DigestValue>KGoi/VrShY6YD7s5ypHuq/O1xHA2AZr+klKbbEvy9h8=</DigestValue>
      </Reference>
      <Reference URI="/word/numbering.xml?ContentType=application/vnd.openxmlformats-officedocument.wordprocessingml.numbering+xml">
        <DigestMethod Algorithm="http://www.w3.org/2001/04/xmlenc#sha256"/>
        <DigestValue>rlb2wmYE4Xn1ubB2TURO3036ZhxmHO17VCEaKLi/2i0=</DigestValue>
      </Reference>
      <Reference URI="/word/settings.xml?ContentType=application/vnd.openxmlformats-officedocument.wordprocessingml.settings+xml">
        <DigestMethod Algorithm="http://www.w3.org/2001/04/xmlenc#sha256"/>
        <DigestValue>136TxtojDtgUh6KnQoB5i/vX+AWzFPh2W2RWEQdvaGQ=</DigestValue>
      </Reference>
      <Reference URI="/word/styles.xml?ContentType=application/vnd.openxmlformats-officedocument.wordprocessingml.styles+xml">
        <DigestMethod Algorithm="http://www.w3.org/2001/04/xmlenc#sha256"/>
        <DigestValue>qb77BavfI9AHYmSuaa/JhhqXQDqgd8HKY3n1S6+vRTM=</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G+yKJhCmuyL5d8J92iHdO7UHEt2IlozZj1gM1IM7A9U=</DigestValue>
      </Reference>
    </Manifest>
    <SignatureProperties>
      <SignatureProperty Id="idSignatureTime" Target="#idPackageSignature">
        <mdssi:SignatureTime xmlns:mdssi="http://schemas.openxmlformats.org/package/2006/digital-signature">
          <mdssi:Format>YYYY-MM-DDThh:mm:ssTZD</mdssi:Format>
          <mdssi:Value>2019-09-18T22:45:48Z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2560</HorizontalResolution>
          <VerticalResolution>1440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2019-09-18T22:45:48Z</xd:SigningTime>
          <xd:SigningCertificate>
            <xd:Cert>
              <xd:CertDigest>
                <DigestMethod Algorithm="http://www.w3.org/2001/04/xmlenc#sha256"/>
                <DigestValue>yPuE9rLdUpmK1gQPpEE5t70a5X0NT1U09J/mBcEoHi4=</DigestValue>
              </xd:CertDigest>
              <xd:IssuerSerial>
                <X509IssuerName>CN=CA SINPE - PERSONA FISICA v2, OU=DIVISION SISTEMAS DE PAGO, O=BANCO CENTRAL DE COSTA RICA, C=CR, SERIALNUMBER=CPJ-4-000-004017</X509IssuerName>
                <X509SerialNumber>446015082375296061040661732517249444554507831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uY0K+1/uZwlMnjX3LQHFcVQ6E75xNVQ/zTBNQFRHLhYCBAijIYkYDzIwMTkwOTE4MjI0NTU0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</xd:EncapsulatedCRLValue>
                <xd:EncapsulatedCRLValue>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TerGhHq6cxl/gqh1OtbC7um/sG0=</xd:ByKey>
                  </xd:ResponderID>
                  <xd:ProducedAt>2019-09-18T15:59:57Z</xd:ProducedAt>
                </xd:OCSPIdentifier>
                <xd:DigestAlgAndValue>
                  <DigestMethod Algorithm="http://www.w3.org/2001/04/xmlenc#sha256"/>
                  <DigestValue>uUqh4T91m4v6BuN0lkOSNtRLiIs07PTA38q8r1mvexw=</DigestValue>
                </xd:DigestAlgAndValue>
              </xd:OCSPRef>
            </xd:OCSPRefs>
            <xd:CRLRefs>
              <xd:CRLRef>
                <xd:DigestAlgAndValue>
                  <DigestMethod Algorithm="http://www.w3.org/2001/04/xmlenc#sha256"/>
                  <DigestValue>KQdJXkNSJCeSb8FYt0xvXdTKp11a260Cvi+EY2pLoJI=</DigestValue>
                </xd:DigestAlgAndValue>
                <xd:CRLIdentifier>
                  <xd:Issuer>CN=CA POLITICA PERSONA FISICA - COSTA RICA v2, OU=DCFD, O=MICITT, C=CR, SERIALNUMBER=CPJ-2-100-098311</xd:Issuer>
                  <xd:IssueTime>2019-08-14T15:51:39Z</xd:IssueTime>
                </xd:CRLIdentifier>
              </xd:CRLRef>
              <xd:CRLRef>
                <xd:DigestAlgAndValue>
                  <DigestMethod Algorithm="http://www.w3.org/2001/04/xmlenc#sha256"/>
                  <DigestValue>99Il9ZT25ku812HjBT3HuoVDfmY4GO3hMn+xMnWBIl0=</DigestValue>
                </xd:DigestAlgAndValue>
                <xd:CRLIdentifier>
                  <xd:Issuer>CN=CA RAIZ NACIONAL - COSTA RICA v2, C=CR, O=MICITT, OU=DCFD, SERIALNUMBER=CPJ-2-100-098311</xd:Issuer>
                  <xd:IssueTime>2019-06-20T15:40:24Z</xd:IssueTime>
                </xd:CRLIdentifier>
              </xd:CRLRef>
            </xd:CRLRefs>
          </xd:CompleteRevocationRefs>
          <xd:RevocationValues>
            <xd:OCSPValues>
              <xd:EncapsulatedOCSPValue>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</xd:EncapsulatedOCSPValue>
            </xd:OCSPValues>
            <xd:CRLValues>
              <xd:EncapsulatedCRLValue>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</xd:EncapsulatedCRLValue>
              <xd:EncapsulatedCRLValue>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</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WPfk/ST1ZCqQjOzIYbZFxYnxx+JvaeA1V4Y7B7hZdRcCBAijIYoYDzIwMTkwOTE4MjI0NTU0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</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FechaPublicacionDocumento xmlns="b9fc4df0-8f56-46e7-b005-54afe0044df7">2019-09-23T06:00:00+00:00</FechaPublicacionDocumento>
    <NormativaRelacionada xmlns="b9fc4df0-8f56-46e7-b005-54afe0044df7">&lt;div class="ExternalClass1225E7D771E6453181BB5D077605771C"&gt;​Reglamento
de Información Financiera, Acuerdos SGS-DES-A-021-2013, SGS-DES-A-029-2013 y
SGS-DES-A-028-2013&lt;br&gt;&lt;br&gt;&lt;/div&gt;</NormativaRelacionada>
    <TipoContenido xmlns="b9fc4df0-8f56-46e7-b005-54afe0044df7">6</TipoContenido>
    <ContenidoMultilineaHTML xmlns="b9fc4df0-8f56-46e7-b005-54afe0044df7">​Presenta el acuerdo del Superintendente con la modificación de acuerdos del Superintendente relacionados con la aplicación del Reglamento de Información Financiera que regirá a partir del 1° de enero de 2020&lt;br&gt;&lt;br&gt;</ContenidoMultilineaHTML>
    <NumeroAcuerdo xmlns="b9fc4df0-8f56-46e7-b005-54afe0044df7">SGS-A-066-2019</NumeroAcuerd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C5259700016054FB9EF02CC18F40A60" ma:contentTypeVersion="6" ma:contentTypeDescription="Crear nuevo documento." ma:contentTypeScope="" ma:versionID="b9c0e0c741e91f52546f6fa1418e81a2">
  <xsd:schema xmlns:xsd="http://www.w3.org/2001/XMLSchema" xmlns:xs="http://www.w3.org/2001/XMLSchema" xmlns:p="http://schemas.microsoft.com/office/2006/metadata/properties" xmlns:ns2="b9fc4df0-8f56-46e7-b005-54afe0044df7" targetNamespace="http://schemas.microsoft.com/office/2006/metadata/properties" ma:root="true" ma:fieldsID="4e86dda2f0fdd5bfa93fc52ff69e4c55" ns2:_="">
    <xsd:import namespace="b9fc4df0-8f56-46e7-b005-54afe0044df7"/>
    <xsd:element name="properties">
      <xsd:complexType>
        <xsd:sequence>
          <xsd:element name="documentManagement">
            <xsd:complexType>
              <xsd:all>
                <xsd:element ref="ns2:NumeroAcuerdo" minOccurs="0"/>
                <xsd:element ref="ns2:ContenidoMultilineaHTML"/>
                <xsd:element ref="ns2:NormativaRelacionada" minOccurs="0"/>
                <xsd:element ref="ns2:FechaPublicacionDocumento" minOccurs="0"/>
                <xsd:element ref="ns2:SharedWithUsers" minOccurs="0"/>
                <xsd:element ref="ns2:TipoConteni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NumeroAcuerdo" ma:index="8" nillable="true" ma:displayName="Número Acuerdo" ma:description="" ma:internalName="NumeroAcuerdo">
      <xsd:simpleType>
        <xsd:restriction base="dms:Text"/>
      </xsd:simpleType>
    </xsd:element>
    <xsd:element name="ContenidoMultilineaHTML" ma:index="9" ma:displayName="ContenidoMultilineaHTML" ma:description="" ma:internalName="ContenidoMultilineaHTML">
      <xsd:simpleType>
        <xsd:restriction base="dms:Unknown"/>
      </xsd:simpleType>
    </xsd:element>
    <xsd:element name="NormativaRelacionada" ma:index="10" nillable="true" ma:displayName="Normativa Relacionada" ma:internalName="NormativaRelacionada">
      <xsd:simpleType>
        <xsd:restriction base="dms:Note">
          <xsd:maxLength value="255"/>
        </xsd:restriction>
      </xsd:simpleType>
    </xsd:element>
    <xsd:element name="FechaPublicacionDocumento" ma:index="11" nillable="true" ma:displayName="FechaPublicacionDocumento" ma:description="" ma:internalName="FechaPublicacionDocumento">
      <xsd:simpleType>
        <xsd:restriction base="dms:DateTime"/>
      </xsd:simpleType>
    </xsd:element>
    <xsd:element name="SharedWithUsers" ma:index="12"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poContenido" ma:index="13" nillable="true" ma:displayName="TipoContenido" ma:list="{ec55f565-d8ce-4d28-9f5f-877c6e6feccc}" ma:internalName="TipoContenido" ma:showField="Title" ma:web="b9fc4df0-8f56-46e7-b005-54afe0044df7">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Correspondencia Externa" ma:contentTypeID="0x010100E97154E09FCE6A4E8EAEBD5C54DD1AE402000F4D82EC3D714D40B180419AA41269D4" ma:contentTypeVersion="82" ma:contentTypeDescription="Crear nuevo documento." ma:contentTypeScope="" ma:versionID="e3e9c5d573aab157dabcd40d9b36fded">
  <xsd:schema xmlns:xsd="http://www.w3.org/2001/XMLSchema" xmlns:xs="http://www.w3.org/2001/XMLSchema" xmlns:p="http://schemas.microsoft.com/office/2006/metadata/properties" xmlns:ns1="http://schemas.microsoft.com/sharepoint/v3" xmlns:ns2="b875e23b-67d9-4b2e-bdec-edacbf90b326" xmlns:ns3="233f2551-3930-43c2-a744-679e70430545" targetNamespace="http://schemas.microsoft.com/office/2006/metadata/properties" ma:root="true" ma:fieldsID="11b8c4b33eab3c591788385fefeab8a8" ns1:_="" ns2:_="" ns3:_="">
    <xsd:import namespace="http://schemas.microsoft.com/sharepoint/v3"/>
    <xsd:import namespace="b875e23b-67d9-4b2e-bdec-edacbf90b326"/>
    <xsd:import namespace="233f2551-3930-43c2-a744-679e70430545"/>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oe70cbf463ba4d19a6203d9e6cd457e4" minOccurs="0"/>
                <xsd:element ref="ns2:OtraEntidadExterna" minOccurs="0"/>
                <xsd:element ref="ns3:h924ef3e1de042ccb3dddc0bf72d8fc0"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0" nillable="true" ma:displayName="Fecha de expiración original" ma:hidden="true" ma:internalName="_dlc_ExpireDateSaved" ma:readOnly="true">
      <xsd:simpleType>
        <xsd:restriction base="dms:DateTime"/>
      </xsd:simpleType>
    </xsd:element>
    <xsd:element name="_dlc_ExpireDate" ma:index="41"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257;#SUGESE - Acuerdos|a4c1ee5f-324a-443d-88a9-d7759c9d5e33"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displayName="Confidencialidad_2" ma:hidden="true" ma:internalName="lb0b7da792b243d9bfa96ad7487ad734">
      <xsd:simpleType>
        <xsd:restriction base="dms:Note"/>
      </xsd:simpleType>
    </xsd:element>
    <xsd:element name="i59047726d7740049efd9a6f532367cb" ma:index="30"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4"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6" nillable="true" ma:displayName="Otra (entidad externa)" ma:description="En el caso de que la entidad externa no se encuentre en el catálogo de entidades externas." ma:internalName="OtraEntidadExterna">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3f2551-3930-43c2-a744-679e70430545" elementFormDefault="qualified">
    <xsd:import namespace="http://schemas.microsoft.com/office/2006/documentManagement/types"/>
    <xsd:import namespace="http://schemas.microsoft.com/office/infopath/2007/PartnerControls"/>
    <xsd:element name="h924ef3e1de042ccb3dddc0bf72d8fc0" ma:index="37" nillable="true" ma:taxonomy="true" ma:internalName="h924ef3e1de042ccb3dddc0bf72d8fc0" ma:taxonomyFieldName="Confidencialidad" ma:displayName="Confidencialidad" ma:default="1;#Público|99c2402f-8ec3-4ca8-8024-be52e4e7f629" ma:fieldId="{1924ef3e-1de0-42cc-b3dd-dc0bf72d8fc0}" ma:sspId="031b4bb2-0db7-40b3-a341-fc1511e9642d" ma:termSetId="fec21262-d3f1-4324-a4bb-a0fd74a0629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EAF0213E-2441-4AD1-AB65-E6A0A444AADF}">
  <ds:schemaRefs>
    <ds:schemaRef ds:uri="office.server.policy"/>
  </ds:schemaRefs>
</ds:datastoreItem>
</file>

<file path=customXml/itemProps2.xml><?xml version="1.0" encoding="utf-8"?>
<ds:datastoreItem xmlns:ds="http://schemas.openxmlformats.org/officeDocument/2006/customXml" ds:itemID="{0B2CCEEA-5295-40A3-ABAE-A96E8909E229}"/>
</file>

<file path=customXml/itemProps3.xml><?xml version="1.0" encoding="utf-8"?>
<ds:datastoreItem xmlns:ds="http://schemas.openxmlformats.org/officeDocument/2006/customXml" ds:itemID="{92DA0871-357A-4746-90F9-F34AD770C455}"/>
</file>

<file path=customXml/itemProps4.xml><?xml version="1.0" encoding="utf-8"?>
<ds:datastoreItem xmlns:ds="http://schemas.openxmlformats.org/officeDocument/2006/customXml" ds:itemID="{E5B16521-84D8-4E79-B427-900457E9A71F}"/>
</file>

<file path=customXml/itemProps5.xml><?xml version="1.0" encoding="utf-8"?>
<ds:datastoreItem xmlns:ds="http://schemas.openxmlformats.org/officeDocument/2006/customXml" ds:itemID="{1FA1EFF5-4090-4681-954D-74F3D56B6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233f2551-3930-43c2-a744-679e70430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C218518-83DB-4637-AFE2-5F2504CA222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Plantilla-SGS-A-13.dotm</Template>
  <TotalTime>13</TotalTime>
  <Pages>13</Pages>
  <Words>3004</Words>
  <Characters>16525</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Superintendencia General de Seguros</Company>
  <LinksUpToDate>false</LinksUpToDate>
  <CharactersWithSpaces>19491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SGS-A-0066-2019</dc:title>
  <dc:creator>CASTILLO SOLIS LAURA</dc:creator>
  <cp:lastModifiedBy>SOLEY PEREZ TOMAS</cp:lastModifiedBy>
  <cp:revision>5</cp:revision>
  <dcterms:created xsi:type="dcterms:W3CDTF">2019-09-16T21:14:00Z</dcterms:created>
  <dcterms:modified xsi:type="dcterms:W3CDTF">2019-09-18T22:45:00Z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0x0101002C5259700016054FB9EF02CC18F40A60</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5" name="Confidencialidad">
    <vt:lpwstr>130;#Confidencial|d19c5cf3-f0e9-4d18-86d2-7bee4000e1ea</vt:lpwstr>
  </property>
  <property fmtid="{D5CDD505-2E9C-101B-9397-08002B2CF9AE}" pid="6" name="Integridad">
    <vt:lpwstr>2;#Media|7c263feb-a1d7-4b26-9b28-09e7514882c1</vt:lpwstr>
  </property>
  <property fmtid="{D5CDD505-2E9C-101B-9397-08002B2CF9AE}" pid="7" name="Tipo Documental">
    <vt:lpwstr>126;#Oficio|417b7e3a-1426-4267-afb3-20be5f4d6412</vt:lpwstr>
  </property>
  <property fmtid="{D5CDD505-2E9C-101B-9397-08002B2CF9AE}" pid="8" name="Dirigido a (entidad externa)">
    <vt:lpwstr>446;#Aseguradoras, Sociedades Agencia de Seguros y Corredoras|35c820cc-2e74-4907-8439-32dfa8037acb</vt:lpwstr>
  </property>
  <property fmtid="{D5CDD505-2E9C-101B-9397-08002B2CF9AE}" pid="9" name="Unidad de Destino">
    <vt:lpwstr/>
  </property>
  <property fmtid="{D5CDD505-2E9C-101B-9397-08002B2CF9AE}" pid="10" name="Disponibilidad">
    <vt:lpwstr>3;#Media|3f3debfe-f918-4d91-ad3c-df12ce43024d</vt:lpwstr>
  </property>
  <property fmtid="{D5CDD505-2E9C-101B-9397-08002B2CF9AE}" pid="11" name="Unidad Remitente">
    <vt:lpwstr>257;#SUGESE - Acuerdos|a4c1ee5f-324a-443d-88a9-d7759c9d5e33</vt:lpwstr>
  </property>
  <property fmtid="{D5CDD505-2E9C-101B-9397-08002B2CF9AE}" pid="12" name="Confidencialidad1">
    <vt:lpwstr>1;#Público|99c2402f-8ec3-4ca8-8024-be52e4e7f629</vt:lpwstr>
  </property>
  <property fmtid="{D5CDD505-2E9C-101B-9397-08002B2CF9AE}" pid="13" name="WorkflowChangePath">
    <vt:lpwstr>8aa19240-b0ad-4977-9b98-56abbd27f3cf,4;f96304b9-3f25-47ee-a4c8-8479b82bd6e6,13;</vt:lpwstr>
  </property>
  <property fmtid="{D5CDD505-2E9C-101B-9397-08002B2CF9AE}" pid="14" name="_MarkAsFinal">
    <vt:bool>true</vt:bool>
  </property>
  <property fmtid="{D5CDD505-2E9C-101B-9397-08002B2CF9AE}" pid="15" name="ecm_ItemDeleteBlockHolders">
    <vt:lpwstr>ecm_InPlaceRecordLock</vt:lpwstr>
  </property>
  <property fmtid="{D5CDD505-2E9C-101B-9397-08002B2CF9AE}" pid="16" name="_vti_ItemDeclaredRecord">
    <vt:filetime>2019-09-20T16:04:56Z</vt:filetime>
  </property>
  <property fmtid="{D5CDD505-2E9C-101B-9397-08002B2CF9AE}" pid="17" name="_vti_ItemHoldRecordStatus">
    <vt:i4>273</vt:i4>
  </property>
  <property fmtid="{D5CDD505-2E9C-101B-9397-08002B2CF9AE}" pid="18" name="IconOverlay">
    <vt:lpwstr>|docx|lockoverlay.png</vt:lpwstr>
  </property>
  <property fmtid="{D5CDD505-2E9C-101B-9397-08002B2CF9AE}" pid="19" name="ecm_RecordRestrictions">
    <vt:lpwstr>BlockDelete, BlockEdit</vt:lpwstr>
  </property>
  <property fmtid="{D5CDD505-2E9C-101B-9397-08002B2CF9AE}" pid="20" name="ecm_ItemLockHolders">
    <vt:lpwstr>ecm_InPlaceRecordLock</vt:lpwstr>
  </property>
</Properties>
</file>