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CFED" w14:textId="77777777" w:rsidR="006A3734" w:rsidRPr="006A3734" w:rsidRDefault="006A3734" w:rsidP="006A3734">
      <w:pPr>
        <w:ind w:hanging="567"/>
        <w:jc w:val="both"/>
        <w:rPr>
          <w:rFonts w:ascii="Cambria" w:hAnsi="Cambria"/>
          <w:i/>
          <w:color w:val="000000"/>
        </w:rPr>
      </w:pPr>
      <w:r w:rsidRPr="006A3734">
        <w:rPr>
          <w:rFonts w:ascii="Cambria" w:hAnsi="Cambria"/>
          <w:i/>
          <w:color w:val="000000"/>
        </w:rPr>
        <w:t>Tomas Soley Pérez</w:t>
      </w:r>
    </w:p>
    <w:p w14:paraId="69679BA6" w14:textId="4AD17D3F" w:rsidR="006A3734" w:rsidRPr="006A3734" w:rsidRDefault="006A3734" w:rsidP="006A3734">
      <w:pPr>
        <w:ind w:hanging="567"/>
        <w:jc w:val="both"/>
        <w:rPr>
          <w:rFonts w:ascii="Cambria" w:hAnsi="Cambria"/>
          <w:i/>
          <w:color w:val="000000"/>
        </w:rPr>
      </w:pPr>
      <w:r w:rsidRPr="006A3734">
        <w:rPr>
          <w:rFonts w:ascii="Cambria" w:hAnsi="Cambria"/>
          <w:i/>
          <w:color w:val="000000"/>
        </w:rPr>
        <w:t>Superintendente de Seguros</w:t>
      </w:r>
      <w:r w:rsidR="00CB4B1E">
        <w:rPr>
          <w:rFonts w:ascii="Cambria" w:hAnsi="Cambria"/>
          <w:i/>
          <w:color w:val="000000"/>
        </w:rPr>
        <w:t xml:space="preserve"> a.</w:t>
      </w:r>
      <w:r w:rsidR="002D215E">
        <w:rPr>
          <w:rFonts w:ascii="Cambria" w:hAnsi="Cambria"/>
          <w:i/>
          <w:color w:val="000000"/>
        </w:rPr>
        <w:t xml:space="preserve"> </w:t>
      </w:r>
      <w:r w:rsidR="00CB4B1E">
        <w:rPr>
          <w:rFonts w:ascii="Cambria" w:hAnsi="Cambria"/>
          <w:i/>
          <w:color w:val="000000"/>
        </w:rPr>
        <w:t>i.</w:t>
      </w:r>
    </w:p>
    <w:p w14:paraId="46CB265E" w14:textId="77777777" w:rsidR="006A3734" w:rsidRPr="00CB4B1E" w:rsidRDefault="006A3734" w:rsidP="006A3734">
      <w:pPr>
        <w:jc w:val="both"/>
        <w:rPr>
          <w:rFonts w:ascii="Cambria" w:hAnsi="Cambria"/>
          <w:color w:val="000000"/>
        </w:rPr>
      </w:pPr>
    </w:p>
    <w:p w14:paraId="7A8BAFAC" w14:textId="77777777" w:rsidR="00B330AC" w:rsidRDefault="00B330AC" w:rsidP="00CB4B1E">
      <w:pPr>
        <w:jc w:val="both"/>
        <w:rPr>
          <w:rFonts w:asciiTheme="majorHAnsi" w:hAnsiTheme="majorHAnsi"/>
          <w:bCs/>
        </w:rPr>
      </w:pPr>
    </w:p>
    <w:p w14:paraId="33B836E1" w14:textId="77777777" w:rsidR="00CB4B1E" w:rsidRPr="00CB4B1E" w:rsidRDefault="00CB4B1E" w:rsidP="00CB4B1E">
      <w:pPr>
        <w:jc w:val="both"/>
        <w:rPr>
          <w:rFonts w:asciiTheme="majorHAnsi" w:hAnsiTheme="majorHAnsi"/>
          <w:bCs/>
        </w:rPr>
      </w:pPr>
    </w:p>
    <w:p w14:paraId="5BDF5D48" w14:textId="5BDC46CE" w:rsidR="00B330AC" w:rsidRPr="00CB4B1E" w:rsidRDefault="00CB4B1E" w:rsidP="00B330AC">
      <w:pPr>
        <w:jc w:val="center"/>
        <w:rPr>
          <w:rFonts w:asciiTheme="majorHAnsi" w:hAnsiTheme="majorHAnsi"/>
          <w:b/>
          <w:bCs/>
          <w:sz w:val="28"/>
          <w:szCs w:val="28"/>
        </w:rPr>
      </w:pPr>
      <w:r w:rsidRPr="00CB4B1E">
        <w:rPr>
          <w:rFonts w:asciiTheme="majorHAnsi" w:hAnsiTheme="majorHAnsi"/>
          <w:b/>
          <w:bCs/>
          <w:sz w:val="28"/>
          <w:szCs w:val="28"/>
        </w:rPr>
        <w:t>Ac</w:t>
      </w:r>
      <w:r>
        <w:rPr>
          <w:rFonts w:asciiTheme="majorHAnsi" w:hAnsiTheme="majorHAnsi"/>
          <w:b/>
          <w:bCs/>
          <w:sz w:val="28"/>
          <w:szCs w:val="28"/>
        </w:rPr>
        <w:t>uerdo d</w:t>
      </w:r>
      <w:r w:rsidRPr="00CB4B1E">
        <w:rPr>
          <w:rFonts w:asciiTheme="majorHAnsi" w:hAnsiTheme="majorHAnsi"/>
          <w:b/>
          <w:bCs/>
          <w:sz w:val="28"/>
          <w:szCs w:val="28"/>
        </w:rPr>
        <w:t>e Superintendente</w:t>
      </w:r>
    </w:p>
    <w:sdt>
      <w:sdtPr>
        <w:rPr>
          <w:rFonts w:asciiTheme="majorHAnsi" w:hAnsiTheme="majorHAnsi"/>
          <w:b/>
          <w:bCs/>
          <w:sz w:val="28"/>
          <w:szCs w:val="28"/>
        </w:rPr>
        <w:alias w:val="Consecutivo"/>
        <w:tag w:val="Consecutivo"/>
        <w:id w:val="-1139954053"/>
        <w:placeholder>
          <w:docPart w:val="A666A5EC5FD74600A0D30FE7E66ED4CC"/>
        </w:placeholder>
        <w:showingPlcHdr/>
        <w:text/>
      </w:sdtPr>
      <w:sdtEndPr/>
      <w:sdtContent>
        <w:p w14:paraId="230A807B" w14:textId="77777777" w:rsidR="00B330AC" w:rsidRPr="00FE6669" w:rsidRDefault="00FF3752" w:rsidP="00FE6669">
          <w:pPr>
            <w:jc w:val="center"/>
            <w:rPr>
              <w:rFonts w:asciiTheme="majorHAnsi" w:hAnsiTheme="majorHAnsi"/>
              <w:b/>
              <w:bCs/>
              <w:sz w:val="28"/>
              <w:szCs w:val="28"/>
            </w:rPr>
          </w:pPr>
          <w:r w:rsidRPr="00FE6669">
            <w:rPr>
              <w:rFonts w:asciiTheme="majorHAnsi" w:hAnsiTheme="majorHAnsi"/>
              <w:b/>
              <w:bCs/>
              <w:sz w:val="28"/>
              <w:szCs w:val="28"/>
            </w:rPr>
            <w:t>SGS-A-0059-2017</w:t>
          </w:r>
        </w:p>
      </w:sdtContent>
    </w:sdt>
    <w:p w14:paraId="03D96F56" w14:textId="77777777" w:rsidR="00582EB8" w:rsidRPr="00FE6669" w:rsidRDefault="00582EB8" w:rsidP="00CB4B1E">
      <w:pPr>
        <w:jc w:val="both"/>
        <w:rPr>
          <w:rFonts w:asciiTheme="majorHAnsi" w:hAnsiTheme="majorHAnsi"/>
          <w:bCs/>
        </w:rPr>
      </w:pPr>
    </w:p>
    <w:p w14:paraId="022A5813" w14:textId="77777777" w:rsidR="006C6B9F" w:rsidRPr="00CB4B1E" w:rsidRDefault="006C6B9F" w:rsidP="00CB4B1E">
      <w:pPr>
        <w:jc w:val="both"/>
        <w:rPr>
          <w:rFonts w:asciiTheme="majorHAnsi" w:hAnsiTheme="majorHAnsi"/>
          <w:bCs/>
        </w:rPr>
      </w:pPr>
    </w:p>
    <w:p w14:paraId="4790DC3B" w14:textId="77777777" w:rsidR="00582EB8" w:rsidRPr="00F962FB" w:rsidRDefault="00582EB8" w:rsidP="00582EB8">
      <w:pPr>
        <w:jc w:val="center"/>
        <w:rPr>
          <w:rFonts w:ascii="Cambria" w:hAnsi="Cambria"/>
          <w:b/>
          <w:bCs/>
          <w:lang w:val="es-ES_tradnl"/>
        </w:rPr>
      </w:pPr>
      <w:r w:rsidRPr="00F962FB">
        <w:rPr>
          <w:rFonts w:ascii="Cambria" w:hAnsi="Cambria"/>
          <w:b/>
          <w:bCs/>
          <w:caps/>
          <w:lang w:val="es-ES_tradnl"/>
        </w:rPr>
        <w:t>Modificación de los acuerdos de superintendente</w:t>
      </w:r>
      <w:r w:rsidRPr="00F962FB">
        <w:rPr>
          <w:rFonts w:ascii="Cambria" w:hAnsi="Cambria"/>
          <w:b/>
          <w:bCs/>
          <w:lang w:val="es-ES_tradnl"/>
        </w:rPr>
        <w:t xml:space="preserve"> SGS-DES-A-029-2013 “</w:t>
      </w:r>
      <w:r w:rsidRPr="00F962FB">
        <w:rPr>
          <w:rFonts w:ascii="Cambria" w:hAnsi="Cambria"/>
          <w:b/>
          <w:bCs/>
          <w:i/>
          <w:lang w:val="es-ES_tradnl"/>
        </w:rPr>
        <w:t>LINEAMIENTOS GENERALES PARA LA APLICACIÓN DEL REGLAMENTO SOBRE LA SOLVENCIA DE ENTIDADES DE SEGUROS Y REASEGUROS</w:t>
      </w:r>
      <w:r w:rsidRPr="00F962FB">
        <w:rPr>
          <w:rFonts w:ascii="Cambria" w:hAnsi="Cambria"/>
          <w:b/>
          <w:bCs/>
          <w:lang w:val="es-ES_tradnl"/>
        </w:rPr>
        <w:t xml:space="preserve">”, SGS-DES-A-021-2013 </w:t>
      </w:r>
      <w:r w:rsidRPr="00F962FB">
        <w:rPr>
          <w:rFonts w:ascii="Cambria" w:hAnsi="Cambria"/>
          <w:b/>
          <w:bCs/>
          <w:i/>
          <w:lang w:val="es-ES_tradnl"/>
        </w:rPr>
        <w:t>“</w:t>
      </w:r>
      <w:r w:rsidRPr="00F962FB">
        <w:rPr>
          <w:rFonts w:ascii="Cambria" w:hAnsi="Cambria"/>
          <w:b/>
          <w:bCs/>
          <w:i/>
          <w:caps/>
          <w:lang w:val="es-ES_tradnl"/>
        </w:rPr>
        <w:t>Disposiciones para la Remisión de la Información Contable  y Estadística a la Superintendencia General de Seguros por parte de las Entidades Supervisadas”</w:t>
      </w:r>
      <w:r w:rsidRPr="00F962FB">
        <w:rPr>
          <w:rFonts w:ascii="Cambria" w:hAnsi="Cambria"/>
          <w:b/>
          <w:bCs/>
          <w:lang w:val="es-ES_tradnl"/>
        </w:rPr>
        <w:t xml:space="preserve"> Y SGS-DES-A-028-2013 </w:t>
      </w:r>
      <w:r w:rsidRPr="00F962FB">
        <w:rPr>
          <w:rFonts w:ascii="Cambria" w:hAnsi="Cambria"/>
          <w:b/>
          <w:bCs/>
          <w:i/>
          <w:lang w:val="es-ES_tradnl"/>
        </w:rPr>
        <w:t>“GUÍAS DE APLICACIÓN CONTABLE PARA LA ACTIVIDAD ASEGURADORA Y REASEGURADORA”, PARA NORMAR EL TRATAMIENTO DEL  RIESGO DE TERREMOTO Y ERUPCIÓN VOLCÁNICA</w:t>
      </w:r>
    </w:p>
    <w:p w14:paraId="1B5DA0CC" w14:textId="77777777" w:rsidR="00582EB8" w:rsidRPr="005624EB" w:rsidRDefault="00582EB8" w:rsidP="00582EB8">
      <w:pPr>
        <w:jc w:val="both"/>
        <w:rPr>
          <w:rFonts w:asciiTheme="majorHAnsi" w:hAnsiTheme="majorHAnsi"/>
          <w:color w:val="000000"/>
        </w:rPr>
      </w:pPr>
    </w:p>
    <w:p w14:paraId="71EE7205" w14:textId="77777777" w:rsidR="00582EB8" w:rsidRPr="005624EB" w:rsidRDefault="00582EB8" w:rsidP="00582EB8">
      <w:pPr>
        <w:jc w:val="both"/>
        <w:rPr>
          <w:rFonts w:asciiTheme="majorHAnsi" w:hAnsiTheme="majorHAnsi"/>
          <w:color w:val="000000"/>
        </w:rPr>
      </w:pPr>
    </w:p>
    <w:p w14:paraId="639927B2" w14:textId="1B041F03" w:rsidR="00582EB8" w:rsidRPr="00F962FB" w:rsidRDefault="00582EB8" w:rsidP="00582EB8">
      <w:pPr>
        <w:rPr>
          <w:rFonts w:ascii="Cambria" w:hAnsi="Cambria"/>
        </w:rPr>
      </w:pPr>
      <w:r w:rsidRPr="00F962FB">
        <w:rPr>
          <w:rFonts w:ascii="Cambria" w:hAnsi="Cambria"/>
        </w:rPr>
        <w:t xml:space="preserve">El Superintendente General de Seguros, a las </w:t>
      </w:r>
      <w:r w:rsidR="00FE6669">
        <w:rPr>
          <w:rFonts w:ascii="Cambria" w:hAnsi="Cambria"/>
        </w:rPr>
        <w:t>catorce</w:t>
      </w:r>
      <w:r w:rsidRPr="00F962FB">
        <w:rPr>
          <w:rFonts w:ascii="Cambria" w:hAnsi="Cambria"/>
        </w:rPr>
        <w:t xml:space="preserve"> horas del </w:t>
      </w:r>
      <w:r w:rsidR="00FE6669">
        <w:rPr>
          <w:rFonts w:ascii="Cambria" w:hAnsi="Cambria"/>
        </w:rPr>
        <w:t>cinco</w:t>
      </w:r>
      <w:r w:rsidRPr="00F962FB">
        <w:rPr>
          <w:rFonts w:ascii="Cambria" w:hAnsi="Cambria"/>
        </w:rPr>
        <w:t xml:space="preserve"> de </w:t>
      </w:r>
      <w:r>
        <w:rPr>
          <w:rFonts w:ascii="Cambria" w:hAnsi="Cambria"/>
        </w:rPr>
        <w:t>diciembre</w:t>
      </w:r>
      <w:r w:rsidRPr="00F962FB">
        <w:rPr>
          <w:rFonts w:ascii="Cambria" w:hAnsi="Cambria"/>
        </w:rPr>
        <w:t xml:space="preserve"> de </w:t>
      </w:r>
      <w:r>
        <w:rPr>
          <w:rFonts w:ascii="Cambria" w:hAnsi="Cambria"/>
        </w:rPr>
        <w:t>2017</w:t>
      </w:r>
      <w:r w:rsidR="00FE6669">
        <w:rPr>
          <w:rFonts w:ascii="Cambria" w:hAnsi="Cambria"/>
        </w:rPr>
        <w:t>.</w:t>
      </w:r>
    </w:p>
    <w:p w14:paraId="0594B780" w14:textId="77777777" w:rsidR="00582EB8" w:rsidRDefault="00582EB8" w:rsidP="00582EB8">
      <w:pPr>
        <w:jc w:val="both"/>
        <w:rPr>
          <w:rFonts w:ascii="Cambria" w:hAnsi="Cambria"/>
          <w:lang w:val="es-CR"/>
        </w:rPr>
      </w:pPr>
    </w:p>
    <w:p w14:paraId="55C5D7BC" w14:textId="77777777" w:rsidR="006C6B9F" w:rsidRPr="00F962FB" w:rsidRDefault="006C6B9F" w:rsidP="00582EB8">
      <w:pPr>
        <w:jc w:val="both"/>
        <w:rPr>
          <w:rFonts w:ascii="Cambria" w:hAnsi="Cambria"/>
          <w:lang w:val="es-CR"/>
        </w:rPr>
      </w:pPr>
    </w:p>
    <w:p w14:paraId="35506931" w14:textId="77777777" w:rsidR="00582EB8" w:rsidRPr="00EC3B6D" w:rsidRDefault="00582EB8" w:rsidP="00582EB8">
      <w:pPr>
        <w:jc w:val="center"/>
        <w:rPr>
          <w:rFonts w:ascii="Cambria" w:hAnsi="Cambria"/>
          <w:b/>
          <w:sz w:val="28"/>
        </w:rPr>
      </w:pPr>
      <w:r w:rsidRPr="00EC3B6D">
        <w:rPr>
          <w:rFonts w:ascii="Cambria" w:hAnsi="Cambria"/>
          <w:b/>
          <w:sz w:val="28"/>
        </w:rPr>
        <w:t>Considerando que:</w:t>
      </w:r>
    </w:p>
    <w:p w14:paraId="68E03F69" w14:textId="77777777" w:rsidR="00582EB8" w:rsidRDefault="00582EB8" w:rsidP="00582EB8">
      <w:pPr>
        <w:jc w:val="both"/>
        <w:rPr>
          <w:rFonts w:asciiTheme="majorHAnsi" w:hAnsiTheme="majorHAnsi"/>
          <w:lang w:val="es-CR"/>
        </w:rPr>
      </w:pPr>
    </w:p>
    <w:p w14:paraId="7DED8B56"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El Consejo Nacional de Supervisión del Sistema Financiero aprobó, mediante artículo 8 del acta de la sesión 1050-2013 del 2 de julio de 2013,  el </w:t>
      </w:r>
      <w:r w:rsidRPr="000C339C">
        <w:rPr>
          <w:rFonts w:ascii="Cambria" w:hAnsi="Cambria"/>
          <w:i/>
        </w:rPr>
        <w:t>Reglamento sobre la Solvencia de Entidades de Seguros y Reaseguros</w:t>
      </w:r>
      <w:r w:rsidRPr="000C339C">
        <w:rPr>
          <w:rFonts w:ascii="Cambria" w:hAnsi="Cambria"/>
        </w:rPr>
        <w:t>, Acuerdo SUGESE 02-2013, el cual dispone, por un lado, la normativa de provisiones técnicas aplica</w:t>
      </w:r>
      <w:bookmarkStart w:id="0" w:name="_GoBack"/>
      <w:bookmarkEnd w:id="0"/>
      <w:r w:rsidRPr="000C339C">
        <w:rPr>
          <w:rFonts w:ascii="Cambria" w:hAnsi="Cambria"/>
        </w:rPr>
        <w:t>ble a las entidades de seguros y reaseguro y por otro lado,  las disposiciones sobre el régimen de capital de las aseguradoras, en particular,  la fórmula del cálculo del Índice de Solvencia de Capital (ISC), el  cual en el requerimiento de capital considera el requerimiento de capital por riesgo catastrófico, cuya metodología de cálculo se describe en el Anexo RCS-6 de</w:t>
      </w:r>
      <w:r>
        <w:rPr>
          <w:rFonts w:ascii="Cambria" w:hAnsi="Cambria"/>
        </w:rPr>
        <w:t xml:space="preserve"> dicho reglamento. </w:t>
      </w:r>
      <w:r w:rsidRPr="000C339C">
        <w:rPr>
          <w:rFonts w:ascii="Cambria" w:hAnsi="Cambria"/>
        </w:rPr>
        <w:t xml:space="preserve">Adicionalmente, en el artículo 4 del Reglamento se establece que </w:t>
      </w:r>
      <w:r>
        <w:rPr>
          <w:rFonts w:ascii="Cambria" w:hAnsi="Cambria"/>
        </w:rPr>
        <w:t xml:space="preserve">corresponde </w:t>
      </w:r>
      <w:r w:rsidRPr="000C339C">
        <w:rPr>
          <w:rFonts w:ascii="Cambria" w:hAnsi="Cambria"/>
        </w:rPr>
        <w:t>al Superintendente emitir los Lineamientos Generales para la aplicación de esa normativa y el artículo 14  dispone que las entidades supervisadas remitirán a la Superintendencia el cálculo del requerimiento de capital.</w:t>
      </w:r>
    </w:p>
    <w:p w14:paraId="1D076D89" w14:textId="77777777" w:rsidR="00582EB8" w:rsidRPr="000C339C" w:rsidRDefault="00582EB8" w:rsidP="00582EB8">
      <w:pPr>
        <w:pStyle w:val="Prrafodelista"/>
        <w:ind w:left="426" w:hanging="403"/>
        <w:jc w:val="both"/>
        <w:rPr>
          <w:rFonts w:ascii="Cambria" w:hAnsi="Cambria"/>
        </w:rPr>
      </w:pPr>
    </w:p>
    <w:p w14:paraId="4101EE05"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El inciso j), del artículo 29 de la </w:t>
      </w:r>
      <w:r w:rsidRPr="000C339C">
        <w:rPr>
          <w:rFonts w:ascii="Cambria" w:hAnsi="Cambria"/>
          <w:i/>
        </w:rPr>
        <w:t xml:space="preserve">Ley Reguladora del Mercado de Seguros </w:t>
      </w:r>
      <w:r w:rsidRPr="000C339C">
        <w:rPr>
          <w:rFonts w:ascii="Cambria" w:hAnsi="Cambria"/>
        </w:rPr>
        <w:t xml:space="preserve">(LRMS), Ley N° 8653,  faculta al Superintendente a dictar directrices de carácter técnico u operativo necesarias para el cumplimiento de los objetivos de supervisión que la Ley impone a la Superintendencia General de Seguros.  En particular,  esto le  permita realizar una </w:t>
      </w:r>
      <w:r w:rsidRPr="000C339C">
        <w:rPr>
          <w:rFonts w:ascii="Cambria" w:hAnsi="Cambria"/>
        </w:rPr>
        <w:lastRenderedPageBreak/>
        <w:t xml:space="preserve">evaluación exhaustiva y rigurosa de cada uno de los participantes del mercado de seguros, con el fin de cumplir con el objetivo definido en el artículo 29 de la ley de </w:t>
      </w:r>
      <w:r w:rsidRPr="000C339C">
        <w:rPr>
          <w:rFonts w:ascii="Cambria" w:hAnsi="Cambria"/>
          <w:i/>
        </w:rPr>
        <w:t>“velar por la estabilidad y el eficiente funcionamiento del mercado de seguros, así como entregar la más amplia información a los asegurados”.</w:t>
      </w:r>
      <w:r w:rsidRPr="000C339C">
        <w:rPr>
          <w:rFonts w:ascii="Cambria" w:hAnsi="Cambria"/>
        </w:rPr>
        <w:t xml:space="preserve">  Además, el último párrafo del artículo 26 de LRMS,  relacionado con las obligaciones de las entidades de seguros y reaseguros dispone que, “</w:t>
      </w:r>
      <w:r w:rsidRPr="000C339C">
        <w:rPr>
          <w:rFonts w:ascii="Cambria" w:hAnsi="Cambria"/>
          <w:i/>
        </w:rPr>
        <w:t>el Consejo Nacional y la Superintendencia, según corresponda, podrán emitir la normativa necesaria que determine el contenido de las obligaciones, la periodicidad, las condiciones, los formatos, los términos de operatividad y, en general, cualquier aspecto necesario para su efectivo cumplimiento, supervisión, verificación y sanción en caso de inobservancia.”.</w:t>
      </w:r>
    </w:p>
    <w:p w14:paraId="02151A13" w14:textId="77777777" w:rsidR="00582EB8" w:rsidRPr="000C339C" w:rsidRDefault="00582EB8" w:rsidP="00582EB8">
      <w:pPr>
        <w:pStyle w:val="Prrafodelista"/>
        <w:ind w:left="426" w:hanging="403"/>
        <w:jc w:val="both"/>
        <w:rPr>
          <w:rFonts w:ascii="Cambria" w:hAnsi="Cambria"/>
        </w:rPr>
      </w:pPr>
    </w:p>
    <w:p w14:paraId="7E95FFB9"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De conformidad con los artículos 25 c) y 26 g) de la Ley N° 8653, las entidades aseguradoras y reaseguradoras y los intermediarios del mercado de seguros están obligados a proporcionar a la Superintendencia la información correcta y completa, dentro de los plazos y las formalidades requeridos.</w:t>
      </w:r>
    </w:p>
    <w:p w14:paraId="5B805E95" w14:textId="77777777" w:rsidR="00582EB8" w:rsidRPr="000C339C" w:rsidRDefault="00582EB8" w:rsidP="00582EB8">
      <w:pPr>
        <w:pStyle w:val="Prrafodelista"/>
        <w:ind w:left="426" w:hanging="403"/>
        <w:rPr>
          <w:rFonts w:ascii="Cambria" w:hAnsi="Cambria"/>
        </w:rPr>
      </w:pPr>
    </w:p>
    <w:p w14:paraId="66B96D24" w14:textId="77777777" w:rsidR="00582EB8" w:rsidRPr="006D0D38"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Mediante artículo 10, del acta de la sesión 1053-2013, celebrada el 23 de julio de 2013, el Consejo Nacional de Supervisión del Sistema Financiero, aprobó una nueva versión del Plan de Cuentas para las Entidades de Seguros,  el cual rige desde el 1 de enero de 2014.  Además, las disposiciones generales del Plan de Cuentas para las Entidades de Seguros en su artículo 3, inciso c), señalan que </w:t>
      </w:r>
      <w:r w:rsidRPr="000C339C">
        <w:rPr>
          <w:rFonts w:ascii="Cambria" w:hAnsi="Cambria"/>
          <w:i/>
        </w:rPr>
        <w:t>“…Los Superintendentes conjunta o separadamente pueden emitir guías que consideren necesarias para la adecuada aplicación del plan de cuentas por las entidades supervisadas.”.</w:t>
      </w:r>
    </w:p>
    <w:p w14:paraId="729CF74F" w14:textId="77777777" w:rsidR="00582EB8" w:rsidRPr="006D0D38" w:rsidRDefault="00582EB8" w:rsidP="00582EB8">
      <w:pPr>
        <w:pStyle w:val="Prrafodelista"/>
        <w:ind w:left="426" w:hanging="403"/>
        <w:rPr>
          <w:rFonts w:ascii="Cambria" w:hAnsi="Cambria"/>
        </w:rPr>
      </w:pPr>
    </w:p>
    <w:p w14:paraId="0AC88DDC"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Mediante el acuerdo de Superintendente SGS-DES-A-029-2013, del 17 de septiembre de 2013, se emitieron los </w:t>
      </w:r>
      <w:r w:rsidRPr="000C339C">
        <w:rPr>
          <w:rFonts w:ascii="Cambria" w:hAnsi="Cambria"/>
          <w:i/>
        </w:rPr>
        <w:t>“Lineamientos Generales para la aplicación del Reglamento sobre la Solvencia de Entidades de Seguros y Reaseguros”</w:t>
      </w:r>
      <w:r w:rsidRPr="000C339C">
        <w:rPr>
          <w:rFonts w:ascii="Cambria" w:hAnsi="Cambria"/>
        </w:rPr>
        <w:t>, con el fin de dar cumplimiento al artículo 4 del Reglamento mencionado.</w:t>
      </w:r>
    </w:p>
    <w:p w14:paraId="4AF6E3A6" w14:textId="77777777" w:rsidR="00582EB8" w:rsidRPr="000C339C" w:rsidRDefault="00582EB8" w:rsidP="00582EB8">
      <w:pPr>
        <w:pStyle w:val="Prrafodelista"/>
        <w:ind w:left="426" w:hanging="403"/>
        <w:jc w:val="both"/>
        <w:rPr>
          <w:rFonts w:ascii="Cambria" w:hAnsi="Cambria"/>
        </w:rPr>
      </w:pPr>
    </w:p>
    <w:p w14:paraId="7C883004"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Mediante acuerdo de Superintendente SGS-DES-A-021-2013, del 23 de mayo de 2013, se emitieron las </w:t>
      </w:r>
      <w:r w:rsidRPr="000C339C">
        <w:rPr>
          <w:rFonts w:ascii="Cambria" w:hAnsi="Cambria"/>
          <w:i/>
        </w:rPr>
        <w:t>“Disposiciones para la Remisión de la Información Contable y Estadística a la Superintendencia General de Seguros por parte de las Entidades Supervisadas”</w:t>
      </w:r>
      <w:r w:rsidRPr="000C339C">
        <w:rPr>
          <w:rFonts w:ascii="Cambria" w:hAnsi="Cambria"/>
        </w:rPr>
        <w:t>, las cuales norman los requerimientos de información de la Superintendencia para las entidades supervisadas, el plazo para su remisión, periodicidad y formatos.</w:t>
      </w:r>
    </w:p>
    <w:p w14:paraId="0FA70C0E" w14:textId="77777777" w:rsidR="00582EB8" w:rsidRPr="000C339C" w:rsidRDefault="00582EB8" w:rsidP="00582EB8">
      <w:pPr>
        <w:pStyle w:val="Prrafodelista"/>
        <w:ind w:left="426" w:hanging="403"/>
        <w:rPr>
          <w:rFonts w:ascii="Cambria" w:hAnsi="Cambria"/>
        </w:rPr>
      </w:pPr>
    </w:p>
    <w:p w14:paraId="16863FA4"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Mediante acuerdo de superintendente SGS-DES-A-028-2013 del 11 de setiembre de 2013, se emitieron las </w:t>
      </w:r>
      <w:r w:rsidRPr="000C339C">
        <w:rPr>
          <w:rFonts w:ascii="Cambria" w:hAnsi="Cambria"/>
          <w:i/>
        </w:rPr>
        <w:t>“Guías de Aplicación Contable para la Actividad Aseguradora y Reaseguradora”</w:t>
      </w:r>
      <w:r w:rsidRPr="000C339C">
        <w:rPr>
          <w:rFonts w:ascii="Cambria" w:hAnsi="Cambria"/>
        </w:rPr>
        <w:t>, con el fin de describir el esquema básico para el adecuado registro contable de las operaciones que realizan las aseguradoras y reaseguradoras.</w:t>
      </w:r>
    </w:p>
    <w:p w14:paraId="37444627" w14:textId="77777777" w:rsidR="00582EB8" w:rsidRPr="000C339C" w:rsidRDefault="00582EB8" w:rsidP="00582EB8">
      <w:pPr>
        <w:pStyle w:val="Prrafodelista"/>
        <w:ind w:left="426" w:hanging="403"/>
        <w:rPr>
          <w:rFonts w:ascii="Cambria" w:hAnsi="Cambria"/>
        </w:rPr>
      </w:pPr>
    </w:p>
    <w:p w14:paraId="51441C43" w14:textId="77777777" w:rsidR="00582EB8" w:rsidRPr="006D0D38"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El Conassif mediante acuerdo de </w:t>
      </w:r>
      <w:r w:rsidRPr="006D0D38">
        <w:rPr>
          <w:rFonts w:ascii="Cambria" w:hAnsi="Cambria"/>
        </w:rPr>
        <w:t xml:space="preserve">sesión 1363-2017, celebrada el 3 de octubre de 2017, aprobó  la modificación del </w:t>
      </w:r>
      <w:r w:rsidRPr="006D0D38">
        <w:rPr>
          <w:rFonts w:ascii="Cambria" w:hAnsi="Cambria"/>
          <w:i/>
        </w:rPr>
        <w:t xml:space="preserve">Reglamento sobre la Solvencia de Entidades de Seguros y Reaseguros, </w:t>
      </w:r>
      <w:r w:rsidRPr="006D0D38">
        <w:rPr>
          <w:rFonts w:ascii="Cambria" w:hAnsi="Cambria"/>
        </w:rPr>
        <w:t>del</w:t>
      </w:r>
      <w:r w:rsidRPr="006D0D38">
        <w:rPr>
          <w:rFonts w:ascii="Cambria" w:hAnsi="Cambria"/>
          <w:i/>
        </w:rPr>
        <w:t xml:space="preserve"> Reglamento sobre el Registro de Productos de Seguros, Reglamento de Defensa y Protección del Consumidor de Seguros</w:t>
      </w:r>
      <w:r w:rsidRPr="006D0D38">
        <w:rPr>
          <w:rFonts w:ascii="Cambria" w:hAnsi="Cambria"/>
        </w:rPr>
        <w:t xml:space="preserve"> y del  </w:t>
      </w:r>
      <w:r w:rsidRPr="006D0D38">
        <w:rPr>
          <w:rFonts w:ascii="Cambria" w:hAnsi="Cambria"/>
          <w:i/>
        </w:rPr>
        <w:t>Plan de Cuentas para las Entidades de Seguros</w:t>
      </w:r>
      <w:r w:rsidRPr="006D0D38">
        <w:rPr>
          <w:rFonts w:ascii="Cambria" w:hAnsi="Cambria"/>
        </w:rPr>
        <w:t>, para normar el tratamiento del riesgo de terremoto y erupción volcánica, fundamentalmente con el objetivo de cambiar la forma de cálculo del requerimiento de capital de solvencia por  dicho riesgo y crear  una provisión técnica para los riesgos catastróficos. Dicha modificación fue publicada en el diario oficial La Gaceta el 27 de octubre de 2017 en el Alcance N° 257.</w:t>
      </w:r>
    </w:p>
    <w:p w14:paraId="3CFD04DD" w14:textId="77777777" w:rsidR="00582EB8" w:rsidRPr="000C339C" w:rsidRDefault="00582EB8" w:rsidP="00582EB8">
      <w:pPr>
        <w:pStyle w:val="Prrafodelista"/>
        <w:ind w:left="426" w:hanging="403"/>
        <w:rPr>
          <w:rFonts w:ascii="Cambria" w:hAnsi="Cambria"/>
        </w:rPr>
      </w:pPr>
    </w:p>
    <w:p w14:paraId="51B079E9" w14:textId="77777777" w:rsidR="00582EB8" w:rsidRPr="000C339C" w:rsidRDefault="00582EB8" w:rsidP="00582EB8">
      <w:pPr>
        <w:pStyle w:val="Prrafodelista"/>
        <w:numPr>
          <w:ilvl w:val="0"/>
          <w:numId w:val="4"/>
        </w:numPr>
        <w:ind w:left="426" w:hanging="403"/>
        <w:jc w:val="both"/>
        <w:rPr>
          <w:rFonts w:ascii="Cambria" w:hAnsi="Cambria"/>
        </w:rPr>
      </w:pPr>
      <w:r w:rsidRPr="000C339C">
        <w:rPr>
          <w:rFonts w:ascii="Cambria" w:hAnsi="Cambria"/>
        </w:rPr>
        <w:t xml:space="preserve">La reforma aprobada por el Conassif en relación con el riesgo de </w:t>
      </w:r>
      <w:r>
        <w:rPr>
          <w:rFonts w:ascii="Cambria" w:hAnsi="Cambria"/>
        </w:rPr>
        <w:t>terremoto y erupción volcánica,</w:t>
      </w:r>
      <w:r w:rsidRPr="000C339C">
        <w:rPr>
          <w:rFonts w:ascii="Cambria" w:hAnsi="Cambria"/>
        </w:rPr>
        <w:t xml:space="preserve"> mencionada en el apartado previo, requiere modificar el acuerdo de superintendente SGS-DES-A-029-2013 </w:t>
      </w:r>
      <w:r w:rsidRPr="000C339C">
        <w:rPr>
          <w:rFonts w:ascii="Cambria" w:hAnsi="Cambria"/>
          <w:i/>
        </w:rPr>
        <w:t>“Lineamientos Generales para la aplicación del Reglamento sobre la Solvencia de Entidades de Seguros y Reaseguros”</w:t>
      </w:r>
      <w:r w:rsidRPr="000C339C">
        <w:rPr>
          <w:rFonts w:ascii="Cambria" w:hAnsi="Cambria"/>
        </w:rPr>
        <w:t xml:space="preserve">, para normar la información mínima que las entidades deben mantener a disposición de la Superintendencia sobre el tema y que se  requiere para el cálculo del Requerimiento de Capital de Solvencia por el riesgo catastrófico de terremoto y erupción volcánica.  </w:t>
      </w:r>
    </w:p>
    <w:p w14:paraId="7A41C17F" w14:textId="77777777" w:rsidR="00582EB8" w:rsidRPr="000C339C" w:rsidRDefault="00582EB8" w:rsidP="00582EB8">
      <w:pPr>
        <w:pStyle w:val="Prrafodelista"/>
        <w:ind w:left="426" w:hanging="403"/>
        <w:rPr>
          <w:rFonts w:ascii="Cambria" w:hAnsi="Cambria"/>
        </w:rPr>
      </w:pPr>
    </w:p>
    <w:p w14:paraId="47A92DE1" w14:textId="77777777" w:rsidR="00582EB8" w:rsidRPr="000C339C" w:rsidRDefault="00582EB8" w:rsidP="00582EB8">
      <w:pPr>
        <w:pStyle w:val="Prrafodelista"/>
        <w:numPr>
          <w:ilvl w:val="0"/>
          <w:numId w:val="4"/>
        </w:numPr>
        <w:ind w:left="426" w:hanging="403"/>
        <w:jc w:val="both"/>
        <w:rPr>
          <w:rFonts w:ascii="Cambria" w:hAnsi="Cambria"/>
        </w:rPr>
      </w:pPr>
      <w:r w:rsidRPr="0029785A">
        <w:rPr>
          <w:rFonts w:ascii="Cambria" w:hAnsi="Cambria"/>
        </w:rPr>
        <w:t xml:space="preserve">La modificación aprobada por el Conassif mencionada en el  punto 8, requiere ajustar el </w:t>
      </w:r>
      <w:r w:rsidRPr="000C339C">
        <w:rPr>
          <w:rFonts w:ascii="Cambria" w:hAnsi="Cambria"/>
        </w:rPr>
        <w:t xml:space="preserve">acuerdo de Superintendente SGS-DES-A-021-2013 </w:t>
      </w:r>
      <w:r w:rsidRPr="000C339C">
        <w:rPr>
          <w:rFonts w:ascii="Cambria" w:hAnsi="Cambria"/>
          <w:i/>
        </w:rPr>
        <w:t>“Disposiciones para la Remisión de la Información Contable y Estadística a la Superintendencia General de Seguros por parte de las Entidades Supervisadas”,</w:t>
      </w:r>
      <w:r w:rsidRPr="000C339C">
        <w:rPr>
          <w:rFonts w:ascii="Cambria" w:hAnsi="Cambria"/>
        </w:rPr>
        <w:t xml:space="preserve"> con la finalidad de normar la información que deben remitir las entidades a la superintendencia sobre el cálculo del requerimiento de capital de solvencia por riesgo catastrófico de terremoto y erupción volcánica y crear la provisión para riesgos catastróficos, de igual forma debe modificarse la forma en que las entidades revelan la información del Índice de Suficiencia de Capital. </w:t>
      </w:r>
    </w:p>
    <w:p w14:paraId="4051FD9C" w14:textId="77777777" w:rsidR="00582EB8" w:rsidRPr="000C339C" w:rsidRDefault="00582EB8" w:rsidP="00582EB8">
      <w:pPr>
        <w:pStyle w:val="Prrafodelista"/>
        <w:ind w:left="426" w:hanging="403"/>
        <w:rPr>
          <w:rFonts w:ascii="Cambria" w:hAnsi="Cambria"/>
        </w:rPr>
      </w:pPr>
    </w:p>
    <w:p w14:paraId="247B2097" w14:textId="77777777" w:rsidR="00582EB8" w:rsidRPr="000C339C" w:rsidRDefault="00582EB8" w:rsidP="00582EB8">
      <w:pPr>
        <w:pStyle w:val="Prrafodelista"/>
        <w:numPr>
          <w:ilvl w:val="0"/>
          <w:numId w:val="4"/>
        </w:numPr>
        <w:ind w:left="426" w:hanging="403"/>
        <w:jc w:val="both"/>
        <w:rPr>
          <w:rFonts w:ascii="Cambria" w:hAnsi="Cambria"/>
        </w:rPr>
      </w:pPr>
      <w:r w:rsidRPr="0029785A">
        <w:rPr>
          <w:rFonts w:ascii="Cambria" w:hAnsi="Cambria"/>
        </w:rPr>
        <w:t xml:space="preserve">La modificación aprobada por el Conassif indicada  en el  punto 8, requiere reformar el </w:t>
      </w:r>
      <w:r w:rsidRPr="000C339C">
        <w:rPr>
          <w:rFonts w:ascii="Cambria" w:hAnsi="Cambria"/>
        </w:rPr>
        <w:t xml:space="preserve">acuerdo de Superintendente SGS-DES-A-028-2013 </w:t>
      </w:r>
      <w:r w:rsidRPr="000C339C">
        <w:rPr>
          <w:rFonts w:ascii="Cambria" w:hAnsi="Cambria"/>
          <w:i/>
        </w:rPr>
        <w:t>“Guías de Aplicación Contable para la Actividad Aseguradora y Reaseguradora”</w:t>
      </w:r>
      <w:r w:rsidRPr="000C339C">
        <w:rPr>
          <w:rFonts w:ascii="Cambria" w:hAnsi="Cambria"/>
        </w:rPr>
        <w:t xml:space="preserve"> para incorporar el registro contable de la Provisión técnica para riesgos catastróficos.</w:t>
      </w:r>
    </w:p>
    <w:p w14:paraId="229E0F4F" w14:textId="77777777" w:rsidR="00582EB8" w:rsidRPr="000C339C" w:rsidRDefault="00582EB8" w:rsidP="00582EB8">
      <w:pPr>
        <w:pStyle w:val="Prrafodelista"/>
        <w:ind w:left="426" w:hanging="403"/>
        <w:rPr>
          <w:rFonts w:ascii="Cambria" w:hAnsi="Cambria"/>
        </w:rPr>
      </w:pPr>
    </w:p>
    <w:p w14:paraId="24BE03FF" w14:textId="77777777" w:rsidR="00582EB8" w:rsidRPr="0029785A" w:rsidRDefault="00582EB8" w:rsidP="00582EB8">
      <w:pPr>
        <w:pStyle w:val="Prrafodelista"/>
        <w:numPr>
          <w:ilvl w:val="0"/>
          <w:numId w:val="4"/>
        </w:numPr>
        <w:ind w:left="426" w:hanging="403"/>
        <w:jc w:val="both"/>
        <w:rPr>
          <w:rFonts w:ascii="Cambria" w:hAnsi="Cambria"/>
        </w:rPr>
      </w:pPr>
      <w:r w:rsidRPr="0029785A">
        <w:rPr>
          <w:rFonts w:ascii="Cambria" w:hAnsi="Cambria"/>
        </w:rPr>
        <w:t xml:space="preserve">Mediante oficios SGS-1654-2016 del 26 de octubre de 2016 y SGS-1690-2016 del 3 de noviembre de 2016, la Superintendencia envió a consulta de los participantes del mercado asegurador la propuesta de modificación de los acuerdos de Superintendente SGS-DES-A-029-2013 </w:t>
      </w:r>
      <w:r w:rsidRPr="00132FC6">
        <w:rPr>
          <w:rFonts w:ascii="Cambria" w:hAnsi="Cambria"/>
          <w:i/>
        </w:rPr>
        <w:t>“Lineamientos Generales para la Aplicación del Reglamento sobre la Solvencia de Entidades de Seguros y Reaseguros”</w:t>
      </w:r>
      <w:r w:rsidRPr="0029785A">
        <w:rPr>
          <w:rFonts w:ascii="Cambria" w:hAnsi="Cambria"/>
        </w:rPr>
        <w:t xml:space="preserve">, SGS-DES-A-021-2013 </w:t>
      </w:r>
      <w:r w:rsidRPr="00132FC6">
        <w:rPr>
          <w:rFonts w:ascii="Cambria" w:hAnsi="Cambria"/>
          <w:i/>
        </w:rPr>
        <w:t xml:space="preserve">“Disposiciones para la Remisión de la Información Contable  y Estadística a la Superintendencia General </w:t>
      </w:r>
      <w:r w:rsidRPr="00132FC6">
        <w:rPr>
          <w:rFonts w:ascii="Cambria" w:hAnsi="Cambria"/>
          <w:i/>
        </w:rPr>
        <w:lastRenderedPageBreak/>
        <w:t>de Seguros por parte de las Entidades Supervisadas”</w:t>
      </w:r>
      <w:r w:rsidRPr="0029785A">
        <w:rPr>
          <w:rFonts w:ascii="Cambria" w:hAnsi="Cambria"/>
        </w:rPr>
        <w:t xml:space="preserve"> y SGS-DES-A-028-2013 </w:t>
      </w:r>
      <w:r w:rsidRPr="00132FC6">
        <w:rPr>
          <w:rFonts w:ascii="Cambria" w:hAnsi="Cambria"/>
          <w:i/>
        </w:rPr>
        <w:t>“Guías de Aplicación Contable para la Actividad Aseguradora y Reaseguradora”</w:t>
      </w:r>
      <w:r w:rsidRPr="0029785A">
        <w:rPr>
          <w:rFonts w:ascii="Cambria" w:hAnsi="Cambria"/>
        </w:rPr>
        <w:t>, para normar el tratamiento del  riesgo de terremoto y erupción volcánica, en el entendido de que en un plazo máximo de quince días hábiles, enviaran al Despacho del Superintendente General de Seguros, sus comentarios y observaciones al texto propuesto.</w:t>
      </w:r>
    </w:p>
    <w:p w14:paraId="28AC0D41" w14:textId="77777777" w:rsidR="00582EB8" w:rsidRPr="000C339C" w:rsidRDefault="00582EB8" w:rsidP="00582EB8">
      <w:pPr>
        <w:pStyle w:val="Prrafodelista"/>
        <w:ind w:left="426" w:hanging="403"/>
        <w:rPr>
          <w:rFonts w:ascii="Cambria" w:hAnsi="Cambria"/>
        </w:rPr>
      </w:pPr>
    </w:p>
    <w:p w14:paraId="6B853241" w14:textId="77777777" w:rsidR="00582EB8" w:rsidRPr="00132FC6" w:rsidRDefault="00582EB8" w:rsidP="00582EB8">
      <w:pPr>
        <w:pStyle w:val="Prrafodelista"/>
        <w:numPr>
          <w:ilvl w:val="0"/>
          <w:numId w:val="4"/>
        </w:numPr>
        <w:ind w:left="426" w:hanging="403"/>
        <w:jc w:val="both"/>
        <w:rPr>
          <w:rFonts w:ascii="Cambria" w:hAnsi="Cambria"/>
        </w:rPr>
      </w:pPr>
      <w:r w:rsidRPr="00132FC6">
        <w:rPr>
          <w:rFonts w:ascii="Cambria" w:hAnsi="Cambria"/>
        </w:rPr>
        <w:t>Que una vez recibidas y analizadas las observaciones recibidas de las entidades participantes, fue ajustado en lo que correspondía la propuesta de modificación de los acuerdos mencionados en el apartado previo, para normar el tratamiento del  riesgo de terremoto y erupción volcánica, y lo que procede es aprobar su versión definitiva.</w:t>
      </w:r>
    </w:p>
    <w:p w14:paraId="6FE5D7EE" w14:textId="77777777" w:rsidR="00582EB8" w:rsidRPr="002E6C35" w:rsidRDefault="00582EB8" w:rsidP="00582EB8">
      <w:pPr>
        <w:jc w:val="both"/>
        <w:rPr>
          <w:rFonts w:asciiTheme="majorHAnsi" w:hAnsiTheme="majorHAnsi"/>
          <w:lang w:val="es-CR"/>
        </w:rPr>
      </w:pPr>
    </w:p>
    <w:p w14:paraId="5F99AA17" w14:textId="77777777" w:rsidR="00582EB8" w:rsidRPr="002E6C35" w:rsidRDefault="00582EB8" w:rsidP="00582EB8">
      <w:pPr>
        <w:jc w:val="both"/>
        <w:rPr>
          <w:rFonts w:asciiTheme="majorHAnsi" w:hAnsiTheme="majorHAnsi"/>
          <w:lang w:val="es-CR"/>
        </w:rPr>
      </w:pPr>
    </w:p>
    <w:p w14:paraId="251F0C19" w14:textId="77777777" w:rsidR="00582EB8" w:rsidRPr="00CB4B1E" w:rsidRDefault="00582EB8" w:rsidP="00582EB8">
      <w:pPr>
        <w:jc w:val="center"/>
        <w:rPr>
          <w:rFonts w:asciiTheme="majorHAnsi" w:hAnsiTheme="majorHAnsi"/>
          <w:b/>
          <w:sz w:val="28"/>
          <w:szCs w:val="28"/>
        </w:rPr>
      </w:pPr>
      <w:r w:rsidRPr="00CB4B1E">
        <w:rPr>
          <w:rFonts w:asciiTheme="majorHAnsi" w:hAnsiTheme="majorHAnsi"/>
          <w:b/>
          <w:sz w:val="28"/>
          <w:szCs w:val="28"/>
        </w:rPr>
        <w:t>Dispone:</w:t>
      </w:r>
    </w:p>
    <w:p w14:paraId="331FE975" w14:textId="77777777" w:rsidR="00582EB8" w:rsidRPr="002E6C35" w:rsidRDefault="00582EB8" w:rsidP="00582EB8">
      <w:pPr>
        <w:jc w:val="both"/>
        <w:rPr>
          <w:rFonts w:asciiTheme="majorHAnsi" w:hAnsiTheme="majorHAnsi"/>
          <w:b/>
        </w:rPr>
      </w:pPr>
    </w:p>
    <w:p w14:paraId="6A4C0731" w14:textId="77777777" w:rsidR="00582EB8" w:rsidRPr="002E6C35" w:rsidRDefault="00582EB8" w:rsidP="00582EB8">
      <w:pPr>
        <w:jc w:val="both"/>
        <w:rPr>
          <w:rFonts w:asciiTheme="majorHAnsi" w:hAnsiTheme="majorHAnsi"/>
        </w:rPr>
      </w:pPr>
      <w:r w:rsidRPr="002E6C35">
        <w:rPr>
          <w:rFonts w:asciiTheme="majorHAnsi" w:hAnsiTheme="majorHAnsi"/>
          <w:b/>
        </w:rPr>
        <w:t>Primero:</w:t>
      </w:r>
      <w:r w:rsidRPr="002E6C35">
        <w:rPr>
          <w:rFonts w:asciiTheme="majorHAnsi" w:hAnsiTheme="majorHAnsi"/>
        </w:rPr>
        <w:t xml:space="preserve"> Modificar el capítulo V del acuerdo de Superintendente SGS-DES-A-029-2013 </w:t>
      </w:r>
      <w:r w:rsidRPr="002E6C35">
        <w:rPr>
          <w:rFonts w:asciiTheme="majorHAnsi" w:hAnsiTheme="majorHAnsi"/>
          <w:i/>
        </w:rPr>
        <w:t>“Lineamientos Generales para la aplicación del Reglamento sobre la Solvencia de Entidades de Seguros y Reaseguros”</w:t>
      </w:r>
      <w:r w:rsidRPr="002E6C35">
        <w:rPr>
          <w:rFonts w:asciiTheme="majorHAnsi" w:hAnsiTheme="majorHAnsi"/>
        </w:rPr>
        <w:t>, para que en adelante se lea de la siguiente forma:</w:t>
      </w:r>
    </w:p>
    <w:p w14:paraId="01BCCCE7" w14:textId="77777777" w:rsidR="00582EB8" w:rsidRDefault="00582EB8" w:rsidP="00582EB8">
      <w:pPr>
        <w:jc w:val="both"/>
        <w:rPr>
          <w:rFonts w:asciiTheme="majorHAnsi" w:hAnsiTheme="majorHAnsi"/>
        </w:rPr>
      </w:pPr>
    </w:p>
    <w:p w14:paraId="4C396FF5" w14:textId="77777777" w:rsidR="00CB4B1E" w:rsidRPr="002E6C35" w:rsidRDefault="00CB4B1E" w:rsidP="00582EB8">
      <w:pPr>
        <w:jc w:val="both"/>
        <w:rPr>
          <w:rFonts w:asciiTheme="majorHAnsi" w:hAnsiTheme="majorHAnsi"/>
        </w:rPr>
      </w:pPr>
    </w:p>
    <w:p w14:paraId="430D7530" w14:textId="77777777" w:rsidR="00582EB8" w:rsidRPr="00F57CF8" w:rsidRDefault="00582EB8" w:rsidP="00582EB8">
      <w:pPr>
        <w:jc w:val="center"/>
        <w:rPr>
          <w:rFonts w:asciiTheme="majorHAnsi" w:hAnsiTheme="majorHAnsi"/>
          <w:b/>
          <w:sz w:val="22"/>
        </w:rPr>
      </w:pPr>
      <w:r w:rsidRPr="00F57CF8">
        <w:rPr>
          <w:rFonts w:asciiTheme="majorHAnsi" w:hAnsiTheme="majorHAnsi"/>
          <w:b/>
          <w:sz w:val="22"/>
        </w:rPr>
        <w:t>CAPÍTULO V</w:t>
      </w:r>
    </w:p>
    <w:p w14:paraId="76557FEA" w14:textId="77777777" w:rsidR="00582EB8" w:rsidRPr="00F57CF8" w:rsidRDefault="00582EB8" w:rsidP="00582EB8">
      <w:pPr>
        <w:jc w:val="center"/>
        <w:rPr>
          <w:rFonts w:asciiTheme="majorHAnsi" w:hAnsiTheme="majorHAnsi"/>
          <w:b/>
          <w:sz w:val="22"/>
        </w:rPr>
      </w:pPr>
      <w:r w:rsidRPr="00F57CF8">
        <w:rPr>
          <w:rFonts w:asciiTheme="majorHAnsi" w:hAnsiTheme="majorHAnsi"/>
          <w:b/>
          <w:sz w:val="22"/>
        </w:rPr>
        <w:t>Zonas sísmicas</w:t>
      </w:r>
    </w:p>
    <w:p w14:paraId="49191DCE" w14:textId="77777777" w:rsidR="00582EB8" w:rsidRPr="00F57CF8" w:rsidRDefault="00582EB8" w:rsidP="00CB4B1E">
      <w:pPr>
        <w:jc w:val="both"/>
        <w:rPr>
          <w:rFonts w:asciiTheme="majorHAnsi" w:hAnsiTheme="majorHAnsi"/>
          <w:b/>
          <w:sz w:val="22"/>
        </w:rPr>
      </w:pPr>
    </w:p>
    <w:p w14:paraId="639953F5" w14:textId="77777777" w:rsidR="00582EB8" w:rsidRPr="00F57CF8" w:rsidRDefault="00582EB8" w:rsidP="00582EB8">
      <w:pPr>
        <w:jc w:val="both"/>
        <w:rPr>
          <w:rFonts w:asciiTheme="majorHAnsi" w:hAnsiTheme="majorHAnsi"/>
          <w:sz w:val="22"/>
        </w:rPr>
      </w:pPr>
      <w:r w:rsidRPr="00F57CF8">
        <w:rPr>
          <w:rFonts w:asciiTheme="majorHAnsi" w:hAnsiTheme="majorHAnsi"/>
          <w:b/>
          <w:sz w:val="22"/>
        </w:rPr>
        <w:t>Artículo 25:</w:t>
      </w:r>
      <w:r w:rsidRPr="00F57CF8">
        <w:rPr>
          <w:rFonts w:asciiTheme="majorHAnsi" w:hAnsiTheme="majorHAnsi"/>
          <w:sz w:val="22"/>
        </w:rPr>
        <w:t xml:space="preserve"> Zonas sísmicas para el cálculo del Requerimiento de Capital de Solvencia por Riesgo Catastrófico de Terremoto y Erupción Volcánica.</w:t>
      </w:r>
    </w:p>
    <w:p w14:paraId="0C36BBF8" w14:textId="77777777" w:rsidR="00582EB8" w:rsidRPr="00F57CF8" w:rsidRDefault="00582EB8" w:rsidP="00582EB8">
      <w:pPr>
        <w:jc w:val="both"/>
        <w:rPr>
          <w:rFonts w:asciiTheme="majorHAnsi" w:hAnsiTheme="majorHAnsi"/>
          <w:sz w:val="22"/>
        </w:rPr>
      </w:pPr>
    </w:p>
    <w:p w14:paraId="2AD5C407" w14:textId="77777777" w:rsidR="00582EB8" w:rsidRPr="00F57CF8" w:rsidRDefault="00582EB8" w:rsidP="00582EB8">
      <w:pPr>
        <w:jc w:val="both"/>
        <w:rPr>
          <w:rFonts w:asciiTheme="majorHAnsi" w:hAnsiTheme="majorHAnsi"/>
          <w:sz w:val="22"/>
        </w:rPr>
      </w:pPr>
      <w:r w:rsidRPr="00F57CF8">
        <w:rPr>
          <w:rFonts w:asciiTheme="majorHAnsi" w:hAnsiTheme="majorHAnsi"/>
          <w:sz w:val="22"/>
        </w:rPr>
        <w:t>Las zonas sísmicas para el cálculo del Requerimiento de Capital de Solvencia por Riesgo Catastrófico de Terremoto y Erupción Volcánica, a las que hace referencia el apartado B del Anexo RCS-6 del Reglamento, son las siguientes:</w:t>
      </w:r>
    </w:p>
    <w:p w14:paraId="65CE1D74" w14:textId="77777777" w:rsidR="00582EB8" w:rsidRDefault="00582EB8" w:rsidP="00582EB8">
      <w:pPr>
        <w:jc w:val="both"/>
        <w:rPr>
          <w:rFonts w:asciiTheme="majorHAnsi" w:hAnsiTheme="majorHAnsi"/>
          <w:lang w:val="es-CR"/>
        </w:rPr>
      </w:pPr>
    </w:p>
    <w:p w14:paraId="7F76E67C" w14:textId="77777777" w:rsidR="006C6B9F" w:rsidRPr="002E6C35" w:rsidRDefault="006C6B9F" w:rsidP="00582EB8">
      <w:pPr>
        <w:jc w:val="both"/>
        <w:rPr>
          <w:rFonts w:asciiTheme="majorHAnsi" w:hAnsiTheme="majorHAnsi"/>
          <w:lang w:val="es-CR"/>
        </w:rPr>
      </w:pPr>
    </w:p>
    <w:tbl>
      <w:tblPr>
        <w:tblW w:w="7650" w:type="dxa"/>
        <w:jc w:val="center"/>
        <w:tblLayout w:type="fixed"/>
        <w:tblCellMar>
          <w:left w:w="70" w:type="dxa"/>
          <w:right w:w="70" w:type="dxa"/>
        </w:tblCellMar>
        <w:tblLook w:val="04A0" w:firstRow="1" w:lastRow="0" w:firstColumn="1" w:lastColumn="0" w:noHBand="0" w:noVBand="1"/>
      </w:tblPr>
      <w:tblGrid>
        <w:gridCol w:w="1980"/>
        <w:gridCol w:w="1984"/>
        <w:gridCol w:w="2268"/>
        <w:gridCol w:w="1418"/>
      </w:tblGrid>
      <w:tr w:rsidR="00582EB8" w:rsidRPr="00F57CF8" w14:paraId="618710E5" w14:textId="77777777" w:rsidTr="006C6B9F">
        <w:trPr>
          <w:cantSplit/>
          <w:trHeight w:val="486"/>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F4CCDF9" w14:textId="77777777" w:rsidR="00582EB8" w:rsidRPr="00F57CF8" w:rsidRDefault="00582EB8" w:rsidP="00873BB1">
            <w:pPr>
              <w:jc w:val="center"/>
              <w:rPr>
                <w:rFonts w:asciiTheme="majorHAnsi" w:hAnsiTheme="majorHAnsi"/>
                <w:b/>
                <w:bCs/>
                <w:sz w:val="20"/>
                <w:szCs w:val="20"/>
              </w:rPr>
            </w:pPr>
            <w:r w:rsidRPr="00F57CF8">
              <w:rPr>
                <w:rFonts w:asciiTheme="majorHAnsi" w:hAnsiTheme="majorHAnsi"/>
                <w:b/>
                <w:bCs/>
                <w:sz w:val="20"/>
                <w:szCs w:val="20"/>
              </w:rPr>
              <w:t xml:space="preserve">Provincia </w:t>
            </w:r>
          </w:p>
        </w:tc>
        <w:tc>
          <w:tcPr>
            <w:tcW w:w="1984"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30869356" w14:textId="77777777" w:rsidR="00582EB8" w:rsidRPr="00F57CF8" w:rsidRDefault="00582EB8" w:rsidP="00873BB1">
            <w:pPr>
              <w:jc w:val="center"/>
              <w:rPr>
                <w:rFonts w:asciiTheme="majorHAnsi" w:hAnsiTheme="majorHAnsi"/>
                <w:b/>
                <w:bCs/>
                <w:sz w:val="20"/>
                <w:szCs w:val="20"/>
              </w:rPr>
            </w:pPr>
            <w:r w:rsidRPr="00F57CF8">
              <w:rPr>
                <w:rFonts w:asciiTheme="majorHAnsi" w:hAnsiTheme="majorHAnsi"/>
                <w:b/>
                <w:bCs/>
                <w:sz w:val="20"/>
                <w:szCs w:val="20"/>
              </w:rPr>
              <w:t xml:space="preserve">Cantón </w:t>
            </w:r>
          </w:p>
        </w:tc>
        <w:tc>
          <w:tcPr>
            <w:tcW w:w="2268"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35CF27D4" w14:textId="77777777" w:rsidR="00582EB8" w:rsidRPr="00F57CF8" w:rsidRDefault="00582EB8" w:rsidP="00873BB1">
            <w:pPr>
              <w:jc w:val="center"/>
              <w:rPr>
                <w:rFonts w:asciiTheme="majorHAnsi" w:hAnsiTheme="majorHAnsi"/>
                <w:b/>
                <w:bCs/>
                <w:sz w:val="20"/>
                <w:szCs w:val="20"/>
              </w:rPr>
            </w:pPr>
            <w:r w:rsidRPr="00F57CF8">
              <w:rPr>
                <w:rFonts w:asciiTheme="majorHAnsi" w:hAnsiTheme="majorHAnsi"/>
                <w:b/>
                <w:bCs/>
                <w:sz w:val="20"/>
                <w:szCs w:val="20"/>
              </w:rPr>
              <w:t xml:space="preserve">Distrito </w:t>
            </w:r>
          </w:p>
        </w:tc>
        <w:tc>
          <w:tcPr>
            <w:tcW w:w="141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737C4D5" w14:textId="77777777" w:rsidR="00582EB8" w:rsidRPr="00F57CF8" w:rsidRDefault="00582EB8" w:rsidP="00873BB1">
            <w:pPr>
              <w:jc w:val="center"/>
              <w:rPr>
                <w:rFonts w:asciiTheme="majorHAnsi" w:hAnsiTheme="majorHAnsi"/>
                <w:b/>
                <w:bCs/>
                <w:sz w:val="20"/>
                <w:szCs w:val="20"/>
              </w:rPr>
            </w:pPr>
            <w:r w:rsidRPr="00F57CF8">
              <w:rPr>
                <w:rFonts w:asciiTheme="majorHAnsi" w:hAnsiTheme="majorHAnsi"/>
                <w:b/>
                <w:bCs/>
                <w:sz w:val="20"/>
                <w:szCs w:val="20"/>
              </w:rPr>
              <w:t>Zona sísmica (z)</w:t>
            </w:r>
          </w:p>
        </w:tc>
      </w:tr>
      <w:tr w:rsidR="00582EB8" w:rsidRPr="00F57CF8" w14:paraId="40A06449" w14:textId="77777777" w:rsidTr="00873BB1">
        <w:trPr>
          <w:cantSplit/>
          <w:trHeight w:val="255"/>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A0022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 San José </w:t>
            </w:r>
          </w:p>
        </w:tc>
        <w:tc>
          <w:tcPr>
            <w:tcW w:w="1984" w:type="dxa"/>
            <w:tcBorders>
              <w:top w:val="nil"/>
              <w:left w:val="nil"/>
              <w:bottom w:val="single" w:sz="4" w:space="0" w:color="auto"/>
              <w:right w:val="single" w:sz="4" w:space="0" w:color="auto"/>
            </w:tcBorders>
            <w:shd w:val="clear" w:color="auto" w:fill="auto"/>
            <w:noWrap/>
            <w:vAlign w:val="bottom"/>
            <w:hideMark/>
          </w:tcPr>
          <w:p w14:paraId="367F474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 San José </w:t>
            </w:r>
          </w:p>
        </w:tc>
        <w:tc>
          <w:tcPr>
            <w:tcW w:w="2268" w:type="dxa"/>
            <w:tcBorders>
              <w:top w:val="nil"/>
              <w:left w:val="nil"/>
              <w:bottom w:val="single" w:sz="4" w:space="0" w:color="auto"/>
              <w:right w:val="single" w:sz="4" w:space="0" w:color="auto"/>
            </w:tcBorders>
            <w:shd w:val="clear" w:color="auto" w:fill="auto"/>
            <w:noWrap/>
            <w:vAlign w:val="bottom"/>
            <w:hideMark/>
          </w:tcPr>
          <w:p w14:paraId="4BDED9C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3F55260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03188BF"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4340F8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C445AB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2. Escazú </w:t>
            </w:r>
          </w:p>
        </w:tc>
        <w:tc>
          <w:tcPr>
            <w:tcW w:w="2268" w:type="dxa"/>
            <w:tcBorders>
              <w:top w:val="nil"/>
              <w:left w:val="nil"/>
              <w:bottom w:val="single" w:sz="4" w:space="0" w:color="auto"/>
              <w:right w:val="single" w:sz="4" w:space="0" w:color="auto"/>
            </w:tcBorders>
            <w:shd w:val="clear" w:color="auto" w:fill="auto"/>
            <w:noWrap/>
            <w:vAlign w:val="bottom"/>
            <w:hideMark/>
          </w:tcPr>
          <w:p w14:paraId="255868C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BB7AB4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08BA17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757E0B3"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15420A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3. Desamparados </w:t>
            </w:r>
          </w:p>
        </w:tc>
        <w:tc>
          <w:tcPr>
            <w:tcW w:w="2268" w:type="dxa"/>
            <w:tcBorders>
              <w:top w:val="nil"/>
              <w:left w:val="nil"/>
              <w:bottom w:val="single" w:sz="4" w:space="0" w:color="auto"/>
              <w:right w:val="single" w:sz="4" w:space="0" w:color="auto"/>
            </w:tcBorders>
            <w:shd w:val="clear" w:color="auto" w:fill="auto"/>
            <w:noWrap/>
            <w:vAlign w:val="bottom"/>
            <w:hideMark/>
          </w:tcPr>
          <w:p w14:paraId="0375502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691C05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9BD26AB"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7BE3B5A" w14:textId="77777777" w:rsidR="00582EB8" w:rsidRPr="00F57CF8" w:rsidRDefault="00582EB8" w:rsidP="00873BB1">
            <w:pPr>
              <w:rPr>
                <w:rFonts w:asciiTheme="majorHAnsi" w:hAnsiTheme="majorHAnsi"/>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7E5D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4. Puriscal </w:t>
            </w:r>
          </w:p>
        </w:tc>
        <w:tc>
          <w:tcPr>
            <w:tcW w:w="2268" w:type="dxa"/>
            <w:tcBorders>
              <w:top w:val="nil"/>
              <w:left w:val="nil"/>
              <w:bottom w:val="single" w:sz="4" w:space="0" w:color="auto"/>
              <w:right w:val="single" w:sz="4" w:space="0" w:color="auto"/>
            </w:tcBorders>
            <w:shd w:val="clear" w:color="auto" w:fill="auto"/>
            <w:noWrap/>
            <w:vAlign w:val="bottom"/>
            <w:hideMark/>
          </w:tcPr>
          <w:p w14:paraId="4C38D2B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Santiago</w:t>
            </w:r>
          </w:p>
        </w:tc>
        <w:tc>
          <w:tcPr>
            <w:tcW w:w="1418" w:type="dxa"/>
            <w:tcBorders>
              <w:top w:val="nil"/>
              <w:left w:val="nil"/>
              <w:bottom w:val="single" w:sz="4" w:space="0" w:color="auto"/>
              <w:right w:val="single" w:sz="4" w:space="0" w:color="auto"/>
            </w:tcBorders>
            <w:shd w:val="clear" w:color="auto" w:fill="auto"/>
            <w:noWrap/>
            <w:vAlign w:val="bottom"/>
            <w:hideMark/>
          </w:tcPr>
          <w:p w14:paraId="3AF8115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7917A73"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48814A95"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23171584"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7A1253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Mercedes Sur</w:t>
            </w:r>
          </w:p>
        </w:tc>
        <w:tc>
          <w:tcPr>
            <w:tcW w:w="1418" w:type="dxa"/>
            <w:tcBorders>
              <w:top w:val="nil"/>
              <w:left w:val="nil"/>
              <w:bottom w:val="single" w:sz="4" w:space="0" w:color="auto"/>
              <w:right w:val="single" w:sz="4" w:space="0" w:color="auto"/>
            </w:tcBorders>
            <w:shd w:val="clear" w:color="auto" w:fill="auto"/>
            <w:noWrap/>
            <w:vAlign w:val="bottom"/>
            <w:hideMark/>
          </w:tcPr>
          <w:p w14:paraId="0C1CCA8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5177C6F"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33136179"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098F34AE"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5E4A2E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Barbacoas</w:t>
            </w:r>
          </w:p>
        </w:tc>
        <w:tc>
          <w:tcPr>
            <w:tcW w:w="1418" w:type="dxa"/>
            <w:tcBorders>
              <w:top w:val="nil"/>
              <w:left w:val="nil"/>
              <w:bottom w:val="single" w:sz="4" w:space="0" w:color="auto"/>
              <w:right w:val="single" w:sz="4" w:space="0" w:color="auto"/>
            </w:tcBorders>
            <w:shd w:val="clear" w:color="auto" w:fill="auto"/>
            <w:noWrap/>
            <w:vAlign w:val="bottom"/>
            <w:hideMark/>
          </w:tcPr>
          <w:p w14:paraId="3F4A010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0003DD8"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410D7BF3"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3D58FA03"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97C0BA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Grifo Alto</w:t>
            </w:r>
          </w:p>
        </w:tc>
        <w:tc>
          <w:tcPr>
            <w:tcW w:w="1418" w:type="dxa"/>
            <w:tcBorders>
              <w:top w:val="nil"/>
              <w:left w:val="nil"/>
              <w:bottom w:val="single" w:sz="4" w:space="0" w:color="auto"/>
              <w:right w:val="single" w:sz="4" w:space="0" w:color="auto"/>
            </w:tcBorders>
            <w:shd w:val="clear" w:color="auto" w:fill="auto"/>
            <w:noWrap/>
            <w:vAlign w:val="bottom"/>
            <w:hideMark/>
          </w:tcPr>
          <w:p w14:paraId="46D8A35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B89AB93"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4514224"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5C631B2C"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116422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San Rafael</w:t>
            </w:r>
          </w:p>
        </w:tc>
        <w:tc>
          <w:tcPr>
            <w:tcW w:w="1418" w:type="dxa"/>
            <w:tcBorders>
              <w:top w:val="nil"/>
              <w:left w:val="nil"/>
              <w:bottom w:val="single" w:sz="4" w:space="0" w:color="auto"/>
              <w:right w:val="single" w:sz="4" w:space="0" w:color="auto"/>
            </w:tcBorders>
            <w:shd w:val="clear" w:color="auto" w:fill="auto"/>
            <w:noWrap/>
            <w:vAlign w:val="bottom"/>
            <w:hideMark/>
          </w:tcPr>
          <w:p w14:paraId="2DF56DF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A5EC455"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B87FB5F"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1AC3449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02BA0A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Candelaria</w:t>
            </w:r>
          </w:p>
        </w:tc>
        <w:tc>
          <w:tcPr>
            <w:tcW w:w="1418" w:type="dxa"/>
            <w:tcBorders>
              <w:top w:val="nil"/>
              <w:left w:val="nil"/>
              <w:bottom w:val="single" w:sz="4" w:space="0" w:color="auto"/>
              <w:right w:val="single" w:sz="4" w:space="0" w:color="auto"/>
            </w:tcBorders>
            <w:shd w:val="clear" w:color="auto" w:fill="auto"/>
            <w:noWrap/>
            <w:vAlign w:val="bottom"/>
            <w:hideMark/>
          </w:tcPr>
          <w:p w14:paraId="34BF4FA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406580D"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09EB97D"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343EA443"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2306C7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Desamparaditos</w:t>
            </w:r>
          </w:p>
        </w:tc>
        <w:tc>
          <w:tcPr>
            <w:tcW w:w="1418" w:type="dxa"/>
            <w:tcBorders>
              <w:top w:val="nil"/>
              <w:left w:val="nil"/>
              <w:bottom w:val="single" w:sz="4" w:space="0" w:color="auto"/>
              <w:right w:val="single" w:sz="4" w:space="0" w:color="auto"/>
            </w:tcBorders>
            <w:shd w:val="clear" w:color="auto" w:fill="auto"/>
            <w:noWrap/>
            <w:vAlign w:val="bottom"/>
            <w:hideMark/>
          </w:tcPr>
          <w:p w14:paraId="76BEE28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B13B28C"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26CA4F1"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2D00909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9B6A41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San Antonio</w:t>
            </w:r>
          </w:p>
        </w:tc>
        <w:tc>
          <w:tcPr>
            <w:tcW w:w="1418" w:type="dxa"/>
            <w:tcBorders>
              <w:top w:val="nil"/>
              <w:left w:val="nil"/>
              <w:bottom w:val="single" w:sz="4" w:space="0" w:color="auto"/>
              <w:right w:val="single" w:sz="4" w:space="0" w:color="auto"/>
            </w:tcBorders>
            <w:shd w:val="clear" w:color="auto" w:fill="auto"/>
            <w:noWrap/>
            <w:vAlign w:val="bottom"/>
            <w:hideMark/>
          </w:tcPr>
          <w:p w14:paraId="3EC15CD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3CCBE5D"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DB563CC"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12C2792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9ADAFA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Chires</w:t>
            </w:r>
          </w:p>
        </w:tc>
        <w:tc>
          <w:tcPr>
            <w:tcW w:w="1418" w:type="dxa"/>
            <w:tcBorders>
              <w:top w:val="nil"/>
              <w:left w:val="nil"/>
              <w:bottom w:val="single" w:sz="4" w:space="0" w:color="auto"/>
              <w:right w:val="single" w:sz="4" w:space="0" w:color="auto"/>
            </w:tcBorders>
            <w:shd w:val="clear" w:color="auto" w:fill="auto"/>
            <w:noWrap/>
            <w:vAlign w:val="bottom"/>
            <w:hideMark/>
          </w:tcPr>
          <w:p w14:paraId="2739144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19398F31"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0AFE14E"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663604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5. Tarrazú </w:t>
            </w:r>
          </w:p>
        </w:tc>
        <w:tc>
          <w:tcPr>
            <w:tcW w:w="2268" w:type="dxa"/>
            <w:tcBorders>
              <w:top w:val="nil"/>
              <w:left w:val="nil"/>
              <w:bottom w:val="single" w:sz="4" w:space="0" w:color="auto"/>
              <w:right w:val="single" w:sz="4" w:space="0" w:color="auto"/>
            </w:tcBorders>
            <w:shd w:val="clear" w:color="auto" w:fill="auto"/>
            <w:noWrap/>
            <w:vAlign w:val="bottom"/>
            <w:hideMark/>
          </w:tcPr>
          <w:p w14:paraId="4D714FD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F10F95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FDD8FD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036FA74"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833220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6. Aserrí </w:t>
            </w:r>
          </w:p>
        </w:tc>
        <w:tc>
          <w:tcPr>
            <w:tcW w:w="2268" w:type="dxa"/>
            <w:tcBorders>
              <w:top w:val="nil"/>
              <w:left w:val="nil"/>
              <w:bottom w:val="single" w:sz="4" w:space="0" w:color="auto"/>
              <w:right w:val="single" w:sz="4" w:space="0" w:color="auto"/>
            </w:tcBorders>
            <w:shd w:val="clear" w:color="auto" w:fill="auto"/>
            <w:noWrap/>
            <w:vAlign w:val="bottom"/>
            <w:hideMark/>
          </w:tcPr>
          <w:p w14:paraId="0CAE853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1E38B0A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E08A35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1E42C81"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98C456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7. Mora </w:t>
            </w:r>
          </w:p>
        </w:tc>
        <w:tc>
          <w:tcPr>
            <w:tcW w:w="2268" w:type="dxa"/>
            <w:tcBorders>
              <w:top w:val="nil"/>
              <w:left w:val="nil"/>
              <w:bottom w:val="single" w:sz="4" w:space="0" w:color="auto"/>
              <w:right w:val="single" w:sz="4" w:space="0" w:color="auto"/>
            </w:tcBorders>
            <w:shd w:val="clear" w:color="auto" w:fill="auto"/>
            <w:noWrap/>
            <w:vAlign w:val="bottom"/>
            <w:hideMark/>
          </w:tcPr>
          <w:p w14:paraId="754E5F1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5AA3192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3228C2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C6F26F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F36637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8. Goicoechea </w:t>
            </w:r>
          </w:p>
        </w:tc>
        <w:tc>
          <w:tcPr>
            <w:tcW w:w="2268" w:type="dxa"/>
            <w:tcBorders>
              <w:top w:val="nil"/>
              <w:left w:val="nil"/>
              <w:bottom w:val="single" w:sz="4" w:space="0" w:color="auto"/>
              <w:right w:val="single" w:sz="4" w:space="0" w:color="auto"/>
            </w:tcBorders>
            <w:shd w:val="clear" w:color="auto" w:fill="auto"/>
            <w:noWrap/>
            <w:vAlign w:val="bottom"/>
            <w:hideMark/>
          </w:tcPr>
          <w:p w14:paraId="64938E3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BC301A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98E7276"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F678803"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1D9BEB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9. Santa Ana </w:t>
            </w:r>
          </w:p>
        </w:tc>
        <w:tc>
          <w:tcPr>
            <w:tcW w:w="2268" w:type="dxa"/>
            <w:tcBorders>
              <w:top w:val="nil"/>
              <w:left w:val="nil"/>
              <w:bottom w:val="single" w:sz="4" w:space="0" w:color="auto"/>
              <w:right w:val="single" w:sz="4" w:space="0" w:color="auto"/>
            </w:tcBorders>
            <w:shd w:val="clear" w:color="auto" w:fill="auto"/>
            <w:noWrap/>
            <w:vAlign w:val="bottom"/>
            <w:hideMark/>
          </w:tcPr>
          <w:p w14:paraId="49776F5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5F7413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D665FD2"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8CA06A3"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96D791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10. Alajuelita </w:t>
            </w:r>
          </w:p>
        </w:tc>
        <w:tc>
          <w:tcPr>
            <w:tcW w:w="2268" w:type="dxa"/>
            <w:tcBorders>
              <w:top w:val="nil"/>
              <w:left w:val="nil"/>
              <w:bottom w:val="single" w:sz="4" w:space="0" w:color="auto"/>
              <w:right w:val="single" w:sz="4" w:space="0" w:color="auto"/>
            </w:tcBorders>
            <w:shd w:val="clear" w:color="auto" w:fill="auto"/>
            <w:noWrap/>
            <w:vAlign w:val="bottom"/>
            <w:hideMark/>
          </w:tcPr>
          <w:p w14:paraId="67CBA4C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A7D20F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167FB83"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B76EF0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CBDB7F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11. Vázquez de Coronado</w:t>
            </w:r>
          </w:p>
        </w:tc>
        <w:tc>
          <w:tcPr>
            <w:tcW w:w="2268" w:type="dxa"/>
            <w:tcBorders>
              <w:top w:val="nil"/>
              <w:left w:val="nil"/>
              <w:bottom w:val="single" w:sz="4" w:space="0" w:color="auto"/>
              <w:right w:val="single" w:sz="4" w:space="0" w:color="auto"/>
            </w:tcBorders>
            <w:shd w:val="clear" w:color="auto" w:fill="auto"/>
            <w:noWrap/>
            <w:vAlign w:val="bottom"/>
            <w:hideMark/>
          </w:tcPr>
          <w:p w14:paraId="15483ED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F9EFD4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F4A4014"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D28C58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02FA0D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12. Acosta </w:t>
            </w:r>
          </w:p>
        </w:tc>
        <w:tc>
          <w:tcPr>
            <w:tcW w:w="2268" w:type="dxa"/>
            <w:tcBorders>
              <w:top w:val="nil"/>
              <w:left w:val="nil"/>
              <w:bottom w:val="single" w:sz="4" w:space="0" w:color="auto"/>
              <w:right w:val="single" w:sz="4" w:space="0" w:color="auto"/>
            </w:tcBorders>
            <w:shd w:val="clear" w:color="auto" w:fill="auto"/>
            <w:noWrap/>
            <w:vAlign w:val="bottom"/>
            <w:hideMark/>
          </w:tcPr>
          <w:p w14:paraId="4E394FA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7B1E92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67A6A60"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E8920F8"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DC2C4E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13. Tibás </w:t>
            </w:r>
          </w:p>
        </w:tc>
        <w:tc>
          <w:tcPr>
            <w:tcW w:w="2268" w:type="dxa"/>
            <w:tcBorders>
              <w:top w:val="nil"/>
              <w:left w:val="nil"/>
              <w:bottom w:val="single" w:sz="4" w:space="0" w:color="auto"/>
              <w:right w:val="single" w:sz="4" w:space="0" w:color="auto"/>
            </w:tcBorders>
            <w:shd w:val="clear" w:color="auto" w:fill="auto"/>
            <w:noWrap/>
            <w:vAlign w:val="bottom"/>
            <w:hideMark/>
          </w:tcPr>
          <w:p w14:paraId="5408A0A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6A08964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B51D5C8"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14FC86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CC7137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14. Moravia </w:t>
            </w:r>
          </w:p>
        </w:tc>
        <w:tc>
          <w:tcPr>
            <w:tcW w:w="2268" w:type="dxa"/>
            <w:tcBorders>
              <w:top w:val="nil"/>
              <w:left w:val="nil"/>
              <w:bottom w:val="single" w:sz="4" w:space="0" w:color="auto"/>
              <w:right w:val="single" w:sz="4" w:space="0" w:color="auto"/>
            </w:tcBorders>
            <w:shd w:val="clear" w:color="auto" w:fill="auto"/>
            <w:noWrap/>
            <w:vAlign w:val="bottom"/>
            <w:hideMark/>
          </w:tcPr>
          <w:p w14:paraId="2C42C17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180462D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4F22458"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D83528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02016B5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15. Montes de Oca </w:t>
            </w:r>
          </w:p>
        </w:tc>
        <w:tc>
          <w:tcPr>
            <w:tcW w:w="2268" w:type="dxa"/>
            <w:tcBorders>
              <w:top w:val="nil"/>
              <w:left w:val="nil"/>
              <w:bottom w:val="single" w:sz="4" w:space="0" w:color="auto"/>
              <w:right w:val="single" w:sz="4" w:space="0" w:color="auto"/>
            </w:tcBorders>
            <w:shd w:val="clear" w:color="auto" w:fill="auto"/>
            <w:noWrap/>
            <w:vAlign w:val="bottom"/>
            <w:hideMark/>
          </w:tcPr>
          <w:p w14:paraId="0B7FDD3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35592E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7619774"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8690C81" w14:textId="77777777" w:rsidR="00582EB8" w:rsidRPr="00F57CF8" w:rsidRDefault="00582EB8" w:rsidP="00873BB1">
            <w:pPr>
              <w:rPr>
                <w:rFonts w:asciiTheme="majorHAnsi" w:hAnsiTheme="majorHAnsi"/>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15DC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16. Turrubares </w:t>
            </w:r>
          </w:p>
        </w:tc>
        <w:tc>
          <w:tcPr>
            <w:tcW w:w="2268" w:type="dxa"/>
            <w:tcBorders>
              <w:top w:val="nil"/>
              <w:left w:val="nil"/>
              <w:bottom w:val="single" w:sz="4" w:space="0" w:color="auto"/>
              <w:right w:val="single" w:sz="4" w:space="0" w:color="auto"/>
            </w:tcBorders>
            <w:shd w:val="clear" w:color="auto" w:fill="auto"/>
            <w:noWrap/>
            <w:vAlign w:val="bottom"/>
            <w:hideMark/>
          </w:tcPr>
          <w:p w14:paraId="62463AA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San Pablo</w:t>
            </w:r>
          </w:p>
        </w:tc>
        <w:tc>
          <w:tcPr>
            <w:tcW w:w="1418" w:type="dxa"/>
            <w:tcBorders>
              <w:top w:val="nil"/>
              <w:left w:val="nil"/>
              <w:bottom w:val="single" w:sz="4" w:space="0" w:color="auto"/>
              <w:right w:val="single" w:sz="4" w:space="0" w:color="auto"/>
            </w:tcBorders>
            <w:shd w:val="clear" w:color="auto" w:fill="auto"/>
            <w:noWrap/>
            <w:vAlign w:val="bottom"/>
            <w:hideMark/>
          </w:tcPr>
          <w:p w14:paraId="3B4529C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1F448E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5FC3241"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5720BDC8"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E1D772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San Pedro</w:t>
            </w:r>
          </w:p>
        </w:tc>
        <w:tc>
          <w:tcPr>
            <w:tcW w:w="1418" w:type="dxa"/>
            <w:tcBorders>
              <w:top w:val="nil"/>
              <w:left w:val="nil"/>
              <w:bottom w:val="single" w:sz="4" w:space="0" w:color="auto"/>
              <w:right w:val="single" w:sz="4" w:space="0" w:color="auto"/>
            </w:tcBorders>
            <w:shd w:val="clear" w:color="auto" w:fill="auto"/>
            <w:noWrap/>
            <w:vAlign w:val="bottom"/>
            <w:hideMark/>
          </w:tcPr>
          <w:p w14:paraId="6B70D04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397FD6F"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39EB164"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2A084EDA"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BC5CF0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San Juan de Mata</w:t>
            </w:r>
          </w:p>
        </w:tc>
        <w:tc>
          <w:tcPr>
            <w:tcW w:w="1418" w:type="dxa"/>
            <w:tcBorders>
              <w:top w:val="nil"/>
              <w:left w:val="nil"/>
              <w:bottom w:val="single" w:sz="4" w:space="0" w:color="auto"/>
              <w:right w:val="single" w:sz="4" w:space="0" w:color="auto"/>
            </w:tcBorders>
            <w:shd w:val="clear" w:color="auto" w:fill="auto"/>
            <w:noWrap/>
            <w:vAlign w:val="bottom"/>
            <w:hideMark/>
          </w:tcPr>
          <w:p w14:paraId="0EA4CEA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B76E3EA"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8E26A55"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01162503"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996874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San Luis</w:t>
            </w:r>
          </w:p>
        </w:tc>
        <w:tc>
          <w:tcPr>
            <w:tcW w:w="1418" w:type="dxa"/>
            <w:tcBorders>
              <w:top w:val="nil"/>
              <w:left w:val="nil"/>
              <w:bottom w:val="single" w:sz="4" w:space="0" w:color="auto"/>
              <w:right w:val="single" w:sz="4" w:space="0" w:color="auto"/>
            </w:tcBorders>
            <w:shd w:val="clear" w:color="auto" w:fill="auto"/>
            <w:noWrap/>
            <w:vAlign w:val="bottom"/>
            <w:hideMark/>
          </w:tcPr>
          <w:p w14:paraId="2ED1A36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264C3AD"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B1249A5"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67A01D46"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48FFA9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Carara</w:t>
            </w:r>
          </w:p>
        </w:tc>
        <w:tc>
          <w:tcPr>
            <w:tcW w:w="1418" w:type="dxa"/>
            <w:tcBorders>
              <w:top w:val="nil"/>
              <w:left w:val="nil"/>
              <w:bottom w:val="single" w:sz="4" w:space="0" w:color="auto"/>
              <w:right w:val="single" w:sz="4" w:space="0" w:color="auto"/>
            </w:tcBorders>
            <w:shd w:val="clear" w:color="auto" w:fill="auto"/>
            <w:noWrap/>
            <w:vAlign w:val="bottom"/>
            <w:hideMark/>
          </w:tcPr>
          <w:p w14:paraId="228C7B5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66AB3C58"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EB37C1E"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6AD748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17. Dota </w:t>
            </w:r>
          </w:p>
        </w:tc>
        <w:tc>
          <w:tcPr>
            <w:tcW w:w="2268" w:type="dxa"/>
            <w:tcBorders>
              <w:top w:val="nil"/>
              <w:left w:val="nil"/>
              <w:bottom w:val="single" w:sz="4" w:space="0" w:color="auto"/>
              <w:right w:val="single" w:sz="4" w:space="0" w:color="auto"/>
            </w:tcBorders>
            <w:shd w:val="clear" w:color="auto" w:fill="auto"/>
            <w:noWrap/>
            <w:vAlign w:val="bottom"/>
            <w:hideMark/>
          </w:tcPr>
          <w:p w14:paraId="775D141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8D9CD7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DB40E01"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236E31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EB200F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18. Curridabat </w:t>
            </w:r>
          </w:p>
        </w:tc>
        <w:tc>
          <w:tcPr>
            <w:tcW w:w="2268" w:type="dxa"/>
            <w:tcBorders>
              <w:top w:val="nil"/>
              <w:left w:val="nil"/>
              <w:bottom w:val="single" w:sz="4" w:space="0" w:color="auto"/>
              <w:right w:val="single" w:sz="4" w:space="0" w:color="auto"/>
            </w:tcBorders>
            <w:shd w:val="clear" w:color="auto" w:fill="auto"/>
            <w:noWrap/>
            <w:vAlign w:val="bottom"/>
            <w:hideMark/>
          </w:tcPr>
          <w:p w14:paraId="2DDC760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7DA9948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241532D"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F8A2C15"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C9F4D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19. Pérez Zeledón </w:t>
            </w:r>
          </w:p>
        </w:tc>
        <w:tc>
          <w:tcPr>
            <w:tcW w:w="2268" w:type="dxa"/>
            <w:tcBorders>
              <w:top w:val="nil"/>
              <w:left w:val="nil"/>
              <w:bottom w:val="single" w:sz="4" w:space="0" w:color="auto"/>
              <w:right w:val="single" w:sz="4" w:space="0" w:color="auto"/>
            </w:tcBorders>
            <w:shd w:val="clear" w:color="auto" w:fill="auto"/>
            <w:noWrap/>
            <w:vAlign w:val="bottom"/>
            <w:hideMark/>
          </w:tcPr>
          <w:p w14:paraId="78C407A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San Isidro de El General</w:t>
            </w:r>
          </w:p>
        </w:tc>
        <w:tc>
          <w:tcPr>
            <w:tcW w:w="1418" w:type="dxa"/>
            <w:tcBorders>
              <w:top w:val="nil"/>
              <w:left w:val="nil"/>
              <w:bottom w:val="single" w:sz="4" w:space="0" w:color="auto"/>
              <w:right w:val="single" w:sz="4" w:space="0" w:color="auto"/>
            </w:tcBorders>
            <w:shd w:val="clear" w:color="auto" w:fill="auto"/>
            <w:noWrap/>
            <w:vAlign w:val="bottom"/>
            <w:hideMark/>
          </w:tcPr>
          <w:p w14:paraId="13662FB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586E6F9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F20BB11"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5B54D3A"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760599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General</w:t>
            </w:r>
          </w:p>
        </w:tc>
        <w:tc>
          <w:tcPr>
            <w:tcW w:w="1418" w:type="dxa"/>
            <w:tcBorders>
              <w:top w:val="nil"/>
              <w:left w:val="nil"/>
              <w:bottom w:val="single" w:sz="4" w:space="0" w:color="auto"/>
              <w:right w:val="single" w:sz="4" w:space="0" w:color="auto"/>
            </w:tcBorders>
            <w:shd w:val="clear" w:color="auto" w:fill="auto"/>
            <w:noWrap/>
            <w:vAlign w:val="bottom"/>
            <w:hideMark/>
          </w:tcPr>
          <w:p w14:paraId="76593C6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97740F7"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FBBD497"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3D76B7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A41859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Daniel Flores</w:t>
            </w:r>
          </w:p>
        </w:tc>
        <w:tc>
          <w:tcPr>
            <w:tcW w:w="1418" w:type="dxa"/>
            <w:tcBorders>
              <w:top w:val="nil"/>
              <w:left w:val="nil"/>
              <w:bottom w:val="single" w:sz="4" w:space="0" w:color="auto"/>
              <w:right w:val="single" w:sz="4" w:space="0" w:color="auto"/>
            </w:tcBorders>
            <w:shd w:val="clear" w:color="auto" w:fill="auto"/>
            <w:noWrap/>
            <w:vAlign w:val="bottom"/>
            <w:hideMark/>
          </w:tcPr>
          <w:p w14:paraId="3EAE22B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5016F054"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2F042630"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D39CCD7"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D741FE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Rivas</w:t>
            </w:r>
          </w:p>
        </w:tc>
        <w:tc>
          <w:tcPr>
            <w:tcW w:w="1418" w:type="dxa"/>
            <w:tcBorders>
              <w:top w:val="nil"/>
              <w:left w:val="nil"/>
              <w:bottom w:val="single" w:sz="4" w:space="0" w:color="auto"/>
              <w:right w:val="single" w:sz="4" w:space="0" w:color="auto"/>
            </w:tcBorders>
            <w:shd w:val="clear" w:color="auto" w:fill="auto"/>
            <w:noWrap/>
            <w:vAlign w:val="bottom"/>
            <w:hideMark/>
          </w:tcPr>
          <w:p w14:paraId="2AF9E6C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5324FA4"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B0E9B69"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A6CDD4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D71568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San Pedro</w:t>
            </w:r>
          </w:p>
        </w:tc>
        <w:tc>
          <w:tcPr>
            <w:tcW w:w="1418" w:type="dxa"/>
            <w:tcBorders>
              <w:top w:val="nil"/>
              <w:left w:val="nil"/>
              <w:bottom w:val="single" w:sz="4" w:space="0" w:color="auto"/>
              <w:right w:val="single" w:sz="4" w:space="0" w:color="auto"/>
            </w:tcBorders>
            <w:shd w:val="clear" w:color="auto" w:fill="auto"/>
            <w:noWrap/>
            <w:vAlign w:val="bottom"/>
            <w:hideMark/>
          </w:tcPr>
          <w:p w14:paraId="6011C7F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FF6F1CF"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625FD6E"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A7816F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C14D4F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Platanares</w:t>
            </w:r>
          </w:p>
        </w:tc>
        <w:tc>
          <w:tcPr>
            <w:tcW w:w="1418" w:type="dxa"/>
            <w:tcBorders>
              <w:top w:val="nil"/>
              <w:left w:val="nil"/>
              <w:bottom w:val="single" w:sz="4" w:space="0" w:color="auto"/>
              <w:right w:val="single" w:sz="4" w:space="0" w:color="auto"/>
            </w:tcBorders>
            <w:shd w:val="clear" w:color="auto" w:fill="auto"/>
            <w:noWrap/>
            <w:vAlign w:val="bottom"/>
            <w:hideMark/>
          </w:tcPr>
          <w:p w14:paraId="463A26F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768B5BB3"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FA75E9F"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2E60474"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D45B85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Pejibaye</w:t>
            </w:r>
          </w:p>
        </w:tc>
        <w:tc>
          <w:tcPr>
            <w:tcW w:w="1418" w:type="dxa"/>
            <w:tcBorders>
              <w:top w:val="nil"/>
              <w:left w:val="nil"/>
              <w:bottom w:val="single" w:sz="4" w:space="0" w:color="auto"/>
              <w:right w:val="single" w:sz="4" w:space="0" w:color="auto"/>
            </w:tcBorders>
            <w:shd w:val="clear" w:color="auto" w:fill="auto"/>
            <w:noWrap/>
            <w:vAlign w:val="bottom"/>
            <w:hideMark/>
          </w:tcPr>
          <w:p w14:paraId="56BEF35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0951B963"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B49DA36"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B4530F2"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87379E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Cajón</w:t>
            </w:r>
          </w:p>
        </w:tc>
        <w:tc>
          <w:tcPr>
            <w:tcW w:w="1418" w:type="dxa"/>
            <w:tcBorders>
              <w:top w:val="nil"/>
              <w:left w:val="nil"/>
              <w:bottom w:val="single" w:sz="4" w:space="0" w:color="auto"/>
              <w:right w:val="single" w:sz="4" w:space="0" w:color="auto"/>
            </w:tcBorders>
            <w:shd w:val="clear" w:color="auto" w:fill="auto"/>
            <w:noWrap/>
            <w:vAlign w:val="bottom"/>
            <w:hideMark/>
          </w:tcPr>
          <w:p w14:paraId="3118390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A6F5C9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F41C2A4"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8D4BF7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4C2AA7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Barú</w:t>
            </w:r>
          </w:p>
        </w:tc>
        <w:tc>
          <w:tcPr>
            <w:tcW w:w="1418" w:type="dxa"/>
            <w:tcBorders>
              <w:top w:val="nil"/>
              <w:left w:val="nil"/>
              <w:bottom w:val="single" w:sz="4" w:space="0" w:color="auto"/>
              <w:right w:val="single" w:sz="4" w:space="0" w:color="auto"/>
            </w:tcBorders>
            <w:shd w:val="clear" w:color="auto" w:fill="auto"/>
            <w:noWrap/>
            <w:vAlign w:val="bottom"/>
            <w:hideMark/>
          </w:tcPr>
          <w:p w14:paraId="4B12C72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7EFB248C"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D40E262"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D3979EF"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1077F5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10. Río Nuevo</w:t>
            </w:r>
          </w:p>
        </w:tc>
        <w:tc>
          <w:tcPr>
            <w:tcW w:w="1418" w:type="dxa"/>
            <w:tcBorders>
              <w:top w:val="nil"/>
              <w:left w:val="nil"/>
              <w:bottom w:val="single" w:sz="4" w:space="0" w:color="auto"/>
              <w:right w:val="single" w:sz="4" w:space="0" w:color="auto"/>
            </w:tcBorders>
            <w:shd w:val="clear" w:color="auto" w:fill="auto"/>
            <w:noWrap/>
            <w:vAlign w:val="bottom"/>
            <w:hideMark/>
          </w:tcPr>
          <w:p w14:paraId="47AE262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8763D8B"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3B60267"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886E07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95F08A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11. Páramo</w:t>
            </w:r>
          </w:p>
        </w:tc>
        <w:tc>
          <w:tcPr>
            <w:tcW w:w="1418" w:type="dxa"/>
            <w:tcBorders>
              <w:top w:val="nil"/>
              <w:left w:val="nil"/>
              <w:bottom w:val="single" w:sz="4" w:space="0" w:color="auto"/>
              <w:right w:val="single" w:sz="4" w:space="0" w:color="auto"/>
            </w:tcBorders>
            <w:shd w:val="clear" w:color="auto" w:fill="auto"/>
            <w:noWrap/>
            <w:vAlign w:val="bottom"/>
            <w:hideMark/>
          </w:tcPr>
          <w:p w14:paraId="7DDBE89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242E7E2"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B23FE4C"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EDF8CB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20. León Cortés Castro</w:t>
            </w:r>
          </w:p>
        </w:tc>
        <w:tc>
          <w:tcPr>
            <w:tcW w:w="2268" w:type="dxa"/>
            <w:tcBorders>
              <w:top w:val="nil"/>
              <w:left w:val="nil"/>
              <w:bottom w:val="single" w:sz="4" w:space="0" w:color="auto"/>
              <w:right w:val="single" w:sz="4" w:space="0" w:color="auto"/>
            </w:tcBorders>
            <w:shd w:val="clear" w:color="auto" w:fill="auto"/>
            <w:noWrap/>
            <w:vAlign w:val="bottom"/>
            <w:hideMark/>
          </w:tcPr>
          <w:p w14:paraId="4127147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1349D37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7953357" w14:textId="77777777" w:rsidTr="00873BB1">
        <w:trPr>
          <w:cantSplit/>
          <w:trHeight w:val="255"/>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C6868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2. Alajuela </w:t>
            </w:r>
          </w:p>
        </w:tc>
        <w:tc>
          <w:tcPr>
            <w:tcW w:w="1984" w:type="dxa"/>
            <w:tcBorders>
              <w:top w:val="nil"/>
              <w:left w:val="nil"/>
              <w:bottom w:val="single" w:sz="4" w:space="0" w:color="auto"/>
              <w:right w:val="single" w:sz="4" w:space="0" w:color="auto"/>
            </w:tcBorders>
            <w:shd w:val="clear" w:color="auto" w:fill="auto"/>
            <w:noWrap/>
            <w:vAlign w:val="bottom"/>
            <w:hideMark/>
          </w:tcPr>
          <w:p w14:paraId="7A245A3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 Alajuela </w:t>
            </w:r>
          </w:p>
        </w:tc>
        <w:tc>
          <w:tcPr>
            <w:tcW w:w="2268" w:type="dxa"/>
            <w:tcBorders>
              <w:top w:val="nil"/>
              <w:left w:val="nil"/>
              <w:bottom w:val="single" w:sz="4" w:space="0" w:color="auto"/>
              <w:right w:val="single" w:sz="4" w:space="0" w:color="auto"/>
            </w:tcBorders>
            <w:shd w:val="clear" w:color="auto" w:fill="auto"/>
            <w:noWrap/>
            <w:vAlign w:val="bottom"/>
            <w:hideMark/>
          </w:tcPr>
          <w:p w14:paraId="5FA6A48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1702F59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CB7C47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1DF905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8B1E7A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2. San Ramón </w:t>
            </w:r>
          </w:p>
        </w:tc>
        <w:tc>
          <w:tcPr>
            <w:tcW w:w="2268" w:type="dxa"/>
            <w:tcBorders>
              <w:top w:val="nil"/>
              <w:left w:val="nil"/>
              <w:bottom w:val="single" w:sz="4" w:space="0" w:color="auto"/>
              <w:right w:val="single" w:sz="4" w:space="0" w:color="auto"/>
            </w:tcBorders>
            <w:shd w:val="clear" w:color="auto" w:fill="auto"/>
            <w:noWrap/>
            <w:vAlign w:val="bottom"/>
            <w:hideMark/>
          </w:tcPr>
          <w:p w14:paraId="3C10970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637FE66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88790C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0F97733"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D5EDB8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3. Grecia </w:t>
            </w:r>
          </w:p>
        </w:tc>
        <w:tc>
          <w:tcPr>
            <w:tcW w:w="2268" w:type="dxa"/>
            <w:tcBorders>
              <w:top w:val="nil"/>
              <w:left w:val="nil"/>
              <w:bottom w:val="single" w:sz="4" w:space="0" w:color="auto"/>
              <w:right w:val="single" w:sz="4" w:space="0" w:color="auto"/>
            </w:tcBorders>
            <w:shd w:val="clear" w:color="auto" w:fill="auto"/>
            <w:noWrap/>
            <w:vAlign w:val="bottom"/>
            <w:hideMark/>
          </w:tcPr>
          <w:p w14:paraId="2B18E1E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749FFBB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DDC80A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3CA66F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6DD7D9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4. San Mateo </w:t>
            </w:r>
          </w:p>
        </w:tc>
        <w:tc>
          <w:tcPr>
            <w:tcW w:w="2268" w:type="dxa"/>
            <w:tcBorders>
              <w:top w:val="nil"/>
              <w:left w:val="nil"/>
              <w:bottom w:val="single" w:sz="4" w:space="0" w:color="auto"/>
              <w:right w:val="single" w:sz="4" w:space="0" w:color="auto"/>
            </w:tcBorders>
            <w:shd w:val="clear" w:color="auto" w:fill="auto"/>
            <w:noWrap/>
            <w:vAlign w:val="bottom"/>
            <w:hideMark/>
          </w:tcPr>
          <w:p w14:paraId="3A2875A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3D36796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4C19F3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F400911"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6A8A3D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5. Atenas </w:t>
            </w:r>
          </w:p>
        </w:tc>
        <w:tc>
          <w:tcPr>
            <w:tcW w:w="2268" w:type="dxa"/>
            <w:tcBorders>
              <w:top w:val="nil"/>
              <w:left w:val="nil"/>
              <w:bottom w:val="single" w:sz="4" w:space="0" w:color="auto"/>
              <w:right w:val="single" w:sz="4" w:space="0" w:color="auto"/>
            </w:tcBorders>
            <w:shd w:val="clear" w:color="auto" w:fill="auto"/>
            <w:noWrap/>
            <w:vAlign w:val="bottom"/>
            <w:hideMark/>
          </w:tcPr>
          <w:p w14:paraId="5EA1968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7819118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F43D58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305C58A"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F7820C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6. Naranjo </w:t>
            </w:r>
          </w:p>
        </w:tc>
        <w:tc>
          <w:tcPr>
            <w:tcW w:w="2268" w:type="dxa"/>
            <w:tcBorders>
              <w:top w:val="nil"/>
              <w:left w:val="nil"/>
              <w:bottom w:val="single" w:sz="4" w:space="0" w:color="auto"/>
              <w:right w:val="single" w:sz="4" w:space="0" w:color="auto"/>
            </w:tcBorders>
            <w:shd w:val="clear" w:color="auto" w:fill="auto"/>
            <w:noWrap/>
            <w:vAlign w:val="bottom"/>
            <w:hideMark/>
          </w:tcPr>
          <w:p w14:paraId="4E8DCCA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30F2020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57FBFC7"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8645F5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DAB1DC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7. Palmares </w:t>
            </w:r>
          </w:p>
        </w:tc>
        <w:tc>
          <w:tcPr>
            <w:tcW w:w="2268" w:type="dxa"/>
            <w:tcBorders>
              <w:top w:val="nil"/>
              <w:left w:val="nil"/>
              <w:bottom w:val="single" w:sz="4" w:space="0" w:color="auto"/>
              <w:right w:val="single" w:sz="4" w:space="0" w:color="auto"/>
            </w:tcBorders>
            <w:shd w:val="clear" w:color="auto" w:fill="auto"/>
            <w:noWrap/>
            <w:vAlign w:val="bottom"/>
            <w:hideMark/>
          </w:tcPr>
          <w:p w14:paraId="68A2D8C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A63109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E5F474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0ED101C"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18FBB5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8. Poás </w:t>
            </w:r>
          </w:p>
        </w:tc>
        <w:tc>
          <w:tcPr>
            <w:tcW w:w="2268" w:type="dxa"/>
            <w:tcBorders>
              <w:top w:val="nil"/>
              <w:left w:val="nil"/>
              <w:bottom w:val="single" w:sz="4" w:space="0" w:color="auto"/>
              <w:right w:val="single" w:sz="4" w:space="0" w:color="auto"/>
            </w:tcBorders>
            <w:shd w:val="clear" w:color="auto" w:fill="auto"/>
            <w:noWrap/>
            <w:vAlign w:val="bottom"/>
            <w:hideMark/>
          </w:tcPr>
          <w:p w14:paraId="4212E92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6A8729E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6FA4A7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83D554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3FCE49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Orotina</w:t>
            </w:r>
          </w:p>
        </w:tc>
        <w:tc>
          <w:tcPr>
            <w:tcW w:w="2268" w:type="dxa"/>
            <w:tcBorders>
              <w:top w:val="nil"/>
              <w:left w:val="nil"/>
              <w:bottom w:val="single" w:sz="4" w:space="0" w:color="auto"/>
              <w:right w:val="single" w:sz="4" w:space="0" w:color="auto"/>
            </w:tcBorders>
            <w:shd w:val="clear" w:color="auto" w:fill="auto"/>
            <w:noWrap/>
            <w:vAlign w:val="bottom"/>
            <w:hideMark/>
          </w:tcPr>
          <w:p w14:paraId="07D9B13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56FA42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56BB3A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B074ADD"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CFCA6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10. San Carlos </w:t>
            </w:r>
          </w:p>
        </w:tc>
        <w:tc>
          <w:tcPr>
            <w:tcW w:w="2268" w:type="dxa"/>
            <w:tcBorders>
              <w:top w:val="nil"/>
              <w:left w:val="nil"/>
              <w:bottom w:val="single" w:sz="4" w:space="0" w:color="auto"/>
              <w:right w:val="single" w:sz="4" w:space="0" w:color="auto"/>
            </w:tcBorders>
            <w:shd w:val="clear" w:color="auto" w:fill="auto"/>
            <w:noWrap/>
            <w:vAlign w:val="bottom"/>
            <w:hideMark/>
          </w:tcPr>
          <w:p w14:paraId="2B942A7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Quesada</w:t>
            </w:r>
          </w:p>
        </w:tc>
        <w:tc>
          <w:tcPr>
            <w:tcW w:w="1418" w:type="dxa"/>
            <w:tcBorders>
              <w:top w:val="nil"/>
              <w:left w:val="nil"/>
              <w:bottom w:val="single" w:sz="4" w:space="0" w:color="auto"/>
              <w:right w:val="single" w:sz="4" w:space="0" w:color="auto"/>
            </w:tcBorders>
            <w:shd w:val="clear" w:color="auto" w:fill="auto"/>
            <w:noWrap/>
            <w:vAlign w:val="bottom"/>
            <w:hideMark/>
          </w:tcPr>
          <w:p w14:paraId="6E2D92F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487F38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FD7977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CDB420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28088D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Florencia</w:t>
            </w:r>
          </w:p>
        </w:tc>
        <w:tc>
          <w:tcPr>
            <w:tcW w:w="1418" w:type="dxa"/>
            <w:tcBorders>
              <w:top w:val="nil"/>
              <w:left w:val="nil"/>
              <w:bottom w:val="single" w:sz="4" w:space="0" w:color="auto"/>
              <w:right w:val="single" w:sz="4" w:space="0" w:color="auto"/>
            </w:tcBorders>
            <w:shd w:val="clear" w:color="auto" w:fill="auto"/>
            <w:noWrap/>
            <w:vAlign w:val="bottom"/>
            <w:hideMark/>
          </w:tcPr>
          <w:p w14:paraId="580F785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F419CF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E9640AF"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53C4DB7"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57E650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3. Buena Vista </w:t>
            </w:r>
          </w:p>
        </w:tc>
        <w:tc>
          <w:tcPr>
            <w:tcW w:w="1418" w:type="dxa"/>
            <w:tcBorders>
              <w:top w:val="nil"/>
              <w:left w:val="nil"/>
              <w:bottom w:val="single" w:sz="4" w:space="0" w:color="auto"/>
              <w:right w:val="single" w:sz="4" w:space="0" w:color="auto"/>
            </w:tcBorders>
            <w:shd w:val="clear" w:color="auto" w:fill="auto"/>
            <w:noWrap/>
            <w:vAlign w:val="bottom"/>
            <w:hideMark/>
          </w:tcPr>
          <w:p w14:paraId="7CF5DD8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059F0B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330F221"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7C58978"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037A43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4. Aguas Zarcas </w:t>
            </w:r>
          </w:p>
        </w:tc>
        <w:tc>
          <w:tcPr>
            <w:tcW w:w="1418" w:type="dxa"/>
            <w:tcBorders>
              <w:top w:val="nil"/>
              <w:left w:val="nil"/>
              <w:bottom w:val="single" w:sz="4" w:space="0" w:color="auto"/>
              <w:right w:val="single" w:sz="4" w:space="0" w:color="auto"/>
            </w:tcBorders>
            <w:shd w:val="clear" w:color="auto" w:fill="auto"/>
            <w:noWrap/>
            <w:vAlign w:val="bottom"/>
            <w:hideMark/>
          </w:tcPr>
          <w:p w14:paraId="01A4F50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8F11D8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5740256"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E8A4D29"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ABEEAA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5. Venecia </w:t>
            </w:r>
          </w:p>
        </w:tc>
        <w:tc>
          <w:tcPr>
            <w:tcW w:w="1418" w:type="dxa"/>
            <w:tcBorders>
              <w:top w:val="nil"/>
              <w:left w:val="nil"/>
              <w:bottom w:val="single" w:sz="4" w:space="0" w:color="auto"/>
              <w:right w:val="single" w:sz="4" w:space="0" w:color="auto"/>
            </w:tcBorders>
            <w:shd w:val="clear" w:color="auto" w:fill="auto"/>
            <w:noWrap/>
            <w:vAlign w:val="bottom"/>
            <w:hideMark/>
          </w:tcPr>
          <w:p w14:paraId="793D1F9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E095C32"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5057BEA"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E6F6D4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3BF987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6. Pital </w:t>
            </w:r>
          </w:p>
        </w:tc>
        <w:tc>
          <w:tcPr>
            <w:tcW w:w="1418" w:type="dxa"/>
            <w:tcBorders>
              <w:top w:val="nil"/>
              <w:left w:val="nil"/>
              <w:bottom w:val="single" w:sz="4" w:space="0" w:color="auto"/>
              <w:right w:val="single" w:sz="4" w:space="0" w:color="auto"/>
            </w:tcBorders>
            <w:shd w:val="clear" w:color="auto" w:fill="auto"/>
            <w:noWrap/>
            <w:vAlign w:val="bottom"/>
            <w:hideMark/>
          </w:tcPr>
          <w:p w14:paraId="4848704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4F90843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822A74E"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4793D92"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A3BC28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7. Fortuna </w:t>
            </w:r>
          </w:p>
        </w:tc>
        <w:tc>
          <w:tcPr>
            <w:tcW w:w="1418" w:type="dxa"/>
            <w:tcBorders>
              <w:top w:val="nil"/>
              <w:left w:val="nil"/>
              <w:bottom w:val="single" w:sz="4" w:space="0" w:color="auto"/>
              <w:right w:val="single" w:sz="4" w:space="0" w:color="auto"/>
            </w:tcBorders>
            <w:shd w:val="clear" w:color="auto" w:fill="auto"/>
            <w:noWrap/>
            <w:vAlign w:val="bottom"/>
            <w:hideMark/>
          </w:tcPr>
          <w:p w14:paraId="31A2D9F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7F98B0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62C0CC3"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2F2813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C52DB1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8. Tigra </w:t>
            </w:r>
          </w:p>
        </w:tc>
        <w:tc>
          <w:tcPr>
            <w:tcW w:w="1418" w:type="dxa"/>
            <w:tcBorders>
              <w:top w:val="nil"/>
              <w:left w:val="nil"/>
              <w:bottom w:val="single" w:sz="4" w:space="0" w:color="auto"/>
              <w:right w:val="single" w:sz="4" w:space="0" w:color="auto"/>
            </w:tcBorders>
            <w:shd w:val="clear" w:color="auto" w:fill="auto"/>
            <w:noWrap/>
            <w:vAlign w:val="bottom"/>
            <w:hideMark/>
          </w:tcPr>
          <w:p w14:paraId="11ABD43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AF0C79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B56D90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DD1448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03DC39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9. Palmera </w:t>
            </w:r>
          </w:p>
        </w:tc>
        <w:tc>
          <w:tcPr>
            <w:tcW w:w="1418" w:type="dxa"/>
            <w:tcBorders>
              <w:top w:val="nil"/>
              <w:left w:val="nil"/>
              <w:bottom w:val="single" w:sz="4" w:space="0" w:color="auto"/>
              <w:right w:val="single" w:sz="4" w:space="0" w:color="auto"/>
            </w:tcBorders>
            <w:shd w:val="clear" w:color="auto" w:fill="auto"/>
            <w:noWrap/>
            <w:vAlign w:val="bottom"/>
            <w:hideMark/>
          </w:tcPr>
          <w:p w14:paraId="5C85FAB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03185EE"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225535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CFB94B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A83FA7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10. Venado </w:t>
            </w:r>
          </w:p>
        </w:tc>
        <w:tc>
          <w:tcPr>
            <w:tcW w:w="1418" w:type="dxa"/>
            <w:tcBorders>
              <w:top w:val="nil"/>
              <w:left w:val="nil"/>
              <w:bottom w:val="single" w:sz="4" w:space="0" w:color="auto"/>
              <w:right w:val="single" w:sz="4" w:space="0" w:color="auto"/>
            </w:tcBorders>
            <w:shd w:val="clear" w:color="auto" w:fill="auto"/>
            <w:noWrap/>
            <w:vAlign w:val="bottom"/>
            <w:hideMark/>
          </w:tcPr>
          <w:p w14:paraId="242D12A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6DE2AF1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6EBDF91"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1EC8AEE"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A9A8A5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11. Cutris </w:t>
            </w:r>
          </w:p>
        </w:tc>
        <w:tc>
          <w:tcPr>
            <w:tcW w:w="1418" w:type="dxa"/>
            <w:tcBorders>
              <w:top w:val="nil"/>
              <w:left w:val="nil"/>
              <w:bottom w:val="single" w:sz="4" w:space="0" w:color="auto"/>
              <w:right w:val="single" w:sz="4" w:space="0" w:color="auto"/>
            </w:tcBorders>
            <w:shd w:val="clear" w:color="auto" w:fill="auto"/>
            <w:noWrap/>
            <w:vAlign w:val="bottom"/>
            <w:hideMark/>
          </w:tcPr>
          <w:p w14:paraId="55BA79E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02E6F09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C64C779"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145420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901DA0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12. Monterrey </w:t>
            </w:r>
          </w:p>
        </w:tc>
        <w:tc>
          <w:tcPr>
            <w:tcW w:w="1418" w:type="dxa"/>
            <w:tcBorders>
              <w:top w:val="nil"/>
              <w:left w:val="nil"/>
              <w:bottom w:val="single" w:sz="4" w:space="0" w:color="auto"/>
              <w:right w:val="single" w:sz="4" w:space="0" w:color="auto"/>
            </w:tcBorders>
            <w:shd w:val="clear" w:color="auto" w:fill="auto"/>
            <w:noWrap/>
            <w:vAlign w:val="bottom"/>
            <w:hideMark/>
          </w:tcPr>
          <w:p w14:paraId="6717460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44C25DF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0A957A0"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B9395D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7E8BF5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13. Pocosol </w:t>
            </w:r>
          </w:p>
        </w:tc>
        <w:tc>
          <w:tcPr>
            <w:tcW w:w="1418" w:type="dxa"/>
            <w:tcBorders>
              <w:top w:val="nil"/>
              <w:left w:val="nil"/>
              <w:bottom w:val="single" w:sz="4" w:space="0" w:color="auto"/>
              <w:right w:val="single" w:sz="4" w:space="0" w:color="auto"/>
            </w:tcBorders>
            <w:shd w:val="clear" w:color="auto" w:fill="auto"/>
            <w:noWrap/>
            <w:vAlign w:val="bottom"/>
            <w:hideMark/>
          </w:tcPr>
          <w:p w14:paraId="17020D3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59BB4D0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F9C664F"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E0DD5C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11. Alfaro Ruiz </w:t>
            </w:r>
          </w:p>
        </w:tc>
        <w:tc>
          <w:tcPr>
            <w:tcW w:w="2268" w:type="dxa"/>
            <w:tcBorders>
              <w:top w:val="nil"/>
              <w:left w:val="nil"/>
              <w:bottom w:val="single" w:sz="4" w:space="0" w:color="auto"/>
              <w:right w:val="single" w:sz="4" w:space="0" w:color="auto"/>
            </w:tcBorders>
            <w:shd w:val="clear" w:color="auto" w:fill="auto"/>
            <w:noWrap/>
            <w:vAlign w:val="bottom"/>
            <w:hideMark/>
          </w:tcPr>
          <w:p w14:paraId="53CE9DC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3888233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EB3C7A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1877FF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6448F2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12. Valverde Vega </w:t>
            </w:r>
          </w:p>
        </w:tc>
        <w:tc>
          <w:tcPr>
            <w:tcW w:w="2268" w:type="dxa"/>
            <w:tcBorders>
              <w:top w:val="nil"/>
              <w:left w:val="nil"/>
              <w:bottom w:val="single" w:sz="4" w:space="0" w:color="auto"/>
              <w:right w:val="single" w:sz="4" w:space="0" w:color="auto"/>
            </w:tcBorders>
            <w:shd w:val="clear" w:color="auto" w:fill="auto"/>
            <w:noWrap/>
            <w:vAlign w:val="bottom"/>
            <w:hideMark/>
          </w:tcPr>
          <w:p w14:paraId="4F33B68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0DED968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CB836A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200188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8B8F2F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13. Upala </w:t>
            </w:r>
          </w:p>
        </w:tc>
        <w:tc>
          <w:tcPr>
            <w:tcW w:w="2268" w:type="dxa"/>
            <w:tcBorders>
              <w:top w:val="nil"/>
              <w:left w:val="nil"/>
              <w:bottom w:val="single" w:sz="4" w:space="0" w:color="auto"/>
              <w:right w:val="single" w:sz="4" w:space="0" w:color="auto"/>
            </w:tcBorders>
            <w:shd w:val="clear" w:color="auto" w:fill="auto"/>
            <w:noWrap/>
            <w:vAlign w:val="bottom"/>
            <w:hideMark/>
          </w:tcPr>
          <w:p w14:paraId="4A4EC3D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ABC814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7667DA2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216089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254C48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14. Los Chiles </w:t>
            </w:r>
          </w:p>
        </w:tc>
        <w:tc>
          <w:tcPr>
            <w:tcW w:w="2268" w:type="dxa"/>
            <w:tcBorders>
              <w:top w:val="nil"/>
              <w:left w:val="nil"/>
              <w:bottom w:val="single" w:sz="4" w:space="0" w:color="auto"/>
              <w:right w:val="single" w:sz="4" w:space="0" w:color="auto"/>
            </w:tcBorders>
            <w:shd w:val="clear" w:color="auto" w:fill="auto"/>
            <w:noWrap/>
            <w:vAlign w:val="bottom"/>
            <w:hideMark/>
          </w:tcPr>
          <w:p w14:paraId="29052F7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46F9C0D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7A13C9C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92A345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3278DD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 xml:space="preserve">15. Guatuso </w:t>
            </w:r>
          </w:p>
        </w:tc>
        <w:tc>
          <w:tcPr>
            <w:tcW w:w="2268" w:type="dxa"/>
            <w:tcBorders>
              <w:top w:val="nil"/>
              <w:left w:val="nil"/>
              <w:bottom w:val="single" w:sz="4" w:space="0" w:color="auto"/>
              <w:right w:val="single" w:sz="4" w:space="0" w:color="auto"/>
            </w:tcBorders>
            <w:shd w:val="clear" w:color="auto" w:fill="auto"/>
            <w:noWrap/>
            <w:vAlign w:val="bottom"/>
            <w:hideMark/>
          </w:tcPr>
          <w:p w14:paraId="0F79DBA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50EB9DD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7A8DABF8" w14:textId="77777777" w:rsidTr="00873BB1">
        <w:trPr>
          <w:cantSplit/>
          <w:trHeight w:val="255"/>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2FB9D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Cartago</w:t>
            </w:r>
          </w:p>
        </w:tc>
        <w:tc>
          <w:tcPr>
            <w:tcW w:w="1984" w:type="dxa"/>
            <w:tcBorders>
              <w:top w:val="nil"/>
              <w:left w:val="nil"/>
              <w:bottom w:val="single" w:sz="4" w:space="0" w:color="auto"/>
              <w:right w:val="single" w:sz="4" w:space="0" w:color="auto"/>
            </w:tcBorders>
            <w:shd w:val="clear" w:color="auto" w:fill="auto"/>
            <w:noWrap/>
            <w:vAlign w:val="bottom"/>
            <w:hideMark/>
          </w:tcPr>
          <w:p w14:paraId="15FA61E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Cartago</w:t>
            </w:r>
          </w:p>
        </w:tc>
        <w:tc>
          <w:tcPr>
            <w:tcW w:w="2268" w:type="dxa"/>
            <w:tcBorders>
              <w:top w:val="nil"/>
              <w:left w:val="nil"/>
              <w:bottom w:val="single" w:sz="4" w:space="0" w:color="auto"/>
              <w:right w:val="single" w:sz="4" w:space="0" w:color="auto"/>
            </w:tcBorders>
            <w:shd w:val="clear" w:color="auto" w:fill="auto"/>
            <w:noWrap/>
            <w:vAlign w:val="bottom"/>
            <w:hideMark/>
          </w:tcPr>
          <w:p w14:paraId="41899B4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5715CE0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958676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80B4999"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41339D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Paraíso</w:t>
            </w:r>
          </w:p>
        </w:tc>
        <w:tc>
          <w:tcPr>
            <w:tcW w:w="2268" w:type="dxa"/>
            <w:tcBorders>
              <w:top w:val="nil"/>
              <w:left w:val="nil"/>
              <w:bottom w:val="single" w:sz="4" w:space="0" w:color="auto"/>
              <w:right w:val="single" w:sz="4" w:space="0" w:color="auto"/>
            </w:tcBorders>
            <w:shd w:val="clear" w:color="auto" w:fill="auto"/>
            <w:noWrap/>
            <w:vAlign w:val="bottom"/>
            <w:hideMark/>
          </w:tcPr>
          <w:p w14:paraId="009EBCF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4C4B4C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69D77F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F848ED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B68006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La Unión</w:t>
            </w:r>
          </w:p>
        </w:tc>
        <w:tc>
          <w:tcPr>
            <w:tcW w:w="2268" w:type="dxa"/>
            <w:tcBorders>
              <w:top w:val="nil"/>
              <w:left w:val="nil"/>
              <w:bottom w:val="single" w:sz="4" w:space="0" w:color="auto"/>
              <w:right w:val="single" w:sz="4" w:space="0" w:color="auto"/>
            </w:tcBorders>
            <w:shd w:val="clear" w:color="auto" w:fill="auto"/>
            <w:noWrap/>
            <w:vAlign w:val="bottom"/>
            <w:hideMark/>
          </w:tcPr>
          <w:p w14:paraId="7FE461D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778A103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0C879C8"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210BC36"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711504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Jiménez</w:t>
            </w:r>
          </w:p>
        </w:tc>
        <w:tc>
          <w:tcPr>
            <w:tcW w:w="2268" w:type="dxa"/>
            <w:tcBorders>
              <w:top w:val="nil"/>
              <w:left w:val="nil"/>
              <w:bottom w:val="single" w:sz="4" w:space="0" w:color="auto"/>
              <w:right w:val="single" w:sz="4" w:space="0" w:color="auto"/>
            </w:tcBorders>
            <w:shd w:val="clear" w:color="auto" w:fill="auto"/>
            <w:noWrap/>
            <w:vAlign w:val="bottom"/>
            <w:hideMark/>
          </w:tcPr>
          <w:p w14:paraId="2E4102B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0F12014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77F724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5F4B7D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83D5FD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Turrialba</w:t>
            </w:r>
          </w:p>
        </w:tc>
        <w:tc>
          <w:tcPr>
            <w:tcW w:w="2268" w:type="dxa"/>
            <w:tcBorders>
              <w:top w:val="nil"/>
              <w:left w:val="nil"/>
              <w:bottom w:val="single" w:sz="4" w:space="0" w:color="auto"/>
              <w:right w:val="single" w:sz="4" w:space="0" w:color="auto"/>
            </w:tcBorders>
            <w:shd w:val="clear" w:color="auto" w:fill="auto"/>
            <w:noWrap/>
            <w:vAlign w:val="bottom"/>
            <w:hideMark/>
          </w:tcPr>
          <w:p w14:paraId="65927F7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402FDEB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F5A365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F4F4A2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FDBD35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Alvarado</w:t>
            </w:r>
          </w:p>
        </w:tc>
        <w:tc>
          <w:tcPr>
            <w:tcW w:w="2268" w:type="dxa"/>
            <w:tcBorders>
              <w:top w:val="nil"/>
              <w:left w:val="nil"/>
              <w:bottom w:val="single" w:sz="4" w:space="0" w:color="auto"/>
              <w:right w:val="single" w:sz="4" w:space="0" w:color="auto"/>
            </w:tcBorders>
            <w:shd w:val="clear" w:color="auto" w:fill="auto"/>
            <w:noWrap/>
            <w:vAlign w:val="bottom"/>
            <w:hideMark/>
          </w:tcPr>
          <w:p w14:paraId="0F488EE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D9EC78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44CD709"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2E300B8"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99F625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Oreamuno</w:t>
            </w:r>
          </w:p>
        </w:tc>
        <w:tc>
          <w:tcPr>
            <w:tcW w:w="2268" w:type="dxa"/>
            <w:tcBorders>
              <w:top w:val="nil"/>
              <w:left w:val="nil"/>
              <w:bottom w:val="single" w:sz="4" w:space="0" w:color="auto"/>
              <w:right w:val="single" w:sz="4" w:space="0" w:color="auto"/>
            </w:tcBorders>
            <w:shd w:val="clear" w:color="auto" w:fill="auto"/>
            <w:noWrap/>
            <w:vAlign w:val="bottom"/>
            <w:hideMark/>
          </w:tcPr>
          <w:p w14:paraId="128C991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6DA005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6C7C64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2E259A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09605E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El Guarco</w:t>
            </w:r>
          </w:p>
        </w:tc>
        <w:tc>
          <w:tcPr>
            <w:tcW w:w="2268" w:type="dxa"/>
            <w:tcBorders>
              <w:top w:val="nil"/>
              <w:left w:val="nil"/>
              <w:bottom w:val="single" w:sz="4" w:space="0" w:color="auto"/>
              <w:right w:val="single" w:sz="4" w:space="0" w:color="auto"/>
            </w:tcBorders>
            <w:shd w:val="clear" w:color="auto" w:fill="auto"/>
            <w:noWrap/>
            <w:vAlign w:val="bottom"/>
            <w:hideMark/>
          </w:tcPr>
          <w:p w14:paraId="466E400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0E9AE17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E80D9B7" w14:textId="77777777" w:rsidTr="00873BB1">
        <w:trPr>
          <w:cantSplit/>
          <w:trHeight w:val="255"/>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0D7E6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Heredia</w:t>
            </w:r>
          </w:p>
        </w:tc>
        <w:tc>
          <w:tcPr>
            <w:tcW w:w="1984" w:type="dxa"/>
            <w:tcBorders>
              <w:top w:val="nil"/>
              <w:left w:val="nil"/>
              <w:bottom w:val="single" w:sz="4" w:space="0" w:color="auto"/>
              <w:right w:val="single" w:sz="4" w:space="0" w:color="auto"/>
            </w:tcBorders>
            <w:shd w:val="clear" w:color="auto" w:fill="auto"/>
            <w:noWrap/>
            <w:vAlign w:val="bottom"/>
            <w:hideMark/>
          </w:tcPr>
          <w:p w14:paraId="35B750F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Heredia</w:t>
            </w:r>
          </w:p>
        </w:tc>
        <w:tc>
          <w:tcPr>
            <w:tcW w:w="2268" w:type="dxa"/>
            <w:tcBorders>
              <w:top w:val="nil"/>
              <w:left w:val="nil"/>
              <w:bottom w:val="single" w:sz="4" w:space="0" w:color="auto"/>
              <w:right w:val="single" w:sz="4" w:space="0" w:color="auto"/>
            </w:tcBorders>
            <w:shd w:val="clear" w:color="auto" w:fill="auto"/>
            <w:noWrap/>
            <w:vAlign w:val="bottom"/>
            <w:hideMark/>
          </w:tcPr>
          <w:p w14:paraId="54AA173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C4A03C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D3C49A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02D2031"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E38C20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Barva</w:t>
            </w:r>
          </w:p>
        </w:tc>
        <w:tc>
          <w:tcPr>
            <w:tcW w:w="2268" w:type="dxa"/>
            <w:tcBorders>
              <w:top w:val="nil"/>
              <w:left w:val="nil"/>
              <w:bottom w:val="single" w:sz="4" w:space="0" w:color="auto"/>
              <w:right w:val="single" w:sz="4" w:space="0" w:color="auto"/>
            </w:tcBorders>
            <w:shd w:val="clear" w:color="auto" w:fill="auto"/>
            <w:noWrap/>
            <w:vAlign w:val="bottom"/>
            <w:hideMark/>
          </w:tcPr>
          <w:p w14:paraId="52796D2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75D316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67E96E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CE174D6"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04C1D5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Santo Domingo</w:t>
            </w:r>
          </w:p>
        </w:tc>
        <w:tc>
          <w:tcPr>
            <w:tcW w:w="2268" w:type="dxa"/>
            <w:tcBorders>
              <w:top w:val="nil"/>
              <w:left w:val="nil"/>
              <w:bottom w:val="single" w:sz="4" w:space="0" w:color="auto"/>
              <w:right w:val="single" w:sz="4" w:space="0" w:color="auto"/>
            </w:tcBorders>
            <w:shd w:val="clear" w:color="auto" w:fill="auto"/>
            <w:noWrap/>
            <w:vAlign w:val="bottom"/>
            <w:hideMark/>
          </w:tcPr>
          <w:p w14:paraId="730F810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4D4E5B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BFEB6E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16FA61C"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3444E9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Santa Bárbara</w:t>
            </w:r>
          </w:p>
        </w:tc>
        <w:tc>
          <w:tcPr>
            <w:tcW w:w="2268" w:type="dxa"/>
            <w:tcBorders>
              <w:top w:val="nil"/>
              <w:left w:val="nil"/>
              <w:bottom w:val="single" w:sz="4" w:space="0" w:color="auto"/>
              <w:right w:val="single" w:sz="4" w:space="0" w:color="auto"/>
            </w:tcBorders>
            <w:shd w:val="clear" w:color="auto" w:fill="auto"/>
            <w:noWrap/>
            <w:vAlign w:val="bottom"/>
            <w:hideMark/>
          </w:tcPr>
          <w:p w14:paraId="7E890A6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A6190D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142BA0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5BBFFEE"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08562DE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San Rafael</w:t>
            </w:r>
          </w:p>
        </w:tc>
        <w:tc>
          <w:tcPr>
            <w:tcW w:w="2268" w:type="dxa"/>
            <w:tcBorders>
              <w:top w:val="nil"/>
              <w:left w:val="nil"/>
              <w:bottom w:val="single" w:sz="4" w:space="0" w:color="auto"/>
              <w:right w:val="single" w:sz="4" w:space="0" w:color="auto"/>
            </w:tcBorders>
            <w:shd w:val="clear" w:color="auto" w:fill="auto"/>
            <w:noWrap/>
            <w:vAlign w:val="bottom"/>
            <w:hideMark/>
          </w:tcPr>
          <w:p w14:paraId="6D2B7B4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824A7B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28274B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7E747E8"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EBE4CF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San Isidro</w:t>
            </w:r>
          </w:p>
        </w:tc>
        <w:tc>
          <w:tcPr>
            <w:tcW w:w="2268" w:type="dxa"/>
            <w:tcBorders>
              <w:top w:val="nil"/>
              <w:left w:val="nil"/>
              <w:bottom w:val="single" w:sz="4" w:space="0" w:color="auto"/>
              <w:right w:val="single" w:sz="4" w:space="0" w:color="auto"/>
            </w:tcBorders>
            <w:shd w:val="clear" w:color="auto" w:fill="auto"/>
            <w:noWrap/>
            <w:vAlign w:val="bottom"/>
            <w:hideMark/>
          </w:tcPr>
          <w:p w14:paraId="159ACC9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EA6727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2AEB06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1C41B3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B54260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Belén</w:t>
            </w:r>
          </w:p>
        </w:tc>
        <w:tc>
          <w:tcPr>
            <w:tcW w:w="2268" w:type="dxa"/>
            <w:tcBorders>
              <w:top w:val="nil"/>
              <w:left w:val="nil"/>
              <w:bottom w:val="single" w:sz="4" w:space="0" w:color="auto"/>
              <w:right w:val="single" w:sz="4" w:space="0" w:color="auto"/>
            </w:tcBorders>
            <w:shd w:val="clear" w:color="auto" w:fill="auto"/>
            <w:noWrap/>
            <w:vAlign w:val="bottom"/>
            <w:hideMark/>
          </w:tcPr>
          <w:p w14:paraId="2643DBB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451016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BD9E3F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2B2CBF8"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047AD6F"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Flores</w:t>
            </w:r>
          </w:p>
        </w:tc>
        <w:tc>
          <w:tcPr>
            <w:tcW w:w="2268" w:type="dxa"/>
            <w:tcBorders>
              <w:top w:val="nil"/>
              <w:left w:val="nil"/>
              <w:bottom w:val="single" w:sz="4" w:space="0" w:color="auto"/>
              <w:right w:val="single" w:sz="4" w:space="0" w:color="auto"/>
            </w:tcBorders>
            <w:shd w:val="clear" w:color="auto" w:fill="auto"/>
            <w:noWrap/>
            <w:vAlign w:val="bottom"/>
            <w:hideMark/>
          </w:tcPr>
          <w:p w14:paraId="78D5389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6E9A13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CA3885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10C3F2C"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DE041F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San Pablo</w:t>
            </w:r>
          </w:p>
        </w:tc>
        <w:tc>
          <w:tcPr>
            <w:tcW w:w="2268" w:type="dxa"/>
            <w:tcBorders>
              <w:top w:val="nil"/>
              <w:left w:val="nil"/>
              <w:bottom w:val="single" w:sz="4" w:space="0" w:color="auto"/>
              <w:right w:val="single" w:sz="4" w:space="0" w:color="auto"/>
            </w:tcBorders>
            <w:shd w:val="clear" w:color="auto" w:fill="auto"/>
            <w:noWrap/>
            <w:vAlign w:val="bottom"/>
            <w:hideMark/>
          </w:tcPr>
          <w:p w14:paraId="4F4E94E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4B3B13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4C4706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8B346C1"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AE345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10. Sarapiquí</w:t>
            </w:r>
          </w:p>
        </w:tc>
        <w:tc>
          <w:tcPr>
            <w:tcW w:w="2268" w:type="dxa"/>
            <w:tcBorders>
              <w:top w:val="nil"/>
              <w:left w:val="nil"/>
              <w:bottom w:val="single" w:sz="4" w:space="0" w:color="auto"/>
              <w:right w:val="single" w:sz="4" w:space="0" w:color="auto"/>
            </w:tcBorders>
            <w:shd w:val="clear" w:color="auto" w:fill="auto"/>
            <w:noWrap/>
            <w:vAlign w:val="bottom"/>
            <w:hideMark/>
          </w:tcPr>
          <w:p w14:paraId="461A48A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Puerto Viejo</w:t>
            </w:r>
          </w:p>
        </w:tc>
        <w:tc>
          <w:tcPr>
            <w:tcW w:w="1418" w:type="dxa"/>
            <w:tcBorders>
              <w:top w:val="nil"/>
              <w:left w:val="nil"/>
              <w:bottom w:val="single" w:sz="4" w:space="0" w:color="auto"/>
              <w:right w:val="single" w:sz="4" w:space="0" w:color="auto"/>
            </w:tcBorders>
            <w:shd w:val="clear" w:color="auto" w:fill="auto"/>
            <w:noWrap/>
            <w:vAlign w:val="bottom"/>
            <w:hideMark/>
          </w:tcPr>
          <w:p w14:paraId="79628CE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43B4A53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F1819D3"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AA36C4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A7E85B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La Virgen</w:t>
            </w:r>
          </w:p>
        </w:tc>
        <w:tc>
          <w:tcPr>
            <w:tcW w:w="1418" w:type="dxa"/>
            <w:tcBorders>
              <w:top w:val="nil"/>
              <w:left w:val="nil"/>
              <w:bottom w:val="single" w:sz="4" w:space="0" w:color="auto"/>
              <w:right w:val="single" w:sz="4" w:space="0" w:color="auto"/>
            </w:tcBorders>
            <w:shd w:val="clear" w:color="auto" w:fill="auto"/>
            <w:noWrap/>
            <w:vAlign w:val="bottom"/>
            <w:hideMark/>
          </w:tcPr>
          <w:p w14:paraId="42DD6D3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855683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433D41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35CB319"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64FB52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Horquetas</w:t>
            </w:r>
          </w:p>
        </w:tc>
        <w:tc>
          <w:tcPr>
            <w:tcW w:w="1418" w:type="dxa"/>
            <w:tcBorders>
              <w:top w:val="nil"/>
              <w:left w:val="nil"/>
              <w:bottom w:val="single" w:sz="4" w:space="0" w:color="auto"/>
              <w:right w:val="single" w:sz="4" w:space="0" w:color="auto"/>
            </w:tcBorders>
            <w:shd w:val="clear" w:color="auto" w:fill="auto"/>
            <w:noWrap/>
            <w:vAlign w:val="bottom"/>
            <w:hideMark/>
          </w:tcPr>
          <w:p w14:paraId="5AE46DC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D26490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F8C6497"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7FBE7C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5F8490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Llanuras del Gaspar</w:t>
            </w:r>
          </w:p>
        </w:tc>
        <w:tc>
          <w:tcPr>
            <w:tcW w:w="1418" w:type="dxa"/>
            <w:tcBorders>
              <w:top w:val="nil"/>
              <w:left w:val="nil"/>
              <w:bottom w:val="single" w:sz="4" w:space="0" w:color="auto"/>
              <w:right w:val="single" w:sz="4" w:space="0" w:color="auto"/>
            </w:tcBorders>
            <w:shd w:val="clear" w:color="auto" w:fill="auto"/>
            <w:noWrap/>
            <w:vAlign w:val="bottom"/>
            <w:hideMark/>
          </w:tcPr>
          <w:p w14:paraId="5115D20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0540A8A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0CB80A2"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A129574"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5FC4B6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Cureña</w:t>
            </w:r>
          </w:p>
        </w:tc>
        <w:tc>
          <w:tcPr>
            <w:tcW w:w="1418" w:type="dxa"/>
            <w:tcBorders>
              <w:top w:val="nil"/>
              <w:left w:val="nil"/>
              <w:bottom w:val="single" w:sz="4" w:space="0" w:color="auto"/>
              <w:right w:val="single" w:sz="4" w:space="0" w:color="auto"/>
            </w:tcBorders>
            <w:shd w:val="clear" w:color="auto" w:fill="auto"/>
            <w:noWrap/>
            <w:vAlign w:val="bottom"/>
            <w:hideMark/>
          </w:tcPr>
          <w:p w14:paraId="5AE4593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21718612" w14:textId="77777777" w:rsidTr="00873BB1">
        <w:trPr>
          <w:cantSplit/>
          <w:trHeight w:val="255"/>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9284D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Guanacaste</w:t>
            </w:r>
          </w:p>
        </w:tc>
        <w:tc>
          <w:tcPr>
            <w:tcW w:w="1984" w:type="dxa"/>
            <w:tcBorders>
              <w:top w:val="nil"/>
              <w:left w:val="nil"/>
              <w:bottom w:val="single" w:sz="4" w:space="0" w:color="auto"/>
              <w:right w:val="single" w:sz="4" w:space="0" w:color="auto"/>
            </w:tcBorders>
            <w:shd w:val="clear" w:color="auto" w:fill="auto"/>
            <w:noWrap/>
            <w:vAlign w:val="bottom"/>
            <w:hideMark/>
          </w:tcPr>
          <w:p w14:paraId="3BFF80E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Liberia</w:t>
            </w:r>
          </w:p>
        </w:tc>
        <w:tc>
          <w:tcPr>
            <w:tcW w:w="2268" w:type="dxa"/>
            <w:tcBorders>
              <w:top w:val="nil"/>
              <w:left w:val="nil"/>
              <w:bottom w:val="single" w:sz="4" w:space="0" w:color="auto"/>
              <w:right w:val="single" w:sz="4" w:space="0" w:color="auto"/>
            </w:tcBorders>
            <w:shd w:val="clear" w:color="auto" w:fill="auto"/>
            <w:noWrap/>
            <w:vAlign w:val="bottom"/>
            <w:hideMark/>
          </w:tcPr>
          <w:p w14:paraId="5400F25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435EA87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110BBD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B3113C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4D10F8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Nicoya</w:t>
            </w:r>
          </w:p>
        </w:tc>
        <w:tc>
          <w:tcPr>
            <w:tcW w:w="2268" w:type="dxa"/>
            <w:tcBorders>
              <w:top w:val="nil"/>
              <w:left w:val="nil"/>
              <w:bottom w:val="single" w:sz="4" w:space="0" w:color="auto"/>
              <w:right w:val="single" w:sz="4" w:space="0" w:color="auto"/>
            </w:tcBorders>
            <w:shd w:val="clear" w:color="auto" w:fill="auto"/>
            <w:noWrap/>
            <w:vAlign w:val="bottom"/>
            <w:hideMark/>
          </w:tcPr>
          <w:p w14:paraId="234CFA5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5B2CCF1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7090153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A03A3F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8B6FC2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Santa Cruz</w:t>
            </w:r>
          </w:p>
        </w:tc>
        <w:tc>
          <w:tcPr>
            <w:tcW w:w="2268" w:type="dxa"/>
            <w:tcBorders>
              <w:top w:val="nil"/>
              <w:left w:val="nil"/>
              <w:bottom w:val="single" w:sz="4" w:space="0" w:color="auto"/>
              <w:right w:val="single" w:sz="4" w:space="0" w:color="auto"/>
            </w:tcBorders>
            <w:shd w:val="clear" w:color="auto" w:fill="auto"/>
            <w:noWrap/>
            <w:vAlign w:val="bottom"/>
            <w:hideMark/>
          </w:tcPr>
          <w:p w14:paraId="7EF506F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919098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5EF3E57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28A417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CFE102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Bagaces</w:t>
            </w:r>
          </w:p>
        </w:tc>
        <w:tc>
          <w:tcPr>
            <w:tcW w:w="2268" w:type="dxa"/>
            <w:tcBorders>
              <w:top w:val="nil"/>
              <w:left w:val="nil"/>
              <w:bottom w:val="single" w:sz="4" w:space="0" w:color="auto"/>
              <w:right w:val="single" w:sz="4" w:space="0" w:color="auto"/>
            </w:tcBorders>
            <w:shd w:val="clear" w:color="auto" w:fill="auto"/>
            <w:noWrap/>
            <w:vAlign w:val="bottom"/>
            <w:hideMark/>
          </w:tcPr>
          <w:p w14:paraId="69BD87A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70AA8A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E452DC9"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DB773FA"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1E924E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Carrillo</w:t>
            </w:r>
          </w:p>
        </w:tc>
        <w:tc>
          <w:tcPr>
            <w:tcW w:w="2268" w:type="dxa"/>
            <w:tcBorders>
              <w:top w:val="nil"/>
              <w:left w:val="nil"/>
              <w:bottom w:val="single" w:sz="4" w:space="0" w:color="auto"/>
              <w:right w:val="single" w:sz="4" w:space="0" w:color="auto"/>
            </w:tcBorders>
            <w:shd w:val="clear" w:color="auto" w:fill="auto"/>
            <w:noWrap/>
            <w:vAlign w:val="bottom"/>
            <w:hideMark/>
          </w:tcPr>
          <w:p w14:paraId="383A492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F161C3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66951FE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EFA86FC"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C193AE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Cañas</w:t>
            </w:r>
          </w:p>
        </w:tc>
        <w:tc>
          <w:tcPr>
            <w:tcW w:w="2268" w:type="dxa"/>
            <w:tcBorders>
              <w:top w:val="nil"/>
              <w:left w:val="nil"/>
              <w:bottom w:val="single" w:sz="4" w:space="0" w:color="auto"/>
              <w:right w:val="single" w:sz="4" w:space="0" w:color="auto"/>
            </w:tcBorders>
            <w:shd w:val="clear" w:color="auto" w:fill="auto"/>
            <w:noWrap/>
            <w:vAlign w:val="bottom"/>
            <w:hideMark/>
          </w:tcPr>
          <w:p w14:paraId="5EF5831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0BB2D4A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796B27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1F69A59"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C8BF43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Abangares</w:t>
            </w:r>
          </w:p>
        </w:tc>
        <w:tc>
          <w:tcPr>
            <w:tcW w:w="2268" w:type="dxa"/>
            <w:tcBorders>
              <w:top w:val="nil"/>
              <w:left w:val="nil"/>
              <w:bottom w:val="single" w:sz="4" w:space="0" w:color="auto"/>
              <w:right w:val="single" w:sz="4" w:space="0" w:color="auto"/>
            </w:tcBorders>
            <w:shd w:val="clear" w:color="auto" w:fill="auto"/>
            <w:noWrap/>
            <w:vAlign w:val="bottom"/>
            <w:hideMark/>
          </w:tcPr>
          <w:p w14:paraId="5025B2E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514E657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7BD8F72"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B492FD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1BDE05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Tilarán</w:t>
            </w:r>
          </w:p>
        </w:tc>
        <w:tc>
          <w:tcPr>
            <w:tcW w:w="2268" w:type="dxa"/>
            <w:tcBorders>
              <w:top w:val="nil"/>
              <w:left w:val="nil"/>
              <w:bottom w:val="single" w:sz="4" w:space="0" w:color="auto"/>
              <w:right w:val="single" w:sz="4" w:space="0" w:color="auto"/>
            </w:tcBorders>
            <w:shd w:val="clear" w:color="auto" w:fill="auto"/>
            <w:noWrap/>
            <w:vAlign w:val="bottom"/>
            <w:hideMark/>
          </w:tcPr>
          <w:p w14:paraId="2C54462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813B96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5277EB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E34E420"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E20860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Nandayure</w:t>
            </w:r>
          </w:p>
        </w:tc>
        <w:tc>
          <w:tcPr>
            <w:tcW w:w="2268" w:type="dxa"/>
            <w:tcBorders>
              <w:top w:val="nil"/>
              <w:left w:val="nil"/>
              <w:bottom w:val="single" w:sz="4" w:space="0" w:color="auto"/>
              <w:right w:val="single" w:sz="4" w:space="0" w:color="auto"/>
            </w:tcBorders>
            <w:shd w:val="clear" w:color="auto" w:fill="auto"/>
            <w:noWrap/>
            <w:vAlign w:val="bottom"/>
            <w:hideMark/>
          </w:tcPr>
          <w:p w14:paraId="40C3864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80223E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10BA1B9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73669F0"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8ADC1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10. La Cruz</w:t>
            </w:r>
          </w:p>
        </w:tc>
        <w:tc>
          <w:tcPr>
            <w:tcW w:w="2268" w:type="dxa"/>
            <w:tcBorders>
              <w:top w:val="nil"/>
              <w:left w:val="nil"/>
              <w:bottom w:val="single" w:sz="4" w:space="0" w:color="auto"/>
              <w:right w:val="single" w:sz="4" w:space="0" w:color="auto"/>
            </w:tcBorders>
            <w:shd w:val="clear" w:color="auto" w:fill="auto"/>
            <w:noWrap/>
            <w:vAlign w:val="bottom"/>
            <w:hideMark/>
          </w:tcPr>
          <w:p w14:paraId="632AA8F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La Cruz</w:t>
            </w:r>
          </w:p>
        </w:tc>
        <w:tc>
          <w:tcPr>
            <w:tcW w:w="1418" w:type="dxa"/>
            <w:tcBorders>
              <w:top w:val="nil"/>
              <w:left w:val="nil"/>
              <w:bottom w:val="single" w:sz="4" w:space="0" w:color="auto"/>
              <w:right w:val="single" w:sz="4" w:space="0" w:color="auto"/>
            </w:tcBorders>
            <w:shd w:val="clear" w:color="auto" w:fill="auto"/>
            <w:noWrap/>
            <w:vAlign w:val="bottom"/>
            <w:hideMark/>
          </w:tcPr>
          <w:p w14:paraId="76A0C53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3277F8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EC0E5E4"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9402F99"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E6EDD4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Santa Cecilia</w:t>
            </w:r>
          </w:p>
        </w:tc>
        <w:tc>
          <w:tcPr>
            <w:tcW w:w="1418" w:type="dxa"/>
            <w:tcBorders>
              <w:top w:val="nil"/>
              <w:left w:val="nil"/>
              <w:bottom w:val="single" w:sz="4" w:space="0" w:color="auto"/>
              <w:right w:val="single" w:sz="4" w:space="0" w:color="auto"/>
            </w:tcBorders>
            <w:shd w:val="clear" w:color="auto" w:fill="auto"/>
            <w:noWrap/>
            <w:vAlign w:val="bottom"/>
            <w:hideMark/>
          </w:tcPr>
          <w:p w14:paraId="4E2B6DF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6B5BB7B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D53C76A"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2160D0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2FF292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Garita</w:t>
            </w:r>
          </w:p>
        </w:tc>
        <w:tc>
          <w:tcPr>
            <w:tcW w:w="1418" w:type="dxa"/>
            <w:tcBorders>
              <w:top w:val="nil"/>
              <w:left w:val="nil"/>
              <w:bottom w:val="single" w:sz="4" w:space="0" w:color="auto"/>
              <w:right w:val="single" w:sz="4" w:space="0" w:color="auto"/>
            </w:tcBorders>
            <w:shd w:val="clear" w:color="auto" w:fill="auto"/>
            <w:noWrap/>
            <w:vAlign w:val="bottom"/>
            <w:hideMark/>
          </w:tcPr>
          <w:p w14:paraId="51DB767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07EA043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8A50D67"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EFFFB5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D5AFB8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Santa Elena</w:t>
            </w:r>
          </w:p>
        </w:tc>
        <w:tc>
          <w:tcPr>
            <w:tcW w:w="1418" w:type="dxa"/>
            <w:tcBorders>
              <w:top w:val="nil"/>
              <w:left w:val="nil"/>
              <w:bottom w:val="single" w:sz="4" w:space="0" w:color="auto"/>
              <w:right w:val="single" w:sz="4" w:space="0" w:color="auto"/>
            </w:tcBorders>
            <w:shd w:val="clear" w:color="auto" w:fill="auto"/>
            <w:noWrap/>
            <w:vAlign w:val="bottom"/>
            <w:hideMark/>
          </w:tcPr>
          <w:p w14:paraId="1670FEC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4834A89"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7B14EA2"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82278B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11. Hojancha</w:t>
            </w:r>
          </w:p>
        </w:tc>
        <w:tc>
          <w:tcPr>
            <w:tcW w:w="2268" w:type="dxa"/>
            <w:tcBorders>
              <w:top w:val="nil"/>
              <w:left w:val="nil"/>
              <w:bottom w:val="single" w:sz="4" w:space="0" w:color="auto"/>
              <w:right w:val="single" w:sz="4" w:space="0" w:color="auto"/>
            </w:tcBorders>
            <w:shd w:val="clear" w:color="auto" w:fill="auto"/>
            <w:noWrap/>
            <w:vAlign w:val="bottom"/>
            <w:hideMark/>
          </w:tcPr>
          <w:p w14:paraId="4D7DD27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F0095E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0AD2D5A8" w14:textId="77777777" w:rsidTr="00873BB1">
        <w:trPr>
          <w:cantSplit/>
          <w:trHeight w:val="255"/>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CF233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Puntarenas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7C13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Puntarenas</w:t>
            </w:r>
          </w:p>
        </w:tc>
        <w:tc>
          <w:tcPr>
            <w:tcW w:w="2268" w:type="dxa"/>
            <w:tcBorders>
              <w:top w:val="nil"/>
              <w:left w:val="nil"/>
              <w:bottom w:val="single" w:sz="4" w:space="0" w:color="auto"/>
              <w:right w:val="single" w:sz="4" w:space="0" w:color="auto"/>
            </w:tcBorders>
            <w:shd w:val="clear" w:color="auto" w:fill="auto"/>
            <w:noWrap/>
            <w:vAlign w:val="bottom"/>
            <w:hideMark/>
          </w:tcPr>
          <w:p w14:paraId="370C1D9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Puntarenas</w:t>
            </w:r>
          </w:p>
        </w:tc>
        <w:tc>
          <w:tcPr>
            <w:tcW w:w="1418" w:type="dxa"/>
            <w:tcBorders>
              <w:top w:val="nil"/>
              <w:left w:val="nil"/>
              <w:bottom w:val="single" w:sz="4" w:space="0" w:color="auto"/>
              <w:right w:val="single" w:sz="4" w:space="0" w:color="auto"/>
            </w:tcBorders>
            <w:shd w:val="clear" w:color="auto" w:fill="auto"/>
            <w:noWrap/>
            <w:vAlign w:val="bottom"/>
            <w:hideMark/>
          </w:tcPr>
          <w:p w14:paraId="66D8160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841EA78"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55B34D8"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7071FC2"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75A0E6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Pitahaya</w:t>
            </w:r>
          </w:p>
        </w:tc>
        <w:tc>
          <w:tcPr>
            <w:tcW w:w="1418" w:type="dxa"/>
            <w:tcBorders>
              <w:top w:val="nil"/>
              <w:left w:val="nil"/>
              <w:bottom w:val="single" w:sz="4" w:space="0" w:color="auto"/>
              <w:right w:val="single" w:sz="4" w:space="0" w:color="auto"/>
            </w:tcBorders>
            <w:shd w:val="clear" w:color="auto" w:fill="auto"/>
            <w:noWrap/>
            <w:vAlign w:val="bottom"/>
            <w:hideMark/>
          </w:tcPr>
          <w:p w14:paraId="34E820D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28E84C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3CCE72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6CD33D7"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94A831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Chomes</w:t>
            </w:r>
          </w:p>
        </w:tc>
        <w:tc>
          <w:tcPr>
            <w:tcW w:w="1418" w:type="dxa"/>
            <w:tcBorders>
              <w:top w:val="nil"/>
              <w:left w:val="nil"/>
              <w:bottom w:val="single" w:sz="4" w:space="0" w:color="auto"/>
              <w:right w:val="single" w:sz="4" w:space="0" w:color="auto"/>
            </w:tcBorders>
            <w:shd w:val="clear" w:color="auto" w:fill="auto"/>
            <w:noWrap/>
            <w:vAlign w:val="bottom"/>
            <w:hideMark/>
          </w:tcPr>
          <w:p w14:paraId="0A92F35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DA97379"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089CD1E"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18EE28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194F47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Lepanto</w:t>
            </w:r>
          </w:p>
        </w:tc>
        <w:tc>
          <w:tcPr>
            <w:tcW w:w="1418" w:type="dxa"/>
            <w:tcBorders>
              <w:top w:val="nil"/>
              <w:left w:val="nil"/>
              <w:bottom w:val="single" w:sz="4" w:space="0" w:color="auto"/>
              <w:right w:val="single" w:sz="4" w:space="0" w:color="auto"/>
            </w:tcBorders>
            <w:shd w:val="clear" w:color="auto" w:fill="auto"/>
            <w:noWrap/>
            <w:vAlign w:val="bottom"/>
            <w:hideMark/>
          </w:tcPr>
          <w:p w14:paraId="1A724AB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EF6A41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8BFC1BF"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F789F97"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18F509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Paquera</w:t>
            </w:r>
          </w:p>
        </w:tc>
        <w:tc>
          <w:tcPr>
            <w:tcW w:w="1418" w:type="dxa"/>
            <w:tcBorders>
              <w:top w:val="nil"/>
              <w:left w:val="nil"/>
              <w:bottom w:val="single" w:sz="4" w:space="0" w:color="auto"/>
              <w:right w:val="single" w:sz="4" w:space="0" w:color="auto"/>
            </w:tcBorders>
            <w:shd w:val="clear" w:color="auto" w:fill="auto"/>
            <w:noWrap/>
            <w:vAlign w:val="bottom"/>
            <w:hideMark/>
          </w:tcPr>
          <w:p w14:paraId="521306B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4D2863A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701732D"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DAC4C02"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5ECA73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Manzanillo</w:t>
            </w:r>
          </w:p>
        </w:tc>
        <w:tc>
          <w:tcPr>
            <w:tcW w:w="1418" w:type="dxa"/>
            <w:tcBorders>
              <w:top w:val="nil"/>
              <w:left w:val="nil"/>
              <w:bottom w:val="single" w:sz="4" w:space="0" w:color="auto"/>
              <w:right w:val="single" w:sz="4" w:space="0" w:color="auto"/>
            </w:tcBorders>
            <w:shd w:val="clear" w:color="auto" w:fill="auto"/>
            <w:noWrap/>
            <w:vAlign w:val="bottom"/>
            <w:hideMark/>
          </w:tcPr>
          <w:p w14:paraId="22D7D58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28D555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182F66D"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8346C6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E2F2C6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Guacimal</w:t>
            </w:r>
          </w:p>
        </w:tc>
        <w:tc>
          <w:tcPr>
            <w:tcW w:w="1418" w:type="dxa"/>
            <w:tcBorders>
              <w:top w:val="nil"/>
              <w:left w:val="nil"/>
              <w:bottom w:val="single" w:sz="4" w:space="0" w:color="auto"/>
              <w:right w:val="single" w:sz="4" w:space="0" w:color="auto"/>
            </w:tcBorders>
            <w:shd w:val="clear" w:color="auto" w:fill="auto"/>
            <w:noWrap/>
            <w:vAlign w:val="bottom"/>
            <w:hideMark/>
          </w:tcPr>
          <w:p w14:paraId="02C6E00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6DA894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310D56A"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7D7FAF4"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3C34C5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Barranca</w:t>
            </w:r>
          </w:p>
        </w:tc>
        <w:tc>
          <w:tcPr>
            <w:tcW w:w="1418" w:type="dxa"/>
            <w:tcBorders>
              <w:top w:val="nil"/>
              <w:left w:val="nil"/>
              <w:bottom w:val="single" w:sz="4" w:space="0" w:color="auto"/>
              <w:right w:val="single" w:sz="4" w:space="0" w:color="auto"/>
            </w:tcBorders>
            <w:shd w:val="clear" w:color="auto" w:fill="auto"/>
            <w:noWrap/>
            <w:vAlign w:val="bottom"/>
            <w:hideMark/>
          </w:tcPr>
          <w:p w14:paraId="465570F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2194C3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8D0ECFE"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2208658"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4CEAF0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Monte Verde</w:t>
            </w:r>
          </w:p>
        </w:tc>
        <w:tc>
          <w:tcPr>
            <w:tcW w:w="1418" w:type="dxa"/>
            <w:tcBorders>
              <w:top w:val="nil"/>
              <w:left w:val="nil"/>
              <w:bottom w:val="single" w:sz="4" w:space="0" w:color="auto"/>
              <w:right w:val="single" w:sz="4" w:space="0" w:color="auto"/>
            </w:tcBorders>
            <w:shd w:val="clear" w:color="auto" w:fill="auto"/>
            <w:noWrap/>
            <w:vAlign w:val="bottom"/>
            <w:hideMark/>
          </w:tcPr>
          <w:p w14:paraId="181E010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9F41A62"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F8CE2EC"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AEA398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6AD8F9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10. Isla del Coco</w:t>
            </w:r>
          </w:p>
        </w:tc>
        <w:tc>
          <w:tcPr>
            <w:tcW w:w="1418" w:type="dxa"/>
            <w:tcBorders>
              <w:top w:val="nil"/>
              <w:left w:val="nil"/>
              <w:bottom w:val="single" w:sz="4" w:space="0" w:color="auto"/>
              <w:right w:val="single" w:sz="4" w:space="0" w:color="auto"/>
            </w:tcBorders>
            <w:shd w:val="clear" w:color="auto" w:fill="auto"/>
            <w:noWrap/>
            <w:vAlign w:val="bottom"/>
            <w:hideMark/>
          </w:tcPr>
          <w:p w14:paraId="1B6A596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5CDAF4C5"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4A4FF44"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8E1892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F567E0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11. Cóbano</w:t>
            </w:r>
          </w:p>
        </w:tc>
        <w:tc>
          <w:tcPr>
            <w:tcW w:w="1418" w:type="dxa"/>
            <w:tcBorders>
              <w:top w:val="nil"/>
              <w:left w:val="nil"/>
              <w:bottom w:val="single" w:sz="4" w:space="0" w:color="auto"/>
              <w:right w:val="single" w:sz="4" w:space="0" w:color="auto"/>
            </w:tcBorders>
            <w:shd w:val="clear" w:color="auto" w:fill="auto"/>
            <w:noWrap/>
            <w:vAlign w:val="bottom"/>
            <w:hideMark/>
          </w:tcPr>
          <w:p w14:paraId="042D672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185CEF1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6ED0CD8"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F12AE28"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AB01FC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12. Chacarita</w:t>
            </w:r>
          </w:p>
        </w:tc>
        <w:tc>
          <w:tcPr>
            <w:tcW w:w="1418" w:type="dxa"/>
            <w:tcBorders>
              <w:top w:val="nil"/>
              <w:left w:val="nil"/>
              <w:bottom w:val="single" w:sz="4" w:space="0" w:color="auto"/>
              <w:right w:val="single" w:sz="4" w:space="0" w:color="auto"/>
            </w:tcBorders>
            <w:shd w:val="clear" w:color="auto" w:fill="auto"/>
            <w:noWrap/>
            <w:vAlign w:val="bottom"/>
            <w:hideMark/>
          </w:tcPr>
          <w:p w14:paraId="01BF062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00C708E"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04D6A80"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4FB87D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098218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13. Chira</w:t>
            </w:r>
          </w:p>
        </w:tc>
        <w:tc>
          <w:tcPr>
            <w:tcW w:w="1418" w:type="dxa"/>
            <w:tcBorders>
              <w:top w:val="nil"/>
              <w:left w:val="nil"/>
              <w:bottom w:val="single" w:sz="4" w:space="0" w:color="auto"/>
              <w:right w:val="single" w:sz="4" w:space="0" w:color="auto"/>
            </w:tcBorders>
            <w:shd w:val="clear" w:color="auto" w:fill="auto"/>
            <w:noWrap/>
            <w:vAlign w:val="bottom"/>
            <w:hideMark/>
          </w:tcPr>
          <w:p w14:paraId="174BBFD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7DB690DE"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846C750"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E5905B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83D9D3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14. Acapulco</w:t>
            </w:r>
          </w:p>
        </w:tc>
        <w:tc>
          <w:tcPr>
            <w:tcW w:w="1418" w:type="dxa"/>
            <w:tcBorders>
              <w:top w:val="nil"/>
              <w:left w:val="nil"/>
              <w:bottom w:val="single" w:sz="4" w:space="0" w:color="auto"/>
              <w:right w:val="single" w:sz="4" w:space="0" w:color="auto"/>
            </w:tcBorders>
            <w:shd w:val="clear" w:color="auto" w:fill="auto"/>
            <w:noWrap/>
            <w:vAlign w:val="bottom"/>
            <w:hideMark/>
          </w:tcPr>
          <w:p w14:paraId="4EC52F5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5DDCAFF"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FE09A8B"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695B71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89EAD9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15. El Roble</w:t>
            </w:r>
          </w:p>
        </w:tc>
        <w:tc>
          <w:tcPr>
            <w:tcW w:w="1418" w:type="dxa"/>
            <w:tcBorders>
              <w:top w:val="nil"/>
              <w:left w:val="nil"/>
              <w:bottom w:val="single" w:sz="4" w:space="0" w:color="auto"/>
              <w:right w:val="single" w:sz="4" w:space="0" w:color="auto"/>
            </w:tcBorders>
            <w:shd w:val="clear" w:color="auto" w:fill="auto"/>
            <w:noWrap/>
            <w:vAlign w:val="bottom"/>
            <w:hideMark/>
          </w:tcPr>
          <w:p w14:paraId="7A76AD2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6AB275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8C16F08"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FCD49F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19A79B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16. Arancibia</w:t>
            </w:r>
          </w:p>
        </w:tc>
        <w:tc>
          <w:tcPr>
            <w:tcW w:w="1418" w:type="dxa"/>
            <w:tcBorders>
              <w:top w:val="nil"/>
              <w:left w:val="nil"/>
              <w:bottom w:val="single" w:sz="4" w:space="0" w:color="auto"/>
              <w:right w:val="single" w:sz="4" w:space="0" w:color="auto"/>
            </w:tcBorders>
            <w:shd w:val="clear" w:color="auto" w:fill="auto"/>
            <w:noWrap/>
            <w:vAlign w:val="bottom"/>
            <w:hideMark/>
          </w:tcPr>
          <w:p w14:paraId="6E3B5EA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9B813F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F108255"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5764AF0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Esparza</w:t>
            </w:r>
          </w:p>
        </w:tc>
        <w:tc>
          <w:tcPr>
            <w:tcW w:w="2268" w:type="dxa"/>
            <w:tcBorders>
              <w:top w:val="nil"/>
              <w:left w:val="nil"/>
              <w:bottom w:val="single" w:sz="4" w:space="0" w:color="auto"/>
              <w:right w:val="single" w:sz="4" w:space="0" w:color="auto"/>
            </w:tcBorders>
            <w:shd w:val="clear" w:color="auto" w:fill="auto"/>
            <w:noWrap/>
            <w:vAlign w:val="bottom"/>
            <w:hideMark/>
          </w:tcPr>
          <w:p w14:paraId="4C9A6EB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 xml:space="preserve">Todos </w:t>
            </w:r>
          </w:p>
        </w:tc>
        <w:tc>
          <w:tcPr>
            <w:tcW w:w="1418" w:type="dxa"/>
            <w:tcBorders>
              <w:top w:val="nil"/>
              <w:left w:val="nil"/>
              <w:bottom w:val="single" w:sz="4" w:space="0" w:color="auto"/>
              <w:right w:val="single" w:sz="4" w:space="0" w:color="auto"/>
            </w:tcBorders>
            <w:shd w:val="clear" w:color="auto" w:fill="auto"/>
            <w:noWrap/>
            <w:vAlign w:val="bottom"/>
            <w:hideMark/>
          </w:tcPr>
          <w:p w14:paraId="5B96228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939571E"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5E228DF"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46B37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Buenos Aires</w:t>
            </w:r>
          </w:p>
        </w:tc>
        <w:tc>
          <w:tcPr>
            <w:tcW w:w="2268" w:type="dxa"/>
            <w:tcBorders>
              <w:top w:val="nil"/>
              <w:left w:val="nil"/>
              <w:bottom w:val="single" w:sz="4" w:space="0" w:color="auto"/>
              <w:right w:val="single" w:sz="4" w:space="0" w:color="auto"/>
            </w:tcBorders>
            <w:shd w:val="clear" w:color="auto" w:fill="auto"/>
            <w:noWrap/>
            <w:vAlign w:val="bottom"/>
            <w:hideMark/>
          </w:tcPr>
          <w:p w14:paraId="535F24B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Buenos Aires</w:t>
            </w:r>
          </w:p>
        </w:tc>
        <w:tc>
          <w:tcPr>
            <w:tcW w:w="1418" w:type="dxa"/>
            <w:tcBorders>
              <w:top w:val="nil"/>
              <w:left w:val="nil"/>
              <w:bottom w:val="single" w:sz="4" w:space="0" w:color="auto"/>
              <w:right w:val="single" w:sz="4" w:space="0" w:color="auto"/>
            </w:tcBorders>
            <w:shd w:val="clear" w:color="auto" w:fill="auto"/>
            <w:noWrap/>
            <w:vAlign w:val="bottom"/>
            <w:hideMark/>
          </w:tcPr>
          <w:p w14:paraId="04101D1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234FBCE"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7D01096"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419198A"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1F5B52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Volcán</w:t>
            </w:r>
          </w:p>
        </w:tc>
        <w:tc>
          <w:tcPr>
            <w:tcW w:w="1418" w:type="dxa"/>
            <w:tcBorders>
              <w:top w:val="nil"/>
              <w:left w:val="nil"/>
              <w:bottom w:val="single" w:sz="4" w:space="0" w:color="auto"/>
              <w:right w:val="single" w:sz="4" w:space="0" w:color="auto"/>
            </w:tcBorders>
            <w:shd w:val="clear" w:color="auto" w:fill="auto"/>
            <w:noWrap/>
            <w:vAlign w:val="bottom"/>
            <w:hideMark/>
          </w:tcPr>
          <w:p w14:paraId="4A34448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9D9D99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5ACF0BE"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69C79DE"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BFC397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Potrero Grande</w:t>
            </w:r>
          </w:p>
        </w:tc>
        <w:tc>
          <w:tcPr>
            <w:tcW w:w="1418" w:type="dxa"/>
            <w:tcBorders>
              <w:top w:val="nil"/>
              <w:left w:val="nil"/>
              <w:bottom w:val="single" w:sz="4" w:space="0" w:color="auto"/>
              <w:right w:val="single" w:sz="4" w:space="0" w:color="auto"/>
            </w:tcBorders>
            <w:shd w:val="clear" w:color="auto" w:fill="auto"/>
            <w:noWrap/>
            <w:vAlign w:val="bottom"/>
            <w:hideMark/>
          </w:tcPr>
          <w:p w14:paraId="3635D28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B2FB18B"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57D1BD8"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BA20AD4"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2864D4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Boruca</w:t>
            </w:r>
          </w:p>
        </w:tc>
        <w:tc>
          <w:tcPr>
            <w:tcW w:w="1418" w:type="dxa"/>
            <w:tcBorders>
              <w:top w:val="nil"/>
              <w:left w:val="nil"/>
              <w:bottom w:val="single" w:sz="4" w:space="0" w:color="auto"/>
              <w:right w:val="single" w:sz="4" w:space="0" w:color="auto"/>
            </w:tcBorders>
            <w:shd w:val="clear" w:color="auto" w:fill="auto"/>
            <w:noWrap/>
            <w:vAlign w:val="bottom"/>
            <w:hideMark/>
          </w:tcPr>
          <w:p w14:paraId="35500DD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64B5F5C2"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FBB036D"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47F55F2"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4110D9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Pilas</w:t>
            </w:r>
          </w:p>
        </w:tc>
        <w:tc>
          <w:tcPr>
            <w:tcW w:w="1418" w:type="dxa"/>
            <w:tcBorders>
              <w:top w:val="nil"/>
              <w:left w:val="nil"/>
              <w:bottom w:val="single" w:sz="4" w:space="0" w:color="auto"/>
              <w:right w:val="single" w:sz="4" w:space="0" w:color="auto"/>
            </w:tcBorders>
            <w:shd w:val="clear" w:color="auto" w:fill="auto"/>
            <w:noWrap/>
            <w:vAlign w:val="bottom"/>
            <w:hideMark/>
          </w:tcPr>
          <w:p w14:paraId="0D432A2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5926103"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3A20585"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9BA8453"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373492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Colinas o Bajo de Maíz</w:t>
            </w:r>
          </w:p>
        </w:tc>
        <w:tc>
          <w:tcPr>
            <w:tcW w:w="1418" w:type="dxa"/>
            <w:tcBorders>
              <w:top w:val="nil"/>
              <w:left w:val="nil"/>
              <w:bottom w:val="single" w:sz="4" w:space="0" w:color="auto"/>
              <w:right w:val="single" w:sz="4" w:space="0" w:color="auto"/>
            </w:tcBorders>
            <w:shd w:val="clear" w:color="auto" w:fill="auto"/>
            <w:noWrap/>
            <w:vAlign w:val="bottom"/>
            <w:hideMark/>
          </w:tcPr>
          <w:p w14:paraId="68CA57AC"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7FA54AC8"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BA08FC6"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9B8770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4BBD23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Chánguena</w:t>
            </w:r>
          </w:p>
        </w:tc>
        <w:tc>
          <w:tcPr>
            <w:tcW w:w="1418" w:type="dxa"/>
            <w:tcBorders>
              <w:top w:val="nil"/>
              <w:left w:val="nil"/>
              <w:bottom w:val="single" w:sz="4" w:space="0" w:color="auto"/>
              <w:right w:val="single" w:sz="4" w:space="0" w:color="auto"/>
            </w:tcBorders>
            <w:shd w:val="clear" w:color="auto" w:fill="auto"/>
            <w:noWrap/>
            <w:vAlign w:val="bottom"/>
            <w:hideMark/>
          </w:tcPr>
          <w:p w14:paraId="147C4D1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B8BC34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332D10C"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F8A6C89"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C729FF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Bioley</w:t>
            </w:r>
          </w:p>
        </w:tc>
        <w:tc>
          <w:tcPr>
            <w:tcW w:w="1418" w:type="dxa"/>
            <w:tcBorders>
              <w:top w:val="nil"/>
              <w:left w:val="nil"/>
              <w:bottom w:val="single" w:sz="4" w:space="0" w:color="auto"/>
              <w:right w:val="single" w:sz="4" w:space="0" w:color="auto"/>
            </w:tcBorders>
            <w:shd w:val="clear" w:color="auto" w:fill="auto"/>
            <w:noWrap/>
            <w:vAlign w:val="bottom"/>
            <w:hideMark/>
          </w:tcPr>
          <w:p w14:paraId="246E6E5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7090922"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BCEE25D"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ACF01BF"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282CEE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Brunka</w:t>
            </w:r>
          </w:p>
        </w:tc>
        <w:tc>
          <w:tcPr>
            <w:tcW w:w="1418" w:type="dxa"/>
            <w:tcBorders>
              <w:top w:val="nil"/>
              <w:left w:val="nil"/>
              <w:bottom w:val="single" w:sz="4" w:space="0" w:color="auto"/>
              <w:right w:val="single" w:sz="4" w:space="0" w:color="auto"/>
            </w:tcBorders>
            <w:shd w:val="clear" w:color="auto" w:fill="auto"/>
            <w:noWrap/>
            <w:vAlign w:val="bottom"/>
            <w:hideMark/>
          </w:tcPr>
          <w:p w14:paraId="6F478D6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0CA9B9F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0B01DDE"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F76903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Montes de Oro</w:t>
            </w:r>
          </w:p>
        </w:tc>
        <w:tc>
          <w:tcPr>
            <w:tcW w:w="2268" w:type="dxa"/>
            <w:tcBorders>
              <w:top w:val="nil"/>
              <w:left w:val="nil"/>
              <w:bottom w:val="single" w:sz="4" w:space="0" w:color="auto"/>
              <w:right w:val="single" w:sz="4" w:space="0" w:color="auto"/>
            </w:tcBorders>
            <w:shd w:val="clear" w:color="auto" w:fill="auto"/>
            <w:noWrap/>
            <w:vAlign w:val="bottom"/>
            <w:hideMark/>
          </w:tcPr>
          <w:p w14:paraId="2286404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35DB30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99566E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650B2F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40EF87D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Osa</w:t>
            </w:r>
          </w:p>
        </w:tc>
        <w:tc>
          <w:tcPr>
            <w:tcW w:w="2268" w:type="dxa"/>
            <w:tcBorders>
              <w:top w:val="nil"/>
              <w:left w:val="nil"/>
              <w:bottom w:val="single" w:sz="4" w:space="0" w:color="auto"/>
              <w:right w:val="single" w:sz="4" w:space="0" w:color="auto"/>
            </w:tcBorders>
            <w:shd w:val="clear" w:color="auto" w:fill="auto"/>
            <w:noWrap/>
            <w:vAlign w:val="bottom"/>
            <w:hideMark/>
          </w:tcPr>
          <w:p w14:paraId="403A836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1FD06A94"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4F412BD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399ECDD"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3208333"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Aguirre</w:t>
            </w:r>
          </w:p>
        </w:tc>
        <w:tc>
          <w:tcPr>
            <w:tcW w:w="2268" w:type="dxa"/>
            <w:tcBorders>
              <w:top w:val="nil"/>
              <w:left w:val="nil"/>
              <w:bottom w:val="single" w:sz="4" w:space="0" w:color="auto"/>
              <w:right w:val="single" w:sz="4" w:space="0" w:color="auto"/>
            </w:tcBorders>
            <w:shd w:val="clear" w:color="auto" w:fill="auto"/>
            <w:noWrap/>
            <w:vAlign w:val="bottom"/>
            <w:hideMark/>
          </w:tcPr>
          <w:p w14:paraId="6155F5B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9C17F6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67C0E291"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23AE0DF"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77D18CB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Golfito</w:t>
            </w:r>
          </w:p>
        </w:tc>
        <w:tc>
          <w:tcPr>
            <w:tcW w:w="2268" w:type="dxa"/>
            <w:tcBorders>
              <w:top w:val="nil"/>
              <w:left w:val="nil"/>
              <w:bottom w:val="single" w:sz="4" w:space="0" w:color="auto"/>
              <w:right w:val="single" w:sz="4" w:space="0" w:color="auto"/>
            </w:tcBorders>
            <w:shd w:val="clear" w:color="auto" w:fill="auto"/>
            <w:noWrap/>
            <w:vAlign w:val="bottom"/>
            <w:hideMark/>
          </w:tcPr>
          <w:p w14:paraId="3D107A8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3C38BD3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CEC56A0"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DC0B5DB"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0D82F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8. Coto Brus</w:t>
            </w:r>
          </w:p>
        </w:tc>
        <w:tc>
          <w:tcPr>
            <w:tcW w:w="2268" w:type="dxa"/>
            <w:tcBorders>
              <w:top w:val="nil"/>
              <w:left w:val="nil"/>
              <w:bottom w:val="single" w:sz="4" w:space="0" w:color="auto"/>
              <w:right w:val="single" w:sz="4" w:space="0" w:color="auto"/>
            </w:tcBorders>
            <w:shd w:val="clear" w:color="auto" w:fill="auto"/>
            <w:noWrap/>
            <w:vAlign w:val="bottom"/>
            <w:hideMark/>
          </w:tcPr>
          <w:p w14:paraId="42658FCD"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San Vito</w:t>
            </w:r>
          </w:p>
        </w:tc>
        <w:tc>
          <w:tcPr>
            <w:tcW w:w="1418" w:type="dxa"/>
            <w:tcBorders>
              <w:top w:val="nil"/>
              <w:left w:val="nil"/>
              <w:bottom w:val="single" w:sz="4" w:space="0" w:color="auto"/>
              <w:right w:val="single" w:sz="4" w:space="0" w:color="auto"/>
            </w:tcBorders>
            <w:shd w:val="clear" w:color="auto" w:fill="auto"/>
            <w:noWrap/>
            <w:vAlign w:val="bottom"/>
            <w:hideMark/>
          </w:tcPr>
          <w:p w14:paraId="4D4A780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DA231CC"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1C4120A"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9F4E245"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2996CB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Sabalito</w:t>
            </w:r>
          </w:p>
        </w:tc>
        <w:tc>
          <w:tcPr>
            <w:tcW w:w="1418" w:type="dxa"/>
            <w:tcBorders>
              <w:top w:val="nil"/>
              <w:left w:val="nil"/>
              <w:bottom w:val="single" w:sz="4" w:space="0" w:color="auto"/>
              <w:right w:val="single" w:sz="4" w:space="0" w:color="auto"/>
            </w:tcBorders>
            <w:shd w:val="clear" w:color="auto" w:fill="auto"/>
            <w:noWrap/>
            <w:vAlign w:val="bottom"/>
            <w:hideMark/>
          </w:tcPr>
          <w:p w14:paraId="02EBDDA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428FFEA"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25D1D74"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93FBA6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CDF5517"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Aguabuena</w:t>
            </w:r>
          </w:p>
        </w:tc>
        <w:tc>
          <w:tcPr>
            <w:tcW w:w="1418" w:type="dxa"/>
            <w:tcBorders>
              <w:top w:val="nil"/>
              <w:left w:val="nil"/>
              <w:bottom w:val="single" w:sz="4" w:space="0" w:color="auto"/>
              <w:right w:val="single" w:sz="4" w:space="0" w:color="auto"/>
            </w:tcBorders>
            <w:shd w:val="clear" w:color="auto" w:fill="auto"/>
            <w:noWrap/>
            <w:vAlign w:val="bottom"/>
            <w:hideMark/>
          </w:tcPr>
          <w:p w14:paraId="4ED0325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0271DCDD"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3EE7D96"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F54CB9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3125EF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Limoncito</w:t>
            </w:r>
          </w:p>
        </w:tc>
        <w:tc>
          <w:tcPr>
            <w:tcW w:w="1418" w:type="dxa"/>
            <w:tcBorders>
              <w:top w:val="nil"/>
              <w:left w:val="nil"/>
              <w:bottom w:val="single" w:sz="4" w:space="0" w:color="auto"/>
              <w:right w:val="single" w:sz="4" w:space="0" w:color="auto"/>
            </w:tcBorders>
            <w:shd w:val="clear" w:color="auto" w:fill="auto"/>
            <w:noWrap/>
            <w:vAlign w:val="bottom"/>
            <w:hideMark/>
          </w:tcPr>
          <w:p w14:paraId="22D28CD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B6C5BF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532CC12"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8CBBAD0"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ACA9A1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Pittier</w:t>
            </w:r>
          </w:p>
        </w:tc>
        <w:tc>
          <w:tcPr>
            <w:tcW w:w="1418" w:type="dxa"/>
            <w:tcBorders>
              <w:top w:val="nil"/>
              <w:left w:val="nil"/>
              <w:bottom w:val="single" w:sz="4" w:space="0" w:color="auto"/>
              <w:right w:val="single" w:sz="4" w:space="0" w:color="auto"/>
            </w:tcBorders>
            <w:shd w:val="clear" w:color="auto" w:fill="auto"/>
            <w:noWrap/>
            <w:vAlign w:val="bottom"/>
            <w:hideMark/>
          </w:tcPr>
          <w:p w14:paraId="7986976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79691044"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710AFBA"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63257B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9. Parrita</w:t>
            </w:r>
          </w:p>
        </w:tc>
        <w:tc>
          <w:tcPr>
            <w:tcW w:w="2268" w:type="dxa"/>
            <w:tcBorders>
              <w:top w:val="nil"/>
              <w:left w:val="nil"/>
              <w:bottom w:val="single" w:sz="4" w:space="0" w:color="auto"/>
              <w:right w:val="single" w:sz="4" w:space="0" w:color="auto"/>
            </w:tcBorders>
            <w:shd w:val="clear" w:color="auto" w:fill="auto"/>
            <w:noWrap/>
            <w:vAlign w:val="bottom"/>
            <w:hideMark/>
          </w:tcPr>
          <w:p w14:paraId="345C364A"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509B85CE"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510A9669"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EA1F823"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36B9453C"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10. Corredores</w:t>
            </w:r>
          </w:p>
        </w:tc>
        <w:tc>
          <w:tcPr>
            <w:tcW w:w="2268" w:type="dxa"/>
            <w:tcBorders>
              <w:top w:val="nil"/>
              <w:left w:val="nil"/>
              <w:bottom w:val="single" w:sz="4" w:space="0" w:color="auto"/>
              <w:right w:val="single" w:sz="4" w:space="0" w:color="auto"/>
            </w:tcBorders>
            <w:shd w:val="clear" w:color="auto" w:fill="auto"/>
            <w:noWrap/>
            <w:vAlign w:val="bottom"/>
            <w:hideMark/>
          </w:tcPr>
          <w:p w14:paraId="7CA1E58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9F0AC3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396620D6" w14:textId="77777777" w:rsidTr="00873BB1">
        <w:trPr>
          <w:cantSplit/>
          <w:trHeight w:val="25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E392658"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1180BC8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11. Garabito</w:t>
            </w:r>
          </w:p>
        </w:tc>
        <w:tc>
          <w:tcPr>
            <w:tcW w:w="2268" w:type="dxa"/>
            <w:tcBorders>
              <w:top w:val="nil"/>
              <w:left w:val="nil"/>
              <w:bottom w:val="single" w:sz="4" w:space="0" w:color="auto"/>
              <w:right w:val="single" w:sz="4" w:space="0" w:color="auto"/>
            </w:tcBorders>
            <w:shd w:val="clear" w:color="auto" w:fill="auto"/>
            <w:noWrap/>
            <w:vAlign w:val="bottom"/>
            <w:hideMark/>
          </w:tcPr>
          <w:p w14:paraId="12CDA0F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75A44132"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IV</w:t>
            </w:r>
          </w:p>
        </w:tc>
      </w:tr>
      <w:tr w:rsidR="00582EB8" w:rsidRPr="00F57CF8" w14:paraId="1A0C4712" w14:textId="77777777" w:rsidTr="00873BB1">
        <w:trPr>
          <w:cantSplit/>
          <w:trHeight w:val="255"/>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68D6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7. Limón</w:t>
            </w:r>
          </w:p>
        </w:tc>
        <w:tc>
          <w:tcPr>
            <w:tcW w:w="1984" w:type="dxa"/>
            <w:tcBorders>
              <w:top w:val="nil"/>
              <w:left w:val="nil"/>
              <w:bottom w:val="single" w:sz="4" w:space="0" w:color="auto"/>
              <w:right w:val="single" w:sz="4" w:space="0" w:color="auto"/>
            </w:tcBorders>
            <w:shd w:val="clear" w:color="auto" w:fill="auto"/>
            <w:noWrap/>
            <w:vAlign w:val="bottom"/>
            <w:hideMark/>
          </w:tcPr>
          <w:p w14:paraId="7C6AA1B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Limón</w:t>
            </w:r>
          </w:p>
        </w:tc>
        <w:tc>
          <w:tcPr>
            <w:tcW w:w="2268" w:type="dxa"/>
            <w:tcBorders>
              <w:top w:val="nil"/>
              <w:left w:val="nil"/>
              <w:bottom w:val="single" w:sz="4" w:space="0" w:color="auto"/>
              <w:right w:val="single" w:sz="4" w:space="0" w:color="auto"/>
            </w:tcBorders>
            <w:shd w:val="clear" w:color="auto" w:fill="auto"/>
            <w:noWrap/>
            <w:vAlign w:val="bottom"/>
            <w:hideMark/>
          </w:tcPr>
          <w:p w14:paraId="21CA133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6050E27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E07DFF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40F4997" w14:textId="77777777" w:rsidR="00582EB8" w:rsidRPr="00F57CF8" w:rsidRDefault="00582EB8" w:rsidP="00873BB1">
            <w:pPr>
              <w:rPr>
                <w:rFonts w:asciiTheme="majorHAnsi" w:hAnsiTheme="majorHAnsi"/>
                <w:sz w:val="20"/>
                <w:szCs w:val="20"/>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870DB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Pococí</w:t>
            </w:r>
          </w:p>
        </w:tc>
        <w:tc>
          <w:tcPr>
            <w:tcW w:w="2268" w:type="dxa"/>
            <w:tcBorders>
              <w:top w:val="nil"/>
              <w:left w:val="nil"/>
              <w:bottom w:val="single" w:sz="4" w:space="0" w:color="auto"/>
              <w:right w:val="single" w:sz="4" w:space="0" w:color="auto"/>
            </w:tcBorders>
            <w:shd w:val="clear" w:color="auto" w:fill="auto"/>
            <w:noWrap/>
            <w:vAlign w:val="bottom"/>
            <w:hideMark/>
          </w:tcPr>
          <w:p w14:paraId="0D25A928"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Guápiles</w:t>
            </w:r>
          </w:p>
        </w:tc>
        <w:tc>
          <w:tcPr>
            <w:tcW w:w="1418" w:type="dxa"/>
            <w:tcBorders>
              <w:top w:val="nil"/>
              <w:left w:val="nil"/>
              <w:bottom w:val="single" w:sz="4" w:space="0" w:color="auto"/>
              <w:right w:val="single" w:sz="4" w:space="0" w:color="auto"/>
            </w:tcBorders>
            <w:shd w:val="clear" w:color="auto" w:fill="auto"/>
            <w:noWrap/>
            <w:vAlign w:val="bottom"/>
            <w:hideMark/>
          </w:tcPr>
          <w:p w14:paraId="78D7132F"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C5AC736"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3F28FF18"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2CF243F"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FAE474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Jiménez</w:t>
            </w:r>
          </w:p>
        </w:tc>
        <w:tc>
          <w:tcPr>
            <w:tcW w:w="1418" w:type="dxa"/>
            <w:tcBorders>
              <w:top w:val="nil"/>
              <w:left w:val="nil"/>
              <w:bottom w:val="single" w:sz="4" w:space="0" w:color="auto"/>
              <w:right w:val="single" w:sz="4" w:space="0" w:color="auto"/>
            </w:tcBorders>
            <w:shd w:val="clear" w:color="auto" w:fill="auto"/>
            <w:noWrap/>
            <w:vAlign w:val="bottom"/>
            <w:hideMark/>
          </w:tcPr>
          <w:p w14:paraId="5BF11FB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BBAEE61"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19935A3"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DAB91F1"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A0AC1B0"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Rita</w:t>
            </w:r>
          </w:p>
        </w:tc>
        <w:tc>
          <w:tcPr>
            <w:tcW w:w="1418" w:type="dxa"/>
            <w:tcBorders>
              <w:top w:val="nil"/>
              <w:left w:val="nil"/>
              <w:bottom w:val="single" w:sz="4" w:space="0" w:color="auto"/>
              <w:right w:val="single" w:sz="4" w:space="0" w:color="auto"/>
            </w:tcBorders>
            <w:shd w:val="clear" w:color="auto" w:fill="auto"/>
            <w:noWrap/>
            <w:vAlign w:val="bottom"/>
            <w:hideMark/>
          </w:tcPr>
          <w:p w14:paraId="49B54F9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36A522DA"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D57E49D"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FEA5206"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2B5974BE"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Roxana</w:t>
            </w:r>
          </w:p>
        </w:tc>
        <w:tc>
          <w:tcPr>
            <w:tcW w:w="1418" w:type="dxa"/>
            <w:tcBorders>
              <w:top w:val="nil"/>
              <w:left w:val="nil"/>
              <w:bottom w:val="single" w:sz="4" w:space="0" w:color="auto"/>
              <w:right w:val="single" w:sz="4" w:space="0" w:color="auto"/>
            </w:tcBorders>
            <w:shd w:val="clear" w:color="auto" w:fill="auto"/>
            <w:noWrap/>
            <w:vAlign w:val="bottom"/>
            <w:hideMark/>
          </w:tcPr>
          <w:p w14:paraId="21E05838"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02457E6C"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836DC1C"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BA712FC"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3902E49"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Cariari</w:t>
            </w:r>
          </w:p>
        </w:tc>
        <w:tc>
          <w:tcPr>
            <w:tcW w:w="1418" w:type="dxa"/>
            <w:tcBorders>
              <w:top w:val="nil"/>
              <w:left w:val="nil"/>
              <w:bottom w:val="single" w:sz="4" w:space="0" w:color="auto"/>
              <w:right w:val="single" w:sz="4" w:space="0" w:color="auto"/>
            </w:tcBorders>
            <w:shd w:val="clear" w:color="auto" w:fill="auto"/>
            <w:noWrap/>
            <w:vAlign w:val="bottom"/>
            <w:hideMark/>
          </w:tcPr>
          <w:p w14:paraId="4D4C46D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6092D71D"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3F0F9514" w14:textId="77777777" w:rsidR="00582EB8" w:rsidRPr="00F57CF8" w:rsidRDefault="00582EB8" w:rsidP="00873BB1">
            <w:pPr>
              <w:rPr>
                <w:rFonts w:asciiTheme="majorHAnsi" w:hAnsiTheme="majorHAnsi"/>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3D701AD"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A68196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Colorado</w:t>
            </w:r>
          </w:p>
        </w:tc>
        <w:tc>
          <w:tcPr>
            <w:tcW w:w="1418" w:type="dxa"/>
            <w:tcBorders>
              <w:top w:val="nil"/>
              <w:left w:val="nil"/>
              <w:bottom w:val="single" w:sz="4" w:space="0" w:color="auto"/>
              <w:right w:val="single" w:sz="4" w:space="0" w:color="auto"/>
            </w:tcBorders>
            <w:shd w:val="clear" w:color="auto" w:fill="auto"/>
            <w:noWrap/>
            <w:vAlign w:val="bottom"/>
            <w:hideMark/>
          </w:tcPr>
          <w:p w14:paraId="06A41A55"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r w:rsidR="00582EB8" w:rsidRPr="00F57CF8" w14:paraId="1AC78D2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C536220"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5E869B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Siquirres</w:t>
            </w:r>
          </w:p>
        </w:tc>
        <w:tc>
          <w:tcPr>
            <w:tcW w:w="2268" w:type="dxa"/>
            <w:tcBorders>
              <w:top w:val="nil"/>
              <w:left w:val="nil"/>
              <w:bottom w:val="single" w:sz="4" w:space="0" w:color="auto"/>
              <w:right w:val="single" w:sz="4" w:space="0" w:color="auto"/>
            </w:tcBorders>
            <w:shd w:val="clear" w:color="auto" w:fill="auto"/>
            <w:noWrap/>
            <w:vAlign w:val="bottom"/>
            <w:hideMark/>
          </w:tcPr>
          <w:p w14:paraId="602CC109"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FF6668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A06730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47FCC2A"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65C858C6"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Talamanca</w:t>
            </w:r>
          </w:p>
        </w:tc>
        <w:tc>
          <w:tcPr>
            <w:tcW w:w="2268" w:type="dxa"/>
            <w:tcBorders>
              <w:top w:val="nil"/>
              <w:left w:val="nil"/>
              <w:bottom w:val="single" w:sz="4" w:space="0" w:color="auto"/>
              <w:right w:val="single" w:sz="4" w:space="0" w:color="auto"/>
            </w:tcBorders>
            <w:shd w:val="clear" w:color="auto" w:fill="auto"/>
            <w:noWrap/>
            <w:vAlign w:val="bottom"/>
            <w:hideMark/>
          </w:tcPr>
          <w:p w14:paraId="520284F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45B3B3D3"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6E55222E"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478ABEB" w14:textId="77777777" w:rsidR="00582EB8" w:rsidRPr="00F57CF8" w:rsidRDefault="00582EB8" w:rsidP="00873BB1">
            <w:pPr>
              <w:rPr>
                <w:rFonts w:asciiTheme="majorHAnsi" w:hAnsiTheme="majorHAnsi"/>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14:paraId="246802F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Matina</w:t>
            </w:r>
          </w:p>
        </w:tc>
        <w:tc>
          <w:tcPr>
            <w:tcW w:w="2268" w:type="dxa"/>
            <w:tcBorders>
              <w:top w:val="nil"/>
              <w:left w:val="nil"/>
              <w:bottom w:val="single" w:sz="4" w:space="0" w:color="auto"/>
              <w:right w:val="single" w:sz="4" w:space="0" w:color="auto"/>
            </w:tcBorders>
            <w:shd w:val="clear" w:color="auto" w:fill="auto"/>
            <w:noWrap/>
            <w:vAlign w:val="bottom"/>
            <w:hideMark/>
          </w:tcPr>
          <w:p w14:paraId="45462767"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Todos</w:t>
            </w:r>
          </w:p>
        </w:tc>
        <w:tc>
          <w:tcPr>
            <w:tcW w:w="1418" w:type="dxa"/>
            <w:tcBorders>
              <w:top w:val="nil"/>
              <w:left w:val="nil"/>
              <w:bottom w:val="single" w:sz="4" w:space="0" w:color="auto"/>
              <w:right w:val="single" w:sz="4" w:space="0" w:color="auto"/>
            </w:tcBorders>
            <w:shd w:val="clear" w:color="auto" w:fill="auto"/>
            <w:noWrap/>
            <w:vAlign w:val="bottom"/>
            <w:hideMark/>
          </w:tcPr>
          <w:p w14:paraId="2F626F50"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1122C8B4"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530D41E9" w14:textId="77777777" w:rsidR="00582EB8" w:rsidRPr="00F57CF8" w:rsidRDefault="00582EB8" w:rsidP="00873BB1">
            <w:pPr>
              <w:rPr>
                <w:rFonts w:asciiTheme="majorHAnsi" w:hAnsiTheme="majorHAnsi"/>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66395"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6. Guácimo</w:t>
            </w:r>
          </w:p>
        </w:tc>
        <w:tc>
          <w:tcPr>
            <w:tcW w:w="2268" w:type="dxa"/>
            <w:tcBorders>
              <w:top w:val="nil"/>
              <w:left w:val="nil"/>
              <w:bottom w:val="single" w:sz="4" w:space="0" w:color="auto"/>
              <w:right w:val="single" w:sz="4" w:space="0" w:color="auto"/>
            </w:tcBorders>
            <w:shd w:val="clear" w:color="auto" w:fill="auto"/>
            <w:noWrap/>
            <w:vAlign w:val="bottom"/>
            <w:hideMark/>
          </w:tcPr>
          <w:p w14:paraId="1047201A"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1. Guácimo</w:t>
            </w:r>
          </w:p>
        </w:tc>
        <w:tc>
          <w:tcPr>
            <w:tcW w:w="1418" w:type="dxa"/>
            <w:tcBorders>
              <w:top w:val="nil"/>
              <w:left w:val="nil"/>
              <w:bottom w:val="single" w:sz="4" w:space="0" w:color="auto"/>
              <w:right w:val="single" w:sz="4" w:space="0" w:color="auto"/>
            </w:tcBorders>
            <w:shd w:val="clear" w:color="auto" w:fill="auto"/>
            <w:noWrap/>
            <w:vAlign w:val="bottom"/>
            <w:hideMark/>
          </w:tcPr>
          <w:p w14:paraId="13A7382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25C0A988"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7E7A5743"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3672962F"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4F851D4"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2. Mercedes</w:t>
            </w:r>
          </w:p>
        </w:tc>
        <w:tc>
          <w:tcPr>
            <w:tcW w:w="1418" w:type="dxa"/>
            <w:tcBorders>
              <w:top w:val="nil"/>
              <w:left w:val="nil"/>
              <w:bottom w:val="single" w:sz="4" w:space="0" w:color="auto"/>
              <w:right w:val="single" w:sz="4" w:space="0" w:color="auto"/>
            </w:tcBorders>
            <w:shd w:val="clear" w:color="auto" w:fill="auto"/>
            <w:noWrap/>
            <w:vAlign w:val="bottom"/>
            <w:hideMark/>
          </w:tcPr>
          <w:p w14:paraId="25681A2B"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4C26E806"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6B348BF0"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59E9659B"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9EBC90B"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3. Pocora</w:t>
            </w:r>
          </w:p>
        </w:tc>
        <w:tc>
          <w:tcPr>
            <w:tcW w:w="1418" w:type="dxa"/>
            <w:tcBorders>
              <w:top w:val="nil"/>
              <w:left w:val="nil"/>
              <w:bottom w:val="single" w:sz="4" w:space="0" w:color="auto"/>
              <w:right w:val="single" w:sz="4" w:space="0" w:color="auto"/>
            </w:tcBorders>
            <w:shd w:val="clear" w:color="auto" w:fill="auto"/>
            <w:noWrap/>
            <w:vAlign w:val="bottom"/>
            <w:hideMark/>
          </w:tcPr>
          <w:p w14:paraId="158C8DC1"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344D339A"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0BA00FE4"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168E4BE9"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C02F851"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4. Río Jiménez</w:t>
            </w:r>
          </w:p>
        </w:tc>
        <w:tc>
          <w:tcPr>
            <w:tcW w:w="1418" w:type="dxa"/>
            <w:tcBorders>
              <w:top w:val="nil"/>
              <w:left w:val="nil"/>
              <w:bottom w:val="single" w:sz="4" w:space="0" w:color="auto"/>
              <w:right w:val="single" w:sz="4" w:space="0" w:color="auto"/>
            </w:tcBorders>
            <w:shd w:val="clear" w:color="auto" w:fill="auto"/>
            <w:noWrap/>
            <w:vAlign w:val="bottom"/>
            <w:hideMark/>
          </w:tcPr>
          <w:p w14:paraId="48FD30FD"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III</w:t>
            </w:r>
          </w:p>
        </w:tc>
      </w:tr>
      <w:tr w:rsidR="00582EB8" w:rsidRPr="00F57CF8" w14:paraId="568957F1" w14:textId="77777777" w:rsidTr="00873BB1">
        <w:trPr>
          <w:cantSplit/>
          <w:trHeight w:val="255"/>
          <w:jc w:val="center"/>
        </w:trPr>
        <w:tc>
          <w:tcPr>
            <w:tcW w:w="1980" w:type="dxa"/>
            <w:vMerge/>
            <w:tcBorders>
              <w:top w:val="nil"/>
              <w:left w:val="single" w:sz="4" w:space="0" w:color="auto"/>
              <w:bottom w:val="single" w:sz="4" w:space="0" w:color="auto"/>
              <w:right w:val="single" w:sz="4" w:space="0" w:color="auto"/>
            </w:tcBorders>
            <w:vAlign w:val="center"/>
            <w:hideMark/>
          </w:tcPr>
          <w:p w14:paraId="10C15EAF" w14:textId="77777777" w:rsidR="00582EB8" w:rsidRPr="00F57CF8" w:rsidRDefault="00582EB8" w:rsidP="00873BB1">
            <w:pPr>
              <w:rPr>
                <w:rFonts w:asciiTheme="majorHAnsi" w:hAnsiTheme="majorHAnsi"/>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655A1AD7" w14:textId="77777777" w:rsidR="00582EB8" w:rsidRPr="00F57CF8" w:rsidRDefault="00582EB8" w:rsidP="00873BB1">
            <w:pPr>
              <w:rPr>
                <w:rFonts w:asciiTheme="majorHAnsi" w:hAnsiTheme="majorHAnsi"/>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CC49DF2" w14:textId="77777777" w:rsidR="00582EB8" w:rsidRPr="00F57CF8" w:rsidRDefault="00582EB8" w:rsidP="00873BB1">
            <w:pPr>
              <w:rPr>
                <w:rFonts w:asciiTheme="majorHAnsi" w:hAnsiTheme="majorHAnsi"/>
                <w:sz w:val="20"/>
                <w:szCs w:val="20"/>
              </w:rPr>
            </w:pPr>
            <w:r w:rsidRPr="00F57CF8">
              <w:rPr>
                <w:rFonts w:asciiTheme="majorHAnsi" w:hAnsiTheme="majorHAnsi"/>
                <w:sz w:val="20"/>
                <w:szCs w:val="20"/>
              </w:rPr>
              <w:t>5. Duacarí</w:t>
            </w:r>
          </w:p>
        </w:tc>
        <w:tc>
          <w:tcPr>
            <w:tcW w:w="1418" w:type="dxa"/>
            <w:tcBorders>
              <w:top w:val="nil"/>
              <w:left w:val="nil"/>
              <w:bottom w:val="single" w:sz="4" w:space="0" w:color="auto"/>
              <w:right w:val="single" w:sz="4" w:space="0" w:color="auto"/>
            </w:tcBorders>
            <w:shd w:val="clear" w:color="auto" w:fill="auto"/>
            <w:noWrap/>
            <w:vAlign w:val="bottom"/>
            <w:hideMark/>
          </w:tcPr>
          <w:p w14:paraId="2DEC1FB6" w14:textId="77777777" w:rsidR="00582EB8" w:rsidRPr="00F57CF8" w:rsidRDefault="00582EB8" w:rsidP="00873BB1">
            <w:pPr>
              <w:jc w:val="center"/>
              <w:rPr>
                <w:rFonts w:asciiTheme="majorHAnsi" w:hAnsiTheme="majorHAnsi"/>
                <w:sz w:val="20"/>
                <w:szCs w:val="20"/>
              </w:rPr>
            </w:pPr>
            <w:r w:rsidRPr="00F57CF8">
              <w:rPr>
                <w:rFonts w:asciiTheme="majorHAnsi" w:hAnsiTheme="majorHAnsi"/>
                <w:sz w:val="20"/>
                <w:szCs w:val="20"/>
              </w:rPr>
              <w:t>II</w:t>
            </w:r>
          </w:p>
        </w:tc>
      </w:tr>
    </w:tbl>
    <w:p w14:paraId="011E5250" w14:textId="77777777" w:rsidR="00582EB8" w:rsidRDefault="00582EB8" w:rsidP="00582EB8">
      <w:pPr>
        <w:jc w:val="both"/>
        <w:rPr>
          <w:rFonts w:asciiTheme="majorHAnsi" w:hAnsiTheme="majorHAnsi"/>
          <w:b/>
        </w:rPr>
      </w:pPr>
    </w:p>
    <w:p w14:paraId="7D44A7B5" w14:textId="77777777" w:rsidR="006C6B9F" w:rsidRDefault="006C6B9F">
      <w:pPr>
        <w:spacing w:after="200" w:line="276" w:lineRule="auto"/>
        <w:rPr>
          <w:rFonts w:asciiTheme="majorHAnsi" w:hAnsiTheme="majorHAnsi"/>
          <w:b/>
        </w:rPr>
      </w:pPr>
      <w:r>
        <w:rPr>
          <w:rFonts w:asciiTheme="majorHAnsi" w:hAnsiTheme="majorHAnsi"/>
          <w:b/>
        </w:rPr>
        <w:br w:type="page"/>
      </w:r>
    </w:p>
    <w:p w14:paraId="034884BC" w14:textId="660F8A97" w:rsidR="00582EB8" w:rsidRPr="002E6C35" w:rsidRDefault="00582EB8" w:rsidP="00582EB8">
      <w:pPr>
        <w:jc w:val="both"/>
        <w:rPr>
          <w:rFonts w:asciiTheme="majorHAnsi" w:hAnsiTheme="majorHAnsi"/>
        </w:rPr>
      </w:pPr>
      <w:r>
        <w:rPr>
          <w:rFonts w:asciiTheme="majorHAnsi" w:hAnsiTheme="majorHAnsi"/>
          <w:b/>
        </w:rPr>
        <w:lastRenderedPageBreak/>
        <w:t>S</w:t>
      </w:r>
      <w:r w:rsidRPr="002E6C35">
        <w:rPr>
          <w:rFonts w:asciiTheme="majorHAnsi" w:hAnsiTheme="majorHAnsi"/>
          <w:b/>
        </w:rPr>
        <w:t>egundo:</w:t>
      </w:r>
      <w:r w:rsidRPr="002E6C35">
        <w:rPr>
          <w:rFonts w:asciiTheme="majorHAnsi" w:hAnsiTheme="majorHAnsi"/>
        </w:rPr>
        <w:t xml:space="preserve"> Renumerar el artículo 25 del acuerdo de Superintendente SGS-DES-A-029-2013 </w:t>
      </w:r>
      <w:r w:rsidRPr="002E6C35">
        <w:rPr>
          <w:rFonts w:asciiTheme="majorHAnsi" w:hAnsiTheme="majorHAnsi"/>
          <w:i/>
        </w:rPr>
        <w:t>“Lineamientos Generales para la aplicación del Reglamento sobre la Solvencia de Entidades de Seguros y Reaseguros”</w:t>
      </w:r>
      <w:r w:rsidRPr="002E6C35">
        <w:rPr>
          <w:rFonts w:asciiTheme="majorHAnsi" w:hAnsiTheme="majorHAnsi"/>
        </w:rPr>
        <w:t xml:space="preserve">, para que en lo sucesivo sea el artículo 26 </w:t>
      </w:r>
      <w:r w:rsidRPr="002E6C35">
        <w:rPr>
          <w:rFonts w:asciiTheme="majorHAnsi" w:hAnsiTheme="majorHAnsi"/>
          <w:i/>
        </w:rPr>
        <w:t xml:space="preserve">Respaldo </w:t>
      </w:r>
      <w:r>
        <w:rPr>
          <w:rFonts w:asciiTheme="majorHAnsi" w:hAnsiTheme="majorHAnsi"/>
          <w:i/>
        </w:rPr>
        <w:t xml:space="preserve">Documental y de la información </w:t>
      </w:r>
      <w:r w:rsidRPr="002E6C35">
        <w:rPr>
          <w:rFonts w:asciiTheme="majorHAnsi" w:hAnsiTheme="majorHAnsi"/>
        </w:rPr>
        <w:t>y el Capítulo V, para que en adelante se lea Capítulo VI,</w:t>
      </w:r>
      <w:r w:rsidRPr="002E6C35">
        <w:rPr>
          <w:rFonts w:asciiTheme="majorHAnsi" w:hAnsiTheme="majorHAnsi"/>
          <w:i/>
        </w:rPr>
        <w:t xml:space="preserve"> Respaldo documental</w:t>
      </w:r>
      <w:r w:rsidRPr="002E6C35">
        <w:rPr>
          <w:rFonts w:asciiTheme="majorHAnsi" w:hAnsiTheme="majorHAnsi"/>
        </w:rPr>
        <w:t>.  Adicionalmente, incluir en dicho artículo, en la sección REGISTRO DE PRODUCTOS, un apartado referente a la información mínima que las entidades deben mantener a disposición de la Superintendencia y que requieren para el cálculo del Requerimiento de Capital de Solvencia por Riesgo Catastrófico de Terremoto y Erupción Volcánica, de conformidad con el siguiente texto:</w:t>
      </w:r>
    </w:p>
    <w:p w14:paraId="1018C039" w14:textId="77777777" w:rsidR="00582EB8" w:rsidRDefault="00582EB8" w:rsidP="00582EB8">
      <w:pPr>
        <w:jc w:val="both"/>
        <w:rPr>
          <w:rFonts w:asciiTheme="majorHAnsi" w:hAnsiTheme="majorHAnsi"/>
        </w:rPr>
      </w:pPr>
    </w:p>
    <w:p w14:paraId="1ADC23B5" w14:textId="77777777" w:rsidR="006C6B9F" w:rsidRPr="002E6C35" w:rsidRDefault="006C6B9F" w:rsidP="00582EB8">
      <w:pPr>
        <w:jc w:val="both"/>
        <w:rPr>
          <w:rFonts w:asciiTheme="majorHAnsi" w:hAnsiTheme="majorHAnsi"/>
        </w:rPr>
      </w:pPr>
    </w:p>
    <w:p w14:paraId="2092F1DB" w14:textId="77777777" w:rsidR="00582EB8" w:rsidRPr="006C6B9F" w:rsidRDefault="00582EB8" w:rsidP="00582EB8">
      <w:pPr>
        <w:jc w:val="both"/>
        <w:rPr>
          <w:rFonts w:asciiTheme="majorHAnsi" w:hAnsiTheme="majorHAnsi"/>
          <w:u w:val="single"/>
        </w:rPr>
      </w:pPr>
      <w:r w:rsidRPr="006C6B9F">
        <w:rPr>
          <w:rFonts w:asciiTheme="majorHAnsi" w:hAnsiTheme="majorHAnsi"/>
          <w:u w:val="single"/>
        </w:rPr>
        <w:t xml:space="preserve">SEGUROS CON COBERTURAS POR RIESGO DE TERREMOTO Y ERUPCIÓN VOLCÁNICA </w:t>
      </w:r>
    </w:p>
    <w:p w14:paraId="40553104" w14:textId="77777777" w:rsidR="00582EB8" w:rsidRDefault="00582EB8" w:rsidP="00582EB8">
      <w:pPr>
        <w:jc w:val="both"/>
        <w:rPr>
          <w:rFonts w:asciiTheme="majorHAnsi" w:hAnsiTheme="majorHAnsi"/>
          <w:u w:val="single"/>
        </w:rPr>
      </w:pPr>
    </w:p>
    <w:p w14:paraId="5E8716B2" w14:textId="77777777" w:rsidR="006C6B9F" w:rsidRPr="006C6B9F" w:rsidRDefault="006C6B9F" w:rsidP="00582EB8">
      <w:pPr>
        <w:jc w:val="both"/>
        <w:rPr>
          <w:rFonts w:asciiTheme="majorHAnsi" w:hAnsiTheme="majorHAnsi"/>
          <w:u w:val="single"/>
        </w:rPr>
      </w:pPr>
    </w:p>
    <w:p w14:paraId="1F464F78"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Número de póliza.</w:t>
      </w:r>
    </w:p>
    <w:p w14:paraId="676364B1"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Inmueble asegurado.  Si una póliza cubre varios inmuebles, se debe indicar el código asignado por la entidad a cada inmueble (un inmueble por fila).</w:t>
      </w:r>
    </w:p>
    <w:p w14:paraId="6B1AB9AF"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Cobertura contratada (Daños materiales, Contenidos y Pérdidas consecuenciales o de beneficios).</w:t>
      </w:r>
    </w:p>
    <w:p w14:paraId="7B52512D"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Fecha de inicio de vigencia de la póliza o de la cobertura de cada inmueble, en caso de que la póliza cubra varios inmuebles.</w:t>
      </w:r>
    </w:p>
    <w:p w14:paraId="20012D0D"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Fecha de vencimiento de la póliza o de la cobertura de cada inmueble, en caso de que la póliza cubra varios inmuebles.</w:t>
      </w:r>
    </w:p>
    <w:p w14:paraId="682A0F61"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Código de la zona en la que se ubica el bien asegurado, conforme a las zonas establecidas en el Anexo RCS-6 del Reglamento.</w:t>
      </w:r>
    </w:p>
    <w:p w14:paraId="309CFD44"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Código del tipo de bien, conforme a los tipos de bienes establecidos en el Anexo RCS-6 del Reglamento.</w:t>
      </w:r>
    </w:p>
    <w:p w14:paraId="11ACEB4E"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Suma asegurada de la cobertura de daños materiales.</w:t>
      </w:r>
    </w:p>
    <w:p w14:paraId="31CBBB65"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Suma asegurada de la cobertura de contenidos.</w:t>
      </w:r>
    </w:p>
    <w:p w14:paraId="6FE0E409"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Suma asegurada de la cobertura de pérdidas consecuenciales, pérdida de beneficios o cesación de lucro.</w:t>
      </w:r>
    </w:p>
    <w:p w14:paraId="21991F03"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Costo del reaseguro no proporcional que, en su caso, esté participando en el riesgo de la póliza.</w:t>
      </w:r>
    </w:p>
    <w:p w14:paraId="0A4785BE"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Prioridad del contrato de reaseguro de exceso de pérdida XL que participa en la póliza.</w:t>
      </w:r>
    </w:p>
    <w:p w14:paraId="74E280B8"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Cobertura del contrato XL que participa en la póliza</w:t>
      </w:r>
    </w:p>
    <w:p w14:paraId="3071039D" w14:textId="466EE952" w:rsid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Prima retenida por la entidad considerando contratos de reaseguro proporcional, correspondiente a la póliza, bien  y cobertura de que se trate.</w:t>
      </w:r>
    </w:p>
    <w:p w14:paraId="27F9D84A" w14:textId="77777777" w:rsidR="006C6B9F" w:rsidRDefault="006C6B9F">
      <w:pPr>
        <w:spacing w:after="200" w:line="276" w:lineRule="auto"/>
        <w:rPr>
          <w:rFonts w:asciiTheme="majorHAnsi" w:hAnsiTheme="majorHAnsi"/>
        </w:rPr>
      </w:pPr>
      <w:r>
        <w:rPr>
          <w:rFonts w:asciiTheme="majorHAnsi" w:hAnsiTheme="majorHAnsi"/>
        </w:rPr>
        <w:br w:type="page"/>
      </w:r>
    </w:p>
    <w:p w14:paraId="7AA45FBE"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lastRenderedPageBreak/>
        <w:t>Prima emitida total, correspondiente a la póliza, bien y cobertura de que se trate.</w:t>
      </w:r>
    </w:p>
    <w:p w14:paraId="0EFA07B1" w14:textId="77777777" w:rsidR="00582EB8" w:rsidRPr="006C6B9F" w:rsidRDefault="00582EB8" w:rsidP="00582EB8">
      <w:pPr>
        <w:pStyle w:val="Prrafodelista"/>
        <w:numPr>
          <w:ilvl w:val="0"/>
          <w:numId w:val="5"/>
        </w:numPr>
        <w:ind w:left="590" w:hanging="425"/>
        <w:jc w:val="both"/>
        <w:rPr>
          <w:rFonts w:asciiTheme="majorHAnsi" w:hAnsiTheme="majorHAnsi"/>
        </w:rPr>
      </w:pPr>
      <w:r w:rsidRPr="006C6B9F">
        <w:rPr>
          <w:rFonts w:asciiTheme="majorHAnsi" w:hAnsiTheme="majorHAnsi"/>
        </w:rPr>
        <w:t>Tipo de aseguramiento, de conformidad con lo establecido en el Anexo RCS-6 del Reglamento.</w:t>
      </w:r>
    </w:p>
    <w:p w14:paraId="60ADB1AF" w14:textId="77777777" w:rsidR="00582EB8" w:rsidRDefault="00582EB8" w:rsidP="00582EB8">
      <w:pPr>
        <w:jc w:val="both"/>
        <w:rPr>
          <w:rFonts w:asciiTheme="majorHAnsi" w:hAnsiTheme="majorHAnsi"/>
        </w:rPr>
      </w:pPr>
    </w:p>
    <w:p w14:paraId="028667C3" w14:textId="77777777" w:rsidR="00582EB8" w:rsidRPr="00E86C97" w:rsidRDefault="00582EB8" w:rsidP="00582EB8">
      <w:pPr>
        <w:jc w:val="both"/>
        <w:rPr>
          <w:rFonts w:asciiTheme="majorHAnsi" w:hAnsiTheme="majorHAnsi"/>
          <w:szCs w:val="18"/>
        </w:rPr>
      </w:pPr>
      <w:r w:rsidRPr="00E86C97">
        <w:rPr>
          <w:rFonts w:asciiTheme="majorHAnsi" w:hAnsiTheme="majorHAnsi"/>
          <w:b/>
          <w:szCs w:val="18"/>
        </w:rPr>
        <w:t xml:space="preserve">Tercero: </w:t>
      </w:r>
      <w:r w:rsidRPr="00E86C97">
        <w:rPr>
          <w:rFonts w:asciiTheme="majorHAnsi" w:hAnsiTheme="majorHAnsi"/>
          <w:szCs w:val="18"/>
        </w:rPr>
        <w:t xml:space="preserve">Incluir en la tabla del artículo 2 del acuerdo de Superintendente SGS-DES-A-021-2013 </w:t>
      </w:r>
      <w:r w:rsidRPr="00E86C97">
        <w:rPr>
          <w:rFonts w:asciiTheme="majorHAnsi" w:hAnsiTheme="majorHAnsi"/>
          <w:i/>
          <w:szCs w:val="18"/>
        </w:rPr>
        <w:t>“Disposiciones para la Remisión de la Información Contable y Estadística a la Superintendencia General de Seguros por parte de las Entidades Supervisadas”</w:t>
      </w:r>
      <w:r w:rsidRPr="00E86C97">
        <w:rPr>
          <w:rFonts w:asciiTheme="majorHAnsi" w:hAnsiTheme="majorHAnsi"/>
          <w:szCs w:val="18"/>
        </w:rPr>
        <w:t xml:space="preserve">,  la siguiente línea:  </w:t>
      </w:r>
    </w:p>
    <w:p w14:paraId="79474781" w14:textId="77777777" w:rsidR="00582EB8" w:rsidRPr="00B82180" w:rsidRDefault="00582EB8" w:rsidP="00582EB8">
      <w:pPr>
        <w:jc w:val="both"/>
        <w:rPr>
          <w:rFonts w:asciiTheme="majorHAnsi" w:hAnsiTheme="majorHAnsi"/>
          <w:sz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498"/>
        <w:gridCol w:w="1361"/>
        <w:gridCol w:w="1701"/>
        <w:gridCol w:w="3090"/>
      </w:tblGrid>
      <w:tr w:rsidR="00582EB8" w:rsidRPr="00E86C97" w14:paraId="3AD04FFC" w14:textId="77777777" w:rsidTr="006C6B9F">
        <w:trPr>
          <w:trHeight w:val="266"/>
          <w:tblHeader/>
          <w:jc w:val="center"/>
        </w:trPr>
        <w:tc>
          <w:tcPr>
            <w:tcW w:w="1498" w:type="dxa"/>
            <w:shd w:val="clear" w:color="auto" w:fill="95B3D7" w:themeFill="accent1" w:themeFillTint="99"/>
            <w:noWrap/>
          </w:tcPr>
          <w:p w14:paraId="3E8F0B63" w14:textId="77777777" w:rsidR="00582EB8" w:rsidRPr="00E86C97" w:rsidRDefault="00582EB8" w:rsidP="00873BB1">
            <w:pPr>
              <w:jc w:val="center"/>
              <w:rPr>
                <w:rFonts w:asciiTheme="majorHAnsi" w:hAnsiTheme="majorHAnsi"/>
                <w:b/>
                <w:i/>
                <w:snapToGrid w:val="0"/>
                <w:sz w:val="20"/>
                <w:szCs w:val="18"/>
              </w:rPr>
            </w:pPr>
            <w:r w:rsidRPr="00E86C97">
              <w:rPr>
                <w:rFonts w:asciiTheme="majorHAnsi" w:hAnsiTheme="majorHAnsi"/>
                <w:b/>
                <w:i/>
                <w:snapToGrid w:val="0"/>
                <w:sz w:val="20"/>
                <w:szCs w:val="18"/>
              </w:rPr>
              <w:t>Información</w:t>
            </w:r>
          </w:p>
        </w:tc>
        <w:tc>
          <w:tcPr>
            <w:tcW w:w="1361" w:type="dxa"/>
            <w:shd w:val="clear" w:color="auto" w:fill="95B3D7" w:themeFill="accent1" w:themeFillTint="99"/>
            <w:noWrap/>
          </w:tcPr>
          <w:p w14:paraId="10B4B88C" w14:textId="77777777" w:rsidR="00582EB8" w:rsidRPr="00E86C97" w:rsidRDefault="00582EB8" w:rsidP="00873BB1">
            <w:pPr>
              <w:keepNext/>
              <w:jc w:val="center"/>
              <w:outlineLvl w:val="4"/>
              <w:rPr>
                <w:rFonts w:asciiTheme="majorHAnsi" w:hAnsiTheme="majorHAnsi"/>
                <w:b/>
                <w:i/>
                <w:snapToGrid w:val="0"/>
                <w:sz w:val="20"/>
                <w:szCs w:val="18"/>
              </w:rPr>
            </w:pPr>
            <w:r w:rsidRPr="00E86C97">
              <w:rPr>
                <w:rFonts w:asciiTheme="majorHAnsi" w:hAnsiTheme="majorHAnsi"/>
                <w:b/>
                <w:i/>
                <w:snapToGrid w:val="0"/>
                <w:sz w:val="20"/>
                <w:szCs w:val="18"/>
              </w:rPr>
              <w:t>Periodicidad</w:t>
            </w:r>
          </w:p>
        </w:tc>
        <w:tc>
          <w:tcPr>
            <w:tcW w:w="1701" w:type="dxa"/>
            <w:shd w:val="clear" w:color="auto" w:fill="95B3D7" w:themeFill="accent1" w:themeFillTint="99"/>
            <w:noWrap/>
          </w:tcPr>
          <w:p w14:paraId="001895B3" w14:textId="77777777" w:rsidR="00582EB8" w:rsidRPr="00E86C97" w:rsidRDefault="00582EB8" w:rsidP="00873BB1">
            <w:pPr>
              <w:jc w:val="center"/>
              <w:rPr>
                <w:rFonts w:asciiTheme="majorHAnsi" w:hAnsiTheme="majorHAnsi"/>
                <w:b/>
                <w:i/>
                <w:snapToGrid w:val="0"/>
                <w:sz w:val="20"/>
                <w:szCs w:val="18"/>
              </w:rPr>
            </w:pPr>
            <w:r w:rsidRPr="00E86C97">
              <w:rPr>
                <w:rFonts w:asciiTheme="majorHAnsi" w:hAnsiTheme="majorHAnsi"/>
                <w:b/>
                <w:i/>
                <w:snapToGrid w:val="0"/>
                <w:sz w:val="20"/>
                <w:szCs w:val="18"/>
              </w:rPr>
              <w:t>Plazo de entrega</w:t>
            </w:r>
          </w:p>
        </w:tc>
        <w:tc>
          <w:tcPr>
            <w:tcW w:w="3090" w:type="dxa"/>
            <w:shd w:val="clear" w:color="auto" w:fill="95B3D7" w:themeFill="accent1" w:themeFillTint="99"/>
            <w:noWrap/>
          </w:tcPr>
          <w:p w14:paraId="4A33A867" w14:textId="77777777" w:rsidR="00582EB8" w:rsidRPr="00E86C97" w:rsidRDefault="00582EB8" w:rsidP="00873BB1">
            <w:pPr>
              <w:jc w:val="center"/>
              <w:rPr>
                <w:rFonts w:asciiTheme="majorHAnsi" w:hAnsiTheme="majorHAnsi"/>
                <w:b/>
                <w:i/>
                <w:snapToGrid w:val="0"/>
                <w:sz w:val="20"/>
                <w:szCs w:val="18"/>
              </w:rPr>
            </w:pPr>
            <w:r w:rsidRPr="00E86C97">
              <w:rPr>
                <w:rFonts w:asciiTheme="majorHAnsi" w:hAnsiTheme="majorHAnsi"/>
                <w:b/>
                <w:i/>
                <w:snapToGrid w:val="0"/>
                <w:sz w:val="20"/>
                <w:szCs w:val="18"/>
              </w:rPr>
              <w:t>Medio</w:t>
            </w:r>
          </w:p>
        </w:tc>
      </w:tr>
      <w:tr w:rsidR="00582EB8" w:rsidRPr="00E86C97" w14:paraId="304E52DB" w14:textId="77777777" w:rsidTr="00873BB1">
        <w:trPr>
          <w:trHeight w:val="37"/>
          <w:jc w:val="center"/>
        </w:trPr>
        <w:tc>
          <w:tcPr>
            <w:tcW w:w="1498" w:type="dxa"/>
            <w:noWrap/>
          </w:tcPr>
          <w:p w14:paraId="6499527B" w14:textId="77777777" w:rsidR="00582EB8" w:rsidRPr="00E86C97" w:rsidRDefault="00582EB8" w:rsidP="00873BB1">
            <w:pPr>
              <w:jc w:val="center"/>
              <w:rPr>
                <w:rFonts w:asciiTheme="majorHAnsi" w:hAnsiTheme="majorHAnsi"/>
                <w:b/>
                <w:sz w:val="20"/>
                <w:szCs w:val="18"/>
              </w:rPr>
            </w:pPr>
            <w:r w:rsidRPr="00E86C97">
              <w:rPr>
                <w:rFonts w:asciiTheme="majorHAnsi" w:hAnsiTheme="majorHAnsi"/>
                <w:b/>
                <w:sz w:val="20"/>
                <w:szCs w:val="18"/>
              </w:rPr>
              <w:t>Provisión de riesgos catastróficos (PRCAT)</w:t>
            </w:r>
          </w:p>
        </w:tc>
        <w:tc>
          <w:tcPr>
            <w:tcW w:w="1361" w:type="dxa"/>
            <w:noWrap/>
          </w:tcPr>
          <w:p w14:paraId="68FE3403" w14:textId="77777777" w:rsidR="00582EB8" w:rsidRPr="00E86C97" w:rsidRDefault="00582EB8" w:rsidP="00873BB1">
            <w:pPr>
              <w:ind w:left="94"/>
              <w:jc w:val="center"/>
              <w:rPr>
                <w:rFonts w:asciiTheme="majorHAnsi" w:hAnsiTheme="majorHAnsi"/>
                <w:sz w:val="20"/>
                <w:szCs w:val="18"/>
              </w:rPr>
            </w:pPr>
            <w:r w:rsidRPr="00E86C97">
              <w:rPr>
                <w:rFonts w:asciiTheme="majorHAnsi" w:hAnsiTheme="majorHAnsi"/>
                <w:bCs/>
                <w:sz w:val="20"/>
                <w:szCs w:val="18"/>
              </w:rPr>
              <w:t>Mensual</w:t>
            </w:r>
          </w:p>
        </w:tc>
        <w:tc>
          <w:tcPr>
            <w:tcW w:w="1701" w:type="dxa"/>
            <w:noWrap/>
          </w:tcPr>
          <w:p w14:paraId="7B1E568A" w14:textId="77777777" w:rsidR="00582EB8" w:rsidRPr="00E86C97" w:rsidRDefault="00582EB8" w:rsidP="00873BB1">
            <w:pPr>
              <w:ind w:left="53"/>
              <w:jc w:val="center"/>
              <w:rPr>
                <w:rFonts w:asciiTheme="majorHAnsi" w:hAnsiTheme="majorHAnsi"/>
                <w:sz w:val="20"/>
                <w:szCs w:val="18"/>
              </w:rPr>
            </w:pPr>
            <w:r w:rsidRPr="00E86C97">
              <w:rPr>
                <w:rFonts w:asciiTheme="majorHAnsi" w:hAnsiTheme="majorHAnsi"/>
                <w:bCs/>
                <w:sz w:val="20"/>
                <w:szCs w:val="18"/>
              </w:rPr>
              <w:t>15 días hábiles después del cierre mensual.</w:t>
            </w:r>
          </w:p>
        </w:tc>
        <w:tc>
          <w:tcPr>
            <w:tcW w:w="3090" w:type="dxa"/>
            <w:noWrap/>
          </w:tcPr>
          <w:p w14:paraId="55EAEB36" w14:textId="77777777" w:rsidR="00582EB8" w:rsidRPr="00E86C97" w:rsidRDefault="00582EB8" w:rsidP="00873BB1">
            <w:pPr>
              <w:jc w:val="both"/>
              <w:rPr>
                <w:rFonts w:asciiTheme="majorHAnsi" w:hAnsiTheme="majorHAnsi"/>
                <w:sz w:val="20"/>
                <w:szCs w:val="18"/>
              </w:rPr>
            </w:pPr>
            <w:r w:rsidRPr="00E86C97">
              <w:rPr>
                <w:rFonts w:asciiTheme="majorHAnsi" w:hAnsiTheme="majorHAnsi"/>
                <w:sz w:val="20"/>
                <w:szCs w:val="18"/>
              </w:rPr>
              <w:t xml:space="preserve">En hoja electrónica (Excel), por correo electrónico, según formato establecido en el </w:t>
            </w:r>
            <w:r w:rsidRPr="00E86C97">
              <w:rPr>
                <w:rFonts w:asciiTheme="majorHAnsi" w:hAnsiTheme="majorHAnsi"/>
                <w:b/>
                <w:sz w:val="20"/>
                <w:szCs w:val="18"/>
              </w:rPr>
              <w:t>Anexo 13.</w:t>
            </w:r>
          </w:p>
        </w:tc>
      </w:tr>
    </w:tbl>
    <w:p w14:paraId="47CD660A" w14:textId="77777777" w:rsidR="00582EB8" w:rsidRPr="006C6B9F" w:rsidRDefault="00582EB8" w:rsidP="00582EB8">
      <w:pPr>
        <w:jc w:val="both"/>
        <w:rPr>
          <w:rFonts w:asciiTheme="majorHAnsi" w:hAnsiTheme="majorHAnsi"/>
        </w:rPr>
      </w:pPr>
    </w:p>
    <w:p w14:paraId="2DD0563D" w14:textId="77777777" w:rsidR="00582EB8" w:rsidRPr="006C6B9F" w:rsidRDefault="00582EB8" w:rsidP="00582EB8">
      <w:pPr>
        <w:jc w:val="both"/>
        <w:rPr>
          <w:rFonts w:asciiTheme="majorHAnsi" w:hAnsiTheme="majorHAnsi"/>
        </w:rPr>
      </w:pPr>
      <w:r w:rsidRPr="006C6B9F">
        <w:rPr>
          <w:rFonts w:asciiTheme="majorHAnsi" w:hAnsiTheme="majorHAnsi"/>
          <w:b/>
        </w:rPr>
        <w:t xml:space="preserve">Cuarto: </w:t>
      </w:r>
      <w:r w:rsidRPr="006C6B9F">
        <w:rPr>
          <w:rFonts w:asciiTheme="majorHAnsi" w:hAnsiTheme="majorHAnsi"/>
        </w:rPr>
        <w:t xml:space="preserve">Modificar el Anexo 4 del acuerdo de Superintendente SGS-DES-A-021-2013 </w:t>
      </w:r>
      <w:r w:rsidRPr="006C6B9F">
        <w:rPr>
          <w:rFonts w:asciiTheme="majorHAnsi" w:hAnsiTheme="majorHAnsi"/>
          <w:i/>
        </w:rPr>
        <w:t>“Disposiciones para la Remisión de la Información Contable y Estadística a la Superintendencia General de Seguros por parte de las Entidades Supervisadas”,</w:t>
      </w:r>
      <w:r w:rsidRPr="006C6B9F">
        <w:rPr>
          <w:rFonts w:asciiTheme="majorHAnsi" w:hAnsiTheme="majorHAnsi"/>
        </w:rPr>
        <w:t xml:space="preserve"> para sustituir el archivo de Excel por el siguiente:</w:t>
      </w:r>
    </w:p>
    <w:p w14:paraId="2C893C60" w14:textId="77777777" w:rsidR="00582EB8" w:rsidRPr="006C6B9F" w:rsidRDefault="00582EB8" w:rsidP="00582EB8">
      <w:pPr>
        <w:jc w:val="both"/>
        <w:rPr>
          <w:rFonts w:asciiTheme="majorHAnsi" w:hAnsiTheme="majorHAnsi"/>
          <w:b/>
        </w:rPr>
      </w:pPr>
    </w:p>
    <w:bookmarkStart w:id="1" w:name="_MON_1542784583"/>
    <w:bookmarkEnd w:id="1"/>
    <w:p w14:paraId="27DDFD07" w14:textId="77777777" w:rsidR="00582EB8" w:rsidRPr="006C6B9F" w:rsidRDefault="00582EB8" w:rsidP="00582EB8">
      <w:pPr>
        <w:jc w:val="center"/>
        <w:rPr>
          <w:rFonts w:asciiTheme="majorHAnsi" w:hAnsiTheme="majorHAnsi"/>
        </w:rPr>
      </w:pPr>
      <w:r w:rsidRPr="006C6B9F">
        <w:rPr>
          <w:rFonts w:asciiTheme="majorHAnsi" w:hAnsiTheme="majorHAnsi"/>
          <w:b/>
        </w:rPr>
        <w:object w:dxaOrig="1454" w:dyaOrig="880" w14:anchorId="4BE91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13" o:title=""/>
          </v:shape>
          <o:OLEObject Type="Embed" ProgID="Excel.SheetMacroEnabled.12" ShapeID="_x0000_i1025" DrawAspect="Icon" ObjectID="_1573989716" r:id="rId14"/>
        </w:object>
      </w:r>
    </w:p>
    <w:p w14:paraId="0A40BA55" w14:textId="77777777" w:rsidR="00582EB8" w:rsidRDefault="00582EB8" w:rsidP="00582EB8">
      <w:pPr>
        <w:jc w:val="both"/>
        <w:rPr>
          <w:rFonts w:asciiTheme="majorHAnsi" w:hAnsiTheme="majorHAnsi"/>
        </w:rPr>
      </w:pPr>
    </w:p>
    <w:p w14:paraId="7038F89D" w14:textId="77777777" w:rsidR="00582EB8" w:rsidRPr="00E86C97" w:rsidRDefault="00582EB8" w:rsidP="00582EB8">
      <w:pPr>
        <w:jc w:val="both"/>
        <w:rPr>
          <w:rFonts w:asciiTheme="majorHAnsi" w:hAnsiTheme="majorHAnsi"/>
        </w:rPr>
      </w:pPr>
      <w:r w:rsidRPr="00E86C97">
        <w:rPr>
          <w:rFonts w:asciiTheme="majorHAnsi" w:hAnsiTheme="majorHAnsi"/>
          <w:b/>
        </w:rPr>
        <w:t xml:space="preserve">Quinto: </w:t>
      </w:r>
      <w:r>
        <w:rPr>
          <w:rFonts w:asciiTheme="majorHAnsi" w:hAnsiTheme="majorHAnsi"/>
        </w:rPr>
        <w:t>Incluir el Anexo 13</w:t>
      </w:r>
      <w:r w:rsidRPr="00E86C97">
        <w:rPr>
          <w:rFonts w:asciiTheme="majorHAnsi" w:hAnsiTheme="majorHAnsi"/>
        </w:rPr>
        <w:t xml:space="preserve"> en el acuerdo de Superintendente SGS-DES-A-021-2013 </w:t>
      </w:r>
      <w:r w:rsidRPr="00E86C97">
        <w:rPr>
          <w:rFonts w:asciiTheme="majorHAnsi" w:hAnsiTheme="majorHAnsi"/>
          <w:i/>
        </w:rPr>
        <w:t>“Disposiciones para la Remisión de la Información Contable y Estadística a la Superintendencia General de Seguros por parte de las Entidades Supervisadas”</w:t>
      </w:r>
      <w:r w:rsidRPr="00E86C97">
        <w:rPr>
          <w:rFonts w:asciiTheme="majorHAnsi" w:hAnsiTheme="majorHAnsi"/>
        </w:rPr>
        <w:t>, para que se lea de la siguiente forma:</w:t>
      </w:r>
    </w:p>
    <w:p w14:paraId="54A67F8B" w14:textId="77777777" w:rsidR="00582EB8" w:rsidRDefault="00582EB8" w:rsidP="00582EB8">
      <w:pPr>
        <w:jc w:val="both"/>
        <w:rPr>
          <w:rFonts w:asciiTheme="majorHAnsi" w:hAnsiTheme="majorHAnsi"/>
          <w:sz w:val="22"/>
        </w:rPr>
      </w:pPr>
    </w:p>
    <w:p w14:paraId="0DCB8555" w14:textId="77777777" w:rsidR="006C6B9F" w:rsidRDefault="006C6B9F" w:rsidP="00582EB8">
      <w:pPr>
        <w:jc w:val="both"/>
        <w:rPr>
          <w:rFonts w:asciiTheme="majorHAnsi" w:hAnsiTheme="majorHAnsi"/>
          <w:sz w:val="22"/>
        </w:rPr>
      </w:pPr>
    </w:p>
    <w:p w14:paraId="0B33CEE4" w14:textId="77777777" w:rsidR="006C6B9F" w:rsidRDefault="006C6B9F">
      <w:pPr>
        <w:spacing w:after="200" w:line="276" w:lineRule="auto"/>
        <w:rPr>
          <w:rFonts w:asciiTheme="majorHAnsi" w:hAnsiTheme="majorHAnsi"/>
          <w:sz w:val="22"/>
        </w:rPr>
      </w:pPr>
      <w:r>
        <w:rPr>
          <w:rFonts w:asciiTheme="majorHAnsi" w:hAnsiTheme="majorHAnsi"/>
          <w:sz w:val="22"/>
        </w:rPr>
        <w:br w:type="page"/>
      </w:r>
    </w:p>
    <w:p w14:paraId="467A48C1" w14:textId="53C6C301" w:rsidR="006C6B9F" w:rsidRPr="00B82180" w:rsidRDefault="006C6B9F" w:rsidP="00582EB8">
      <w:pPr>
        <w:jc w:val="both"/>
        <w:rPr>
          <w:rFonts w:asciiTheme="majorHAnsi" w:hAnsiTheme="majorHAnsi"/>
          <w:sz w:val="22"/>
        </w:rPr>
      </w:pPr>
    </w:p>
    <w:p w14:paraId="1277CF8A" w14:textId="77777777" w:rsidR="00582EB8" w:rsidRPr="006C6B9F" w:rsidRDefault="00582EB8" w:rsidP="00582EB8">
      <w:pPr>
        <w:jc w:val="center"/>
        <w:rPr>
          <w:rFonts w:asciiTheme="majorHAnsi" w:hAnsiTheme="majorHAnsi"/>
          <w:b/>
        </w:rPr>
      </w:pPr>
      <w:r w:rsidRPr="006C6B9F">
        <w:rPr>
          <w:rFonts w:asciiTheme="majorHAnsi" w:hAnsiTheme="majorHAnsi"/>
          <w:b/>
        </w:rPr>
        <w:t>Anexo 13</w:t>
      </w:r>
    </w:p>
    <w:p w14:paraId="1961A505" w14:textId="77777777" w:rsidR="00582EB8" w:rsidRPr="006C6B9F" w:rsidRDefault="00582EB8" w:rsidP="00582EB8">
      <w:pPr>
        <w:jc w:val="center"/>
        <w:rPr>
          <w:rFonts w:asciiTheme="majorHAnsi" w:hAnsiTheme="majorHAnsi"/>
          <w:b/>
        </w:rPr>
      </w:pPr>
      <w:r w:rsidRPr="006C6B9F">
        <w:rPr>
          <w:rFonts w:asciiTheme="majorHAnsi" w:hAnsiTheme="majorHAnsi"/>
          <w:b/>
        </w:rPr>
        <w:t>Provisión de riesgos catastróficos (PRCAT)</w:t>
      </w:r>
    </w:p>
    <w:p w14:paraId="52047A05" w14:textId="77777777" w:rsidR="00582EB8" w:rsidRPr="006C6B9F" w:rsidRDefault="00582EB8" w:rsidP="00582EB8">
      <w:pPr>
        <w:jc w:val="both"/>
        <w:rPr>
          <w:rFonts w:asciiTheme="majorHAnsi" w:hAnsiTheme="majorHAnsi"/>
          <w:b/>
        </w:rPr>
      </w:pPr>
    </w:p>
    <w:p w14:paraId="10C9FD6B" w14:textId="77777777" w:rsidR="00582EB8" w:rsidRPr="006C6B9F" w:rsidRDefault="00582EB8" w:rsidP="00582EB8">
      <w:pPr>
        <w:jc w:val="both"/>
        <w:rPr>
          <w:rFonts w:asciiTheme="majorHAnsi" w:hAnsiTheme="majorHAnsi"/>
          <w:color w:val="000000"/>
        </w:rPr>
      </w:pPr>
      <w:r w:rsidRPr="006C6B9F">
        <w:rPr>
          <w:rFonts w:asciiTheme="majorHAnsi" w:hAnsiTheme="majorHAnsi"/>
          <w:color w:val="000000"/>
        </w:rPr>
        <w:t>El reporte sobre el cálculo de la constitución mensual de la provisión de riesgos catastróficos, se debe realizar mediante hoja electrónica con el siguiente formato,</w:t>
      </w:r>
      <w:r w:rsidRPr="006C6B9F">
        <w:rPr>
          <w:rFonts w:asciiTheme="majorHAnsi" w:hAnsiTheme="majorHAnsi"/>
          <w:bCs/>
        </w:rPr>
        <w:t xml:space="preserve"> sin alterar la estructura de contenido, renglones y columnas</w:t>
      </w:r>
      <w:r w:rsidRPr="006C6B9F">
        <w:rPr>
          <w:rFonts w:asciiTheme="majorHAnsi" w:hAnsiTheme="majorHAnsi"/>
          <w:color w:val="000000"/>
        </w:rPr>
        <w:t>:</w:t>
      </w:r>
    </w:p>
    <w:p w14:paraId="300B9F0E" w14:textId="77777777" w:rsidR="00582EB8" w:rsidRPr="006C6B9F" w:rsidRDefault="00582EB8" w:rsidP="00582EB8">
      <w:pPr>
        <w:jc w:val="both"/>
        <w:rPr>
          <w:rFonts w:asciiTheme="majorHAnsi" w:hAnsiTheme="majorHAnsi"/>
        </w:rPr>
      </w:pPr>
    </w:p>
    <w:tbl>
      <w:tblPr>
        <w:tblW w:w="7361" w:type="dxa"/>
        <w:jc w:val="center"/>
        <w:tblLayout w:type="fixed"/>
        <w:tblCellMar>
          <w:left w:w="70" w:type="dxa"/>
          <w:right w:w="70" w:type="dxa"/>
        </w:tblCellMar>
        <w:tblLook w:val="04A0" w:firstRow="1" w:lastRow="0" w:firstColumn="1" w:lastColumn="0" w:noHBand="0" w:noVBand="1"/>
      </w:tblPr>
      <w:tblGrid>
        <w:gridCol w:w="210"/>
        <w:gridCol w:w="1198"/>
        <w:gridCol w:w="601"/>
        <w:gridCol w:w="391"/>
        <w:gridCol w:w="1843"/>
        <w:gridCol w:w="1701"/>
        <w:gridCol w:w="1257"/>
        <w:gridCol w:w="160"/>
      </w:tblGrid>
      <w:tr w:rsidR="00582EB8" w:rsidRPr="000D4AD0" w14:paraId="3D567261" w14:textId="77777777" w:rsidTr="00873BB1">
        <w:trPr>
          <w:trHeight w:val="191"/>
          <w:jc w:val="center"/>
        </w:trPr>
        <w:tc>
          <w:tcPr>
            <w:tcW w:w="210" w:type="dxa"/>
            <w:tcBorders>
              <w:top w:val="single" w:sz="4" w:space="0" w:color="auto"/>
              <w:left w:val="single" w:sz="8" w:space="0" w:color="auto"/>
              <w:bottom w:val="nil"/>
              <w:right w:val="nil"/>
            </w:tcBorders>
            <w:shd w:val="clear" w:color="auto" w:fill="auto"/>
            <w:noWrap/>
            <w:vAlign w:val="bottom"/>
            <w:hideMark/>
          </w:tcPr>
          <w:p w14:paraId="48E1A3D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single" w:sz="4" w:space="0" w:color="auto"/>
              <w:left w:val="nil"/>
              <w:bottom w:val="nil"/>
              <w:right w:val="nil"/>
            </w:tcBorders>
            <w:shd w:val="clear" w:color="auto" w:fill="auto"/>
            <w:noWrap/>
            <w:vAlign w:val="bottom"/>
            <w:hideMark/>
          </w:tcPr>
          <w:p w14:paraId="135855F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601" w:type="dxa"/>
            <w:tcBorders>
              <w:top w:val="single" w:sz="4" w:space="0" w:color="auto"/>
              <w:left w:val="nil"/>
              <w:bottom w:val="nil"/>
              <w:right w:val="nil"/>
            </w:tcBorders>
            <w:shd w:val="clear" w:color="auto" w:fill="auto"/>
            <w:noWrap/>
            <w:vAlign w:val="bottom"/>
            <w:hideMark/>
          </w:tcPr>
          <w:p w14:paraId="3EE5AD4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2234" w:type="dxa"/>
            <w:gridSpan w:val="2"/>
            <w:tcBorders>
              <w:top w:val="single" w:sz="4" w:space="0" w:color="auto"/>
              <w:left w:val="nil"/>
              <w:bottom w:val="nil"/>
              <w:right w:val="nil"/>
            </w:tcBorders>
            <w:shd w:val="clear" w:color="auto" w:fill="auto"/>
            <w:noWrap/>
            <w:vAlign w:val="bottom"/>
            <w:hideMark/>
          </w:tcPr>
          <w:p w14:paraId="0C36705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single" w:sz="4" w:space="0" w:color="auto"/>
              <w:left w:val="nil"/>
              <w:bottom w:val="nil"/>
              <w:right w:val="nil"/>
            </w:tcBorders>
            <w:shd w:val="clear" w:color="auto" w:fill="auto"/>
            <w:noWrap/>
            <w:vAlign w:val="bottom"/>
            <w:hideMark/>
          </w:tcPr>
          <w:p w14:paraId="1F81704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single" w:sz="4" w:space="0" w:color="auto"/>
              <w:left w:val="nil"/>
              <w:bottom w:val="nil"/>
              <w:right w:val="nil"/>
            </w:tcBorders>
            <w:shd w:val="clear" w:color="auto" w:fill="auto"/>
            <w:noWrap/>
            <w:vAlign w:val="bottom"/>
            <w:hideMark/>
          </w:tcPr>
          <w:p w14:paraId="43BC70F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single" w:sz="4" w:space="0" w:color="auto"/>
              <w:left w:val="nil"/>
              <w:bottom w:val="nil"/>
              <w:right w:val="single" w:sz="8" w:space="0" w:color="auto"/>
            </w:tcBorders>
            <w:shd w:val="clear" w:color="auto" w:fill="auto"/>
            <w:noWrap/>
            <w:vAlign w:val="bottom"/>
            <w:hideMark/>
          </w:tcPr>
          <w:p w14:paraId="2F46772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D701825"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tcPr>
          <w:p w14:paraId="386ED133" w14:textId="77777777" w:rsidR="00582EB8" w:rsidRPr="000D4AD0" w:rsidRDefault="00582EB8" w:rsidP="00873BB1">
            <w:pPr>
              <w:rPr>
                <w:rFonts w:ascii="Arial Narrow" w:hAnsi="Arial Narrow"/>
                <w:color w:val="000000"/>
                <w:sz w:val="16"/>
                <w:szCs w:val="16"/>
                <w:lang w:eastAsia="es-ES_tradnl"/>
              </w:rPr>
            </w:pPr>
          </w:p>
        </w:tc>
        <w:tc>
          <w:tcPr>
            <w:tcW w:w="6991" w:type="dxa"/>
            <w:gridSpan w:val="6"/>
            <w:tcBorders>
              <w:top w:val="nil"/>
              <w:left w:val="nil"/>
              <w:bottom w:val="nil"/>
              <w:right w:val="nil"/>
            </w:tcBorders>
            <w:shd w:val="clear" w:color="auto" w:fill="auto"/>
            <w:noWrap/>
            <w:vAlign w:val="bottom"/>
          </w:tcPr>
          <w:p w14:paraId="0E5C62D4"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Nombre de la entidad: ____________________________________________</w:t>
            </w:r>
          </w:p>
        </w:tc>
        <w:tc>
          <w:tcPr>
            <w:tcW w:w="160" w:type="dxa"/>
            <w:tcBorders>
              <w:top w:val="nil"/>
              <w:left w:val="nil"/>
              <w:bottom w:val="nil"/>
              <w:right w:val="single" w:sz="8" w:space="0" w:color="auto"/>
            </w:tcBorders>
            <w:shd w:val="clear" w:color="auto" w:fill="auto"/>
            <w:noWrap/>
            <w:vAlign w:val="bottom"/>
          </w:tcPr>
          <w:p w14:paraId="09481591" w14:textId="77777777" w:rsidR="00582EB8" w:rsidRPr="000D4AD0" w:rsidRDefault="00582EB8" w:rsidP="00873BB1">
            <w:pPr>
              <w:rPr>
                <w:rFonts w:ascii="Arial Narrow" w:hAnsi="Arial Narrow"/>
                <w:color w:val="000000"/>
                <w:sz w:val="16"/>
                <w:szCs w:val="16"/>
                <w:lang w:eastAsia="es-ES_tradnl"/>
              </w:rPr>
            </w:pPr>
          </w:p>
        </w:tc>
      </w:tr>
      <w:tr w:rsidR="00582EB8" w:rsidRPr="000D4AD0" w14:paraId="0AAE52D2"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405B0D5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6991" w:type="dxa"/>
            <w:gridSpan w:val="6"/>
            <w:tcBorders>
              <w:top w:val="nil"/>
              <w:left w:val="nil"/>
              <w:bottom w:val="nil"/>
              <w:right w:val="nil"/>
            </w:tcBorders>
            <w:shd w:val="clear" w:color="auto" w:fill="auto"/>
            <w:noWrap/>
            <w:vAlign w:val="bottom"/>
            <w:hideMark/>
          </w:tcPr>
          <w:p w14:paraId="001AE06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Año de reporte:           ________</w:t>
            </w:r>
          </w:p>
        </w:tc>
        <w:tc>
          <w:tcPr>
            <w:tcW w:w="160" w:type="dxa"/>
            <w:tcBorders>
              <w:top w:val="nil"/>
              <w:left w:val="nil"/>
              <w:bottom w:val="nil"/>
              <w:right w:val="single" w:sz="8" w:space="0" w:color="auto"/>
            </w:tcBorders>
            <w:shd w:val="clear" w:color="auto" w:fill="auto"/>
            <w:noWrap/>
            <w:vAlign w:val="bottom"/>
            <w:hideMark/>
          </w:tcPr>
          <w:p w14:paraId="221E97B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4E028358"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5CAC0B4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nil"/>
              <w:bottom w:val="nil"/>
              <w:right w:val="nil"/>
            </w:tcBorders>
            <w:shd w:val="clear" w:color="auto" w:fill="auto"/>
            <w:noWrap/>
            <w:vAlign w:val="bottom"/>
            <w:hideMark/>
          </w:tcPr>
          <w:p w14:paraId="4F392CC2" w14:textId="77777777" w:rsidR="00582EB8" w:rsidRPr="000D4AD0" w:rsidRDefault="00582EB8" w:rsidP="00873BB1">
            <w:pPr>
              <w:rPr>
                <w:rFonts w:ascii="Arial Narrow" w:hAnsi="Arial Narrow"/>
                <w:color w:val="000000"/>
                <w:sz w:val="16"/>
                <w:szCs w:val="16"/>
                <w:lang w:eastAsia="es-ES_tradnl"/>
              </w:rPr>
            </w:pPr>
          </w:p>
        </w:tc>
        <w:tc>
          <w:tcPr>
            <w:tcW w:w="601" w:type="dxa"/>
            <w:tcBorders>
              <w:top w:val="nil"/>
              <w:left w:val="nil"/>
              <w:bottom w:val="nil"/>
              <w:right w:val="nil"/>
            </w:tcBorders>
            <w:shd w:val="clear" w:color="auto" w:fill="auto"/>
            <w:noWrap/>
            <w:vAlign w:val="bottom"/>
            <w:hideMark/>
          </w:tcPr>
          <w:p w14:paraId="5F76EE62" w14:textId="77777777" w:rsidR="00582EB8" w:rsidRPr="000D4AD0" w:rsidRDefault="00582EB8" w:rsidP="00873BB1">
            <w:pPr>
              <w:rPr>
                <w:rFonts w:ascii="Arial Narrow" w:hAnsi="Arial Narrow"/>
                <w:color w:val="000000"/>
                <w:sz w:val="16"/>
                <w:szCs w:val="16"/>
                <w:lang w:eastAsia="es-ES_tradnl"/>
              </w:rPr>
            </w:pPr>
          </w:p>
        </w:tc>
        <w:tc>
          <w:tcPr>
            <w:tcW w:w="2234" w:type="dxa"/>
            <w:gridSpan w:val="2"/>
            <w:tcBorders>
              <w:top w:val="nil"/>
              <w:left w:val="nil"/>
              <w:bottom w:val="nil"/>
              <w:right w:val="nil"/>
            </w:tcBorders>
            <w:shd w:val="clear" w:color="auto" w:fill="auto"/>
            <w:noWrap/>
            <w:vAlign w:val="bottom"/>
            <w:hideMark/>
          </w:tcPr>
          <w:p w14:paraId="70A4129F" w14:textId="77777777" w:rsidR="00582EB8" w:rsidRPr="000D4AD0" w:rsidRDefault="00582EB8" w:rsidP="00873BB1">
            <w:pPr>
              <w:rPr>
                <w:rFonts w:ascii="Arial Narrow" w:hAnsi="Arial Narrow"/>
                <w:color w:val="000000"/>
                <w:sz w:val="16"/>
                <w:szCs w:val="16"/>
                <w:lang w:eastAsia="es-ES_tradnl"/>
              </w:rPr>
            </w:pPr>
          </w:p>
        </w:tc>
        <w:tc>
          <w:tcPr>
            <w:tcW w:w="1701" w:type="dxa"/>
            <w:tcBorders>
              <w:top w:val="nil"/>
              <w:left w:val="nil"/>
              <w:bottom w:val="nil"/>
              <w:right w:val="nil"/>
            </w:tcBorders>
            <w:shd w:val="clear" w:color="auto" w:fill="auto"/>
            <w:noWrap/>
            <w:vAlign w:val="bottom"/>
            <w:hideMark/>
          </w:tcPr>
          <w:p w14:paraId="616B429D"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6AE76DC1"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4B6A747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11276CB5" w14:textId="77777777" w:rsidTr="00873BB1">
        <w:trPr>
          <w:trHeight w:val="127"/>
          <w:jc w:val="center"/>
        </w:trPr>
        <w:tc>
          <w:tcPr>
            <w:tcW w:w="210" w:type="dxa"/>
            <w:vMerge w:val="restart"/>
            <w:tcBorders>
              <w:top w:val="nil"/>
              <w:left w:val="single" w:sz="8" w:space="0" w:color="auto"/>
              <w:right w:val="nil"/>
            </w:tcBorders>
            <w:shd w:val="clear" w:color="auto" w:fill="auto"/>
            <w:noWrap/>
            <w:vAlign w:val="bottom"/>
            <w:hideMark/>
          </w:tcPr>
          <w:p w14:paraId="5175B4D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4033" w:type="dxa"/>
            <w:gridSpan w:val="4"/>
            <w:vMerge w:val="restart"/>
            <w:tcBorders>
              <w:top w:val="nil"/>
              <w:left w:val="nil"/>
              <w:right w:val="nil"/>
            </w:tcBorders>
            <w:shd w:val="clear" w:color="auto" w:fill="auto"/>
            <w:noWrap/>
            <w:vAlign w:val="bottom"/>
            <w:hideMark/>
          </w:tcPr>
          <w:p w14:paraId="2BA6745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xml:space="preserve">Monto de la provisión al cierre del año: </w:t>
            </w:r>
          </w:p>
          <w:p w14:paraId="2BCA133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Monto de la provisión al cierre del año anterior: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BDC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vMerge w:val="restart"/>
            <w:tcBorders>
              <w:top w:val="nil"/>
              <w:left w:val="nil"/>
              <w:right w:val="nil"/>
            </w:tcBorders>
            <w:shd w:val="clear" w:color="auto" w:fill="auto"/>
            <w:noWrap/>
            <w:vAlign w:val="bottom"/>
            <w:hideMark/>
          </w:tcPr>
          <w:p w14:paraId="48308037" w14:textId="77777777" w:rsidR="00582EB8" w:rsidRPr="000D4AD0" w:rsidRDefault="00582EB8" w:rsidP="00873BB1">
            <w:pPr>
              <w:rPr>
                <w:rFonts w:ascii="Arial Narrow" w:hAnsi="Arial Narrow"/>
                <w:color w:val="000000"/>
                <w:sz w:val="16"/>
                <w:szCs w:val="16"/>
                <w:lang w:eastAsia="es-ES_tradnl"/>
              </w:rPr>
            </w:pPr>
          </w:p>
        </w:tc>
        <w:tc>
          <w:tcPr>
            <w:tcW w:w="160" w:type="dxa"/>
            <w:vMerge w:val="restart"/>
            <w:tcBorders>
              <w:top w:val="nil"/>
              <w:left w:val="nil"/>
              <w:right w:val="single" w:sz="8" w:space="0" w:color="auto"/>
            </w:tcBorders>
            <w:shd w:val="clear" w:color="auto" w:fill="auto"/>
            <w:noWrap/>
            <w:vAlign w:val="bottom"/>
            <w:hideMark/>
          </w:tcPr>
          <w:p w14:paraId="07B3A0A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5A193FB" w14:textId="77777777" w:rsidTr="00873BB1">
        <w:trPr>
          <w:trHeight w:val="126"/>
          <w:jc w:val="center"/>
        </w:trPr>
        <w:tc>
          <w:tcPr>
            <w:tcW w:w="210" w:type="dxa"/>
            <w:vMerge/>
            <w:tcBorders>
              <w:left w:val="single" w:sz="8" w:space="0" w:color="auto"/>
              <w:bottom w:val="nil"/>
              <w:right w:val="nil"/>
            </w:tcBorders>
            <w:shd w:val="clear" w:color="auto" w:fill="auto"/>
            <w:noWrap/>
            <w:vAlign w:val="bottom"/>
          </w:tcPr>
          <w:p w14:paraId="30821227" w14:textId="77777777" w:rsidR="00582EB8" w:rsidRPr="000D4AD0" w:rsidRDefault="00582EB8" w:rsidP="00873BB1">
            <w:pPr>
              <w:rPr>
                <w:rFonts w:ascii="Arial Narrow" w:hAnsi="Arial Narrow"/>
                <w:color w:val="000000"/>
                <w:sz w:val="16"/>
                <w:szCs w:val="16"/>
                <w:lang w:eastAsia="es-ES_tradnl"/>
              </w:rPr>
            </w:pPr>
          </w:p>
        </w:tc>
        <w:tc>
          <w:tcPr>
            <w:tcW w:w="4033" w:type="dxa"/>
            <w:gridSpan w:val="4"/>
            <w:vMerge/>
            <w:tcBorders>
              <w:left w:val="nil"/>
              <w:bottom w:val="nil"/>
              <w:right w:val="nil"/>
            </w:tcBorders>
            <w:shd w:val="clear" w:color="auto" w:fill="auto"/>
            <w:noWrap/>
            <w:vAlign w:val="bottom"/>
          </w:tcPr>
          <w:p w14:paraId="08FF3711" w14:textId="77777777" w:rsidR="00582EB8" w:rsidRPr="000D4AD0" w:rsidRDefault="00582EB8" w:rsidP="00873BB1">
            <w:pPr>
              <w:rPr>
                <w:rFonts w:ascii="Arial Narrow" w:hAnsi="Arial Narrow"/>
                <w:color w:val="000000"/>
                <w:sz w:val="16"/>
                <w:szCs w:val="16"/>
                <w:lang w:eastAsia="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032EF" w14:textId="77777777" w:rsidR="00582EB8" w:rsidRPr="000D4AD0" w:rsidRDefault="00582EB8" w:rsidP="00873BB1">
            <w:pPr>
              <w:rPr>
                <w:rFonts w:ascii="Arial Narrow" w:hAnsi="Arial Narrow"/>
                <w:color w:val="000000"/>
                <w:sz w:val="16"/>
                <w:szCs w:val="16"/>
                <w:lang w:eastAsia="es-ES_tradnl"/>
              </w:rPr>
            </w:pPr>
          </w:p>
        </w:tc>
        <w:tc>
          <w:tcPr>
            <w:tcW w:w="1257" w:type="dxa"/>
            <w:vMerge/>
            <w:tcBorders>
              <w:left w:val="nil"/>
              <w:bottom w:val="nil"/>
              <w:right w:val="nil"/>
            </w:tcBorders>
            <w:shd w:val="clear" w:color="auto" w:fill="auto"/>
            <w:noWrap/>
            <w:vAlign w:val="bottom"/>
          </w:tcPr>
          <w:p w14:paraId="36DED7A9" w14:textId="77777777" w:rsidR="00582EB8" w:rsidRPr="000D4AD0" w:rsidRDefault="00582EB8" w:rsidP="00873BB1">
            <w:pPr>
              <w:rPr>
                <w:rFonts w:ascii="Arial Narrow" w:hAnsi="Arial Narrow"/>
                <w:color w:val="000000"/>
                <w:sz w:val="16"/>
                <w:szCs w:val="16"/>
                <w:lang w:eastAsia="es-ES_tradnl"/>
              </w:rPr>
            </w:pPr>
          </w:p>
        </w:tc>
        <w:tc>
          <w:tcPr>
            <w:tcW w:w="160" w:type="dxa"/>
            <w:vMerge/>
            <w:tcBorders>
              <w:left w:val="nil"/>
              <w:bottom w:val="nil"/>
              <w:right w:val="single" w:sz="8" w:space="0" w:color="auto"/>
            </w:tcBorders>
            <w:shd w:val="clear" w:color="auto" w:fill="auto"/>
            <w:noWrap/>
            <w:vAlign w:val="bottom"/>
          </w:tcPr>
          <w:p w14:paraId="1E044A42" w14:textId="77777777" w:rsidR="00582EB8" w:rsidRPr="000D4AD0" w:rsidRDefault="00582EB8" w:rsidP="00873BB1">
            <w:pPr>
              <w:rPr>
                <w:rFonts w:ascii="Arial Narrow" w:hAnsi="Arial Narrow"/>
                <w:color w:val="000000"/>
                <w:sz w:val="16"/>
                <w:szCs w:val="16"/>
                <w:lang w:eastAsia="es-ES_tradnl"/>
              </w:rPr>
            </w:pPr>
          </w:p>
        </w:tc>
      </w:tr>
      <w:tr w:rsidR="00582EB8" w:rsidRPr="000D4AD0" w14:paraId="5A1D798C"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42B6BB0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nil"/>
              <w:bottom w:val="nil"/>
              <w:right w:val="nil"/>
            </w:tcBorders>
            <w:shd w:val="clear" w:color="auto" w:fill="auto"/>
            <w:noWrap/>
            <w:vAlign w:val="bottom"/>
            <w:hideMark/>
          </w:tcPr>
          <w:p w14:paraId="7731FA3E" w14:textId="77777777" w:rsidR="00582EB8" w:rsidRPr="000D4AD0" w:rsidRDefault="00582EB8" w:rsidP="00873BB1">
            <w:pPr>
              <w:rPr>
                <w:rFonts w:ascii="Arial Narrow" w:hAnsi="Arial Narrow"/>
                <w:color w:val="000000"/>
                <w:sz w:val="16"/>
                <w:szCs w:val="16"/>
                <w:lang w:eastAsia="es-ES_tradnl"/>
              </w:rPr>
            </w:pPr>
          </w:p>
        </w:tc>
        <w:tc>
          <w:tcPr>
            <w:tcW w:w="992" w:type="dxa"/>
            <w:gridSpan w:val="2"/>
            <w:tcBorders>
              <w:top w:val="nil"/>
              <w:left w:val="nil"/>
              <w:bottom w:val="nil"/>
              <w:right w:val="nil"/>
            </w:tcBorders>
            <w:shd w:val="clear" w:color="auto" w:fill="auto"/>
            <w:noWrap/>
            <w:vAlign w:val="bottom"/>
            <w:hideMark/>
          </w:tcPr>
          <w:p w14:paraId="535A22A5" w14:textId="77777777" w:rsidR="00582EB8" w:rsidRPr="000D4AD0" w:rsidRDefault="00582EB8" w:rsidP="00873BB1">
            <w:pPr>
              <w:rPr>
                <w:rFonts w:ascii="Arial Narrow" w:hAnsi="Arial Narrow"/>
                <w:color w:val="000000"/>
                <w:sz w:val="16"/>
                <w:szCs w:val="16"/>
                <w:lang w:eastAsia="es-ES_tradnl"/>
              </w:rPr>
            </w:pPr>
          </w:p>
        </w:tc>
        <w:tc>
          <w:tcPr>
            <w:tcW w:w="1843" w:type="dxa"/>
            <w:tcBorders>
              <w:top w:val="nil"/>
              <w:left w:val="nil"/>
              <w:bottom w:val="nil"/>
              <w:right w:val="nil"/>
            </w:tcBorders>
            <w:shd w:val="clear" w:color="auto" w:fill="auto"/>
            <w:noWrap/>
            <w:vAlign w:val="bottom"/>
            <w:hideMark/>
          </w:tcPr>
          <w:p w14:paraId="43EFF32D" w14:textId="77777777" w:rsidR="00582EB8" w:rsidRPr="000D4AD0" w:rsidRDefault="00582EB8" w:rsidP="00873BB1">
            <w:pPr>
              <w:rPr>
                <w:rFonts w:ascii="Arial Narrow" w:hAnsi="Arial Narrow"/>
                <w:color w:val="000000"/>
                <w:sz w:val="16"/>
                <w:szCs w:val="16"/>
                <w:lang w:eastAsia="es-ES_tradnl"/>
              </w:rPr>
            </w:pPr>
          </w:p>
        </w:tc>
        <w:tc>
          <w:tcPr>
            <w:tcW w:w="1701" w:type="dxa"/>
            <w:tcBorders>
              <w:top w:val="nil"/>
              <w:left w:val="nil"/>
              <w:bottom w:val="nil"/>
              <w:right w:val="nil"/>
            </w:tcBorders>
            <w:shd w:val="clear" w:color="auto" w:fill="auto"/>
            <w:noWrap/>
            <w:vAlign w:val="bottom"/>
            <w:hideMark/>
          </w:tcPr>
          <w:p w14:paraId="6750DA04"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23C8AF09"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64EFAF1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61420E96" w14:textId="77777777" w:rsidTr="00873BB1">
        <w:trPr>
          <w:trHeight w:val="574"/>
          <w:jc w:val="center"/>
        </w:trPr>
        <w:tc>
          <w:tcPr>
            <w:tcW w:w="210" w:type="dxa"/>
            <w:tcBorders>
              <w:top w:val="nil"/>
              <w:left w:val="single" w:sz="8" w:space="0" w:color="auto"/>
              <w:bottom w:val="nil"/>
              <w:right w:val="nil"/>
            </w:tcBorders>
            <w:shd w:val="clear" w:color="auto" w:fill="auto"/>
            <w:noWrap/>
            <w:vAlign w:val="bottom"/>
            <w:hideMark/>
          </w:tcPr>
          <w:p w14:paraId="37CCC86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14:paraId="4631CBE6" w14:textId="77777777" w:rsidR="00582EB8" w:rsidRPr="000D4AD0" w:rsidRDefault="00582EB8" w:rsidP="00873BB1">
            <w:pPr>
              <w:jc w:val="center"/>
              <w:rPr>
                <w:rFonts w:ascii="Arial Narrow" w:hAnsi="Arial Narrow"/>
                <w:bCs/>
                <w:color w:val="000000" w:themeColor="text1"/>
                <w:sz w:val="16"/>
                <w:szCs w:val="16"/>
                <w:lang w:eastAsia="es-ES_tradnl"/>
              </w:rPr>
            </w:pPr>
            <w:r w:rsidRPr="000D4AD0">
              <w:rPr>
                <w:rFonts w:ascii="Arial Narrow" w:hAnsi="Arial Narrow"/>
                <w:bCs/>
                <w:color w:val="000000" w:themeColor="text1"/>
                <w:sz w:val="16"/>
                <w:szCs w:val="16"/>
                <w:lang w:eastAsia="es-ES_tradnl"/>
              </w:rPr>
              <w:t>Mes (</w:t>
            </w:r>
            <m:oMath>
              <m:r>
                <w:rPr>
                  <w:rFonts w:ascii="Cambria Math" w:hAnsi="Cambria Math"/>
                  <w:color w:val="000000" w:themeColor="text1"/>
                  <w:sz w:val="16"/>
                  <w:szCs w:val="16"/>
                  <w:lang w:eastAsia="es-ES_tradnl"/>
                </w:rPr>
                <m:t>m</m:t>
              </m:r>
            </m:oMath>
            <w:r w:rsidRPr="000D4AD0">
              <w:rPr>
                <w:rFonts w:ascii="Arial Narrow" w:hAnsi="Arial Narrow"/>
                <w:bCs/>
                <w:color w:val="000000" w:themeColor="text1"/>
                <w:sz w:val="16"/>
                <w:szCs w:val="16"/>
                <w:lang w:eastAsia="es-ES_tradnl"/>
              </w:rPr>
              <w:t>)</w:t>
            </w:r>
          </w:p>
          <w:p w14:paraId="7F680946" w14:textId="77777777" w:rsidR="00582EB8" w:rsidRPr="000D4AD0" w:rsidRDefault="00582EB8" w:rsidP="00873BB1">
            <w:pPr>
              <w:jc w:val="center"/>
              <w:rPr>
                <w:rFonts w:ascii="Arial Narrow" w:hAnsi="Arial Narrow"/>
                <w:bCs/>
                <w:color w:val="000000" w:themeColor="text1"/>
                <w:sz w:val="16"/>
                <w:szCs w:val="16"/>
                <w:lang w:eastAsia="es-ES_tradnl"/>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5538B0A6" w14:textId="77777777" w:rsidR="00582EB8" w:rsidRPr="000D4AD0" w:rsidRDefault="00582EB8" w:rsidP="00873BB1">
            <w:pPr>
              <w:jc w:val="center"/>
              <w:rPr>
                <w:rFonts w:ascii="Arial Narrow" w:hAnsi="Arial Narrow"/>
                <w:bCs/>
                <w:color w:val="000000" w:themeColor="text1"/>
                <w:sz w:val="16"/>
                <w:szCs w:val="16"/>
                <w:lang w:eastAsia="es-ES_tradnl"/>
              </w:rPr>
            </w:pPr>
            <w:r w:rsidRPr="000D4AD0">
              <w:rPr>
                <w:rFonts w:ascii="Arial Narrow" w:hAnsi="Arial Narrow"/>
                <w:bCs/>
                <w:color w:val="000000" w:themeColor="text1"/>
                <w:sz w:val="16"/>
                <w:szCs w:val="16"/>
                <w:lang w:eastAsia="es-ES_tradnl"/>
              </w:rPr>
              <w:t xml:space="preserve">Rendimientos del mes </w:t>
            </w:r>
            <m:oMath>
              <m:r>
                <w:rPr>
                  <w:rFonts w:ascii="Cambria Math" w:hAnsi="Cambria Math"/>
                  <w:color w:val="000000" w:themeColor="text1"/>
                  <w:sz w:val="16"/>
                  <w:szCs w:val="16"/>
                  <w:lang w:eastAsia="es-ES_tradnl"/>
                </w:rPr>
                <m:t>(</m:t>
              </m:r>
              <m:sSub>
                <m:sSubPr>
                  <m:ctrlPr>
                    <w:rPr>
                      <w:rFonts w:ascii="Cambria Math" w:hAnsi="Cambria Math"/>
                      <w:i/>
                      <w:color w:val="000000" w:themeColor="text1"/>
                      <w:sz w:val="16"/>
                      <w:szCs w:val="16"/>
                      <w:lang w:val="en-US"/>
                    </w:rPr>
                  </m:ctrlPr>
                </m:sSubPr>
                <m:e>
                  <m:r>
                    <w:rPr>
                      <w:rFonts w:ascii="Cambria Math" w:hAnsi="Cambria Math"/>
                      <w:color w:val="000000" w:themeColor="text1"/>
                      <w:sz w:val="16"/>
                      <w:szCs w:val="16"/>
                      <w:lang w:val="en-US"/>
                    </w:rPr>
                    <m:t>Rend</m:t>
                  </m:r>
                </m:e>
                <m:sub>
                  <m:r>
                    <w:rPr>
                      <w:rFonts w:ascii="Cambria Math" w:hAnsi="Cambria Math"/>
                      <w:color w:val="000000" w:themeColor="text1"/>
                      <w:sz w:val="16"/>
                      <w:szCs w:val="16"/>
                      <w:lang w:val="en-US"/>
                    </w:rPr>
                    <m:t>m</m:t>
                  </m:r>
                </m:sub>
              </m:sSub>
              <m:r>
                <w:rPr>
                  <w:rFonts w:ascii="Cambria Math" w:hAnsi="Cambria Math"/>
                  <w:color w:val="000000" w:themeColor="text1"/>
                  <w:sz w:val="16"/>
                  <w:szCs w:val="16"/>
                </w:rPr>
                <m:t>)</m:t>
              </m:r>
            </m:oMath>
          </w:p>
        </w:tc>
        <w:tc>
          <w:tcPr>
            <w:tcW w:w="1843" w:type="dxa"/>
            <w:tcBorders>
              <w:top w:val="single" w:sz="4" w:space="0" w:color="auto"/>
              <w:left w:val="nil"/>
              <w:bottom w:val="single" w:sz="4" w:space="0" w:color="auto"/>
              <w:right w:val="single" w:sz="4" w:space="0" w:color="auto"/>
            </w:tcBorders>
            <w:shd w:val="clear" w:color="auto" w:fill="auto"/>
            <w:hideMark/>
          </w:tcPr>
          <w:p w14:paraId="7ADDB1A2" w14:textId="77777777" w:rsidR="00582EB8" w:rsidRPr="000D4AD0" w:rsidRDefault="00582EB8" w:rsidP="00873BB1">
            <w:pPr>
              <w:jc w:val="center"/>
              <w:rPr>
                <w:rFonts w:ascii="Arial Narrow" w:hAnsi="Arial Narrow"/>
                <w:bCs/>
                <w:color w:val="000000" w:themeColor="text1"/>
                <w:sz w:val="16"/>
                <w:szCs w:val="16"/>
                <w:lang w:eastAsia="es-ES_tradnl"/>
              </w:rPr>
            </w:pPr>
            <w:r w:rsidRPr="000D4AD0">
              <w:rPr>
                <w:rFonts w:ascii="Arial Narrow" w:hAnsi="Arial Narrow"/>
                <w:bCs/>
                <w:color w:val="000000" w:themeColor="text1"/>
                <w:sz w:val="16"/>
                <w:szCs w:val="16"/>
                <w:lang w:eastAsia="es-ES_tradnl"/>
              </w:rPr>
              <w:t xml:space="preserve">Aportación por la prima </w:t>
            </w:r>
            <w:r w:rsidRPr="000D4AD0">
              <w:rPr>
                <w:rFonts w:ascii="Arial Narrow" w:hAnsi="Arial Narrow"/>
                <w:color w:val="000000" w:themeColor="text1"/>
                <w:sz w:val="16"/>
                <w:szCs w:val="16"/>
                <w:lang w:val="es-ES_tradnl"/>
              </w:rPr>
              <w:t>de riesgo retenida</w:t>
            </w:r>
            <w:r w:rsidRPr="000D4AD0">
              <w:rPr>
                <w:rFonts w:ascii="Arial Narrow" w:hAnsi="Arial Narrow"/>
                <w:bCs/>
                <w:color w:val="000000" w:themeColor="text1"/>
                <w:sz w:val="16"/>
                <w:szCs w:val="16"/>
                <w:lang w:eastAsia="es-ES_tradnl"/>
              </w:rPr>
              <w:t xml:space="preserve"> devengada del mes (</w:t>
            </w:r>
            <m:oMath>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AP</m:t>
                  </m:r>
                </m:e>
                <m:sub>
                  <m:r>
                    <w:rPr>
                      <w:rFonts w:ascii="Cambria Math" w:hAnsi="Cambria Math"/>
                      <w:color w:val="000000" w:themeColor="text1"/>
                      <w:sz w:val="16"/>
                      <w:szCs w:val="16"/>
                    </w:rPr>
                    <m:t>m</m:t>
                  </m:r>
                </m:sub>
              </m:sSub>
            </m:oMath>
            <w:r w:rsidRPr="000D4AD0">
              <w:rPr>
                <w:rFonts w:ascii="Arial Narrow" w:hAnsi="Arial Narrow"/>
                <w:bCs/>
                <w:color w:val="000000" w:themeColor="text1"/>
                <w:sz w:val="16"/>
                <w:szCs w:val="16"/>
                <w:lang w:eastAsia="es-ES_tradnl"/>
              </w:rPr>
              <w:t>)</w:t>
            </w:r>
          </w:p>
        </w:tc>
        <w:tc>
          <w:tcPr>
            <w:tcW w:w="1701" w:type="dxa"/>
            <w:tcBorders>
              <w:top w:val="single" w:sz="4" w:space="0" w:color="auto"/>
              <w:left w:val="nil"/>
              <w:bottom w:val="single" w:sz="4" w:space="0" w:color="auto"/>
              <w:right w:val="single" w:sz="4" w:space="0" w:color="auto"/>
            </w:tcBorders>
            <w:shd w:val="clear" w:color="auto" w:fill="auto"/>
            <w:hideMark/>
          </w:tcPr>
          <w:p w14:paraId="25F4922F" w14:textId="77777777" w:rsidR="00582EB8" w:rsidRPr="000D4AD0" w:rsidRDefault="00582EB8" w:rsidP="00873BB1">
            <w:pPr>
              <w:jc w:val="center"/>
              <w:rPr>
                <w:rFonts w:ascii="Arial Narrow" w:hAnsi="Arial Narrow"/>
                <w:bCs/>
                <w:color w:val="000000" w:themeColor="text1"/>
                <w:sz w:val="16"/>
                <w:szCs w:val="16"/>
                <w:lang w:eastAsia="es-ES_tradnl"/>
              </w:rPr>
            </w:pPr>
            <w:r w:rsidRPr="000D4AD0">
              <w:rPr>
                <w:rFonts w:ascii="Arial Narrow" w:hAnsi="Arial Narrow"/>
                <w:bCs/>
                <w:color w:val="000000" w:themeColor="text1"/>
                <w:sz w:val="16"/>
                <w:szCs w:val="16"/>
                <w:lang w:eastAsia="es-ES_tradnl"/>
              </w:rPr>
              <w:t>Siniestros reportados, ajustes y otras pérdidas del mes (</w:t>
            </w:r>
            <m:oMath>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S</m:t>
                  </m:r>
                </m:e>
                <m:sub>
                  <m:r>
                    <w:rPr>
                      <w:rFonts w:ascii="Cambria Math" w:hAnsi="Cambria Math"/>
                      <w:color w:val="000000" w:themeColor="text1"/>
                      <w:sz w:val="16"/>
                      <w:szCs w:val="16"/>
                    </w:rPr>
                    <m:t>m</m:t>
                  </m:r>
                </m:sub>
              </m:sSub>
            </m:oMath>
            <w:r w:rsidRPr="000D4AD0">
              <w:rPr>
                <w:rFonts w:ascii="Arial Narrow" w:hAnsi="Arial Narrow"/>
                <w:bCs/>
                <w:color w:val="000000" w:themeColor="text1"/>
                <w:sz w:val="16"/>
                <w:szCs w:val="16"/>
                <w:lang w:eastAsia="es-ES_tradnl"/>
              </w:rPr>
              <w:t>)</w:t>
            </w:r>
          </w:p>
        </w:tc>
        <w:tc>
          <w:tcPr>
            <w:tcW w:w="1257" w:type="dxa"/>
            <w:tcBorders>
              <w:top w:val="single" w:sz="4" w:space="0" w:color="auto"/>
              <w:left w:val="nil"/>
              <w:bottom w:val="single" w:sz="4" w:space="0" w:color="auto"/>
              <w:right w:val="single" w:sz="4" w:space="0" w:color="auto"/>
            </w:tcBorders>
            <w:shd w:val="clear" w:color="auto" w:fill="auto"/>
            <w:hideMark/>
          </w:tcPr>
          <w:p w14:paraId="3298D224" w14:textId="77777777" w:rsidR="00582EB8" w:rsidRPr="000D4AD0" w:rsidRDefault="00582EB8" w:rsidP="00873BB1">
            <w:pPr>
              <w:jc w:val="center"/>
              <w:rPr>
                <w:rFonts w:ascii="Arial Narrow" w:hAnsi="Arial Narrow"/>
                <w:bCs/>
                <w:color w:val="000000" w:themeColor="text1"/>
                <w:sz w:val="16"/>
                <w:szCs w:val="16"/>
                <w:lang w:eastAsia="es-ES_tradnl"/>
              </w:rPr>
            </w:pPr>
            <w:r w:rsidRPr="000D4AD0">
              <w:rPr>
                <w:rFonts w:ascii="Arial Narrow" w:hAnsi="Arial Narrow"/>
                <w:bCs/>
                <w:color w:val="000000" w:themeColor="text1"/>
                <w:sz w:val="16"/>
                <w:szCs w:val="16"/>
                <w:lang w:eastAsia="es-ES_tradnl"/>
              </w:rPr>
              <w:t>Monto de la provisión al cierre del mes (</w:t>
            </w:r>
            <m:oMath>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PRCAT</m:t>
                  </m:r>
                </m:e>
                <m:sub>
                  <m:r>
                    <w:rPr>
                      <w:rFonts w:ascii="Cambria Math" w:hAnsi="Cambria Math"/>
                      <w:color w:val="000000" w:themeColor="text1"/>
                      <w:sz w:val="16"/>
                      <w:szCs w:val="16"/>
                    </w:rPr>
                    <m:t>m</m:t>
                  </m:r>
                </m:sub>
              </m:sSub>
            </m:oMath>
            <w:r w:rsidRPr="000D4AD0">
              <w:rPr>
                <w:rFonts w:ascii="Arial Narrow" w:hAnsi="Arial Narrow"/>
                <w:bCs/>
                <w:color w:val="000000" w:themeColor="text1"/>
                <w:sz w:val="16"/>
                <w:szCs w:val="16"/>
                <w:lang w:eastAsia="es-ES_tradnl"/>
              </w:rPr>
              <w:t>)</w:t>
            </w:r>
          </w:p>
        </w:tc>
        <w:tc>
          <w:tcPr>
            <w:tcW w:w="160" w:type="dxa"/>
            <w:tcBorders>
              <w:top w:val="nil"/>
              <w:left w:val="nil"/>
              <w:bottom w:val="nil"/>
              <w:right w:val="single" w:sz="8" w:space="0" w:color="auto"/>
            </w:tcBorders>
            <w:shd w:val="clear" w:color="auto" w:fill="auto"/>
            <w:noWrap/>
            <w:vAlign w:val="bottom"/>
            <w:hideMark/>
          </w:tcPr>
          <w:p w14:paraId="2BC28A58" w14:textId="77777777" w:rsidR="00582EB8" w:rsidRPr="000D4AD0" w:rsidRDefault="00582EB8" w:rsidP="00873BB1">
            <w:pPr>
              <w:rPr>
                <w:rFonts w:ascii="Arial Narrow" w:hAnsi="Arial Narrow"/>
                <w:color w:val="FF0000"/>
                <w:sz w:val="16"/>
                <w:szCs w:val="16"/>
                <w:lang w:eastAsia="es-ES_tradnl"/>
              </w:rPr>
            </w:pPr>
            <w:r w:rsidRPr="000D4AD0">
              <w:rPr>
                <w:rFonts w:ascii="Arial Narrow" w:hAnsi="Arial Narrow"/>
                <w:color w:val="FF0000"/>
                <w:sz w:val="16"/>
                <w:szCs w:val="16"/>
                <w:lang w:eastAsia="es-ES_tradnl"/>
              </w:rPr>
              <w:t> </w:t>
            </w:r>
          </w:p>
        </w:tc>
      </w:tr>
      <w:tr w:rsidR="00582EB8" w:rsidRPr="000D4AD0" w14:paraId="1C0FE475"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3E36684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84C740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Enero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0C9F9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5241C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B29A2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CFC33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7481366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51691827"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28BC1F6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40E0737"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Febrero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9379D6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9F2D4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8A5A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16EB1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4F46279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16F6EB2A"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47D083A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2556B42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Marzo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A4AB90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AA02F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41608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2F20F2E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1E14972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7293375F"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19A86EB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DAD499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Abril</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BEDD6A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5E510E4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9E71F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67861FD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1F7F52A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4E702ABC"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14C01BC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28F6098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Mayo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1D8DD1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7A6425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4B3FD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DE372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64F60D7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4E833899"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40243C3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9272CF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Junio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EF442B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B12C0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F384A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35C33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448F74D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3F3F8FB9"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1B1F182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12EE7074"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Julio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05CD54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6ED50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EFCF1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2CE8021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5BA40AC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60021FDE"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047994F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754524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Agosto</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8E5F88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7C922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00FCE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2FF3E0A6"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39FDFDE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085DF1AB"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4C8D742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69AD89E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Septiembre</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8F5FC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5ACD8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8BABA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7B44156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7DF703E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ADD8E3B"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tcPr>
          <w:p w14:paraId="170CCF84" w14:textId="77777777" w:rsidR="00582EB8" w:rsidRPr="000D4AD0" w:rsidRDefault="00582EB8" w:rsidP="00873BB1">
            <w:pPr>
              <w:rPr>
                <w:rFonts w:ascii="Arial Narrow" w:hAnsi="Arial Narrow"/>
                <w:color w:val="000000"/>
                <w:sz w:val="16"/>
                <w:szCs w:val="16"/>
                <w:lang w:eastAsia="es-ES_tradnl"/>
              </w:rPr>
            </w:pPr>
          </w:p>
        </w:tc>
        <w:tc>
          <w:tcPr>
            <w:tcW w:w="1198" w:type="dxa"/>
            <w:tcBorders>
              <w:top w:val="nil"/>
              <w:left w:val="single" w:sz="4" w:space="0" w:color="auto"/>
              <w:bottom w:val="single" w:sz="4" w:space="0" w:color="auto"/>
              <w:right w:val="single" w:sz="4" w:space="0" w:color="auto"/>
            </w:tcBorders>
            <w:shd w:val="clear" w:color="auto" w:fill="auto"/>
            <w:noWrap/>
            <w:vAlign w:val="bottom"/>
          </w:tcPr>
          <w:p w14:paraId="6181BCB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Octubre</w:t>
            </w:r>
          </w:p>
        </w:tc>
        <w:tc>
          <w:tcPr>
            <w:tcW w:w="992" w:type="dxa"/>
            <w:gridSpan w:val="2"/>
            <w:tcBorders>
              <w:top w:val="nil"/>
              <w:left w:val="nil"/>
              <w:bottom w:val="single" w:sz="4" w:space="0" w:color="auto"/>
              <w:right w:val="single" w:sz="4" w:space="0" w:color="auto"/>
            </w:tcBorders>
            <w:shd w:val="clear" w:color="auto" w:fill="auto"/>
            <w:noWrap/>
            <w:vAlign w:val="bottom"/>
          </w:tcPr>
          <w:p w14:paraId="49328AEE" w14:textId="77777777" w:rsidR="00582EB8" w:rsidRPr="000D4AD0" w:rsidRDefault="00582EB8" w:rsidP="00873BB1">
            <w:pPr>
              <w:rPr>
                <w:rFonts w:ascii="Arial Narrow" w:hAnsi="Arial Narrow"/>
                <w:color w:val="000000"/>
                <w:sz w:val="16"/>
                <w:szCs w:val="16"/>
                <w:lang w:eastAsia="es-ES_tradnl"/>
              </w:rPr>
            </w:pPr>
          </w:p>
        </w:tc>
        <w:tc>
          <w:tcPr>
            <w:tcW w:w="1843" w:type="dxa"/>
            <w:tcBorders>
              <w:top w:val="nil"/>
              <w:left w:val="nil"/>
              <w:bottom w:val="single" w:sz="4" w:space="0" w:color="auto"/>
              <w:right w:val="single" w:sz="4" w:space="0" w:color="auto"/>
            </w:tcBorders>
            <w:shd w:val="clear" w:color="auto" w:fill="auto"/>
            <w:noWrap/>
            <w:vAlign w:val="bottom"/>
          </w:tcPr>
          <w:p w14:paraId="3308B85C" w14:textId="77777777" w:rsidR="00582EB8" w:rsidRPr="000D4AD0" w:rsidRDefault="00582EB8" w:rsidP="00873BB1">
            <w:pPr>
              <w:rPr>
                <w:rFonts w:ascii="Arial Narrow" w:hAnsi="Arial Narrow"/>
                <w:color w:val="000000"/>
                <w:sz w:val="16"/>
                <w:szCs w:val="16"/>
                <w:lang w:eastAsia="es-ES_tradnl"/>
              </w:rPr>
            </w:pPr>
          </w:p>
        </w:tc>
        <w:tc>
          <w:tcPr>
            <w:tcW w:w="1701" w:type="dxa"/>
            <w:tcBorders>
              <w:top w:val="nil"/>
              <w:left w:val="nil"/>
              <w:bottom w:val="single" w:sz="4" w:space="0" w:color="auto"/>
              <w:right w:val="single" w:sz="4" w:space="0" w:color="auto"/>
            </w:tcBorders>
            <w:shd w:val="clear" w:color="auto" w:fill="auto"/>
            <w:noWrap/>
            <w:vAlign w:val="bottom"/>
          </w:tcPr>
          <w:p w14:paraId="70956A79"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single" w:sz="4" w:space="0" w:color="auto"/>
              <w:right w:val="single" w:sz="4" w:space="0" w:color="auto"/>
            </w:tcBorders>
            <w:shd w:val="clear" w:color="auto" w:fill="auto"/>
            <w:noWrap/>
            <w:vAlign w:val="bottom"/>
          </w:tcPr>
          <w:p w14:paraId="2F22A7FB"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tcPr>
          <w:p w14:paraId="5F93241E" w14:textId="77777777" w:rsidR="00582EB8" w:rsidRPr="000D4AD0" w:rsidRDefault="00582EB8" w:rsidP="00873BB1">
            <w:pPr>
              <w:rPr>
                <w:rFonts w:ascii="Arial Narrow" w:hAnsi="Arial Narrow"/>
                <w:color w:val="000000"/>
                <w:sz w:val="16"/>
                <w:szCs w:val="16"/>
                <w:lang w:eastAsia="es-ES_tradnl"/>
              </w:rPr>
            </w:pPr>
          </w:p>
        </w:tc>
      </w:tr>
      <w:tr w:rsidR="00582EB8" w:rsidRPr="000D4AD0" w14:paraId="603F28AD"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10A64687"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55EC5B65"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Noviembre</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77B0DE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D22DF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393F27"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4738BBD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668A3C7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44E2405" w14:textId="77777777" w:rsidTr="00873BB1">
        <w:trPr>
          <w:trHeight w:hRule="exact" w:val="181"/>
          <w:jc w:val="center"/>
        </w:trPr>
        <w:tc>
          <w:tcPr>
            <w:tcW w:w="210" w:type="dxa"/>
            <w:tcBorders>
              <w:top w:val="nil"/>
              <w:left w:val="single" w:sz="8" w:space="0" w:color="auto"/>
              <w:bottom w:val="nil"/>
              <w:right w:val="nil"/>
            </w:tcBorders>
            <w:shd w:val="clear" w:color="auto" w:fill="auto"/>
            <w:noWrap/>
            <w:vAlign w:val="bottom"/>
            <w:hideMark/>
          </w:tcPr>
          <w:p w14:paraId="7208678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4779DCA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Diciembre</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91398E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DE081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E97EA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4" w:space="0" w:color="auto"/>
              <w:right w:val="single" w:sz="4" w:space="0" w:color="auto"/>
            </w:tcBorders>
            <w:shd w:val="clear" w:color="auto" w:fill="auto"/>
            <w:noWrap/>
            <w:vAlign w:val="bottom"/>
            <w:hideMark/>
          </w:tcPr>
          <w:p w14:paraId="1FAD735D"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nil"/>
              <w:right w:val="single" w:sz="8" w:space="0" w:color="auto"/>
            </w:tcBorders>
            <w:shd w:val="clear" w:color="auto" w:fill="auto"/>
            <w:noWrap/>
            <w:vAlign w:val="bottom"/>
            <w:hideMark/>
          </w:tcPr>
          <w:p w14:paraId="5C2F7952"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E146AD2" w14:textId="77777777" w:rsidTr="00873BB1">
        <w:trPr>
          <w:trHeight w:val="88"/>
          <w:jc w:val="center"/>
        </w:trPr>
        <w:tc>
          <w:tcPr>
            <w:tcW w:w="210" w:type="dxa"/>
            <w:tcBorders>
              <w:top w:val="nil"/>
              <w:left w:val="single" w:sz="8" w:space="0" w:color="auto"/>
              <w:bottom w:val="nil"/>
              <w:right w:val="nil"/>
            </w:tcBorders>
            <w:shd w:val="clear" w:color="auto" w:fill="auto"/>
            <w:noWrap/>
            <w:vAlign w:val="bottom"/>
            <w:hideMark/>
          </w:tcPr>
          <w:p w14:paraId="64C8968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nil"/>
              <w:bottom w:val="nil"/>
              <w:right w:val="nil"/>
            </w:tcBorders>
            <w:shd w:val="clear" w:color="auto" w:fill="auto"/>
            <w:noWrap/>
            <w:vAlign w:val="bottom"/>
            <w:hideMark/>
          </w:tcPr>
          <w:p w14:paraId="7E429FA9" w14:textId="77777777" w:rsidR="00582EB8" w:rsidRPr="000D4AD0" w:rsidRDefault="00582EB8" w:rsidP="00873BB1">
            <w:pPr>
              <w:rPr>
                <w:rFonts w:ascii="Arial Narrow" w:hAnsi="Arial Narrow"/>
                <w:color w:val="000000"/>
                <w:sz w:val="16"/>
                <w:szCs w:val="16"/>
                <w:lang w:eastAsia="es-ES_tradnl"/>
              </w:rPr>
            </w:pPr>
          </w:p>
        </w:tc>
        <w:tc>
          <w:tcPr>
            <w:tcW w:w="992" w:type="dxa"/>
            <w:gridSpan w:val="2"/>
            <w:tcBorders>
              <w:top w:val="nil"/>
              <w:left w:val="nil"/>
              <w:bottom w:val="nil"/>
              <w:right w:val="nil"/>
            </w:tcBorders>
            <w:shd w:val="clear" w:color="auto" w:fill="auto"/>
            <w:noWrap/>
            <w:vAlign w:val="bottom"/>
            <w:hideMark/>
          </w:tcPr>
          <w:p w14:paraId="5CF41D90" w14:textId="77777777" w:rsidR="00582EB8" w:rsidRPr="000D4AD0" w:rsidRDefault="00582EB8" w:rsidP="00873BB1">
            <w:pPr>
              <w:rPr>
                <w:rFonts w:ascii="Arial Narrow" w:hAnsi="Arial Narrow"/>
                <w:color w:val="000000"/>
                <w:sz w:val="16"/>
                <w:szCs w:val="16"/>
                <w:lang w:eastAsia="es-ES_tradnl"/>
              </w:rPr>
            </w:pPr>
          </w:p>
        </w:tc>
        <w:tc>
          <w:tcPr>
            <w:tcW w:w="1843" w:type="dxa"/>
            <w:tcBorders>
              <w:top w:val="nil"/>
              <w:left w:val="nil"/>
              <w:bottom w:val="nil"/>
              <w:right w:val="nil"/>
            </w:tcBorders>
            <w:shd w:val="clear" w:color="auto" w:fill="auto"/>
            <w:noWrap/>
            <w:vAlign w:val="bottom"/>
            <w:hideMark/>
          </w:tcPr>
          <w:p w14:paraId="1C1F113B" w14:textId="77777777" w:rsidR="00582EB8" w:rsidRPr="000D4AD0" w:rsidRDefault="00582EB8" w:rsidP="00873BB1">
            <w:pPr>
              <w:rPr>
                <w:rFonts w:ascii="Arial Narrow" w:hAnsi="Arial Narrow"/>
                <w:color w:val="000000"/>
                <w:sz w:val="16"/>
                <w:szCs w:val="16"/>
                <w:lang w:eastAsia="es-ES_tradnl"/>
              </w:rPr>
            </w:pPr>
          </w:p>
        </w:tc>
        <w:tc>
          <w:tcPr>
            <w:tcW w:w="1701" w:type="dxa"/>
            <w:tcBorders>
              <w:top w:val="nil"/>
              <w:left w:val="nil"/>
              <w:bottom w:val="nil"/>
              <w:right w:val="nil"/>
            </w:tcBorders>
            <w:shd w:val="clear" w:color="auto" w:fill="auto"/>
            <w:noWrap/>
            <w:vAlign w:val="bottom"/>
            <w:hideMark/>
          </w:tcPr>
          <w:p w14:paraId="6EE4B7D5"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576D5772"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18C08E0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25867132"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6052C57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2190" w:type="dxa"/>
            <w:gridSpan w:val="3"/>
            <w:tcBorders>
              <w:top w:val="nil"/>
              <w:left w:val="nil"/>
              <w:bottom w:val="nil"/>
              <w:right w:val="nil"/>
            </w:tcBorders>
            <w:shd w:val="clear" w:color="auto" w:fill="auto"/>
            <w:noWrap/>
            <w:vAlign w:val="bottom"/>
            <w:hideMark/>
          </w:tcPr>
          <w:p w14:paraId="626D6102" w14:textId="77777777" w:rsidR="00582EB8" w:rsidRPr="000D4AD0" w:rsidRDefault="00582EB8" w:rsidP="00873BB1">
            <w:pPr>
              <w:rPr>
                <w:rFonts w:ascii="Arial Narrow" w:hAnsi="Arial Narrow"/>
                <w:color w:val="000000" w:themeColor="text1"/>
                <w:sz w:val="16"/>
                <w:szCs w:val="16"/>
                <w:lang w:eastAsia="es-ES_tradnl"/>
              </w:rPr>
            </w:pPr>
            <w:r w:rsidRPr="000D4AD0">
              <w:rPr>
                <w:rFonts w:ascii="Arial Narrow" w:hAnsi="Arial Narrow"/>
                <w:color w:val="000000" w:themeColor="text1"/>
                <w:sz w:val="16"/>
                <w:szCs w:val="16"/>
                <w:lang w:eastAsia="es-ES_tradnl"/>
              </w:rPr>
              <w:t>PML al cierre del año: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F6537"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nil"/>
              <w:right w:val="nil"/>
            </w:tcBorders>
            <w:shd w:val="clear" w:color="auto" w:fill="auto"/>
            <w:noWrap/>
            <w:vAlign w:val="bottom"/>
            <w:hideMark/>
          </w:tcPr>
          <w:p w14:paraId="4A4AC081"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30C7E051"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7EF559E4"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1A02E1B0"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31B15E43"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2190" w:type="dxa"/>
            <w:gridSpan w:val="3"/>
            <w:tcBorders>
              <w:top w:val="nil"/>
              <w:left w:val="nil"/>
              <w:bottom w:val="nil"/>
              <w:right w:val="nil"/>
            </w:tcBorders>
            <w:shd w:val="clear" w:color="auto" w:fill="auto"/>
            <w:noWrap/>
            <w:vAlign w:val="bottom"/>
            <w:hideMark/>
          </w:tcPr>
          <w:p w14:paraId="7C79F4AC" w14:textId="77777777" w:rsidR="00582EB8" w:rsidRPr="000D4AD0" w:rsidRDefault="00582EB8" w:rsidP="00873BB1">
            <w:pPr>
              <w:rPr>
                <w:rFonts w:ascii="Arial Narrow" w:hAnsi="Arial Narrow"/>
                <w:color w:val="000000" w:themeColor="text1"/>
                <w:sz w:val="16"/>
                <w:szCs w:val="16"/>
                <w:lang w:eastAsia="es-ES_tradnl"/>
              </w:rPr>
            </w:pPr>
            <w:r w:rsidRPr="000D4AD0">
              <w:rPr>
                <w:rFonts w:ascii="Arial Narrow" w:hAnsi="Arial Narrow"/>
                <w:color w:val="000000" w:themeColor="text1"/>
                <w:sz w:val="16"/>
                <w:szCs w:val="16"/>
                <w:lang w:eastAsia="es-ES_tradnl"/>
              </w:rPr>
              <w:t>PML promedio 5 Años: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AC5D7F"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nil"/>
              <w:right w:val="nil"/>
            </w:tcBorders>
            <w:shd w:val="clear" w:color="auto" w:fill="auto"/>
            <w:noWrap/>
            <w:vAlign w:val="bottom"/>
            <w:hideMark/>
          </w:tcPr>
          <w:p w14:paraId="088BCA73"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75E2543F"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06C6F71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3C81BDA5" w14:textId="77777777" w:rsidTr="00873BB1">
        <w:trPr>
          <w:trHeight w:val="191"/>
          <w:jc w:val="center"/>
        </w:trPr>
        <w:tc>
          <w:tcPr>
            <w:tcW w:w="210" w:type="dxa"/>
            <w:tcBorders>
              <w:top w:val="nil"/>
              <w:left w:val="single" w:sz="8" w:space="0" w:color="auto"/>
              <w:bottom w:val="nil"/>
              <w:right w:val="nil"/>
            </w:tcBorders>
            <w:shd w:val="clear" w:color="auto" w:fill="auto"/>
            <w:noWrap/>
            <w:vAlign w:val="bottom"/>
            <w:hideMark/>
          </w:tcPr>
          <w:p w14:paraId="7B98E1B8"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2190" w:type="dxa"/>
            <w:gridSpan w:val="3"/>
            <w:tcBorders>
              <w:top w:val="nil"/>
              <w:left w:val="nil"/>
              <w:bottom w:val="nil"/>
              <w:right w:val="nil"/>
            </w:tcBorders>
            <w:shd w:val="clear" w:color="auto" w:fill="auto"/>
            <w:noWrap/>
            <w:vAlign w:val="bottom"/>
            <w:hideMark/>
          </w:tcPr>
          <w:p w14:paraId="3318464E" w14:textId="77777777" w:rsidR="00582EB8" w:rsidRPr="000D4AD0" w:rsidRDefault="00582EB8" w:rsidP="00873BB1">
            <w:pPr>
              <w:rPr>
                <w:rFonts w:ascii="Arial Narrow" w:hAnsi="Arial Narrow"/>
                <w:color w:val="000000" w:themeColor="text1"/>
                <w:sz w:val="16"/>
                <w:szCs w:val="16"/>
                <w:lang w:eastAsia="es-ES_tradnl"/>
              </w:rPr>
            </w:pPr>
            <w:r w:rsidRPr="000D4AD0">
              <w:rPr>
                <w:rFonts w:ascii="Arial Narrow" w:hAnsi="Arial Narrow"/>
                <w:color w:val="000000" w:themeColor="text1"/>
                <w:sz w:val="16"/>
                <w:szCs w:val="16"/>
                <w:lang w:eastAsia="es-ES_tradnl"/>
              </w:rPr>
              <w:t>Límite al cierre del año:</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4DFEEB"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nil"/>
              <w:right w:val="nil"/>
            </w:tcBorders>
            <w:shd w:val="clear" w:color="auto" w:fill="auto"/>
            <w:noWrap/>
            <w:vAlign w:val="bottom"/>
            <w:hideMark/>
          </w:tcPr>
          <w:p w14:paraId="5C395C61" w14:textId="77777777" w:rsidR="00582EB8" w:rsidRPr="000D4AD0" w:rsidRDefault="00582EB8" w:rsidP="00873BB1">
            <w:pPr>
              <w:rPr>
                <w:rFonts w:ascii="Arial Narrow" w:hAnsi="Arial Narrow"/>
                <w:color w:val="000000"/>
                <w:sz w:val="16"/>
                <w:szCs w:val="16"/>
                <w:lang w:eastAsia="es-ES_tradnl"/>
              </w:rPr>
            </w:pPr>
          </w:p>
        </w:tc>
        <w:tc>
          <w:tcPr>
            <w:tcW w:w="1257" w:type="dxa"/>
            <w:tcBorders>
              <w:top w:val="nil"/>
              <w:left w:val="nil"/>
              <w:bottom w:val="nil"/>
              <w:right w:val="nil"/>
            </w:tcBorders>
            <w:shd w:val="clear" w:color="auto" w:fill="auto"/>
            <w:noWrap/>
            <w:vAlign w:val="bottom"/>
            <w:hideMark/>
          </w:tcPr>
          <w:p w14:paraId="1F99DB5E" w14:textId="77777777" w:rsidR="00582EB8" w:rsidRPr="000D4AD0" w:rsidRDefault="00582EB8" w:rsidP="00873BB1">
            <w:pPr>
              <w:rPr>
                <w:rFonts w:ascii="Arial Narrow" w:hAnsi="Arial Narrow"/>
                <w:color w:val="000000"/>
                <w:sz w:val="16"/>
                <w:szCs w:val="16"/>
                <w:lang w:eastAsia="es-ES_tradnl"/>
              </w:rPr>
            </w:pPr>
          </w:p>
        </w:tc>
        <w:tc>
          <w:tcPr>
            <w:tcW w:w="160" w:type="dxa"/>
            <w:tcBorders>
              <w:top w:val="nil"/>
              <w:left w:val="nil"/>
              <w:bottom w:val="nil"/>
              <w:right w:val="single" w:sz="8" w:space="0" w:color="auto"/>
            </w:tcBorders>
            <w:shd w:val="clear" w:color="auto" w:fill="auto"/>
            <w:noWrap/>
            <w:vAlign w:val="bottom"/>
            <w:hideMark/>
          </w:tcPr>
          <w:p w14:paraId="6C816EBA"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r w:rsidR="00582EB8" w:rsidRPr="000D4AD0" w14:paraId="7A1DE7F7" w14:textId="77777777" w:rsidTr="00873BB1">
        <w:trPr>
          <w:trHeight w:val="77"/>
          <w:jc w:val="center"/>
        </w:trPr>
        <w:tc>
          <w:tcPr>
            <w:tcW w:w="210" w:type="dxa"/>
            <w:tcBorders>
              <w:top w:val="nil"/>
              <w:left w:val="single" w:sz="8" w:space="0" w:color="auto"/>
              <w:bottom w:val="single" w:sz="8" w:space="0" w:color="auto"/>
              <w:right w:val="nil"/>
            </w:tcBorders>
            <w:shd w:val="clear" w:color="auto" w:fill="auto"/>
            <w:noWrap/>
            <w:vAlign w:val="bottom"/>
            <w:hideMark/>
          </w:tcPr>
          <w:p w14:paraId="5855485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198" w:type="dxa"/>
            <w:tcBorders>
              <w:top w:val="nil"/>
              <w:left w:val="nil"/>
              <w:bottom w:val="single" w:sz="8" w:space="0" w:color="auto"/>
              <w:right w:val="nil"/>
            </w:tcBorders>
            <w:shd w:val="clear" w:color="auto" w:fill="auto"/>
            <w:noWrap/>
            <w:vAlign w:val="bottom"/>
            <w:hideMark/>
          </w:tcPr>
          <w:p w14:paraId="5AC44269"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992" w:type="dxa"/>
            <w:gridSpan w:val="2"/>
            <w:tcBorders>
              <w:top w:val="nil"/>
              <w:left w:val="nil"/>
              <w:bottom w:val="single" w:sz="8" w:space="0" w:color="auto"/>
              <w:right w:val="nil"/>
            </w:tcBorders>
            <w:shd w:val="clear" w:color="auto" w:fill="auto"/>
            <w:noWrap/>
            <w:vAlign w:val="bottom"/>
            <w:hideMark/>
          </w:tcPr>
          <w:p w14:paraId="3634A11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843" w:type="dxa"/>
            <w:tcBorders>
              <w:top w:val="nil"/>
              <w:left w:val="nil"/>
              <w:bottom w:val="single" w:sz="8" w:space="0" w:color="auto"/>
              <w:right w:val="nil"/>
            </w:tcBorders>
            <w:shd w:val="clear" w:color="auto" w:fill="auto"/>
            <w:noWrap/>
            <w:vAlign w:val="bottom"/>
            <w:hideMark/>
          </w:tcPr>
          <w:p w14:paraId="1C13EABC"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701" w:type="dxa"/>
            <w:tcBorders>
              <w:top w:val="nil"/>
              <w:left w:val="nil"/>
              <w:bottom w:val="single" w:sz="8" w:space="0" w:color="auto"/>
              <w:right w:val="nil"/>
            </w:tcBorders>
            <w:shd w:val="clear" w:color="auto" w:fill="auto"/>
            <w:noWrap/>
            <w:vAlign w:val="bottom"/>
            <w:hideMark/>
          </w:tcPr>
          <w:p w14:paraId="4320F4CE"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257" w:type="dxa"/>
            <w:tcBorders>
              <w:top w:val="nil"/>
              <w:left w:val="nil"/>
              <w:bottom w:val="single" w:sz="8" w:space="0" w:color="auto"/>
              <w:right w:val="nil"/>
            </w:tcBorders>
            <w:shd w:val="clear" w:color="auto" w:fill="auto"/>
            <w:noWrap/>
            <w:vAlign w:val="bottom"/>
            <w:hideMark/>
          </w:tcPr>
          <w:p w14:paraId="625C59C0"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c>
          <w:tcPr>
            <w:tcW w:w="160" w:type="dxa"/>
            <w:tcBorders>
              <w:top w:val="nil"/>
              <w:left w:val="nil"/>
              <w:bottom w:val="single" w:sz="8" w:space="0" w:color="auto"/>
              <w:right w:val="single" w:sz="8" w:space="0" w:color="auto"/>
            </w:tcBorders>
            <w:shd w:val="clear" w:color="auto" w:fill="auto"/>
            <w:noWrap/>
            <w:vAlign w:val="bottom"/>
            <w:hideMark/>
          </w:tcPr>
          <w:p w14:paraId="0BEC0F91" w14:textId="77777777" w:rsidR="00582EB8" w:rsidRPr="000D4AD0" w:rsidRDefault="00582EB8" w:rsidP="00873BB1">
            <w:pPr>
              <w:rPr>
                <w:rFonts w:ascii="Arial Narrow" w:hAnsi="Arial Narrow"/>
                <w:color w:val="000000"/>
                <w:sz w:val="16"/>
                <w:szCs w:val="16"/>
                <w:lang w:eastAsia="es-ES_tradnl"/>
              </w:rPr>
            </w:pPr>
            <w:r w:rsidRPr="000D4AD0">
              <w:rPr>
                <w:rFonts w:ascii="Arial Narrow" w:hAnsi="Arial Narrow"/>
                <w:color w:val="000000"/>
                <w:sz w:val="16"/>
                <w:szCs w:val="16"/>
                <w:lang w:eastAsia="es-ES_tradnl"/>
              </w:rPr>
              <w:t> </w:t>
            </w:r>
          </w:p>
        </w:tc>
      </w:tr>
    </w:tbl>
    <w:p w14:paraId="6858FB12" w14:textId="77777777" w:rsidR="00582EB8" w:rsidRPr="006C6B9F" w:rsidRDefault="00582EB8" w:rsidP="00582EB8">
      <w:pPr>
        <w:jc w:val="both"/>
        <w:rPr>
          <w:rFonts w:asciiTheme="majorHAnsi" w:hAnsiTheme="majorHAnsi"/>
        </w:rPr>
      </w:pPr>
    </w:p>
    <w:p w14:paraId="38A4C39F" w14:textId="77777777" w:rsidR="00582EB8" w:rsidRPr="006C6B9F" w:rsidRDefault="00582EB8" w:rsidP="00582EB8">
      <w:pPr>
        <w:jc w:val="both"/>
        <w:rPr>
          <w:rFonts w:asciiTheme="majorHAnsi" w:hAnsiTheme="majorHAnsi"/>
          <w:b/>
          <w:i/>
        </w:rPr>
      </w:pPr>
      <w:r w:rsidRPr="006C6B9F">
        <w:rPr>
          <w:rFonts w:asciiTheme="majorHAnsi" w:hAnsiTheme="majorHAnsi"/>
          <w:b/>
          <w:bCs/>
        </w:rPr>
        <w:t>Sexto:</w:t>
      </w:r>
      <w:r w:rsidRPr="006C6B9F">
        <w:rPr>
          <w:rFonts w:asciiTheme="majorHAnsi" w:hAnsiTheme="majorHAnsi"/>
          <w:bCs/>
        </w:rPr>
        <w:t xml:space="preserve"> Modificar  la hoja denominada </w:t>
      </w:r>
      <w:r w:rsidRPr="006C6B9F">
        <w:rPr>
          <w:rFonts w:asciiTheme="majorHAnsi" w:hAnsiTheme="majorHAnsi"/>
          <w:b/>
          <w:bCs/>
        </w:rPr>
        <w:t>“Provisiones Técnicas”</w:t>
      </w:r>
      <w:r w:rsidRPr="006C6B9F">
        <w:rPr>
          <w:rFonts w:asciiTheme="majorHAnsi" w:hAnsiTheme="majorHAnsi"/>
          <w:bCs/>
        </w:rPr>
        <w:t>, del Anexo 2 “</w:t>
      </w:r>
      <w:r w:rsidRPr="006C6B9F">
        <w:rPr>
          <w:rFonts w:asciiTheme="majorHAnsi" w:hAnsiTheme="majorHAnsi"/>
          <w:bCs/>
          <w:i/>
        </w:rPr>
        <w:t>Contabilidad Seguro Directo”</w:t>
      </w:r>
      <w:r w:rsidRPr="006C6B9F">
        <w:rPr>
          <w:rFonts w:asciiTheme="majorHAnsi" w:hAnsiTheme="majorHAnsi"/>
          <w:bCs/>
        </w:rPr>
        <w:t xml:space="preserve"> incluido en el acuerdo SGS-DES-A-028-2013, “</w:t>
      </w:r>
      <w:r w:rsidRPr="006C6B9F">
        <w:rPr>
          <w:rFonts w:asciiTheme="majorHAnsi" w:hAnsiTheme="majorHAnsi"/>
          <w:bCs/>
          <w:i/>
        </w:rPr>
        <w:t>Guías de Aplicación Contable para la Actividad Aseguradora y Reaseguradora”,</w:t>
      </w:r>
      <w:r w:rsidRPr="006C6B9F">
        <w:rPr>
          <w:rFonts w:asciiTheme="majorHAnsi" w:hAnsiTheme="majorHAnsi"/>
          <w:bCs/>
        </w:rPr>
        <w:t xml:space="preserve"> relacionado con la Contabilidad del Seguro Directo, para que en adelante se lea de la siguiente manera:</w:t>
      </w:r>
      <w:r w:rsidRPr="006C6B9F">
        <w:rPr>
          <w:rFonts w:asciiTheme="majorHAnsi" w:hAnsiTheme="majorHAnsi"/>
          <w:b/>
          <w:i/>
        </w:rPr>
        <w:t xml:space="preserve"> </w:t>
      </w:r>
    </w:p>
    <w:p w14:paraId="23F17BB0" w14:textId="77777777" w:rsidR="00582EB8" w:rsidRPr="006C6B9F" w:rsidRDefault="00582EB8" w:rsidP="00582EB8">
      <w:pPr>
        <w:jc w:val="both"/>
        <w:rPr>
          <w:rFonts w:asciiTheme="majorHAnsi" w:hAnsiTheme="majorHAnsi"/>
        </w:rPr>
      </w:pPr>
    </w:p>
    <w:p w14:paraId="0222C903" w14:textId="77777777" w:rsidR="00582EB8" w:rsidRDefault="00582EB8" w:rsidP="00582EB8">
      <w:pPr>
        <w:jc w:val="center"/>
        <w:rPr>
          <w:rFonts w:asciiTheme="majorHAnsi" w:hAnsiTheme="majorHAnsi"/>
        </w:rPr>
      </w:pPr>
      <w:r w:rsidRPr="009B0D5F">
        <w:rPr>
          <w:noProof/>
          <w:lang w:val="es-CR" w:eastAsia="es-CR"/>
        </w:rPr>
        <w:lastRenderedPageBreak/>
        <w:drawing>
          <wp:inline distT="0" distB="0" distL="0" distR="0" wp14:anchorId="29F43DB7" wp14:editId="19F06309">
            <wp:extent cx="5393004" cy="580109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42" cy="5803182"/>
                    </a:xfrm>
                    <a:prstGeom prst="rect">
                      <a:avLst/>
                    </a:prstGeom>
                    <a:noFill/>
                    <a:ln>
                      <a:noFill/>
                    </a:ln>
                  </pic:spPr>
                </pic:pic>
              </a:graphicData>
            </a:graphic>
          </wp:inline>
        </w:drawing>
      </w:r>
    </w:p>
    <w:p w14:paraId="0B8622CD" w14:textId="42C1FB2E" w:rsidR="00582EB8" w:rsidRDefault="00582EB8" w:rsidP="006C6B9F">
      <w:pPr>
        <w:tabs>
          <w:tab w:val="center" w:pos="4680"/>
          <w:tab w:val="right" w:pos="9360"/>
        </w:tabs>
        <w:jc w:val="center"/>
        <w:rPr>
          <w:rFonts w:asciiTheme="majorHAnsi" w:hAnsiTheme="majorHAnsi"/>
        </w:rPr>
      </w:pPr>
      <w:r w:rsidRPr="00E519AF">
        <w:rPr>
          <w:noProof/>
          <w:lang w:val="es-CR" w:eastAsia="es-CR"/>
        </w:rPr>
        <w:lastRenderedPageBreak/>
        <w:drawing>
          <wp:inline distT="0" distB="0" distL="0" distR="0" wp14:anchorId="361403AC" wp14:editId="38DDA830">
            <wp:extent cx="5391302" cy="670801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758" cy="6721028"/>
                    </a:xfrm>
                    <a:prstGeom prst="rect">
                      <a:avLst/>
                    </a:prstGeom>
                    <a:noFill/>
                    <a:ln>
                      <a:noFill/>
                    </a:ln>
                  </pic:spPr>
                </pic:pic>
              </a:graphicData>
            </a:graphic>
          </wp:inline>
        </w:drawing>
      </w:r>
    </w:p>
    <w:p w14:paraId="33F1DA7B" w14:textId="77777777" w:rsidR="00582EB8" w:rsidRPr="004A41CA" w:rsidRDefault="00582EB8" w:rsidP="00582EB8">
      <w:pPr>
        <w:jc w:val="both"/>
        <w:rPr>
          <w:rFonts w:asciiTheme="majorHAnsi" w:hAnsiTheme="majorHAnsi"/>
        </w:rPr>
      </w:pPr>
    </w:p>
    <w:p w14:paraId="60578082" w14:textId="77777777" w:rsidR="00582EB8" w:rsidRDefault="00582EB8" w:rsidP="00582EB8">
      <w:pPr>
        <w:jc w:val="center"/>
        <w:rPr>
          <w:rFonts w:asciiTheme="majorHAnsi" w:hAnsiTheme="majorHAnsi"/>
          <w:b/>
        </w:rPr>
      </w:pPr>
      <w:r w:rsidRPr="00E06FA1">
        <w:rPr>
          <w:noProof/>
          <w:lang w:val="es-CR" w:eastAsia="es-CR"/>
        </w:rPr>
        <w:lastRenderedPageBreak/>
        <w:drawing>
          <wp:inline distT="0" distB="0" distL="0" distR="0" wp14:anchorId="2A8A16F3" wp14:editId="0E9F3622">
            <wp:extent cx="5396403" cy="682508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535" cy="6834102"/>
                    </a:xfrm>
                    <a:prstGeom prst="rect">
                      <a:avLst/>
                    </a:prstGeom>
                    <a:noFill/>
                    <a:ln>
                      <a:noFill/>
                    </a:ln>
                  </pic:spPr>
                </pic:pic>
              </a:graphicData>
            </a:graphic>
          </wp:inline>
        </w:drawing>
      </w:r>
    </w:p>
    <w:p w14:paraId="17E9D209" w14:textId="77777777" w:rsidR="00582EB8" w:rsidRPr="004A41CA" w:rsidRDefault="00582EB8" w:rsidP="00582EB8">
      <w:pPr>
        <w:jc w:val="both"/>
        <w:rPr>
          <w:rFonts w:asciiTheme="majorHAnsi" w:hAnsiTheme="majorHAnsi"/>
        </w:rPr>
      </w:pPr>
      <w:r w:rsidRPr="004A41CA">
        <w:rPr>
          <w:rFonts w:asciiTheme="majorHAnsi" w:hAnsiTheme="majorHAnsi"/>
          <w:b/>
        </w:rPr>
        <w:lastRenderedPageBreak/>
        <w:t>Rige:</w:t>
      </w:r>
      <w:r w:rsidRPr="004A41CA">
        <w:rPr>
          <w:rFonts w:asciiTheme="majorHAnsi" w:hAnsiTheme="majorHAnsi"/>
        </w:rPr>
        <w:t xml:space="preserve"> De acuerdo con la vigencia de las modificaciones sobre riesgo catastrófico de terremoto y erupción volcánica del </w:t>
      </w:r>
      <w:r w:rsidRPr="00BA22D4">
        <w:rPr>
          <w:rFonts w:asciiTheme="majorHAnsi" w:hAnsiTheme="majorHAnsi"/>
          <w:i/>
        </w:rPr>
        <w:t>Reglamento sobre la Solvencia de Entidades de Seguros y Reaseguros</w:t>
      </w:r>
      <w:r w:rsidRPr="004A41CA">
        <w:rPr>
          <w:rFonts w:asciiTheme="majorHAnsi" w:hAnsiTheme="majorHAnsi"/>
        </w:rPr>
        <w:t>, aprobad</w:t>
      </w:r>
      <w:r>
        <w:rPr>
          <w:rFonts w:asciiTheme="majorHAnsi" w:hAnsiTheme="majorHAnsi"/>
        </w:rPr>
        <w:t>as</w:t>
      </w:r>
      <w:r w:rsidRPr="004A41CA">
        <w:rPr>
          <w:rFonts w:asciiTheme="majorHAnsi" w:hAnsiTheme="majorHAnsi"/>
        </w:rPr>
        <w:t xml:space="preserve"> por el Consejo Nacional de Supervisión del Sistema Financiero mediante acuerdo de sesión 1363-2017, celebrada el 3 de octubre de 2017, y publicad</w:t>
      </w:r>
      <w:r>
        <w:rPr>
          <w:rFonts w:asciiTheme="majorHAnsi" w:hAnsiTheme="majorHAnsi"/>
        </w:rPr>
        <w:t>as</w:t>
      </w:r>
      <w:r w:rsidRPr="004A41CA">
        <w:rPr>
          <w:rFonts w:asciiTheme="majorHAnsi" w:hAnsiTheme="majorHAnsi"/>
        </w:rPr>
        <w:t xml:space="preserve"> en el diario oficial </w:t>
      </w:r>
      <w:r w:rsidRPr="00BA22D4">
        <w:rPr>
          <w:rFonts w:asciiTheme="majorHAnsi" w:hAnsiTheme="majorHAnsi"/>
          <w:i/>
        </w:rPr>
        <w:t>La Gaceta</w:t>
      </w:r>
      <w:r w:rsidRPr="004A41CA">
        <w:rPr>
          <w:rFonts w:asciiTheme="majorHAnsi" w:hAnsiTheme="majorHAnsi"/>
        </w:rPr>
        <w:t xml:space="preserve"> el 27 de octubre de 2017 en el Alcance N° 257.</w:t>
      </w:r>
    </w:p>
    <w:p w14:paraId="002B5421" w14:textId="77777777" w:rsidR="00582EB8" w:rsidRDefault="00582EB8" w:rsidP="00582EB8">
      <w:pPr>
        <w:jc w:val="both"/>
        <w:rPr>
          <w:rFonts w:asciiTheme="majorHAnsi" w:hAnsiTheme="majorHAnsi"/>
        </w:rPr>
      </w:pPr>
    </w:p>
    <w:p w14:paraId="19471396" w14:textId="77777777" w:rsidR="00582EB8" w:rsidRDefault="00582EB8" w:rsidP="00582EB8">
      <w:pPr>
        <w:jc w:val="both"/>
        <w:rPr>
          <w:rFonts w:asciiTheme="majorHAnsi" w:hAnsiTheme="majorHAnsi"/>
        </w:rPr>
      </w:pPr>
      <w:r>
        <w:rPr>
          <w:rFonts w:asciiTheme="majorHAnsi" w:hAnsiTheme="majorHAnsi"/>
        </w:rPr>
        <w:t>Notifíquese.</w:t>
      </w:r>
    </w:p>
    <w:p w14:paraId="56C731AA" w14:textId="77777777" w:rsidR="00582EB8" w:rsidRDefault="00582EB8" w:rsidP="00582EB8">
      <w:pPr>
        <w:jc w:val="both"/>
        <w:rPr>
          <w:rFonts w:asciiTheme="majorHAnsi" w:hAnsiTheme="majorHAnsi"/>
        </w:rPr>
      </w:pPr>
    </w:p>
    <w:p w14:paraId="32C93C9A" w14:textId="77777777" w:rsidR="00582EB8" w:rsidRDefault="00582EB8" w:rsidP="00582EB8">
      <w:pPr>
        <w:jc w:val="both"/>
        <w:rPr>
          <w:rFonts w:asciiTheme="majorHAnsi" w:hAnsiTheme="majorHAnsi"/>
        </w:rPr>
      </w:pPr>
    </w:p>
    <w:p w14:paraId="6D26B6EF" w14:textId="77777777" w:rsidR="00582EB8" w:rsidRDefault="00582EB8" w:rsidP="00582EB8">
      <w:pPr>
        <w:jc w:val="both"/>
        <w:rPr>
          <w:rFonts w:asciiTheme="majorHAnsi" w:hAnsiTheme="majorHAnsi"/>
        </w:rPr>
      </w:pPr>
    </w:p>
    <w:p w14:paraId="0144EA9C" w14:textId="77777777" w:rsidR="00761D54" w:rsidRPr="00582EB8" w:rsidRDefault="00582EB8" w:rsidP="00582EB8">
      <w:pPr>
        <w:jc w:val="both"/>
        <w:rPr>
          <w:rFonts w:asciiTheme="majorHAnsi" w:hAnsiTheme="majorHAnsi"/>
        </w:rPr>
      </w:pPr>
      <w:r w:rsidRPr="005624EB">
        <w:rPr>
          <w:rFonts w:asciiTheme="majorHAnsi" w:hAnsiTheme="majorHAnsi"/>
          <w:noProof/>
          <w:lang w:val="es-CR" w:eastAsia="es-CR"/>
        </w:rPr>
        <w:drawing>
          <wp:inline distT="0" distB="0" distL="0" distR="0" wp14:anchorId="0CEC5F44" wp14:editId="630F6DEC">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761D54" w:rsidRPr="00582EB8" w:rsidSect="00582EB8">
      <w:headerReference w:type="default" r:id="rId19"/>
      <w:footerReference w:type="default" r:id="rId20"/>
      <w:headerReference w:type="first" r:id="rId21"/>
      <w:footerReference w:type="first" r:id="rId2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07F6" w14:textId="77777777" w:rsidR="00873BB1" w:rsidRDefault="00873BB1" w:rsidP="005A1442">
      <w:r>
        <w:separator/>
      </w:r>
    </w:p>
  </w:endnote>
  <w:endnote w:type="continuationSeparator" w:id="0">
    <w:p w14:paraId="55218D1B" w14:textId="77777777" w:rsidR="00873BB1" w:rsidRDefault="00873BB1"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4C18" w14:textId="77777777" w:rsidR="00873BB1" w:rsidRDefault="00873BB1" w:rsidP="005A1442">
    <w:pPr>
      <w:pStyle w:val="Piedepgina"/>
      <w:pBdr>
        <w:top w:val="single" w:sz="4" w:space="1" w:color="auto"/>
      </w:pBdr>
      <w:rPr>
        <w:sz w:val="16"/>
        <w:szCs w:val="16"/>
      </w:rPr>
    </w:pPr>
  </w:p>
  <w:p w14:paraId="0A0313F5" w14:textId="77777777" w:rsidR="00873BB1" w:rsidRDefault="00873BB1"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33214C50" w14:textId="77777777" w:rsidR="00873BB1" w:rsidRDefault="00873BB1"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1F795648" w14:textId="77777777" w:rsidR="00873BB1" w:rsidRPr="005A1442" w:rsidRDefault="00800B64" w:rsidP="005A1442">
    <w:pPr>
      <w:pStyle w:val="Piedepgina"/>
      <w:tabs>
        <w:tab w:val="clear" w:pos="8838"/>
      </w:tabs>
      <w:jc w:val="right"/>
      <w:rPr>
        <w:rFonts w:ascii="Baskerville Old Face" w:hAnsi="Baskerville Old Face"/>
        <w:sz w:val="18"/>
        <w:szCs w:val="18"/>
      </w:rPr>
    </w:pPr>
    <w:hyperlink r:id="rId1" w:history="1">
      <w:r w:rsidR="00873BB1"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22AC" w14:textId="77777777" w:rsidR="00873BB1" w:rsidRDefault="00873BB1" w:rsidP="00A83BA5">
    <w:pPr>
      <w:pStyle w:val="Piedepgina"/>
      <w:pBdr>
        <w:top w:val="single" w:sz="4" w:space="1" w:color="auto"/>
      </w:pBdr>
      <w:rPr>
        <w:sz w:val="16"/>
        <w:szCs w:val="16"/>
      </w:rPr>
    </w:pPr>
  </w:p>
  <w:p w14:paraId="091A15AD" w14:textId="77777777" w:rsidR="00873BB1" w:rsidRDefault="00873BB1"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48BE449F" w14:textId="77777777" w:rsidR="00873BB1" w:rsidRDefault="00873BB1"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465B5922" w14:textId="77777777" w:rsidR="00873BB1" w:rsidRPr="00A83BA5" w:rsidRDefault="00800B64" w:rsidP="00A83BA5">
    <w:pPr>
      <w:pStyle w:val="Piedepgina"/>
      <w:tabs>
        <w:tab w:val="clear" w:pos="8838"/>
      </w:tabs>
      <w:jc w:val="right"/>
      <w:rPr>
        <w:rFonts w:ascii="Baskerville Old Face" w:hAnsi="Baskerville Old Face"/>
        <w:sz w:val="18"/>
        <w:szCs w:val="18"/>
      </w:rPr>
    </w:pPr>
    <w:hyperlink r:id="rId1" w:history="1">
      <w:r w:rsidR="00873BB1"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D8F2" w14:textId="77777777" w:rsidR="00873BB1" w:rsidRDefault="00873BB1" w:rsidP="005A1442">
      <w:r>
        <w:separator/>
      </w:r>
    </w:p>
  </w:footnote>
  <w:footnote w:type="continuationSeparator" w:id="0">
    <w:p w14:paraId="17B681A3" w14:textId="77777777" w:rsidR="00873BB1" w:rsidRDefault="00873BB1"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3915" w14:textId="77777777" w:rsidR="00873BB1" w:rsidRPr="00582EB8" w:rsidRDefault="00873BB1" w:rsidP="00582EB8">
    <w:pPr>
      <w:pStyle w:val="Encabezado"/>
      <w:jc w:val="both"/>
      <w:rPr>
        <w:rFonts w:asciiTheme="majorHAnsi" w:hAnsiTheme="majorHAnsi"/>
        <w:sz w:val="24"/>
        <w:szCs w:val="24"/>
      </w:rPr>
    </w:pPr>
    <w:r w:rsidRPr="00582EB8">
      <w:rPr>
        <w:rFonts w:asciiTheme="majorHAnsi" w:hAnsiTheme="majorHAnsi"/>
        <w:noProof/>
        <w:sz w:val="24"/>
        <w:szCs w:val="24"/>
        <w:lang w:eastAsia="es-CR"/>
      </w:rPr>
      <mc:AlternateContent>
        <mc:Choice Requires="wps">
          <w:drawing>
            <wp:anchor distT="0" distB="0" distL="114300" distR="114300" simplePos="0" relativeHeight="251663360" behindDoc="0" locked="0" layoutInCell="1" allowOverlap="1" wp14:anchorId="4F750CB2" wp14:editId="5874E2BA">
              <wp:simplePos x="0" y="0"/>
              <wp:positionH relativeFrom="margin">
                <wp:align>right</wp:align>
              </wp:positionH>
              <wp:positionV relativeFrom="paragraph">
                <wp:posOffset>-26035</wp:posOffset>
              </wp:positionV>
              <wp:extent cx="1230341" cy="1303193"/>
              <wp:effectExtent l="0" t="0" r="825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781B97C1" w14:textId="77777777" w:rsidR="00873BB1" w:rsidRDefault="00873BB1" w:rsidP="00582EB8">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56C8104E" wp14:editId="54265FCC">
                                <wp:extent cx="419100" cy="76200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5599C0F2" w14:textId="77777777" w:rsidR="00873BB1" w:rsidRPr="00374377" w:rsidRDefault="00873BB1" w:rsidP="00582EB8">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068BEB3E" w14:textId="77777777" w:rsidR="00873BB1" w:rsidRPr="00374377" w:rsidRDefault="00873BB1" w:rsidP="00582EB8">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F750CB2">
              <v:stroke joinstyle="miter"/>
              <v:path gradientshapeok="t" o:connecttype="rect"/>
            </v:shapetype>
            <v:shape id="Cuadro de texto 2" style="position:absolute;left:0;text-align:left;margin-left:45.7pt;margin-top:-2.05pt;width:96.9pt;height:102.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">
              <v:textbox>
                <w:txbxContent>
                  <w:p w:rsidR="00582EB8" w:rsidP="00582EB8" w:rsidRDefault="00582EB8" w14:paraId="781B97C1" w14:textId="77777777">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56C8104E" wp14:editId="54265FCC">
                          <wp:extent cx="419100" cy="76200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rsidRPr="00374377" w:rsidR="00582EB8" w:rsidP="00582EB8" w:rsidRDefault="00582EB8" w14:paraId="5599C0F2" w14:textId="7777777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rsidRPr="00374377" w:rsidR="00582EB8" w:rsidP="00582EB8" w:rsidRDefault="00582EB8" w14:paraId="068BEB3E" w14:textId="7777777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w10:wrap anchorx="margin"/>
            </v:shape>
          </w:pict>
        </mc:Fallback>
      </mc:AlternateContent>
    </w:r>
    <w:r w:rsidRPr="00582EB8">
      <w:rPr>
        <w:rFonts w:asciiTheme="majorHAnsi" w:hAnsiTheme="majorHAnsi"/>
        <w:noProof/>
        <w:sz w:val="24"/>
        <w:szCs w:val="24"/>
        <w:lang w:eastAsia="es-CR"/>
      </w:rPr>
      <w:drawing>
        <wp:inline distT="0" distB="0" distL="0" distR="0" wp14:anchorId="172AE026" wp14:editId="62E5DED4">
          <wp:extent cx="1209580" cy="971550"/>
          <wp:effectExtent l="19050" t="0" r="0" b="0"/>
          <wp:docPr id="7"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3C11A7F5" w14:textId="77777777" w:rsidR="00873BB1" w:rsidRPr="00582EB8" w:rsidRDefault="00873BB1" w:rsidP="00582EB8">
    <w:pPr>
      <w:pStyle w:val="Encabezado"/>
      <w:jc w:val="right"/>
      <w:rPr>
        <w:rFonts w:asciiTheme="majorHAnsi" w:hAnsiTheme="majorHAnsi"/>
        <w:sz w:val="16"/>
        <w:szCs w:val="16"/>
      </w:rPr>
    </w:pPr>
  </w:p>
  <w:p w14:paraId="0C6526DE" w14:textId="75AF0D7B" w:rsidR="00873BB1" w:rsidRPr="00582EB8" w:rsidRDefault="00873BB1" w:rsidP="00761D54">
    <w:pPr>
      <w:jc w:val="both"/>
      <w:rPr>
        <w:rFonts w:asciiTheme="majorHAnsi" w:hAnsiTheme="majorHAnsi"/>
        <w:b/>
        <w:i/>
        <w:color w:val="000000"/>
      </w:rPr>
    </w:pPr>
    <w:r w:rsidRPr="00582EB8">
      <w:rPr>
        <w:rFonts w:asciiTheme="majorHAnsi" w:hAnsiTheme="majorHAnsi"/>
        <w:b/>
        <w:i/>
        <w:color w:val="000000"/>
      </w:rPr>
      <w:t>SGS-</w:t>
    </w:r>
    <w:r>
      <w:rPr>
        <w:rFonts w:asciiTheme="majorHAnsi" w:hAnsiTheme="majorHAnsi"/>
        <w:b/>
        <w:i/>
        <w:color w:val="000000"/>
      </w:rPr>
      <w:t>A-0059-2017</w:t>
    </w:r>
  </w:p>
  <w:p w14:paraId="1F90C35B" w14:textId="77777777" w:rsidR="00873BB1" w:rsidRPr="00582EB8" w:rsidRDefault="00873BB1" w:rsidP="005B70A7">
    <w:pPr>
      <w:pStyle w:val="Encabezado"/>
      <w:rPr>
        <w:rFonts w:asciiTheme="majorHAnsi" w:hAnsiTheme="majorHAnsi"/>
        <w:sz w:val="24"/>
        <w:szCs w:val="24"/>
        <w:lang w:val="es-MX"/>
      </w:rPr>
    </w:pPr>
    <w:r>
      <w:rPr>
        <w:rFonts w:asciiTheme="majorHAnsi" w:hAnsiTheme="majorHAnsi"/>
        <w:sz w:val="24"/>
        <w:szCs w:val="24"/>
        <w:lang w:val="es-MX"/>
      </w:rPr>
      <w:t>Página</w:t>
    </w:r>
    <w:r w:rsidRPr="00582EB8">
      <w:rPr>
        <w:rFonts w:asciiTheme="majorHAnsi" w:hAnsiTheme="majorHAnsi"/>
        <w:sz w:val="24"/>
        <w:szCs w:val="24"/>
        <w:lang w:val="es-MX"/>
      </w:rPr>
      <w:t xml:space="preserve"> </w:t>
    </w:r>
    <w:r w:rsidRPr="00582EB8">
      <w:rPr>
        <w:rFonts w:asciiTheme="majorHAnsi" w:hAnsiTheme="majorHAnsi"/>
        <w:sz w:val="24"/>
        <w:szCs w:val="24"/>
        <w:lang w:val="es-MX"/>
      </w:rPr>
      <w:fldChar w:fldCharType="begin"/>
    </w:r>
    <w:r w:rsidRPr="00582EB8">
      <w:rPr>
        <w:rFonts w:asciiTheme="majorHAnsi" w:hAnsiTheme="majorHAnsi"/>
        <w:sz w:val="24"/>
        <w:szCs w:val="24"/>
        <w:lang w:val="es-MX"/>
      </w:rPr>
      <w:instrText xml:space="preserve"> PAGE   \* MERGEFORMAT </w:instrText>
    </w:r>
    <w:r w:rsidRPr="00582EB8">
      <w:rPr>
        <w:rFonts w:asciiTheme="majorHAnsi" w:hAnsiTheme="majorHAnsi"/>
        <w:sz w:val="24"/>
        <w:szCs w:val="24"/>
        <w:lang w:val="es-MX"/>
      </w:rPr>
      <w:fldChar w:fldCharType="separate"/>
    </w:r>
    <w:r w:rsidR="00800B64">
      <w:rPr>
        <w:rFonts w:asciiTheme="majorHAnsi" w:hAnsiTheme="majorHAnsi"/>
        <w:noProof/>
        <w:sz w:val="24"/>
        <w:szCs w:val="24"/>
        <w:lang w:val="es-MX"/>
      </w:rPr>
      <w:t>15</w:t>
    </w:r>
    <w:r w:rsidRPr="00582EB8">
      <w:rPr>
        <w:rFonts w:asciiTheme="majorHAnsi" w:hAnsiTheme="majorHAnsi"/>
        <w:sz w:val="24"/>
        <w:szCs w:val="24"/>
        <w:lang w:val="es-MX"/>
      </w:rPr>
      <w:fldChar w:fldCharType="end"/>
    </w:r>
  </w:p>
  <w:p w14:paraId="0FA33016" w14:textId="77777777" w:rsidR="00873BB1" w:rsidRPr="00582EB8" w:rsidRDefault="00873BB1">
    <w:pPr>
      <w:pStyle w:val="Encabezado"/>
      <w:rPr>
        <w:rFonts w:asciiTheme="majorHAnsi" w:hAnsiTheme="majorHAnsi"/>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4D02" w14:textId="77777777" w:rsidR="00873BB1" w:rsidRPr="00582EB8" w:rsidRDefault="00873BB1" w:rsidP="00582EB8">
    <w:pPr>
      <w:pStyle w:val="Encabezado"/>
      <w:jc w:val="both"/>
      <w:rPr>
        <w:rFonts w:asciiTheme="majorHAnsi" w:hAnsiTheme="majorHAnsi"/>
        <w:sz w:val="24"/>
        <w:szCs w:val="24"/>
      </w:rPr>
    </w:pPr>
    <w:r w:rsidRPr="00582EB8">
      <w:rPr>
        <w:rFonts w:asciiTheme="majorHAnsi" w:hAnsiTheme="majorHAnsi"/>
        <w:noProof/>
        <w:sz w:val="24"/>
        <w:szCs w:val="24"/>
        <w:lang w:eastAsia="es-CR"/>
      </w:rPr>
      <mc:AlternateContent>
        <mc:Choice Requires="wps">
          <w:drawing>
            <wp:anchor distT="0" distB="0" distL="114300" distR="114300" simplePos="0" relativeHeight="251661312" behindDoc="0" locked="0" layoutInCell="1" allowOverlap="1" wp14:anchorId="4C369FED" wp14:editId="66A222CF">
              <wp:simplePos x="0" y="0"/>
              <wp:positionH relativeFrom="margin">
                <wp:align>right</wp:align>
              </wp:positionH>
              <wp:positionV relativeFrom="paragraph">
                <wp:posOffset>-26035</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7DDE9ABA" w14:textId="77777777" w:rsidR="00873BB1" w:rsidRDefault="00873BB1" w:rsidP="00A83BA5">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152BFE81" wp14:editId="53CF4738">
                                <wp:extent cx="419100" cy="7620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5FE2BCDE" w14:textId="77777777" w:rsidR="00873BB1" w:rsidRPr="00374377" w:rsidRDefault="00873BB1" w:rsidP="00A83BA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18746EB0" w14:textId="77777777" w:rsidR="00873BB1" w:rsidRPr="00374377" w:rsidRDefault="00873BB1" w:rsidP="00A83BA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C369FED">
              <v:stroke joinstyle="miter"/>
              <v:path gradientshapeok="t" o:connecttype="rect"/>
            </v:shapetype>
            <v:shape id="_x0000_s1027" style="position:absolute;left:0;text-align:left;margin-left:45.7pt;margin-top:-2.05pt;width:96.9pt;height:10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">
              <v:textbox>
                <w:txbxContent>
                  <w:p w:rsidR="00843EE4" w:rsidP="00A83BA5" w:rsidRDefault="00BE1D1E" w14:paraId="7DDE9ABA" w14:textId="77777777">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152BFE81" wp14:editId="53CF4738">
                          <wp:extent cx="419100" cy="7620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rsidRPr="00374377" w:rsidR="00843EE4" w:rsidP="00A83BA5" w:rsidRDefault="00843EE4" w14:paraId="5FE2BCDE" w14:textId="7777777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rsidRPr="00374377" w:rsidR="00843EE4" w:rsidP="00A83BA5" w:rsidRDefault="00843EE4" w14:paraId="18746EB0" w14:textId="7777777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w10:wrap anchorx="margin"/>
            </v:shape>
          </w:pict>
        </mc:Fallback>
      </mc:AlternateContent>
    </w:r>
    <w:r w:rsidRPr="00582EB8">
      <w:rPr>
        <w:rFonts w:asciiTheme="majorHAnsi" w:hAnsiTheme="majorHAnsi"/>
        <w:noProof/>
        <w:sz w:val="24"/>
        <w:szCs w:val="24"/>
        <w:lang w:eastAsia="es-CR"/>
      </w:rPr>
      <w:drawing>
        <wp:inline distT="0" distB="0" distL="0" distR="0" wp14:anchorId="751E45A0" wp14:editId="2561F094">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71D644A7" w14:textId="77777777" w:rsidR="00873BB1" w:rsidRPr="00582EB8" w:rsidRDefault="00873BB1" w:rsidP="00582EB8">
    <w:pPr>
      <w:pStyle w:val="Encabezado"/>
      <w:jc w:val="right"/>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682E"/>
    <w:multiLevelType w:val="hybridMultilevel"/>
    <w:tmpl w:val="8B8618C4"/>
    <w:lvl w:ilvl="0" w:tplc="140A0001">
      <w:start w:val="1"/>
      <w:numFmt w:val="bullet"/>
      <w:lvlText w:val=""/>
      <w:lvlJc w:val="left"/>
      <w:pPr>
        <w:ind w:left="720" w:hanging="360"/>
      </w:pPr>
      <w:rPr>
        <w:rFonts w:ascii="Symbol" w:hAnsi="Symbol" w:hint="default"/>
      </w:rPr>
    </w:lvl>
    <w:lvl w:ilvl="1" w:tplc="944A46F0">
      <w:numFmt w:val="bullet"/>
      <w:lvlText w:val="•"/>
      <w:lvlJc w:val="left"/>
      <w:pPr>
        <w:ind w:left="1785" w:hanging="705"/>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0D829E5"/>
    <w:multiLevelType w:val="hybridMultilevel"/>
    <w:tmpl w:val="19FAE7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D482563"/>
    <w:multiLevelType w:val="hybridMultilevel"/>
    <w:tmpl w:val="DADA9F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6C90581"/>
    <w:multiLevelType w:val="hybridMultilevel"/>
    <w:tmpl w:val="101C45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FBB33BE"/>
    <w:multiLevelType w:val="hybridMultilevel"/>
    <w:tmpl w:val="10784874"/>
    <w:lvl w:ilvl="0" w:tplc="DADA6D68">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B8"/>
    <w:rsid w:val="00003EEF"/>
    <w:rsid w:val="000076D1"/>
    <w:rsid w:val="000105FD"/>
    <w:rsid w:val="00015CC4"/>
    <w:rsid w:val="0002274F"/>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7380"/>
    <w:rsid w:val="00112325"/>
    <w:rsid w:val="00133DA2"/>
    <w:rsid w:val="00135FBF"/>
    <w:rsid w:val="00140B90"/>
    <w:rsid w:val="00145DE7"/>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440B8"/>
    <w:rsid w:val="00247E9E"/>
    <w:rsid w:val="0026145C"/>
    <w:rsid w:val="00267429"/>
    <w:rsid w:val="0028286F"/>
    <w:rsid w:val="00286975"/>
    <w:rsid w:val="002878BA"/>
    <w:rsid w:val="00291CE7"/>
    <w:rsid w:val="002A04A2"/>
    <w:rsid w:val="002C3B80"/>
    <w:rsid w:val="002C3DDE"/>
    <w:rsid w:val="002C572C"/>
    <w:rsid w:val="002C76DF"/>
    <w:rsid w:val="002D215E"/>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58F1"/>
    <w:rsid w:val="00376DE7"/>
    <w:rsid w:val="00385D10"/>
    <w:rsid w:val="00391C88"/>
    <w:rsid w:val="00393A97"/>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2EB8"/>
    <w:rsid w:val="005876B5"/>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4EA1"/>
    <w:rsid w:val="006C12D6"/>
    <w:rsid w:val="006C624C"/>
    <w:rsid w:val="006C6B9F"/>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D2DAF"/>
    <w:rsid w:val="007E41E5"/>
    <w:rsid w:val="007E46F1"/>
    <w:rsid w:val="007E5094"/>
    <w:rsid w:val="007E66C6"/>
    <w:rsid w:val="007F09F5"/>
    <w:rsid w:val="00800B64"/>
    <w:rsid w:val="008022A8"/>
    <w:rsid w:val="0080328F"/>
    <w:rsid w:val="00821436"/>
    <w:rsid w:val="008259A0"/>
    <w:rsid w:val="008370FF"/>
    <w:rsid w:val="00843EE4"/>
    <w:rsid w:val="0085586B"/>
    <w:rsid w:val="00857125"/>
    <w:rsid w:val="00857848"/>
    <w:rsid w:val="00857AD8"/>
    <w:rsid w:val="008605C0"/>
    <w:rsid w:val="00866B92"/>
    <w:rsid w:val="008704B7"/>
    <w:rsid w:val="00873BB1"/>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B1CD0"/>
    <w:rsid w:val="00AB33C3"/>
    <w:rsid w:val="00AC0D3F"/>
    <w:rsid w:val="00AD00BB"/>
    <w:rsid w:val="00AE0313"/>
    <w:rsid w:val="00B04011"/>
    <w:rsid w:val="00B12501"/>
    <w:rsid w:val="00B21C1A"/>
    <w:rsid w:val="00B2475F"/>
    <w:rsid w:val="00B25C9B"/>
    <w:rsid w:val="00B300E9"/>
    <w:rsid w:val="00B32651"/>
    <w:rsid w:val="00B32EEB"/>
    <w:rsid w:val="00B330AC"/>
    <w:rsid w:val="00B40526"/>
    <w:rsid w:val="00B45FD8"/>
    <w:rsid w:val="00B50514"/>
    <w:rsid w:val="00B70578"/>
    <w:rsid w:val="00B73C42"/>
    <w:rsid w:val="00B826E2"/>
    <w:rsid w:val="00B910A3"/>
    <w:rsid w:val="00B95233"/>
    <w:rsid w:val="00B96A9E"/>
    <w:rsid w:val="00BA2A3A"/>
    <w:rsid w:val="00BA4095"/>
    <w:rsid w:val="00BA4EB8"/>
    <w:rsid w:val="00BB64F2"/>
    <w:rsid w:val="00BC2F23"/>
    <w:rsid w:val="00BC5BBE"/>
    <w:rsid w:val="00BD18FF"/>
    <w:rsid w:val="00BE08B6"/>
    <w:rsid w:val="00BE1D1E"/>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7870"/>
    <w:rsid w:val="00CA7AE4"/>
    <w:rsid w:val="00CB0CC5"/>
    <w:rsid w:val="00CB4B1E"/>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D5BAA"/>
    <w:rsid w:val="00DF1CE6"/>
    <w:rsid w:val="00DF2BE9"/>
    <w:rsid w:val="00DF3ABA"/>
    <w:rsid w:val="00DF6C68"/>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611D6"/>
    <w:rsid w:val="00F615EE"/>
    <w:rsid w:val="00F6508B"/>
    <w:rsid w:val="00F84235"/>
    <w:rsid w:val="00F87AC4"/>
    <w:rsid w:val="00F952FA"/>
    <w:rsid w:val="00FA4D98"/>
    <w:rsid w:val="00FA56C0"/>
    <w:rsid w:val="00FB6C78"/>
    <w:rsid w:val="00FC2DDB"/>
    <w:rsid w:val="00FC5636"/>
    <w:rsid w:val="00FC7C8A"/>
    <w:rsid w:val="00FD0685"/>
    <w:rsid w:val="00FE165F"/>
    <w:rsid w:val="00FE1C22"/>
    <w:rsid w:val="00FE3A47"/>
    <w:rsid w:val="00FE6669"/>
    <w:rsid w:val="00FF04DB"/>
    <w:rsid w:val="00FF37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C1D90"/>
  <w15:docId w15:val="{DCC6F0DE-56C8-4807-B8FF-7B1B589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styleId="Textodelmarcadordeposicin">
    <w:name w:val="Placeholder Text"/>
    <w:basedOn w:val="Fuentedeprrafopredeter"/>
    <w:uiPriority w:val="99"/>
    <w:semiHidden/>
    <w:rsid w:val="00FF3752"/>
    <w:rPr>
      <w:color w:val="808080"/>
    </w:rPr>
  </w:style>
  <w:style w:type="paragraph" w:styleId="Prrafodelista">
    <w:name w:val="List Paragraph"/>
    <w:basedOn w:val="Normal"/>
    <w:link w:val="PrrafodelistaCar"/>
    <w:uiPriority w:val="34"/>
    <w:qFormat/>
    <w:rsid w:val="00582EB8"/>
    <w:pPr>
      <w:ind w:left="720"/>
      <w:contextualSpacing/>
    </w:pPr>
  </w:style>
  <w:style w:type="character" w:styleId="Refdecomentario">
    <w:name w:val="annotation reference"/>
    <w:basedOn w:val="Fuentedeprrafopredeter"/>
    <w:uiPriority w:val="99"/>
    <w:semiHidden/>
    <w:unhideWhenUsed/>
    <w:rsid w:val="00582EB8"/>
    <w:rPr>
      <w:sz w:val="16"/>
      <w:szCs w:val="16"/>
    </w:rPr>
  </w:style>
  <w:style w:type="paragraph" w:styleId="Textocomentario">
    <w:name w:val="annotation text"/>
    <w:basedOn w:val="Normal"/>
    <w:link w:val="TextocomentarioCar"/>
    <w:uiPriority w:val="99"/>
    <w:semiHidden/>
    <w:unhideWhenUsed/>
    <w:rsid w:val="00582EB8"/>
    <w:rPr>
      <w:sz w:val="20"/>
      <w:szCs w:val="20"/>
    </w:rPr>
  </w:style>
  <w:style w:type="character" w:customStyle="1" w:styleId="TextocomentarioCar">
    <w:name w:val="Texto comentario Car"/>
    <w:basedOn w:val="Fuentedeprrafopredeter"/>
    <w:link w:val="Textocomentario"/>
    <w:uiPriority w:val="99"/>
    <w:semiHidden/>
    <w:rsid w:val="00582EB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82EB8"/>
    <w:rPr>
      <w:b/>
      <w:bCs/>
    </w:rPr>
  </w:style>
  <w:style w:type="character" w:customStyle="1" w:styleId="AsuntodelcomentarioCar">
    <w:name w:val="Asunto del comentario Car"/>
    <w:basedOn w:val="TextocomentarioCar"/>
    <w:link w:val="Asuntodelcomentario"/>
    <w:uiPriority w:val="99"/>
    <w:semiHidden/>
    <w:rsid w:val="00582EB8"/>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582EB8"/>
    <w:pPr>
      <w:widowControl w:val="0"/>
      <w:adjustRightInd w:val="0"/>
      <w:spacing w:after="120" w:line="360" w:lineRule="atLeast"/>
      <w:jc w:val="both"/>
      <w:textAlignment w:val="baseline"/>
    </w:pPr>
    <w:rPr>
      <w:sz w:val="20"/>
      <w:szCs w:val="20"/>
      <w:lang w:val="es-CR" w:eastAsia="es-CR"/>
    </w:rPr>
  </w:style>
  <w:style w:type="character" w:customStyle="1" w:styleId="TextoindependienteCar">
    <w:name w:val="Texto independiente Car"/>
    <w:basedOn w:val="Fuentedeprrafopredeter"/>
    <w:link w:val="Textoindependiente"/>
    <w:uiPriority w:val="99"/>
    <w:semiHidden/>
    <w:rsid w:val="00582EB8"/>
    <w:rPr>
      <w:rFonts w:ascii="Times New Roman" w:eastAsia="Times New Roman" w:hAnsi="Times New Roman" w:cs="Times New Roman"/>
      <w:sz w:val="20"/>
      <w:szCs w:val="20"/>
      <w:lang w:eastAsia="es-CR"/>
    </w:rPr>
  </w:style>
  <w:style w:type="character" w:customStyle="1" w:styleId="PrrafodelistaCar">
    <w:name w:val="Párrafo de lista Car"/>
    <w:link w:val="Prrafodelista"/>
    <w:uiPriority w:val="34"/>
    <w:locked/>
    <w:rsid w:val="00582EB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glossaryDocument" Target="glossary/document.xml"/><Relationship Id="rId11"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package" Target="embeddings/Hoja_de_c_lculo_habilitada_para_macros_de_Microsoft_Excel1.xlsm"/></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0.wmf"/><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0.wmf"/><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PlantillasExternas/Plantilla-SGS-A-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66A5EC5FD74600A0D30FE7E66ED4CC"/>
        <w:category>
          <w:name w:val="General"/>
          <w:gallery w:val="placeholder"/>
        </w:category>
        <w:types>
          <w:type w:val="bbPlcHdr"/>
        </w:types>
        <w:behaviors>
          <w:behavior w:val="content"/>
        </w:behaviors>
        <w:guid w:val="{6FA83A66-B39F-44FF-8744-544A8ABAC90A}"/>
      </w:docPartPr>
      <w:docPartBody>
        <w:p w:rsidR="005C2F70" w:rsidRDefault="005C2F70">
          <w:pPr>
            <w:pStyle w:val="A666A5EC5FD74600A0D30FE7E66ED4CC"/>
          </w:pPr>
          <w:r>
            <w:rPr>
              <w:rStyle w:val="Textodelmarcadordeposicin"/>
              <w:rFonts w:eastAsiaTheme="minorHAnsi"/>
            </w:rPr>
            <w:t>SGS-A-0000-AÑO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70"/>
    <w:rsid w:val="005C2F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666A5EC5FD74600A0D30FE7E66ED4CC">
    <w:name w:val="A666A5EC5FD74600A0D30FE7E66ED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H9VyJxIVfGBMFkCStZP1uWDFilown5YWRwhgj81KQos=</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LAijIPN6EOD20CN5RRgFZhDN+JZGznEP32Y3bqm0ZTI=</DigestValue>
    </Reference>
  </SignedInfo>
  <SignatureValue>E4e5eU/yK39f/pjgyo8cI3T7d8fyY/5H9ftuWQIsBETmS4CEyMLE/nNjUmQtB+ZenmPiiDoFyC4n
LY4iiTXgnSCeNUF0KTmLxTpOvX4J9iupqKXX+BDq2Jo5VDnnTe3Nd6ciANJVynGWfbuZFuBzOrS5
BiloYarirhMReuybb563Un/EOSGWfo19t/5nY0zWDI/N6PVkxYrevIIlZJlLnxSptyoDHu2IwixC
osuyiiSYMZJq16EXZOAsM2+EdBH14q2wOL12fzl57W/rB+VvoBDwOrMRc/6E8mMUYTRfmi6dYYqr
KCrtdzq6EHbk1Dofsq+IsrGajkRZHGoImIcXlQ==</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Td9tw9vX2gTHlXzg8Oqiry6O/XPwqAHxkt0r9+N9GAU=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XH1qWsypO610z6+CRB3ZgLE/aiTUjIfqdUbCFXKImF4=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XH1qWsypO610z6+CRB3ZgLE/aiTUjIfqdUbCFXKImF4=</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0vDSaeFjNZPV4o5t8L3wJcNlhADhKrTW1me2HRwXqPc=</DigestValue>
      </Reference>
      <Reference URI="/word/document.xml?ContentType=application/vnd.openxmlformats-officedocument.wordprocessingml.document.main+xml">
        <DigestMethod Algorithm="http://www.w3.org/2001/04/xmlenc#sha256"/>
        <DigestValue>v+GM17KP5SjyrpQ7bDNWAYKgypbppZ4+yoRGla6z8ng=</DigestValue>
      </Reference>
      <Reference URI="/word/embeddings/Hoja_de_c_lculo_habilitada_para_macros_de_Microsoft_Excel1.xlsm?ContentType=application/vnd.ms-excel.sheet.macroEnabled.12">
        <DigestMethod Algorithm="http://www.w3.org/2001/04/xmlenc#sha256"/>
        <DigestValue>R/hicm42UM0Vo2rX0tttGZq+fKvGwnr+6MqlYRhhUR8=</DigestValue>
      </Reference>
      <Reference URI="/word/endnotes.xml?ContentType=application/vnd.openxmlformats-officedocument.wordprocessingml.endnotes+xml">
        <DigestMethod Algorithm="http://www.w3.org/2001/04/xmlenc#sha256"/>
        <DigestValue>MAkqd+pOYM+jXENjjdae56MbiXTR+N88HxOoHnphM7U=</DigestValue>
      </Reference>
      <Reference URI="/word/fontTable.xml?ContentType=application/vnd.openxmlformats-officedocument.wordprocessingml.fontTable+xml">
        <DigestMethod Algorithm="http://www.w3.org/2001/04/xmlenc#sha256"/>
        <DigestValue>HkUhRNyL9SXBV648HI2scJQiRuUQLA6OhtZKDdkLNsM=</DigestValue>
      </Reference>
      <Reference URI="/word/footer1.xml?ContentType=application/vnd.openxmlformats-officedocument.wordprocessingml.footer+xml">
        <DigestMethod Algorithm="http://www.w3.org/2001/04/xmlenc#sha256"/>
        <DigestValue>5DFSGt+NG6ZBrsz080ZQmU28oSFI5D+XdCSwZkDgoUM=</DigestValue>
      </Reference>
      <Reference URI="/word/footer2.xml?ContentType=application/vnd.openxmlformats-officedocument.wordprocessingml.footer+xml">
        <DigestMethod Algorithm="http://www.w3.org/2001/04/xmlenc#sha256"/>
        <DigestValue>G9V/XKG8yqOCoVshQdQLjgEe9CjXN5hIrd4M1o8ocfE=</DigestValue>
      </Reference>
      <Reference URI="/word/footnotes.xml?ContentType=application/vnd.openxmlformats-officedocument.wordprocessingml.footnotes+xml">
        <DigestMethod Algorithm="http://www.w3.org/2001/04/xmlenc#sha256"/>
        <DigestValue>9aA4OMV66gmj4/Bukm239SX3e3yVRERKMMiM28EwKN8=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xp5r8fdKfPzxJ0oJ3NG4D2lNpp23QX76ZvN5HLKQyj8=</DigestValue>
      </Reference>
      <Reference URI="/word/glossary/fontTable.xml?ContentType=application/vnd.openxmlformats-officedocument.wordprocessingml.fontTable+xml">
        <DigestMethod Algorithm="http://www.w3.org/2001/04/xmlenc#sha256"/>
        <DigestValue>5YOFO2LYF8HthhtJSm/rjiVL3ZKyLXBjFaR+8hmrgg4=</DigestValue>
      </Reference>
      <Reference URI="/word/glossary/settings.xml?ContentType=application/vnd.openxmlformats-officedocument.wordprocessingml.settings+xml">
        <DigestMethod Algorithm="http://www.w3.org/2001/04/xmlenc#sha256"/>
        <DigestValue>LoZQV0av3FTgWLpB7xwHAWCBLyL4qa0sRK9GOLt6tIg=</DigestValue>
      </Reference>
      <Reference URI="/word/glossary/styles.xml?ContentType=application/vnd.openxmlformats-officedocument.wordprocessingml.styles+xml">
        <DigestMethod Algorithm="http://www.w3.org/2001/04/xmlenc#sha256"/>
        <DigestValue>oCD/vGS/nZOVKQ/l2S+QbZE1bJgPUet5/6J4xU0aWdA=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H7Zne8nk273KAVCE+JzCibm+l29VNWaXNECO6WMuYgI=</DigestValue>
      </Reference>
      <Reference URI="/word/header2.xml?ContentType=application/vnd.openxmlformats-officedocument.wordprocessingml.header+xml">
        <DigestMethod Algorithm="http://www.w3.org/2001/04/xmlenc#sha256"/>
        <DigestValue>7crngnSFwPAbvHA2oUBAqvCYJd4opEykTTjEV5qA/fw=</DigestValue>
      </Reference>
      <Reference URI="/word/media/image1.emf?ContentType=image/x-emf">
        <DigestMethod Algorithm="http://www.w3.org/2001/04/xmlenc#sha256"/>
        <DigestValue>JZLMYFlTfPSgFDyZxasVmGpZiq0sl9hq2upEyZWGSAk=</DigestValue>
      </Reference>
      <Reference URI="/word/media/image2.emf?ContentType=image/x-emf">
        <DigestMethod Algorithm="http://www.w3.org/2001/04/xmlenc#sha256"/>
        <DigestValue>aGrO/IkplydQaxV9czhcAlrErGw5DER12x61E4gg8y4=</DigestValue>
      </Reference>
      <Reference URI="/word/media/image3.emf?ContentType=image/x-emf">
        <DigestMethod Algorithm="http://www.w3.org/2001/04/xmlenc#sha256"/>
        <DigestValue>XA53oG/Kl7QNkRiOby9qp2mn/XhbVDxGAyXm9TvNF34=</DigestValue>
      </Reference>
      <Reference URI="/word/media/image4.emf?ContentType=image/x-emf">
        <DigestMethod Algorithm="http://www.w3.org/2001/04/xmlenc#sha256"/>
        <DigestValue>5IgvdF70ijrIlvCctnfrKGHgGoR6bDJmZvOa1rt5XeM=</DigestValue>
      </Reference>
      <Reference URI="/word/media/image5.png?ContentType=image/png">
        <DigestMethod Algorithm="http://www.w3.org/2001/04/xmlenc#sha256"/>
        <DigestValue>8ow0IbLvIuBewu4WCsfpgILO/EmmHhLyHA30uNxvsQ8=</DigestValue>
      </Reference>
      <Reference URI="/word/media/image6.wmf?ContentType=image/x-wmf">
        <DigestMethod Algorithm="http://www.w3.org/2001/04/xmlenc#sha256"/>
        <DigestValue>GoNPgj+lJ6aYUabPyQDM9x9pnj3oDnuArbVXOUCy3jU=</DigestValue>
      </Reference>
      <Reference URI="/word/media/image60.wmf?ContentType=image/x-wmf">
        <DigestMethod Algorithm="http://www.w3.org/2001/04/xmlenc#sha256"/>
        <DigestValue>GoNPgj+lJ6aYUabPyQDM9x9pnj3oDnuArbVXOUCy3jU=</DigestValue>
      </Reference>
      <Reference URI="/word/media/image7.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7BFNlwKPKmQ4XsZlsTA8VSBdr05wn9l18fKo6vBs8v4=</DigestValue>
      </Reference>
      <Reference URI="/word/settings.xml?ContentType=application/vnd.openxmlformats-officedocument.wordprocessingml.settings+xml">
        <DigestMethod Algorithm="http://www.w3.org/2001/04/xmlenc#sha256"/>
        <DigestValue>yAxs5iEEOQD/TlsfxzlWAWhl/6t2Irm7I8eqKxlk4N4=</DigestValue>
      </Reference>
      <Reference URI="/word/styles.xml?ContentType=application/vnd.openxmlformats-officedocument.wordprocessingml.styles+xml">
        <DigestMethod Algorithm="http://www.w3.org/2001/04/xmlenc#sha256"/>
        <DigestValue>o9iESOtBW+WUJoEXsOVt15TA4aaXo3OU6BIkLhXbWJk=</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6nmSxbFw8mM+9fE3wuJZo6coJOoxo5lAnbgkWURN9t0=</DigestValue>
      </Reference>
    </Manifest>
    <SignatureProperties>
      <SignatureProperty Id="idSignatureTime" Target="#idPackageSignature">
        <mdssi:SignatureTime xmlns:mdssi="http://schemas.openxmlformats.org/package/2006/digital-signature">
          <mdssi:Format>YYYY-MM-DDThh:mm:ssTZD</mdssi:Format>
          <mdssi:Value>2017-12-05T20:36:06Z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2017-12-05T20:36:06Z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i/YxeVOpd/kQlrPANCIA5lSfY1uWBpB6TEPH81zdOvACBAIG81IYDzIwMTcxMjA1MjAzNj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</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4PEquWlKYCNdEdcElnlCtsOe65g=</xd:ByKey>
                  </xd:ResponderID>
                  <xd:ProducedAt>2017-12-04T17:52:24Z</xd:ProducedAt>
                </xd:OCSPIdentifier>
                <xd:DigestAlgAndValue>
                  <DigestMethod Algorithm="http://www.w3.org/2001/04/xmlenc#sha256"/>
                  <DigestValue>PpTZBS3PSeOp3mpy/QuITkUk5h7Kgrqlea8JtO8kGHs=</DigestValue>
                </xd:DigestAlgAndValue>
              </xd:OCSPRef>
            </xd:OCSPRefs>
            <xd:CRLRefs>
              <xd:CRLRef>
                <xd:DigestAlgAndValue>
                  <DigestMethod Algorithm="http://www.w3.org/2001/04/xmlenc#sha256"/>
                  <DigestValue>flHS5qxBbrQmb78H4mQ6LFvkAI3kt9QlR8tymTQSpAo=</DigestValue>
                </xd:DigestAlgAndValue>
                <xd:CRLIdentifier>
                  <xd:Issuer>CN=CA POLITICA PERSONA FISICA - COSTA RICA v2, OU=DCFD, O=MICITT, C=CR, SERIALNUMBER=CPJ-2-100-098311</xd:Issuer>
                  <xd:IssueTime>2017-10-23T16:11:07Z</xd:IssueTime>
                </xd:CRLIdentifier>
              </xd:CRLRef>
              <xd:CRLRef>
                <xd:DigestAlgAndValue>
                  <DigestMethod Algorithm="http://www.w3.org/2001/04/xmlenc#sha256"/>
                  <DigestValue>T6OjZ0a9CZLMNu+TY6WMd3YLvzJWSUV0wZxgrGjwpCg=</DigestValue>
                </xd:DigestAlgAndValue>
                <xd:CRLIdentifier>
                  <xd:Issuer>CN=CA RAIZ NACIONAL - COSTA RICA v2, C=CR, O=MICITT, OU=DCFD, SERIALNUMBER=CPJ-2-100-098311</xd:Issuer>
                  <xd:IssueTime>2017-08-30T20:59:38Z</xd:IssueTime>
                </xd:CRLIdentifier>
              </xd:CRLRef>
            </xd:CRLRefs>
          </xd:CompleteRevocationRefs>
          <xd:RevocationValues>
            <xd:OCSPValues>
              <xd:EncapsulatedOCSPValue>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</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0NqNrKpxxI1vXxW1FKcJFe+EW3TJXUrx8+0zcuCkvYcCBAIG81YYDzIwMTcxMjA1MjAzNj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2017-12-12T06:00:00+00:00</FechaPublicacionDocumento>
    <NormativaRelacionada xmlns="b9fc4df0-8f56-46e7-b005-54afe0044df7">&lt;div class="ExternalClassBC17F9B06EE44D1F8D43FC3F6ADA4C3D"&gt;SUGESE 02-13 Reglamento Solvencia Entidades de Seguros y Reaseguros&amp;#160;&lt;/div&gt;</NormativaRelacionada>
    <ContenidoMultilineaHTML xmlns="b9fc4df0-8f56-46e7-b005-54afe0044df7">Presenta el Acuerdo SGS-A-0059-2017 con las Modificaciones a acuerdos varios para normar el tratamiento del riesgo de terremoto y erupción volcánica&amp;#160;</ContenidoMultilineaHTML>
    <NumeroAcuerdo xmlns="b9fc4df0-8f56-46e7-b005-54afe0044df7">SGS-A-059-2017   </NumeroAcuerdo>
    <TipoContenido xmlns="b9fc4df0-8f56-46e7-b005-54afe0044df7">6</TipoContenido>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567F3-EEB8-4F33-ADB8-5B7970209D84}"/>
</file>

<file path=customXml/itemProps2.xml><?xml version="1.0" encoding="utf-8"?>
<ds:datastoreItem xmlns:ds="http://schemas.openxmlformats.org/officeDocument/2006/customXml" ds:itemID="{92DA0871-357A-4746-90F9-F34AD770C455}"/>
</file>

<file path=customXml/itemProps3.xml><?xml version="1.0" encoding="utf-8"?>
<ds:datastoreItem xmlns:ds="http://schemas.openxmlformats.org/officeDocument/2006/customXml" ds:itemID="{0B2CCEEA-5295-40A3-ABAE-A96E8909E229}"/>
</file>

<file path=customXml/itemProps4.xml><?xml version="1.0" encoding="utf-8"?>
<ds:datastoreItem xmlns:ds="http://schemas.openxmlformats.org/officeDocument/2006/customXml" ds:itemID="{8E68C1D5-D5C3-4A69-B5C0-2CAE281F8142}"/>
</file>

<file path=customXml/itemProps5.xml><?xml version="1.0" encoding="utf-8"?>
<ds:datastoreItem xmlns:ds="http://schemas.openxmlformats.org/officeDocument/2006/customXml" ds:itemID="{66AD9BE7-6CC6-4BA0-BC87-EA9AF2463454}"/>
</file>

<file path=customXml/itemProps6.xml><?xml version="1.0" encoding="utf-8"?>
<ds:datastoreItem xmlns:ds="http://schemas.openxmlformats.org/officeDocument/2006/customXml" ds:itemID="{92DA0871-357A-4746-90F9-F34AD770C455}"/>
</file>

<file path=docProps/app.xml><?xml version="1.0" encoding="utf-8"?>
<Properties xmlns="http://schemas.openxmlformats.org/officeDocument/2006/extended-properties" xmlns:vt="http://schemas.openxmlformats.org/officeDocument/2006/docPropsVTypes">
  <Template>Plantilla-SGS-A-13</Template>
  <TotalTime>13</TotalTime>
  <Pages>15</Pages>
  <Words>2784</Words>
  <Characters>15314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SGS-A-0059-2017   </dc:title>
  <dc:creator>BOGANTES VILLALOBOS KATTYA</dc:creator>
  <cp:lastModifiedBy>SOLEY PEREZ TOMAS</cp:lastModifiedBy>
  <cp:revision>8</cp:revision>
  <dcterms:created xsi:type="dcterms:W3CDTF">2017-12-05T19:04:00Z</dcterms:created>
  <dcterms:modified xsi:type="dcterms:W3CDTF">2017-12-05T20:36:00Z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Dirigido a (entidad externa)">
    <vt:lpwstr>292;#Aseguradoras|84cf61bd-265e-4fe1-82e5-e22fa019a8e8</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Unidad Remitente">
    <vt:lpwstr>257;#SUGESE - Acuerdos|a4c1ee5f-324a-443d-88a9-d7759c9d5e33</vt:lpwstr>
  </property>
  <property fmtid="{D5CDD505-2E9C-101B-9397-08002B2CF9AE}" pid="12" name="WorkflowChangePath">
    <vt:lpwstr>68371979-ef7c-4881-b882-163a0ec9412a,5;d0adcf11-c98d-4cfe-9b74-1ed177b2f346,12;d0adcf11-c98d-4cfe-9b74-1ed177b2f346,12;8cb0537f-192b-40f6-8581-7f0a4e07e99a,13;</vt:lpwstr>
  </property>
  <property fmtid="{D5CDD505-2E9C-101B-9397-08002B2CF9AE}" pid="13" name="_MarkAsFinal">
    <vt:bool>true</vt:bool>
  </property>
</Properties>
</file>