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EE8CC" w14:textId="1565BB2D" w:rsidR="00F9204A" w:rsidRDefault="00F9204A" w:rsidP="00F9204A">
      <w:pPr>
        <w:spacing w:after="0" w:line="240" w:lineRule="auto"/>
        <w:jc w:val="right"/>
        <w:rPr>
          <w:sz w:val="20"/>
        </w:rPr>
      </w:pPr>
      <w:r>
        <w:rPr>
          <w:sz w:val="20"/>
        </w:rPr>
        <w:t>2</w:t>
      </w:r>
      <w:r w:rsidR="00C14F3A">
        <w:rPr>
          <w:sz w:val="20"/>
        </w:rPr>
        <w:t>1</w:t>
      </w:r>
      <w:r w:rsidRPr="001B49CE">
        <w:rPr>
          <w:sz w:val="20"/>
        </w:rPr>
        <w:t>-05-2019</w:t>
      </w:r>
    </w:p>
    <w:p w14:paraId="2E85C08A" w14:textId="77777777" w:rsidR="00F9204A" w:rsidRDefault="00F9204A" w:rsidP="00F9204A">
      <w:pPr>
        <w:spacing w:after="0" w:line="240" w:lineRule="auto"/>
        <w:jc w:val="right"/>
        <w:rPr>
          <w:sz w:val="20"/>
        </w:rPr>
      </w:pPr>
    </w:p>
    <w:p w14:paraId="5C382D39" w14:textId="77777777" w:rsidR="00F9204A" w:rsidRPr="001B49CE" w:rsidRDefault="00F9204A" w:rsidP="00F9204A">
      <w:pPr>
        <w:spacing w:after="0" w:line="240" w:lineRule="auto"/>
        <w:jc w:val="right"/>
        <w:rPr>
          <w:sz w:val="20"/>
        </w:rPr>
      </w:pPr>
    </w:p>
    <w:p w14:paraId="722BBB4C" w14:textId="77777777" w:rsidR="00F9204A" w:rsidRDefault="00F9204A" w:rsidP="00F9204A">
      <w:pPr>
        <w:spacing w:after="0" w:line="240" w:lineRule="auto"/>
        <w:jc w:val="center"/>
        <w:rPr>
          <w:b/>
          <w:sz w:val="36"/>
        </w:rPr>
      </w:pPr>
      <w:proofErr w:type="spellStart"/>
      <w:r w:rsidRPr="001B49CE">
        <w:rPr>
          <w:b/>
          <w:sz w:val="36"/>
        </w:rPr>
        <w:t>Sugese</w:t>
      </w:r>
      <w:proofErr w:type="spellEnd"/>
      <w:r w:rsidRPr="001B49CE">
        <w:rPr>
          <w:b/>
          <w:sz w:val="36"/>
        </w:rPr>
        <w:t xml:space="preserve"> </w:t>
      </w:r>
      <w:r>
        <w:rPr>
          <w:b/>
          <w:sz w:val="36"/>
        </w:rPr>
        <w:t>advierte al público sobre</w:t>
      </w:r>
      <w:r w:rsidRPr="001B49CE">
        <w:rPr>
          <w:b/>
          <w:sz w:val="36"/>
        </w:rPr>
        <w:t xml:space="preserve"> empresas no autorizadas </w:t>
      </w:r>
      <w:r>
        <w:rPr>
          <w:b/>
          <w:sz w:val="36"/>
        </w:rPr>
        <w:t xml:space="preserve">para operar </w:t>
      </w:r>
      <w:r w:rsidRPr="001B49CE">
        <w:rPr>
          <w:b/>
          <w:sz w:val="36"/>
        </w:rPr>
        <w:t xml:space="preserve">en el mercado de seguros </w:t>
      </w:r>
    </w:p>
    <w:p w14:paraId="12BD396A" w14:textId="77777777" w:rsidR="00F9204A" w:rsidRPr="001B49CE" w:rsidRDefault="00F9204A" w:rsidP="00F9204A">
      <w:pPr>
        <w:spacing w:after="0" w:line="240" w:lineRule="auto"/>
        <w:jc w:val="center"/>
        <w:rPr>
          <w:b/>
          <w:sz w:val="20"/>
          <w:szCs w:val="20"/>
        </w:rPr>
      </w:pPr>
    </w:p>
    <w:p w14:paraId="00505314" w14:textId="77777777" w:rsidR="00F9204A" w:rsidRDefault="00F9204A" w:rsidP="00F9204A">
      <w:pPr>
        <w:spacing w:after="0" w:line="240" w:lineRule="auto"/>
        <w:jc w:val="center"/>
        <w:rPr>
          <w:rFonts w:ascii="Calibri" w:hAnsi="Calibri"/>
          <w:b/>
          <w:lang w:eastAsia="es-CR"/>
        </w:rPr>
      </w:pPr>
      <w:r w:rsidRPr="00961887">
        <w:t xml:space="preserve"> </w:t>
      </w:r>
    </w:p>
    <w:p w14:paraId="248FE941" w14:textId="77777777" w:rsidR="00F9204A" w:rsidRPr="00A42192" w:rsidRDefault="00F9204A" w:rsidP="00F9204A">
      <w:pPr>
        <w:pStyle w:val="Prrafodelista"/>
        <w:numPr>
          <w:ilvl w:val="0"/>
          <w:numId w:val="1"/>
        </w:numPr>
        <w:rPr>
          <w:rFonts w:ascii="Calibri" w:hAnsi="Calibri"/>
          <w:i/>
          <w:sz w:val="22"/>
          <w:szCs w:val="22"/>
          <w:lang w:val="es-CR" w:eastAsia="es-CR"/>
        </w:rPr>
      </w:pPr>
      <w:r w:rsidRPr="00A42192">
        <w:rPr>
          <w:rFonts w:ascii="Calibri" w:hAnsi="Calibri"/>
          <w:i/>
          <w:sz w:val="22"/>
          <w:szCs w:val="22"/>
          <w:lang w:val="es-CR" w:eastAsia="es-CR"/>
        </w:rPr>
        <w:t>Empresas que operan sin autorización se exponen a fuertes multas y al cierre permanente</w:t>
      </w:r>
    </w:p>
    <w:p w14:paraId="3FF424ED" w14:textId="77777777" w:rsidR="00F9204A" w:rsidRPr="007A20EF" w:rsidRDefault="00F9204A" w:rsidP="00F9204A">
      <w:pPr>
        <w:pStyle w:val="Prrafodelista"/>
        <w:autoSpaceDE w:val="0"/>
        <w:autoSpaceDN w:val="0"/>
        <w:adjustRightInd w:val="0"/>
        <w:spacing w:after="120"/>
        <w:rPr>
          <w:rFonts w:ascii="Calibri" w:hAnsi="Calibri"/>
          <w:i/>
          <w:sz w:val="22"/>
          <w:szCs w:val="22"/>
          <w:lang w:val="es-CR" w:eastAsia="es-CR"/>
        </w:rPr>
      </w:pPr>
    </w:p>
    <w:p w14:paraId="143976CF" w14:textId="77777777" w:rsidR="00F9204A" w:rsidRPr="00777450" w:rsidRDefault="00F9204A" w:rsidP="00F9204A">
      <w:pPr>
        <w:autoSpaceDE w:val="0"/>
        <w:autoSpaceDN w:val="0"/>
        <w:adjustRightInd w:val="0"/>
        <w:spacing w:after="200"/>
        <w:ind w:left="720"/>
        <w:contextualSpacing/>
        <w:jc w:val="both"/>
        <w:rPr>
          <w:rFonts w:ascii="Calibri" w:hAnsi="Calibri"/>
          <w:sz w:val="12"/>
          <w:lang w:eastAsia="es-CR"/>
        </w:rPr>
      </w:pPr>
      <w:r>
        <w:rPr>
          <w:rFonts w:ascii="Calibri" w:hAnsi="Calibri"/>
          <w:lang w:eastAsia="es-CR"/>
        </w:rPr>
        <w:t xml:space="preserve"> </w:t>
      </w:r>
    </w:p>
    <w:p w14:paraId="7B8FAD73" w14:textId="77777777" w:rsidR="00F9204A" w:rsidRPr="00961887" w:rsidRDefault="00F9204A" w:rsidP="00F9204A">
      <w:pPr>
        <w:spacing w:after="0" w:line="240" w:lineRule="auto"/>
        <w:jc w:val="both"/>
      </w:pPr>
    </w:p>
    <w:p w14:paraId="51FE1534" w14:textId="77777777" w:rsidR="00F9204A" w:rsidRDefault="00F9204A" w:rsidP="00F9204A">
      <w:pPr>
        <w:spacing w:after="0" w:line="240" w:lineRule="auto"/>
        <w:jc w:val="both"/>
        <w:rPr>
          <w:lang w:val="es-ES"/>
        </w:rPr>
      </w:pPr>
      <w:r>
        <w:t>La Superintendencia General de Seguros (</w:t>
      </w:r>
      <w:proofErr w:type="spellStart"/>
      <w:r>
        <w:t>Sugese</w:t>
      </w:r>
      <w:proofErr w:type="spellEnd"/>
      <w:r>
        <w:t>) publicó en su página web, una advertencia al público sobre algunas empresas no</w:t>
      </w:r>
      <w:r>
        <w:rPr>
          <w:lang w:val="es-ES"/>
        </w:rPr>
        <w:t xml:space="preserve"> autorizadas para operar en el mercado de seguros nacional. Dicha publicación obedece a estándares internacionales de IAIS (Asociación Internacional de Supervisores de Seguros) y al mandato legal de </w:t>
      </w:r>
      <w:proofErr w:type="spellStart"/>
      <w:r>
        <w:rPr>
          <w:lang w:val="es-ES"/>
        </w:rPr>
        <w:t>Sugese</w:t>
      </w:r>
      <w:proofErr w:type="spellEnd"/>
      <w:r>
        <w:rPr>
          <w:lang w:val="es-ES"/>
        </w:rPr>
        <w:t xml:space="preserve"> de ofrecer la más amplia información al público y procurar un mercado de seguros eficiente y estable. </w:t>
      </w:r>
    </w:p>
    <w:p w14:paraId="1B80529F" w14:textId="77777777" w:rsidR="00F9204A" w:rsidRDefault="00F9204A" w:rsidP="00F9204A">
      <w:pPr>
        <w:spacing w:after="0" w:line="240" w:lineRule="auto"/>
        <w:jc w:val="both"/>
        <w:rPr>
          <w:lang w:val="es-ES"/>
        </w:rPr>
      </w:pPr>
    </w:p>
    <w:p w14:paraId="24EE525D" w14:textId="77777777" w:rsidR="00F9204A" w:rsidRDefault="00F9204A" w:rsidP="00F9204A">
      <w:pPr>
        <w:spacing w:after="0" w:line="240" w:lineRule="auto"/>
        <w:jc w:val="both"/>
      </w:pPr>
      <w:r>
        <w:t xml:space="preserve">Los objetivos de la publicación consisten en advertir al público sobre el riesgo de asegurarse con empresas no autorizadas ni supervisadas en el país y, al mismo tiempo, prevenir que personas inescrupulosas utilicen el nombre de esas entidades, sin su autorización, para vender ilícitamente seguros en el país.  </w:t>
      </w:r>
    </w:p>
    <w:p w14:paraId="65DA80E4" w14:textId="77777777" w:rsidR="00F9204A" w:rsidRDefault="00F9204A" w:rsidP="00F9204A">
      <w:pPr>
        <w:spacing w:after="0" w:line="240" w:lineRule="auto"/>
        <w:jc w:val="both"/>
      </w:pPr>
    </w:p>
    <w:p w14:paraId="0A8F9322" w14:textId="77777777" w:rsidR="00F9204A" w:rsidRPr="00C538DE" w:rsidRDefault="00F9204A" w:rsidP="00F9204A">
      <w:pPr>
        <w:spacing w:after="0" w:line="240" w:lineRule="auto"/>
        <w:jc w:val="both"/>
      </w:pPr>
      <w:r>
        <w:t xml:space="preserve">El hecho de aparecer en la lista no significa la existencia de alguna ilicitud, sino que la empresa no está autorizada para comercializar seguros en Costa Rica. Cuando </w:t>
      </w:r>
      <w:proofErr w:type="spellStart"/>
      <w:r>
        <w:t>Sugese</w:t>
      </w:r>
      <w:proofErr w:type="spellEnd"/>
      <w:r>
        <w:t xml:space="preserve"> detecta indicios de operación ilegal, activa los</w:t>
      </w:r>
      <w:r w:rsidRPr="00C538DE">
        <w:t xml:space="preserve"> procedimientos administrativos </w:t>
      </w:r>
      <w:r>
        <w:t>correspondientes y publica las</w:t>
      </w:r>
      <w:r w:rsidRPr="00C538DE">
        <w:t xml:space="preserve"> </w:t>
      </w:r>
      <w:r>
        <w:t xml:space="preserve">sanciones equivalentes a </w:t>
      </w:r>
      <w:r w:rsidRPr="00C538DE">
        <w:t xml:space="preserve">multas de hasta mil salarios base </w:t>
      </w:r>
      <w:r>
        <w:t>por cada acto ilícito, o procede con</w:t>
      </w:r>
      <w:r w:rsidRPr="00C538DE">
        <w:t xml:space="preserve"> el cierre de la empresa conforme el artículo 42 de la L</w:t>
      </w:r>
      <w:r>
        <w:t>ey Reguladora del Mercado de Seguros</w:t>
      </w:r>
      <w:r w:rsidRPr="00C538DE">
        <w:t xml:space="preserve">. </w:t>
      </w:r>
    </w:p>
    <w:p w14:paraId="410C2CD5" w14:textId="77777777" w:rsidR="00F9204A" w:rsidRPr="00C538DE" w:rsidRDefault="00F9204A" w:rsidP="00F9204A">
      <w:pPr>
        <w:spacing w:after="0" w:line="240" w:lineRule="auto"/>
        <w:jc w:val="both"/>
      </w:pPr>
    </w:p>
    <w:p w14:paraId="0B20CB09" w14:textId="77777777" w:rsidR="00F9204A" w:rsidRPr="00C538DE" w:rsidRDefault="00F9204A" w:rsidP="00F9204A">
      <w:pPr>
        <w:spacing w:after="0" w:line="240" w:lineRule="auto"/>
        <w:jc w:val="both"/>
      </w:pPr>
      <w:r>
        <w:t xml:space="preserve">Según el Superintendente de Seguros, Tomás </w:t>
      </w:r>
      <w:proofErr w:type="spellStart"/>
      <w:r>
        <w:t>Soley</w:t>
      </w:r>
      <w:proofErr w:type="spellEnd"/>
      <w:r>
        <w:t xml:space="preserve"> Pérez, “</w:t>
      </w:r>
      <w:r w:rsidRPr="00DD258C">
        <w:rPr>
          <w:i/>
        </w:rPr>
        <w:t xml:space="preserve">se recomienda a todos los consumidores informarse adecuadamente y ser cuidadosos respecto a invitaciones que pudieran recibir para invertir su dinero en primas de seguros provenientes de </w:t>
      </w:r>
      <w:r>
        <w:rPr>
          <w:i/>
        </w:rPr>
        <w:t>empresas no autorizadas o de personas que puedan utilizar el nombre de las mismas sin autorización.  En general se debe ser cauteloso y verificar la autorización de quienes ofrezcan</w:t>
      </w:r>
      <w:r w:rsidRPr="00DD258C">
        <w:rPr>
          <w:i/>
        </w:rPr>
        <w:t xml:space="preserve"> productos </w:t>
      </w:r>
      <w:r>
        <w:rPr>
          <w:i/>
        </w:rPr>
        <w:t>de seguros”</w:t>
      </w:r>
      <w:r>
        <w:t>.</w:t>
      </w:r>
    </w:p>
    <w:p w14:paraId="0419E214" w14:textId="77777777" w:rsidR="00F9204A" w:rsidRPr="00C538DE" w:rsidRDefault="00F9204A" w:rsidP="00F9204A">
      <w:pPr>
        <w:spacing w:after="0" w:line="240" w:lineRule="auto"/>
        <w:jc w:val="both"/>
      </w:pPr>
    </w:p>
    <w:p w14:paraId="35F9CC42" w14:textId="5DFF7141" w:rsidR="00F9204A" w:rsidRDefault="00F9204A" w:rsidP="00F9204A">
      <w:pPr>
        <w:spacing w:after="0" w:line="240" w:lineRule="auto"/>
        <w:jc w:val="both"/>
        <w:rPr>
          <w:lang w:val="es-ES"/>
        </w:rPr>
      </w:pPr>
      <w:r>
        <w:rPr>
          <w:lang w:val="es-ES"/>
        </w:rPr>
        <w:t>Con esta finalidad, se</w:t>
      </w:r>
      <w:r w:rsidRPr="00C538DE">
        <w:rPr>
          <w:lang w:val="es-ES"/>
        </w:rPr>
        <w:t xml:space="preserve"> advierte que las siguientes entidades no están autorizadas para realizar actividad aseguradora, oferta pública, negocios ni intermediación de seguros conforme los artículos 2, 3 y 19 de la LRMS en Costa Rica</w:t>
      </w:r>
      <w:r w:rsidR="0064597E">
        <w:rPr>
          <w:lang w:val="es-ES"/>
        </w:rPr>
        <w:t>:</w:t>
      </w:r>
      <w:bookmarkStart w:id="0" w:name="_GoBack"/>
      <w:bookmarkEnd w:id="0"/>
    </w:p>
    <w:p w14:paraId="2BA8C426" w14:textId="77777777" w:rsidR="0064597E" w:rsidRDefault="0064597E" w:rsidP="00F9204A">
      <w:pPr>
        <w:spacing w:after="0" w:line="240" w:lineRule="auto"/>
        <w:jc w:val="both"/>
        <w:rPr>
          <w:lang w:val="es-ES"/>
        </w:rPr>
      </w:pPr>
    </w:p>
    <w:tbl>
      <w:tblPr>
        <w:tblStyle w:val="Tablaconcuadrcula"/>
        <w:tblW w:w="0" w:type="auto"/>
        <w:tblInd w:w="720" w:type="dxa"/>
        <w:tblLook w:val="04A0" w:firstRow="1" w:lastRow="0" w:firstColumn="1" w:lastColumn="0" w:noHBand="0" w:noVBand="1"/>
      </w:tblPr>
      <w:tblGrid>
        <w:gridCol w:w="2126"/>
        <w:gridCol w:w="1994"/>
        <w:gridCol w:w="1994"/>
        <w:gridCol w:w="1994"/>
      </w:tblGrid>
      <w:tr w:rsidR="00F9204A" w14:paraId="034DF788" w14:textId="77777777" w:rsidTr="006D571F">
        <w:trPr>
          <w:trHeight w:val="116"/>
        </w:trPr>
        <w:tc>
          <w:tcPr>
            <w:tcW w:w="2126" w:type="dxa"/>
          </w:tcPr>
          <w:p w14:paraId="4B1DCAD4" w14:textId="77777777" w:rsidR="00F9204A" w:rsidRDefault="00F9204A" w:rsidP="006D571F">
            <w:pPr>
              <w:pStyle w:val="Prrafodelista"/>
              <w:ind w:left="0"/>
              <w:jc w:val="both"/>
            </w:pPr>
            <w:r w:rsidRPr="0030565C">
              <w:t>Corredora ION</w:t>
            </w:r>
          </w:p>
        </w:tc>
        <w:tc>
          <w:tcPr>
            <w:tcW w:w="1994" w:type="dxa"/>
          </w:tcPr>
          <w:p w14:paraId="50FB1276" w14:textId="77777777" w:rsidR="00F9204A" w:rsidRDefault="00F9204A" w:rsidP="006D571F">
            <w:pPr>
              <w:pStyle w:val="Prrafodelista"/>
              <w:ind w:left="0"/>
            </w:pPr>
            <w:proofErr w:type="spellStart"/>
            <w:r w:rsidRPr="0030565C">
              <w:t>Phoenicia</w:t>
            </w:r>
            <w:proofErr w:type="spellEnd"/>
            <w:r w:rsidRPr="0030565C">
              <w:t xml:space="preserve"> de Seguros</w:t>
            </w:r>
          </w:p>
        </w:tc>
        <w:tc>
          <w:tcPr>
            <w:tcW w:w="1994" w:type="dxa"/>
          </w:tcPr>
          <w:p w14:paraId="4B0024D7" w14:textId="77777777" w:rsidR="00F9204A" w:rsidRDefault="00F9204A" w:rsidP="006D571F">
            <w:pPr>
              <w:pStyle w:val="Prrafodelista"/>
              <w:ind w:left="0"/>
              <w:jc w:val="both"/>
            </w:pPr>
            <w:r>
              <w:t>​</w:t>
            </w:r>
            <w:r w:rsidRPr="0030565C">
              <w:t xml:space="preserve">Premier </w:t>
            </w:r>
            <w:proofErr w:type="spellStart"/>
            <w:r w:rsidRPr="0030565C">
              <w:t>Health</w:t>
            </w:r>
            <w:proofErr w:type="spellEnd"/>
          </w:p>
        </w:tc>
        <w:tc>
          <w:tcPr>
            <w:tcW w:w="1994" w:type="dxa"/>
          </w:tcPr>
          <w:p w14:paraId="5F921C21" w14:textId="77777777" w:rsidR="00F9204A" w:rsidRDefault="00F9204A" w:rsidP="006D571F">
            <w:pPr>
              <w:pStyle w:val="Prrafodelista"/>
              <w:ind w:left="0"/>
              <w:jc w:val="both"/>
            </w:pPr>
            <w:r>
              <w:t>​</w:t>
            </w:r>
            <w:proofErr w:type="spellStart"/>
            <w:r w:rsidRPr="0030565C">
              <w:t>Assist</w:t>
            </w:r>
            <w:proofErr w:type="spellEnd"/>
            <w:r w:rsidRPr="0030565C">
              <w:t xml:space="preserve"> </w:t>
            </w:r>
            <w:proofErr w:type="spellStart"/>
            <w:r w:rsidRPr="0030565C">
              <w:t>Card</w:t>
            </w:r>
            <w:proofErr w:type="spellEnd"/>
          </w:p>
        </w:tc>
      </w:tr>
      <w:tr w:rsidR="00F9204A" w14:paraId="117A053B" w14:textId="77777777" w:rsidTr="006D571F">
        <w:tc>
          <w:tcPr>
            <w:tcW w:w="2126" w:type="dxa"/>
          </w:tcPr>
          <w:p w14:paraId="611DD234" w14:textId="77777777" w:rsidR="00F9204A" w:rsidRDefault="00F9204A" w:rsidP="006D571F">
            <w:pPr>
              <w:pStyle w:val="Prrafodelista"/>
              <w:ind w:left="0"/>
              <w:jc w:val="both"/>
            </w:pPr>
            <w:r w:rsidRPr="0030565C">
              <w:t>​Aseguradora NASE</w:t>
            </w:r>
          </w:p>
        </w:tc>
        <w:tc>
          <w:tcPr>
            <w:tcW w:w="1994" w:type="dxa"/>
          </w:tcPr>
          <w:p w14:paraId="5015FEC4" w14:textId="77777777" w:rsidR="00F9204A" w:rsidRDefault="00F9204A" w:rsidP="006D571F">
            <w:pPr>
              <w:pStyle w:val="Prrafodelista"/>
              <w:ind w:left="0"/>
              <w:jc w:val="both"/>
            </w:pPr>
            <w:proofErr w:type="spellStart"/>
            <w:r w:rsidRPr="0030565C">
              <w:t>Segurviaje</w:t>
            </w:r>
            <w:proofErr w:type="spellEnd"/>
          </w:p>
        </w:tc>
        <w:tc>
          <w:tcPr>
            <w:tcW w:w="1994" w:type="dxa"/>
          </w:tcPr>
          <w:p w14:paraId="76DB88EE" w14:textId="77777777" w:rsidR="00F9204A" w:rsidRDefault="00F9204A" w:rsidP="006D571F">
            <w:pPr>
              <w:pStyle w:val="Prrafodelista"/>
              <w:ind w:left="0"/>
              <w:jc w:val="both"/>
            </w:pPr>
            <w:r>
              <w:t>​</w:t>
            </w:r>
            <w:proofErr w:type="spellStart"/>
            <w:r w:rsidRPr="0030565C">
              <w:t>Perfect</w:t>
            </w:r>
            <w:proofErr w:type="spellEnd"/>
            <w:r w:rsidRPr="0030565C">
              <w:t xml:space="preserve"> </w:t>
            </w:r>
            <w:proofErr w:type="spellStart"/>
            <w:r w:rsidRPr="0030565C">
              <w:t>Circle</w:t>
            </w:r>
            <w:proofErr w:type="spellEnd"/>
          </w:p>
        </w:tc>
        <w:tc>
          <w:tcPr>
            <w:tcW w:w="1994" w:type="dxa"/>
          </w:tcPr>
          <w:p w14:paraId="5F210998" w14:textId="1D95EF74" w:rsidR="00F9204A" w:rsidRDefault="00F9204A" w:rsidP="006D571F">
            <w:pPr>
              <w:pStyle w:val="Prrafodelista"/>
              <w:ind w:left="0"/>
            </w:pPr>
            <w:r>
              <w:t>​</w:t>
            </w:r>
            <w:proofErr w:type="spellStart"/>
            <w:r w:rsidRPr="0030565C">
              <w:t>Best</w:t>
            </w:r>
            <w:proofErr w:type="spellEnd"/>
            <w:r w:rsidRPr="0030565C">
              <w:t xml:space="preserve"> </w:t>
            </w:r>
            <w:proofErr w:type="spellStart"/>
            <w:r w:rsidRPr="0030565C">
              <w:t>Expat</w:t>
            </w:r>
            <w:proofErr w:type="spellEnd"/>
            <w:r w:rsidRPr="0030565C">
              <w:t xml:space="preserve"> </w:t>
            </w:r>
            <w:proofErr w:type="spellStart"/>
            <w:r w:rsidRPr="0030565C">
              <w:t>Insurance</w:t>
            </w:r>
            <w:proofErr w:type="spellEnd"/>
            <w:r w:rsidRPr="0030565C">
              <w:t xml:space="preserve"> </w:t>
            </w:r>
            <w:proofErr w:type="spellStart"/>
            <w:r w:rsidRPr="0030565C">
              <w:t>Deal</w:t>
            </w:r>
            <w:r w:rsidR="007F3028">
              <w:t>s</w:t>
            </w:r>
            <w:r w:rsidRPr="0030565C">
              <w:t>t</w:t>
            </w:r>
            <w:proofErr w:type="spellEnd"/>
          </w:p>
        </w:tc>
      </w:tr>
      <w:tr w:rsidR="00F9204A" w14:paraId="6387ADF8" w14:textId="77777777" w:rsidTr="006D571F">
        <w:tc>
          <w:tcPr>
            <w:tcW w:w="2126" w:type="dxa"/>
          </w:tcPr>
          <w:p w14:paraId="11276953" w14:textId="77777777" w:rsidR="00F9204A" w:rsidRDefault="00F9204A" w:rsidP="006D571F">
            <w:pPr>
              <w:pStyle w:val="Prrafodelista"/>
              <w:ind w:left="0"/>
              <w:jc w:val="both"/>
            </w:pPr>
            <w:r>
              <w:t>​</w:t>
            </w:r>
            <w:r w:rsidRPr="0030565C">
              <w:t xml:space="preserve">Atlas </w:t>
            </w:r>
            <w:proofErr w:type="spellStart"/>
            <w:r w:rsidRPr="0030565C">
              <w:t>Underwrites</w:t>
            </w:r>
            <w:proofErr w:type="spellEnd"/>
          </w:p>
        </w:tc>
        <w:tc>
          <w:tcPr>
            <w:tcW w:w="1994" w:type="dxa"/>
          </w:tcPr>
          <w:p w14:paraId="3000542B" w14:textId="77777777" w:rsidR="00F9204A" w:rsidRDefault="00F9204A" w:rsidP="006D571F">
            <w:pPr>
              <w:pStyle w:val="Prrafodelista"/>
              <w:ind w:left="0"/>
              <w:jc w:val="both"/>
            </w:pPr>
            <w:proofErr w:type="spellStart"/>
            <w:r w:rsidRPr="0030565C">
              <w:t>Redbrige</w:t>
            </w:r>
            <w:proofErr w:type="spellEnd"/>
          </w:p>
        </w:tc>
        <w:tc>
          <w:tcPr>
            <w:tcW w:w="1994" w:type="dxa"/>
          </w:tcPr>
          <w:p w14:paraId="17A9C63F" w14:textId="77777777" w:rsidR="00F9204A" w:rsidRDefault="00F9204A" w:rsidP="006D571F">
            <w:pPr>
              <w:pStyle w:val="Prrafodelista"/>
              <w:ind w:left="0"/>
            </w:pPr>
            <w:proofErr w:type="spellStart"/>
            <w:r w:rsidRPr="0030565C">
              <w:t>Travel</w:t>
            </w:r>
            <w:proofErr w:type="spellEnd"/>
            <w:r w:rsidRPr="0030565C">
              <w:t xml:space="preserve"> </w:t>
            </w:r>
            <w:proofErr w:type="spellStart"/>
            <w:r w:rsidRPr="0030565C">
              <w:t>Ace</w:t>
            </w:r>
            <w:proofErr w:type="spellEnd"/>
            <w:r w:rsidRPr="0030565C">
              <w:t xml:space="preserve"> Internacional</w:t>
            </w:r>
          </w:p>
        </w:tc>
        <w:tc>
          <w:tcPr>
            <w:tcW w:w="1994" w:type="dxa"/>
          </w:tcPr>
          <w:p w14:paraId="67272372" w14:textId="77777777" w:rsidR="00F9204A" w:rsidRDefault="00F9204A" w:rsidP="006D571F">
            <w:pPr>
              <w:pStyle w:val="Prrafodelista"/>
              <w:ind w:left="0"/>
            </w:pPr>
            <w:r>
              <w:t>​</w:t>
            </w:r>
            <w:r w:rsidRPr="0030565C">
              <w:t xml:space="preserve">Orange </w:t>
            </w:r>
            <w:proofErr w:type="spellStart"/>
            <w:r w:rsidRPr="0030565C">
              <w:t>Travel</w:t>
            </w:r>
            <w:proofErr w:type="spellEnd"/>
            <w:r w:rsidRPr="0030565C">
              <w:t xml:space="preserve"> </w:t>
            </w:r>
            <w:proofErr w:type="spellStart"/>
            <w:r w:rsidRPr="0030565C">
              <w:t>Assist</w:t>
            </w:r>
            <w:proofErr w:type="spellEnd"/>
          </w:p>
        </w:tc>
      </w:tr>
      <w:tr w:rsidR="00F9204A" w14:paraId="425B868B" w14:textId="77777777" w:rsidTr="006D571F">
        <w:tc>
          <w:tcPr>
            <w:tcW w:w="2126" w:type="dxa"/>
          </w:tcPr>
          <w:p w14:paraId="6729EFF6" w14:textId="77777777" w:rsidR="00F9204A" w:rsidRDefault="00F9204A" w:rsidP="006D571F">
            <w:pPr>
              <w:pStyle w:val="Prrafodelista"/>
              <w:ind w:left="0"/>
              <w:jc w:val="both"/>
            </w:pPr>
            <w:r>
              <w:lastRenderedPageBreak/>
              <w:t>​</w:t>
            </w:r>
            <w:proofErr w:type="spellStart"/>
            <w:r w:rsidRPr="0030565C">
              <w:t>Best</w:t>
            </w:r>
            <w:proofErr w:type="spellEnd"/>
            <w:r w:rsidRPr="0030565C">
              <w:t xml:space="preserve"> </w:t>
            </w:r>
            <w:proofErr w:type="spellStart"/>
            <w:r w:rsidRPr="0030565C">
              <w:t>Doctors</w:t>
            </w:r>
            <w:proofErr w:type="spellEnd"/>
          </w:p>
        </w:tc>
        <w:tc>
          <w:tcPr>
            <w:tcW w:w="1994" w:type="dxa"/>
          </w:tcPr>
          <w:p w14:paraId="4EE7ADA6" w14:textId="77777777" w:rsidR="00F9204A" w:rsidRDefault="00F9204A" w:rsidP="006D571F">
            <w:pPr>
              <w:pStyle w:val="Prrafodelista"/>
              <w:ind w:left="0"/>
              <w:jc w:val="both"/>
            </w:pPr>
            <w:r w:rsidRPr="0030565C">
              <w:t>​Casa de Funerales de San José</w:t>
            </w:r>
          </w:p>
        </w:tc>
        <w:tc>
          <w:tcPr>
            <w:tcW w:w="1994" w:type="dxa"/>
          </w:tcPr>
          <w:p w14:paraId="28FD87C2" w14:textId="77777777" w:rsidR="00F9204A" w:rsidRDefault="00F9204A" w:rsidP="006D571F">
            <w:pPr>
              <w:pStyle w:val="Prrafodelista"/>
              <w:ind w:left="0"/>
              <w:jc w:val="both"/>
            </w:pPr>
            <w:r w:rsidRPr="0030565C">
              <w:t>Generali</w:t>
            </w:r>
          </w:p>
        </w:tc>
        <w:tc>
          <w:tcPr>
            <w:tcW w:w="1994" w:type="dxa"/>
          </w:tcPr>
          <w:p w14:paraId="214DD7C6" w14:textId="77777777" w:rsidR="00F9204A" w:rsidRDefault="00F9204A" w:rsidP="006D571F">
            <w:pPr>
              <w:pStyle w:val="Prrafodelista"/>
              <w:ind w:left="0"/>
              <w:jc w:val="both"/>
            </w:pPr>
            <w:proofErr w:type="spellStart"/>
            <w:r w:rsidRPr="0030565C">
              <w:t>Bupa</w:t>
            </w:r>
            <w:proofErr w:type="spellEnd"/>
          </w:p>
        </w:tc>
      </w:tr>
    </w:tbl>
    <w:p w14:paraId="4C456480" w14:textId="77777777" w:rsidR="00F9204A" w:rsidRPr="0030565C" w:rsidRDefault="00F9204A" w:rsidP="00F9204A">
      <w:pPr>
        <w:pStyle w:val="Prrafodelista"/>
        <w:jc w:val="both"/>
      </w:pPr>
    </w:p>
    <w:p w14:paraId="1D2D72D2" w14:textId="77777777" w:rsidR="00F9204A" w:rsidRPr="00A42192" w:rsidRDefault="00F9204A" w:rsidP="00F9204A">
      <w:pPr>
        <w:spacing w:after="0" w:line="240" w:lineRule="auto"/>
        <w:jc w:val="both"/>
        <w:rPr>
          <w:lang w:val="es-ES"/>
        </w:rPr>
      </w:pPr>
    </w:p>
    <w:p w14:paraId="739AA07A" w14:textId="0E42A529" w:rsidR="00F9204A" w:rsidRPr="00C538DE" w:rsidRDefault="00F9204A" w:rsidP="00F9204A">
      <w:pPr>
        <w:spacing w:after="0" w:line="240" w:lineRule="auto"/>
        <w:jc w:val="both"/>
        <w:rPr>
          <w:lang w:val="es-ES"/>
        </w:rPr>
      </w:pPr>
      <w:r>
        <w:rPr>
          <w:lang w:val="es-ES"/>
        </w:rPr>
        <w:t>Es importante destacar que la lista anterior</w:t>
      </w:r>
      <w:r w:rsidRPr="00A42192">
        <w:rPr>
          <w:lang w:val="es-ES"/>
        </w:rPr>
        <w:t xml:space="preserve"> es dinámica y que puede tener ingresos de otras entidades o nombres comerciales a futuro</w:t>
      </w:r>
      <w:r>
        <w:rPr>
          <w:lang w:val="es-ES"/>
        </w:rPr>
        <w:t>,</w:t>
      </w:r>
      <w:r w:rsidRPr="00A42192">
        <w:rPr>
          <w:lang w:val="es-ES"/>
        </w:rPr>
        <w:t xml:space="preserve"> conforme se considere necesario informar en aras de la </w:t>
      </w:r>
      <w:r w:rsidR="00B963EB">
        <w:rPr>
          <w:lang w:val="es-ES"/>
        </w:rPr>
        <w:t>transparencia de la información.</w:t>
      </w:r>
    </w:p>
    <w:p w14:paraId="0E0B5F62" w14:textId="77777777" w:rsidR="00F9204A" w:rsidRPr="001B49CE" w:rsidRDefault="00F9204A" w:rsidP="00F9204A">
      <w:pPr>
        <w:spacing w:after="0" w:line="240" w:lineRule="auto"/>
        <w:jc w:val="both"/>
        <w:rPr>
          <w:lang w:val="es-ES"/>
        </w:rPr>
      </w:pPr>
    </w:p>
    <w:p w14:paraId="6556FE34" w14:textId="2710C1ED" w:rsidR="00F9204A" w:rsidRPr="00C538DE" w:rsidRDefault="00F9204A" w:rsidP="00F9204A">
      <w:pPr>
        <w:spacing w:after="0" w:line="240" w:lineRule="auto"/>
        <w:jc w:val="both"/>
      </w:pPr>
      <w:r>
        <w:t xml:space="preserve">Para verificar si su aseguradora o intermediario de seguros están autorizados por la </w:t>
      </w:r>
      <w:proofErr w:type="spellStart"/>
      <w:r>
        <w:t>Sugese</w:t>
      </w:r>
      <w:proofErr w:type="spellEnd"/>
      <w:r>
        <w:t>, puede ingresar a la</w:t>
      </w:r>
      <w:r w:rsidRPr="00C538DE">
        <w:t xml:space="preserve"> página web </w:t>
      </w:r>
      <w:hyperlink r:id="rId8" w:history="1">
        <w:r w:rsidR="00B2013C" w:rsidRPr="00BA3BCE">
          <w:rPr>
            <w:rStyle w:val="Hipervnculo"/>
          </w:rPr>
          <w:t>https://www.sugese.fi.cr/AlertaConsumidor</w:t>
        </w:r>
      </w:hyperlink>
      <w:r>
        <w:t xml:space="preserve">; llamar al teléfono </w:t>
      </w:r>
      <w:r w:rsidRPr="00C538DE">
        <w:t xml:space="preserve">2243-5108 </w:t>
      </w:r>
      <w:r>
        <w:t xml:space="preserve">o escribir al </w:t>
      </w:r>
      <w:r w:rsidRPr="00C538DE">
        <w:t xml:space="preserve">correo electrónico </w:t>
      </w:r>
      <w:hyperlink r:id="rId9" w:history="1">
        <w:r w:rsidRPr="00D540F2">
          <w:rPr>
            <w:rStyle w:val="Hipervnculo"/>
          </w:rPr>
          <w:t>sugese@sugese.fi.cr</w:t>
        </w:r>
      </w:hyperlink>
      <w:r>
        <w:t>.</w:t>
      </w:r>
    </w:p>
    <w:p w14:paraId="5562F54B" w14:textId="77777777" w:rsidR="00F9204A" w:rsidRDefault="00F9204A" w:rsidP="00F9204A">
      <w:pPr>
        <w:spacing w:after="0" w:line="240" w:lineRule="auto"/>
        <w:jc w:val="both"/>
      </w:pPr>
    </w:p>
    <w:p w14:paraId="5069275F" w14:textId="77777777" w:rsidR="00F9204A" w:rsidRPr="00C538DE" w:rsidRDefault="00F9204A" w:rsidP="00F9204A">
      <w:pPr>
        <w:spacing w:after="0" w:line="240" w:lineRule="auto"/>
        <w:jc w:val="both"/>
      </w:pPr>
    </w:p>
    <w:p w14:paraId="6D183B47" w14:textId="77777777" w:rsidR="00AF7861" w:rsidRDefault="00AF7861"/>
    <w:sectPr w:rsidR="00AF7861" w:rsidSect="0064597E">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0608B" w14:textId="77777777" w:rsidR="00772EE8" w:rsidRDefault="00772EE8">
      <w:pPr>
        <w:spacing w:after="0" w:line="240" w:lineRule="auto"/>
      </w:pPr>
      <w:r>
        <w:separator/>
      </w:r>
    </w:p>
  </w:endnote>
  <w:endnote w:type="continuationSeparator" w:id="0">
    <w:p w14:paraId="4D5DBAC4" w14:textId="77777777" w:rsidR="00772EE8" w:rsidRDefault="00772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F0F82" w14:textId="77777777" w:rsidR="00772EE8" w:rsidRDefault="00772EE8">
      <w:pPr>
        <w:spacing w:after="0" w:line="240" w:lineRule="auto"/>
      </w:pPr>
      <w:r>
        <w:separator/>
      </w:r>
    </w:p>
  </w:footnote>
  <w:footnote w:type="continuationSeparator" w:id="0">
    <w:p w14:paraId="33CAE186" w14:textId="77777777" w:rsidR="00772EE8" w:rsidRDefault="00772E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8A4CC" w14:textId="77777777" w:rsidR="00EE3D39" w:rsidRDefault="00F9204A" w:rsidP="00EE3D39">
    <w:pPr>
      <w:pStyle w:val="Encabezado"/>
      <w:jc w:val="center"/>
    </w:pPr>
    <w:r w:rsidRPr="00EE3D39">
      <w:rPr>
        <w:rFonts w:ascii="Times New Roman" w:eastAsia="Times New Roman" w:hAnsi="Times New Roman" w:cs="Times New Roman"/>
        <w:noProof/>
        <w:sz w:val="24"/>
        <w:szCs w:val="24"/>
        <w:lang w:eastAsia="es-CR"/>
      </w:rPr>
      <w:drawing>
        <wp:inline distT="0" distB="0" distL="0" distR="0" wp14:anchorId="52CC4DC2" wp14:editId="02CFE458">
          <wp:extent cx="1024360" cy="822779"/>
          <wp:effectExtent l="0" t="0" r="4445" b="0"/>
          <wp:docPr id="2" name="1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se reducido.jpg"/>
                  <pic:cNvPicPr/>
                </pic:nvPicPr>
                <pic:blipFill>
                  <a:blip r:embed="rId1"/>
                  <a:stretch>
                    <a:fillRect/>
                  </a:stretch>
                </pic:blipFill>
                <pic:spPr>
                  <a:xfrm>
                    <a:off x="0" y="0"/>
                    <a:ext cx="1024381" cy="82279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206.7pt;height:208.4pt" o:bullet="t">
        <v:imagedata r:id="rId1" o:title="Rombo entero"/>
      </v:shape>
    </w:pict>
  </w:numPicBullet>
  <w:abstractNum w:abstractNumId="0" w15:restartNumberingAfterBreak="0">
    <w:nsid w:val="74DD14B1"/>
    <w:multiLevelType w:val="hybridMultilevel"/>
    <w:tmpl w:val="ED42B772"/>
    <w:lvl w:ilvl="0" w:tplc="110C4DFC">
      <w:start w:val="1"/>
      <w:numFmt w:val="bullet"/>
      <w:lvlText w:val=""/>
      <w:lvlPicBulletId w:val="0"/>
      <w:lvlJc w:val="left"/>
      <w:pPr>
        <w:ind w:left="720" w:hanging="360"/>
      </w:pPr>
      <w:rPr>
        <w:rFonts w:ascii="Symbol" w:hAnsi="Symbol" w:hint="default"/>
        <w:color w:val="auto"/>
        <w:sz w:val="24"/>
        <w:szCs w:val="24"/>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04A"/>
    <w:rsid w:val="002054C5"/>
    <w:rsid w:val="002F58BC"/>
    <w:rsid w:val="00576145"/>
    <w:rsid w:val="0064597E"/>
    <w:rsid w:val="00772EE8"/>
    <w:rsid w:val="007F3028"/>
    <w:rsid w:val="009326A5"/>
    <w:rsid w:val="00AF7861"/>
    <w:rsid w:val="00B2013C"/>
    <w:rsid w:val="00B71431"/>
    <w:rsid w:val="00B963EB"/>
    <w:rsid w:val="00C14F3A"/>
    <w:rsid w:val="00F8308B"/>
    <w:rsid w:val="00F9204A"/>
    <w:rsid w:val="00FE6C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EBDB0"/>
  <w15:chartTrackingRefBased/>
  <w15:docId w15:val="{7EC5D565-F0E8-464D-A864-B210435E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0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9204A"/>
    <w:rPr>
      <w:color w:val="0000FF"/>
      <w:u w:val="single"/>
      <w:shd w:val="clear" w:color="auto" w:fill="auto"/>
    </w:rPr>
  </w:style>
  <w:style w:type="character" w:styleId="Refdecomentario">
    <w:name w:val="annotation reference"/>
    <w:basedOn w:val="Fuentedeprrafopredeter"/>
    <w:uiPriority w:val="99"/>
    <w:semiHidden/>
    <w:unhideWhenUsed/>
    <w:rsid w:val="00F9204A"/>
    <w:rPr>
      <w:sz w:val="16"/>
      <w:szCs w:val="16"/>
    </w:rPr>
  </w:style>
  <w:style w:type="paragraph" w:styleId="Textocomentario">
    <w:name w:val="annotation text"/>
    <w:basedOn w:val="Normal"/>
    <w:link w:val="TextocomentarioCar"/>
    <w:uiPriority w:val="99"/>
    <w:semiHidden/>
    <w:unhideWhenUsed/>
    <w:rsid w:val="00F9204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204A"/>
    <w:rPr>
      <w:sz w:val="20"/>
      <w:szCs w:val="20"/>
    </w:rPr>
  </w:style>
  <w:style w:type="paragraph" w:styleId="Encabezado">
    <w:name w:val="header"/>
    <w:basedOn w:val="Normal"/>
    <w:link w:val="EncabezadoCar"/>
    <w:uiPriority w:val="99"/>
    <w:unhideWhenUsed/>
    <w:rsid w:val="00F920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204A"/>
  </w:style>
  <w:style w:type="paragraph" w:styleId="Prrafodelista">
    <w:name w:val="List Paragraph"/>
    <w:basedOn w:val="Normal"/>
    <w:uiPriority w:val="34"/>
    <w:qFormat/>
    <w:rsid w:val="00F9204A"/>
    <w:pPr>
      <w:spacing w:after="0" w:line="240" w:lineRule="auto"/>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F92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920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204A"/>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F9204A"/>
    <w:rPr>
      <w:b/>
      <w:bCs/>
    </w:rPr>
  </w:style>
  <w:style w:type="character" w:customStyle="1" w:styleId="AsuntodelcomentarioCar">
    <w:name w:val="Asunto del comentario Car"/>
    <w:basedOn w:val="TextocomentarioCar"/>
    <w:link w:val="Asuntodelcomentario"/>
    <w:uiPriority w:val="99"/>
    <w:semiHidden/>
    <w:rsid w:val="00F9204A"/>
    <w:rPr>
      <w:b/>
      <w:bCs/>
      <w:sz w:val="20"/>
      <w:szCs w:val="20"/>
    </w:rPr>
  </w:style>
  <w:style w:type="paragraph" w:styleId="Piedepgina">
    <w:name w:val="footer"/>
    <w:basedOn w:val="Normal"/>
    <w:link w:val="PiedepginaCar"/>
    <w:uiPriority w:val="99"/>
    <w:unhideWhenUsed/>
    <w:rsid w:val="007F30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3028"/>
  </w:style>
  <w:style w:type="character" w:styleId="Hipervnculovisitado">
    <w:name w:val="FollowedHyperlink"/>
    <w:basedOn w:val="Fuentedeprrafopredeter"/>
    <w:uiPriority w:val="99"/>
    <w:semiHidden/>
    <w:unhideWhenUsed/>
    <w:rsid w:val="00C14F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gese.fi.cr/AlertaConsumidor"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gese@sugese.fi.cr"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4D5CA053135940A0BC3CA341851BA3" ma:contentTypeVersion="8" ma:contentTypeDescription="Crear nuevo documento." ma:contentTypeScope="" ma:versionID="b4b02e1d53e65c13ab292df81ef8449e">
  <xsd:schema xmlns:xsd="http://www.w3.org/2001/XMLSchema" xmlns:xs="http://www.w3.org/2001/XMLSchema" xmlns:p="http://schemas.microsoft.com/office/2006/metadata/properties" xmlns:ns1="http://schemas.microsoft.com/sharepoint/v3" xmlns:ns2="b9fc4df0-8f56-46e7-b005-54afe0044df7" targetNamespace="http://schemas.microsoft.com/office/2006/metadata/properties" ma:root="true" ma:fieldsID="74efcb1da0e78f5e15260ef4dbf35f68" ns1:_="" ns2:_="">
    <xsd:import namespace="http://schemas.microsoft.com/sharepoint/v3"/>
    <xsd:import namespace="b9fc4df0-8f56-46e7-b005-54afe0044df7"/>
    <xsd:element name="properties">
      <xsd:complexType>
        <xsd:sequence>
          <xsd:element name="documentManagement">
            <xsd:complexType>
              <xsd:all>
                <xsd:element ref="ns1:StartDate" minOccurs="0"/>
                <xsd:element ref="ns1:DateCompleted" minOccurs="0"/>
                <xsd:element ref="ns2:MostrarSiempre" minOccurs="0"/>
                <xsd:element ref="ns2:DescripcionComunicado"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8" nillable="true" ma:displayName="Fecha de inicio" ma:default="[today]" ma:format="DateOnly" ma:internalName="StartDate">
      <xsd:simpleType>
        <xsd:restriction base="dms:DateTime"/>
      </xsd:simpleType>
    </xsd:element>
    <xsd:element name="DateCompleted" ma:index="9" nillable="true" ma:displayName="Fecha de finalización" ma:description="" ma:format="DateOnly" ma:internalName="DateComple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MostrarSiempre" ma:index="10" nillable="true" ma:displayName="Mostrar siempre" ma:default="No" ma:format="RadioButtons" ma:internalName="MostrarSiempre">
      <xsd:simpleType>
        <xsd:restriction base="dms:Choice">
          <xsd:enumeration value="Sí"/>
          <xsd:enumeration value="No"/>
        </xsd:restriction>
      </xsd:simpleType>
    </xsd:element>
    <xsd:element name="DescripcionComunicado" ma:index="11" nillable="true" ma:displayName="Descripción del comunicado" ma:internalName="DescripcionComunicado">
      <xsd:simpleType>
        <xsd:restriction base="dms:Note">
          <xsd:maxLength value="255"/>
        </xsd:restriction>
      </xsd:simpleType>
    </xsd:element>
    <xsd:element name="SharedWithUsers" ma:index="12"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Completed xmlns="http://schemas.microsoft.com/sharepoint/v3" xsi:nil="true"/>
    <DescripcionComunicado xmlns="b9fc4df0-8f56-46e7-b005-54afe0044df7">Empresas no autorizadas para operar en el mercado de seguros nacional</DescripcionComunicado>
    <StartDate xmlns="http://schemas.microsoft.com/sharepoint/v3">2019-05-22T06:00:00+00:00</StartDate>
    <MostrarSiempre xmlns="b9fc4df0-8f56-46e7-b005-54afe0044df7">No</MostrarSiempre>
  </documentManagement>
</p:properties>
</file>

<file path=customXml/itemProps1.xml><?xml version="1.0" encoding="utf-8"?>
<ds:datastoreItem xmlns:ds="http://schemas.openxmlformats.org/officeDocument/2006/customXml" ds:itemID="{6D69C0C2-B56D-4AB8-ABF8-3C54C4207450}"/>
</file>

<file path=customXml/itemProps2.xml><?xml version="1.0" encoding="utf-8"?>
<ds:datastoreItem xmlns:ds="http://schemas.openxmlformats.org/officeDocument/2006/customXml" ds:itemID="{792ED926-F737-4250-9FC3-FD1AFE56A86C}"/>
</file>

<file path=customXml/itemProps3.xml><?xml version="1.0" encoding="utf-8"?>
<ds:datastoreItem xmlns:ds="http://schemas.openxmlformats.org/officeDocument/2006/customXml" ds:itemID="{7E247859-6299-4C12-AE5E-77FB7C747E1C}"/>
</file>

<file path=customXml/itemProps4.xml><?xml version="1.0" encoding="utf-8"?>
<ds:datastoreItem xmlns:ds="http://schemas.openxmlformats.org/officeDocument/2006/customXml" ds:itemID="{8DA07AA7-CAA2-4246-B150-4C5470B6C69C}"/>
</file>

<file path=docProps/app.xml><?xml version="1.0" encoding="utf-8"?>
<Properties xmlns="http://schemas.openxmlformats.org/officeDocument/2006/extended-properties" xmlns:vt="http://schemas.openxmlformats.org/officeDocument/2006/docPropsVTypes">
  <Template>Normal</Template>
  <TotalTime>24</TotalTime>
  <Pages>2</Pages>
  <Words>456</Words>
  <Characters>2513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BCCR</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Empresas no autorizadas para operar en el mercado de seguros nacional</dc:title>
  <dc:subject/>
  <dc:creator>CAMPOS FUNES MARVIN ESTEBAN</dc:creator>
  <cp:keywords/>
  <dc:description/>
  <cp:lastModifiedBy>CAMPOS FUNES MARVIN ESTEBAN</cp:lastModifiedBy>
  <cp:revision>10</cp:revision>
  <dcterms:created xsi:type="dcterms:W3CDTF">2019-05-21T16:43:00Z</dcterms:created>
  <dcterms:modified xsi:type="dcterms:W3CDTF">2019-05-21T17:08:00Z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0x0101003D4D5CA053135940A0BC3CA341851BA3</vt:lpwstr>
  </property>
</Properties>
</file>