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A951E" w14:textId="5E012E95" w:rsidR="004C0841" w:rsidRPr="00665DCB" w:rsidRDefault="004C0841" w:rsidP="004C0841">
      <w:pPr>
        <w:spacing w:after="0" w:line="240" w:lineRule="auto"/>
        <w:jc w:val="center"/>
        <w:rPr>
          <w:rFonts w:ascii="Cambria" w:hAnsi="Cambria"/>
          <w:b/>
          <w:bCs/>
          <w:sz w:val="28"/>
          <w:szCs w:val="28"/>
        </w:rPr>
      </w:pPr>
      <w:r w:rsidRPr="00665DCB">
        <w:rPr>
          <w:rFonts w:ascii="Cambria" w:hAnsi="Cambria"/>
          <w:b/>
          <w:bCs/>
          <w:sz w:val="28"/>
          <w:szCs w:val="28"/>
        </w:rPr>
        <w:t>MATRIZ</w:t>
      </w:r>
      <w:r w:rsidR="004544DA">
        <w:rPr>
          <w:rFonts w:ascii="Cambria" w:hAnsi="Cambria"/>
          <w:b/>
          <w:bCs/>
          <w:sz w:val="28"/>
          <w:szCs w:val="28"/>
        </w:rPr>
        <w:t xml:space="preserve"> DE COMENTARIOS A OBSERVACIONES DE LA CONSULTA EXTERNA</w:t>
      </w:r>
      <w:r w:rsidR="004544DA">
        <w:rPr>
          <w:rStyle w:val="Refdenotaalpie"/>
          <w:rFonts w:ascii="Cambria" w:hAnsi="Cambria"/>
          <w:b/>
          <w:bCs/>
          <w:sz w:val="28"/>
          <w:szCs w:val="28"/>
        </w:rPr>
        <w:footnoteReference w:id="1"/>
      </w:r>
    </w:p>
    <w:p w14:paraId="74476893" w14:textId="77777777" w:rsidR="004C0841" w:rsidRDefault="004C0841" w:rsidP="004C0841">
      <w:pPr>
        <w:spacing w:after="0" w:line="240" w:lineRule="auto"/>
        <w:jc w:val="center"/>
        <w:rPr>
          <w:rFonts w:ascii="Cambria" w:hAnsi="Cambria"/>
          <w:b/>
          <w:bCs/>
          <w:sz w:val="24"/>
          <w:szCs w:val="24"/>
        </w:rPr>
      </w:pPr>
    </w:p>
    <w:p w14:paraId="7283D6F2" w14:textId="77777777" w:rsidR="004C0841" w:rsidRDefault="004C0841" w:rsidP="004C0841">
      <w:pPr>
        <w:spacing w:after="0" w:line="276" w:lineRule="auto"/>
        <w:jc w:val="center"/>
        <w:rPr>
          <w:rFonts w:ascii="Cambria" w:eastAsia="Times New Roman" w:hAnsi="Cambria" w:cstheme="minorHAnsi"/>
          <w:b/>
          <w:bCs/>
          <w:sz w:val="24"/>
          <w:szCs w:val="24"/>
          <w:lang w:val="es-ES" w:eastAsia="es-ES"/>
        </w:rPr>
      </w:pPr>
      <w:r w:rsidRPr="00C636A7">
        <w:rPr>
          <w:rFonts w:ascii="Cambria" w:eastAsia="Times New Roman" w:hAnsi="Cambria" w:cstheme="minorHAnsi"/>
          <w:b/>
          <w:bCs/>
          <w:sz w:val="24"/>
          <w:szCs w:val="24"/>
          <w:lang w:val="es-ES" w:eastAsia="es-ES"/>
        </w:rPr>
        <w:t>PROYECTO DE ACUERDO SUPERINTENDENCIA GENERAL DE SEGUROS</w:t>
      </w:r>
    </w:p>
    <w:p w14:paraId="372BA4E0" w14:textId="77777777" w:rsidR="00A568AC" w:rsidRDefault="00A568AC" w:rsidP="004C0841">
      <w:pPr>
        <w:spacing w:after="0" w:line="276" w:lineRule="auto"/>
        <w:jc w:val="center"/>
        <w:rPr>
          <w:rFonts w:ascii="Cambria" w:eastAsia="Times New Roman" w:hAnsi="Cambria" w:cstheme="minorHAnsi"/>
          <w:b/>
          <w:bCs/>
          <w:sz w:val="24"/>
          <w:szCs w:val="24"/>
          <w:lang w:val="es-ES" w:eastAsia="es-ES"/>
        </w:rPr>
      </w:pPr>
    </w:p>
    <w:p w14:paraId="631C43C9" w14:textId="77777777" w:rsidR="0082382D" w:rsidRDefault="0082382D" w:rsidP="0082382D">
      <w:pPr>
        <w:spacing w:after="0" w:line="276" w:lineRule="auto"/>
        <w:jc w:val="center"/>
        <w:rPr>
          <w:rFonts w:ascii="Cambria" w:eastAsia="Times New Roman" w:hAnsi="Cambria" w:cstheme="minorHAnsi"/>
          <w:b/>
          <w:bCs/>
          <w:sz w:val="24"/>
          <w:szCs w:val="24"/>
          <w:lang w:val="es-ES" w:eastAsia="es-ES"/>
        </w:rPr>
      </w:pPr>
      <w:r w:rsidRPr="0082382D">
        <w:rPr>
          <w:rFonts w:ascii="Cambria" w:eastAsia="Times New Roman" w:hAnsi="Cambria" w:cstheme="minorHAnsi"/>
          <w:b/>
          <w:bCs/>
          <w:sz w:val="24"/>
          <w:szCs w:val="24"/>
          <w:lang w:val="es-ES" w:eastAsia="es-ES"/>
        </w:rPr>
        <w:t>MODIFICACIONES ACUERDO SGS-A-021-2013, PARA NORMAR LA REMISIÓN DE LOS INFORMES DE LA INSTANCIA DE ATENCIÓN DEL CONSUMIDOR DE SEGUROS POR PARTE DE LAS ENTIDADES ASEGURADORAS Y CORRECCIÓN DE ERROR MATERIAL EN FÓRMULA DEL RCS-5 EN ANEXO 4</w:t>
      </w:r>
    </w:p>
    <w:p w14:paraId="59BC015F" w14:textId="77777777" w:rsidR="00BB1A42" w:rsidRDefault="00BB1A42" w:rsidP="00822B8A">
      <w:pPr>
        <w:spacing w:after="0" w:line="276" w:lineRule="auto"/>
        <w:rPr>
          <w:rFonts w:ascii="Cambria" w:eastAsia="Times New Roman" w:hAnsi="Cambria" w:cstheme="minorHAnsi"/>
          <w:b/>
          <w:bCs/>
          <w:sz w:val="24"/>
          <w:szCs w:val="24"/>
          <w:lang w:val="es-ES" w:eastAsia="es-ES"/>
        </w:rPr>
      </w:pPr>
    </w:p>
    <w:p w14:paraId="79FC5073" w14:textId="547C0541" w:rsidR="00BB1A42" w:rsidRDefault="00BB1A42" w:rsidP="00136A68">
      <w:pPr>
        <w:pStyle w:val="Prrafodelista"/>
        <w:numPr>
          <w:ilvl w:val="0"/>
          <w:numId w:val="7"/>
        </w:numPr>
        <w:spacing w:after="0" w:line="276" w:lineRule="auto"/>
        <w:ind w:left="567" w:hanging="567"/>
        <w:rPr>
          <w:rFonts w:ascii="Cambria" w:eastAsia="Times New Roman" w:hAnsi="Cambria" w:cstheme="minorHAnsi"/>
          <w:b/>
          <w:bCs/>
          <w:sz w:val="24"/>
          <w:szCs w:val="24"/>
          <w:lang w:val="es-ES" w:eastAsia="es-ES"/>
        </w:rPr>
      </w:pPr>
      <w:r>
        <w:rPr>
          <w:rFonts w:ascii="Cambria" w:eastAsia="Times New Roman" w:hAnsi="Cambria" w:cstheme="minorHAnsi"/>
          <w:b/>
          <w:bCs/>
          <w:sz w:val="24"/>
          <w:szCs w:val="24"/>
          <w:lang w:val="es-ES" w:eastAsia="es-ES"/>
        </w:rPr>
        <w:t>ENTIDADES QUE ATENDIERON LA CONSULTA</w:t>
      </w:r>
    </w:p>
    <w:tbl>
      <w:tblPr>
        <w:tblStyle w:val="Tablaconcuadrcula1"/>
        <w:tblW w:w="12961" w:type="dxa"/>
        <w:tblLook w:val="04A0" w:firstRow="1" w:lastRow="0" w:firstColumn="1" w:lastColumn="0" w:noHBand="0" w:noVBand="1"/>
      </w:tblPr>
      <w:tblGrid>
        <w:gridCol w:w="3556"/>
        <w:gridCol w:w="3243"/>
        <w:gridCol w:w="3463"/>
        <w:gridCol w:w="2699"/>
      </w:tblGrid>
      <w:tr w:rsidR="00D05BFA" w:rsidRPr="00D05BFA" w14:paraId="630A9C70" w14:textId="77777777" w:rsidTr="00136A68">
        <w:trPr>
          <w:trHeight w:val="17"/>
          <w:tblHeader/>
        </w:trPr>
        <w:tc>
          <w:tcPr>
            <w:tcW w:w="3556" w:type="dxa"/>
            <w:shd w:val="clear" w:color="auto" w:fill="7F7F7F" w:themeFill="text1" w:themeFillTint="80"/>
          </w:tcPr>
          <w:p w14:paraId="3A56C0EC" w14:textId="77777777" w:rsidR="00D05BFA" w:rsidRPr="00D05BFA" w:rsidRDefault="00D05BFA" w:rsidP="00D05BFA">
            <w:pPr>
              <w:jc w:val="center"/>
              <w:rPr>
                <w:rFonts w:ascii="Cambria" w:hAnsi="Cambria"/>
                <w:b/>
                <w:bCs/>
                <w:color w:val="FFFFFF" w:themeColor="background1"/>
                <w:sz w:val="20"/>
                <w:szCs w:val="20"/>
              </w:rPr>
            </w:pPr>
            <w:r w:rsidRPr="00D05BFA">
              <w:rPr>
                <w:rFonts w:ascii="Cambria" w:hAnsi="Cambria"/>
                <w:b/>
                <w:bCs/>
                <w:color w:val="FFFFFF" w:themeColor="background1"/>
                <w:sz w:val="20"/>
                <w:szCs w:val="20"/>
              </w:rPr>
              <w:t>ENTIDAD</w:t>
            </w:r>
          </w:p>
        </w:tc>
        <w:tc>
          <w:tcPr>
            <w:tcW w:w="3243" w:type="dxa"/>
            <w:shd w:val="clear" w:color="auto" w:fill="7F7F7F" w:themeFill="text1" w:themeFillTint="80"/>
          </w:tcPr>
          <w:p w14:paraId="2D33E105" w14:textId="77777777" w:rsidR="00D05BFA" w:rsidRPr="00D05BFA" w:rsidRDefault="00D05BFA" w:rsidP="00D05BFA">
            <w:pPr>
              <w:jc w:val="center"/>
              <w:rPr>
                <w:rFonts w:ascii="Cambria" w:hAnsi="Cambria"/>
                <w:b/>
                <w:bCs/>
                <w:color w:val="FFFFFF" w:themeColor="background1"/>
                <w:sz w:val="20"/>
                <w:szCs w:val="20"/>
              </w:rPr>
            </w:pPr>
            <w:r w:rsidRPr="00D05BFA">
              <w:rPr>
                <w:rFonts w:ascii="Cambria" w:hAnsi="Cambria"/>
                <w:b/>
                <w:bCs/>
                <w:color w:val="FFFFFF" w:themeColor="background1"/>
                <w:sz w:val="20"/>
                <w:szCs w:val="20"/>
              </w:rPr>
              <w:t>REMITENTE</w:t>
            </w:r>
          </w:p>
        </w:tc>
        <w:tc>
          <w:tcPr>
            <w:tcW w:w="3463" w:type="dxa"/>
            <w:shd w:val="clear" w:color="auto" w:fill="7F7F7F" w:themeFill="text1" w:themeFillTint="80"/>
          </w:tcPr>
          <w:p w14:paraId="3A4C5B00" w14:textId="77777777" w:rsidR="00D05BFA" w:rsidRPr="00D05BFA" w:rsidRDefault="00D05BFA" w:rsidP="00D05BFA">
            <w:pPr>
              <w:jc w:val="center"/>
              <w:rPr>
                <w:rFonts w:ascii="Cambria" w:hAnsi="Cambria"/>
                <w:b/>
                <w:bCs/>
                <w:color w:val="FFFFFF" w:themeColor="background1"/>
                <w:sz w:val="20"/>
                <w:szCs w:val="20"/>
              </w:rPr>
            </w:pPr>
            <w:r w:rsidRPr="00D05BFA">
              <w:rPr>
                <w:rFonts w:ascii="Cambria" w:hAnsi="Cambria"/>
                <w:b/>
                <w:bCs/>
                <w:color w:val="FFFFFF" w:themeColor="background1"/>
                <w:sz w:val="20"/>
                <w:szCs w:val="20"/>
              </w:rPr>
              <w:t>REFERENCIA DEL OFICIO</w:t>
            </w:r>
          </w:p>
        </w:tc>
        <w:tc>
          <w:tcPr>
            <w:tcW w:w="2699" w:type="dxa"/>
            <w:shd w:val="clear" w:color="auto" w:fill="7F7F7F" w:themeFill="text1" w:themeFillTint="80"/>
          </w:tcPr>
          <w:p w14:paraId="1E4BF534" w14:textId="77777777" w:rsidR="00D05BFA" w:rsidRPr="00D05BFA" w:rsidRDefault="00D05BFA" w:rsidP="00D05BFA">
            <w:pPr>
              <w:jc w:val="center"/>
              <w:rPr>
                <w:rFonts w:ascii="Cambria" w:hAnsi="Cambria"/>
                <w:b/>
                <w:bCs/>
                <w:color w:val="FFFFFF" w:themeColor="background1"/>
                <w:sz w:val="20"/>
                <w:szCs w:val="20"/>
              </w:rPr>
            </w:pPr>
            <w:r w:rsidRPr="00D05BFA">
              <w:rPr>
                <w:rFonts w:ascii="Cambria" w:hAnsi="Cambria"/>
                <w:b/>
                <w:bCs/>
                <w:color w:val="FFFFFF" w:themeColor="background1"/>
                <w:sz w:val="20"/>
                <w:szCs w:val="20"/>
              </w:rPr>
              <w:t>FECHA DEL OFICIO</w:t>
            </w:r>
          </w:p>
        </w:tc>
      </w:tr>
      <w:tr w:rsidR="00822B8A" w:rsidRPr="00D05BFA" w14:paraId="7F694B6E" w14:textId="77777777" w:rsidTr="00136A68">
        <w:trPr>
          <w:trHeight w:val="17"/>
          <w:tblHeader/>
        </w:trPr>
        <w:tc>
          <w:tcPr>
            <w:tcW w:w="3556" w:type="dxa"/>
          </w:tcPr>
          <w:p w14:paraId="03D7166C" w14:textId="791A6848" w:rsidR="00822B8A" w:rsidRPr="00822B8A" w:rsidRDefault="00822B8A" w:rsidP="00822B8A">
            <w:pPr>
              <w:jc w:val="center"/>
              <w:rPr>
                <w:rFonts w:asciiTheme="majorHAnsi" w:hAnsiTheme="majorHAnsi"/>
                <w:sz w:val="20"/>
                <w:szCs w:val="20"/>
              </w:rPr>
            </w:pPr>
            <w:r w:rsidRPr="00822B8A">
              <w:rPr>
                <w:rFonts w:asciiTheme="majorHAnsi" w:hAnsiTheme="majorHAnsi"/>
                <w:sz w:val="20"/>
                <w:szCs w:val="20"/>
              </w:rPr>
              <w:t>Quálitas Compañía de Seguros (Costa Rica), S.A. (Quálitas)</w:t>
            </w:r>
          </w:p>
        </w:tc>
        <w:tc>
          <w:tcPr>
            <w:tcW w:w="3243" w:type="dxa"/>
          </w:tcPr>
          <w:p w14:paraId="6D83D971" w14:textId="051F8CBE" w:rsidR="00822B8A" w:rsidRPr="00822B8A" w:rsidRDefault="00822B8A" w:rsidP="00822B8A">
            <w:pPr>
              <w:jc w:val="center"/>
              <w:rPr>
                <w:rFonts w:asciiTheme="majorHAnsi" w:hAnsiTheme="majorHAnsi"/>
                <w:sz w:val="20"/>
                <w:szCs w:val="20"/>
              </w:rPr>
            </w:pPr>
            <w:r w:rsidRPr="00822B8A">
              <w:rPr>
                <w:rFonts w:asciiTheme="majorHAnsi" w:hAnsiTheme="majorHAnsi"/>
                <w:sz w:val="20"/>
                <w:szCs w:val="20"/>
              </w:rPr>
              <w:t>Mario Salazar Escobar - Representante Legal</w:t>
            </w:r>
          </w:p>
        </w:tc>
        <w:tc>
          <w:tcPr>
            <w:tcW w:w="3463" w:type="dxa"/>
          </w:tcPr>
          <w:p w14:paraId="7639A455" w14:textId="26670ECC" w:rsidR="00822B8A" w:rsidRPr="00822B8A" w:rsidRDefault="00822B8A" w:rsidP="00822B8A">
            <w:pPr>
              <w:jc w:val="center"/>
              <w:rPr>
                <w:rFonts w:asciiTheme="majorHAnsi" w:hAnsiTheme="majorHAnsi"/>
                <w:sz w:val="20"/>
                <w:szCs w:val="20"/>
              </w:rPr>
            </w:pPr>
            <w:r w:rsidRPr="00822B8A">
              <w:rPr>
                <w:rFonts w:asciiTheme="majorHAnsi" w:hAnsiTheme="majorHAnsi"/>
                <w:sz w:val="20"/>
                <w:szCs w:val="20"/>
              </w:rPr>
              <w:t>QCR-GG-008-2025</w:t>
            </w:r>
          </w:p>
        </w:tc>
        <w:tc>
          <w:tcPr>
            <w:tcW w:w="2699" w:type="dxa"/>
          </w:tcPr>
          <w:p w14:paraId="1C623A75" w14:textId="5AAF5D4F" w:rsidR="00822B8A" w:rsidRPr="00822B8A" w:rsidRDefault="00822B8A" w:rsidP="00822B8A">
            <w:pPr>
              <w:jc w:val="center"/>
              <w:rPr>
                <w:rFonts w:asciiTheme="majorHAnsi" w:hAnsiTheme="majorHAnsi"/>
                <w:sz w:val="20"/>
                <w:szCs w:val="20"/>
              </w:rPr>
            </w:pPr>
            <w:r w:rsidRPr="00822B8A">
              <w:rPr>
                <w:rFonts w:asciiTheme="majorHAnsi" w:hAnsiTheme="majorHAnsi"/>
                <w:sz w:val="20"/>
                <w:szCs w:val="20"/>
              </w:rPr>
              <w:t>28 de abril de 2025</w:t>
            </w:r>
          </w:p>
        </w:tc>
      </w:tr>
      <w:tr w:rsidR="00822B8A" w:rsidRPr="00D05BFA" w14:paraId="6E7E4EB9" w14:textId="77777777" w:rsidTr="00136A68">
        <w:trPr>
          <w:trHeight w:val="17"/>
          <w:tblHeader/>
        </w:trPr>
        <w:tc>
          <w:tcPr>
            <w:tcW w:w="3556" w:type="dxa"/>
          </w:tcPr>
          <w:p w14:paraId="292058A5" w14:textId="46EC4EC5" w:rsidR="00822B8A" w:rsidRPr="00822B8A" w:rsidRDefault="00822B8A" w:rsidP="00822B8A">
            <w:pPr>
              <w:jc w:val="center"/>
              <w:rPr>
                <w:rFonts w:asciiTheme="majorHAnsi" w:hAnsiTheme="majorHAnsi"/>
                <w:sz w:val="20"/>
                <w:szCs w:val="20"/>
              </w:rPr>
            </w:pPr>
            <w:r w:rsidRPr="00822B8A">
              <w:rPr>
                <w:rFonts w:asciiTheme="majorHAnsi" w:hAnsiTheme="majorHAnsi"/>
                <w:sz w:val="20"/>
                <w:szCs w:val="20"/>
              </w:rPr>
              <w:t>Mapfre Seguros Costa Rica S.A.</w:t>
            </w:r>
          </w:p>
        </w:tc>
        <w:tc>
          <w:tcPr>
            <w:tcW w:w="3243" w:type="dxa"/>
          </w:tcPr>
          <w:p w14:paraId="58F57141" w14:textId="6E29CA14" w:rsidR="00822B8A" w:rsidRPr="00822B8A" w:rsidRDefault="00822B8A" w:rsidP="00822B8A">
            <w:pPr>
              <w:jc w:val="center"/>
              <w:rPr>
                <w:rFonts w:asciiTheme="majorHAnsi" w:hAnsiTheme="majorHAnsi"/>
                <w:sz w:val="20"/>
                <w:szCs w:val="20"/>
              </w:rPr>
            </w:pPr>
            <w:r w:rsidRPr="00822B8A">
              <w:rPr>
                <w:rFonts w:asciiTheme="majorHAnsi" w:hAnsiTheme="majorHAnsi"/>
                <w:sz w:val="20"/>
                <w:szCs w:val="20"/>
              </w:rPr>
              <w:t>Anayancy Calderón Mora – Representante Legal</w:t>
            </w:r>
          </w:p>
        </w:tc>
        <w:tc>
          <w:tcPr>
            <w:tcW w:w="3463" w:type="dxa"/>
          </w:tcPr>
          <w:p w14:paraId="5B06B71C" w14:textId="5ADD8CE4" w:rsidR="00822B8A" w:rsidRPr="00822B8A" w:rsidRDefault="00822B8A" w:rsidP="00822B8A">
            <w:pPr>
              <w:jc w:val="center"/>
              <w:rPr>
                <w:rFonts w:asciiTheme="majorHAnsi" w:hAnsiTheme="majorHAnsi"/>
                <w:sz w:val="20"/>
                <w:szCs w:val="20"/>
              </w:rPr>
            </w:pPr>
            <w:r w:rsidRPr="00822B8A">
              <w:rPr>
                <w:rFonts w:asciiTheme="majorHAnsi" w:hAnsiTheme="majorHAnsi"/>
                <w:sz w:val="20"/>
                <w:szCs w:val="20"/>
              </w:rPr>
              <w:t>MFCR-SGS-22-04-2025</w:t>
            </w:r>
          </w:p>
        </w:tc>
        <w:tc>
          <w:tcPr>
            <w:tcW w:w="2699" w:type="dxa"/>
          </w:tcPr>
          <w:p w14:paraId="2BAB879D" w14:textId="330C0D8A" w:rsidR="00822B8A" w:rsidRPr="00822B8A" w:rsidRDefault="00822B8A" w:rsidP="00822B8A">
            <w:pPr>
              <w:jc w:val="center"/>
              <w:rPr>
                <w:rFonts w:asciiTheme="majorHAnsi" w:hAnsiTheme="majorHAnsi"/>
                <w:sz w:val="20"/>
                <w:szCs w:val="20"/>
              </w:rPr>
            </w:pPr>
            <w:r w:rsidRPr="00822B8A">
              <w:rPr>
                <w:rFonts w:asciiTheme="majorHAnsi" w:hAnsiTheme="majorHAnsi"/>
                <w:sz w:val="20"/>
                <w:szCs w:val="20"/>
              </w:rPr>
              <w:t>29 de abril de 2025</w:t>
            </w:r>
          </w:p>
        </w:tc>
      </w:tr>
      <w:tr w:rsidR="00822B8A" w:rsidRPr="00D05BFA" w14:paraId="200D62DF" w14:textId="77777777" w:rsidTr="00136A68">
        <w:trPr>
          <w:trHeight w:val="17"/>
          <w:tblHeader/>
        </w:trPr>
        <w:tc>
          <w:tcPr>
            <w:tcW w:w="3556" w:type="dxa"/>
          </w:tcPr>
          <w:p w14:paraId="7E9F145A" w14:textId="08F0EBE7" w:rsidR="00822B8A" w:rsidRPr="00822B8A" w:rsidRDefault="00822B8A" w:rsidP="00822B8A">
            <w:pPr>
              <w:jc w:val="center"/>
              <w:rPr>
                <w:rFonts w:asciiTheme="majorHAnsi" w:hAnsiTheme="majorHAnsi"/>
                <w:sz w:val="20"/>
                <w:szCs w:val="20"/>
              </w:rPr>
            </w:pPr>
            <w:r w:rsidRPr="00822B8A">
              <w:rPr>
                <w:rFonts w:asciiTheme="majorHAnsi" w:hAnsiTheme="majorHAnsi"/>
                <w:sz w:val="20"/>
                <w:szCs w:val="20"/>
              </w:rPr>
              <w:t>Asociación de Aseguradoras Privadas (AAP)</w:t>
            </w:r>
          </w:p>
        </w:tc>
        <w:tc>
          <w:tcPr>
            <w:tcW w:w="3243" w:type="dxa"/>
          </w:tcPr>
          <w:p w14:paraId="37DCB85B" w14:textId="1D96A049" w:rsidR="00822B8A" w:rsidRPr="00822B8A" w:rsidRDefault="00822B8A" w:rsidP="00822B8A">
            <w:pPr>
              <w:jc w:val="center"/>
              <w:rPr>
                <w:rFonts w:asciiTheme="majorHAnsi" w:hAnsiTheme="majorHAnsi"/>
                <w:sz w:val="20"/>
                <w:szCs w:val="20"/>
              </w:rPr>
            </w:pPr>
            <w:r w:rsidRPr="00822B8A">
              <w:rPr>
                <w:rFonts w:asciiTheme="majorHAnsi" w:hAnsiTheme="majorHAnsi"/>
                <w:sz w:val="20"/>
                <w:szCs w:val="20"/>
              </w:rPr>
              <w:t>Norma Montero Guzmán – Directora Ejecutiva</w:t>
            </w:r>
          </w:p>
        </w:tc>
        <w:tc>
          <w:tcPr>
            <w:tcW w:w="3463" w:type="dxa"/>
          </w:tcPr>
          <w:p w14:paraId="2999580C" w14:textId="368FE02B" w:rsidR="00822B8A" w:rsidRPr="00822B8A" w:rsidRDefault="00822B8A" w:rsidP="00822B8A">
            <w:pPr>
              <w:jc w:val="center"/>
              <w:rPr>
                <w:rFonts w:asciiTheme="majorHAnsi" w:hAnsiTheme="majorHAnsi"/>
                <w:sz w:val="20"/>
                <w:szCs w:val="20"/>
              </w:rPr>
            </w:pPr>
            <w:r w:rsidRPr="00822B8A">
              <w:rPr>
                <w:rFonts w:asciiTheme="majorHAnsi" w:hAnsiTheme="majorHAnsi"/>
                <w:sz w:val="20"/>
                <w:szCs w:val="20"/>
              </w:rPr>
              <w:t>Oficio AAP-E-043-2025</w:t>
            </w:r>
          </w:p>
        </w:tc>
        <w:tc>
          <w:tcPr>
            <w:tcW w:w="2699" w:type="dxa"/>
          </w:tcPr>
          <w:p w14:paraId="7AD387CB" w14:textId="08A19901" w:rsidR="00822B8A" w:rsidRPr="00822B8A" w:rsidRDefault="00822B8A" w:rsidP="00822B8A">
            <w:pPr>
              <w:jc w:val="center"/>
              <w:rPr>
                <w:rFonts w:asciiTheme="majorHAnsi" w:hAnsiTheme="majorHAnsi"/>
                <w:sz w:val="20"/>
                <w:szCs w:val="20"/>
              </w:rPr>
            </w:pPr>
            <w:r w:rsidRPr="00822B8A">
              <w:rPr>
                <w:rFonts w:asciiTheme="majorHAnsi" w:hAnsiTheme="majorHAnsi"/>
                <w:sz w:val="20"/>
                <w:szCs w:val="20"/>
              </w:rPr>
              <w:t>29 de abril de 2025</w:t>
            </w:r>
            <w:r w:rsidR="009404AD">
              <w:rPr>
                <w:rFonts w:asciiTheme="majorHAnsi" w:hAnsiTheme="majorHAnsi"/>
                <w:sz w:val="20"/>
                <w:szCs w:val="20"/>
              </w:rPr>
              <w:t xml:space="preserve"> y 6 de mayo de 2025</w:t>
            </w:r>
          </w:p>
        </w:tc>
      </w:tr>
      <w:tr w:rsidR="00822B8A" w:rsidRPr="00D05BFA" w14:paraId="03579153" w14:textId="77777777" w:rsidTr="00136A68">
        <w:trPr>
          <w:trHeight w:val="648"/>
          <w:tblHeader/>
        </w:trPr>
        <w:tc>
          <w:tcPr>
            <w:tcW w:w="3556" w:type="dxa"/>
          </w:tcPr>
          <w:p w14:paraId="660058B3" w14:textId="57C3867E" w:rsidR="00822B8A" w:rsidRPr="00822B8A" w:rsidRDefault="00822B8A" w:rsidP="00822B8A">
            <w:pPr>
              <w:jc w:val="center"/>
              <w:rPr>
                <w:rFonts w:asciiTheme="majorHAnsi" w:hAnsiTheme="majorHAnsi"/>
                <w:sz w:val="20"/>
                <w:szCs w:val="20"/>
              </w:rPr>
            </w:pPr>
            <w:r w:rsidRPr="00822B8A">
              <w:rPr>
                <w:rFonts w:asciiTheme="majorHAnsi" w:hAnsiTheme="majorHAnsi"/>
                <w:sz w:val="20"/>
                <w:szCs w:val="20"/>
              </w:rPr>
              <w:t>Best Meridian Insurance Company</w:t>
            </w:r>
          </w:p>
        </w:tc>
        <w:tc>
          <w:tcPr>
            <w:tcW w:w="3243" w:type="dxa"/>
          </w:tcPr>
          <w:p w14:paraId="3657A9D0" w14:textId="4D916862" w:rsidR="00822B8A" w:rsidRPr="00822B8A" w:rsidRDefault="00822B8A" w:rsidP="00822B8A">
            <w:pPr>
              <w:jc w:val="center"/>
              <w:rPr>
                <w:rFonts w:asciiTheme="majorHAnsi" w:hAnsiTheme="majorHAnsi"/>
                <w:sz w:val="20"/>
                <w:szCs w:val="20"/>
              </w:rPr>
            </w:pPr>
            <w:r w:rsidRPr="00822B8A">
              <w:rPr>
                <w:rFonts w:asciiTheme="majorHAnsi" w:hAnsiTheme="majorHAnsi"/>
                <w:sz w:val="20"/>
                <w:szCs w:val="20"/>
              </w:rPr>
              <w:t>Javier Solis Vargas – Gerente General</w:t>
            </w:r>
          </w:p>
        </w:tc>
        <w:tc>
          <w:tcPr>
            <w:tcW w:w="3463" w:type="dxa"/>
          </w:tcPr>
          <w:p w14:paraId="5C1A61C9" w14:textId="28A750F4" w:rsidR="00822B8A" w:rsidRPr="00822B8A" w:rsidRDefault="00822B8A" w:rsidP="00822B8A">
            <w:pPr>
              <w:jc w:val="center"/>
              <w:rPr>
                <w:rFonts w:asciiTheme="majorHAnsi" w:hAnsiTheme="majorHAnsi"/>
                <w:sz w:val="20"/>
                <w:szCs w:val="20"/>
              </w:rPr>
            </w:pPr>
            <w:r w:rsidRPr="00822B8A">
              <w:rPr>
                <w:rFonts w:asciiTheme="majorHAnsi" w:hAnsiTheme="majorHAnsi"/>
                <w:sz w:val="20"/>
                <w:szCs w:val="20"/>
              </w:rPr>
              <w:t>Sin referencia</w:t>
            </w:r>
          </w:p>
        </w:tc>
        <w:tc>
          <w:tcPr>
            <w:tcW w:w="2699" w:type="dxa"/>
          </w:tcPr>
          <w:p w14:paraId="7B2631F6" w14:textId="3302F6FB" w:rsidR="00822B8A" w:rsidRPr="00822B8A" w:rsidRDefault="00822B8A" w:rsidP="00822B8A">
            <w:pPr>
              <w:jc w:val="center"/>
              <w:rPr>
                <w:rFonts w:asciiTheme="majorHAnsi" w:hAnsiTheme="majorHAnsi"/>
                <w:sz w:val="20"/>
                <w:szCs w:val="20"/>
              </w:rPr>
            </w:pPr>
            <w:r w:rsidRPr="00822B8A">
              <w:rPr>
                <w:rFonts w:asciiTheme="majorHAnsi" w:hAnsiTheme="majorHAnsi"/>
                <w:sz w:val="20"/>
                <w:szCs w:val="20"/>
              </w:rPr>
              <w:t>30 de abril de 2025</w:t>
            </w:r>
          </w:p>
        </w:tc>
      </w:tr>
      <w:tr w:rsidR="00822B8A" w:rsidRPr="00D05BFA" w14:paraId="4AFA320F" w14:textId="77777777" w:rsidTr="00136A68">
        <w:trPr>
          <w:trHeight w:val="648"/>
          <w:tblHeader/>
        </w:trPr>
        <w:tc>
          <w:tcPr>
            <w:tcW w:w="3556" w:type="dxa"/>
          </w:tcPr>
          <w:p w14:paraId="40F94D1A" w14:textId="4A37A539" w:rsidR="00822B8A" w:rsidRPr="00822B8A" w:rsidRDefault="00822B8A" w:rsidP="00822B8A">
            <w:pPr>
              <w:jc w:val="center"/>
              <w:rPr>
                <w:rFonts w:asciiTheme="majorHAnsi" w:hAnsiTheme="majorHAnsi"/>
                <w:sz w:val="20"/>
                <w:szCs w:val="20"/>
              </w:rPr>
            </w:pPr>
            <w:r w:rsidRPr="00822B8A">
              <w:rPr>
                <w:rFonts w:asciiTheme="majorHAnsi" w:hAnsiTheme="majorHAnsi"/>
                <w:sz w:val="20"/>
                <w:szCs w:val="20"/>
              </w:rPr>
              <w:t>Seguros Lafise</w:t>
            </w:r>
          </w:p>
        </w:tc>
        <w:tc>
          <w:tcPr>
            <w:tcW w:w="3243" w:type="dxa"/>
          </w:tcPr>
          <w:p w14:paraId="370FAE52" w14:textId="33F27484" w:rsidR="00822B8A" w:rsidRPr="00822B8A" w:rsidRDefault="00822B8A" w:rsidP="00822B8A">
            <w:pPr>
              <w:jc w:val="center"/>
              <w:rPr>
                <w:rFonts w:asciiTheme="majorHAnsi" w:hAnsiTheme="majorHAnsi"/>
                <w:sz w:val="20"/>
                <w:szCs w:val="20"/>
              </w:rPr>
            </w:pPr>
            <w:r w:rsidRPr="00822B8A">
              <w:rPr>
                <w:rFonts w:asciiTheme="majorHAnsi" w:hAnsiTheme="majorHAnsi"/>
                <w:sz w:val="20"/>
                <w:szCs w:val="20"/>
              </w:rPr>
              <w:t>Kattia Vargas – Especialista de Cumplimiento Normativo</w:t>
            </w:r>
          </w:p>
        </w:tc>
        <w:tc>
          <w:tcPr>
            <w:tcW w:w="3463" w:type="dxa"/>
          </w:tcPr>
          <w:p w14:paraId="6F9F4B64" w14:textId="340CDC99" w:rsidR="00822B8A" w:rsidRPr="00822B8A" w:rsidRDefault="00822B8A" w:rsidP="00822B8A">
            <w:pPr>
              <w:jc w:val="center"/>
              <w:rPr>
                <w:rFonts w:asciiTheme="majorHAnsi" w:hAnsiTheme="majorHAnsi"/>
                <w:sz w:val="20"/>
                <w:szCs w:val="20"/>
              </w:rPr>
            </w:pPr>
            <w:r w:rsidRPr="00822B8A">
              <w:rPr>
                <w:rFonts w:asciiTheme="majorHAnsi" w:hAnsiTheme="majorHAnsi"/>
                <w:sz w:val="20"/>
                <w:szCs w:val="20"/>
              </w:rPr>
              <w:t>Sin referencia</w:t>
            </w:r>
          </w:p>
        </w:tc>
        <w:tc>
          <w:tcPr>
            <w:tcW w:w="2699" w:type="dxa"/>
          </w:tcPr>
          <w:p w14:paraId="4D1C1FBB" w14:textId="020F7553" w:rsidR="00822B8A" w:rsidRPr="00822B8A" w:rsidRDefault="00822B8A" w:rsidP="00822B8A">
            <w:pPr>
              <w:jc w:val="center"/>
              <w:rPr>
                <w:rFonts w:asciiTheme="majorHAnsi" w:hAnsiTheme="majorHAnsi"/>
                <w:sz w:val="20"/>
                <w:szCs w:val="20"/>
              </w:rPr>
            </w:pPr>
            <w:r w:rsidRPr="00822B8A">
              <w:rPr>
                <w:rFonts w:asciiTheme="majorHAnsi" w:hAnsiTheme="majorHAnsi"/>
                <w:sz w:val="20"/>
                <w:szCs w:val="20"/>
              </w:rPr>
              <w:t>30 de abril de 2025</w:t>
            </w:r>
          </w:p>
        </w:tc>
      </w:tr>
      <w:tr w:rsidR="00822B8A" w:rsidRPr="00D05BFA" w14:paraId="348BFC5C" w14:textId="77777777" w:rsidTr="00136A68">
        <w:trPr>
          <w:trHeight w:val="17"/>
          <w:tblHeader/>
        </w:trPr>
        <w:tc>
          <w:tcPr>
            <w:tcW w:w="3556" w:type="dxa"/>
          </w:tcPr>
          <w:p w14:paraId="0AFB9962" w14:textId="77777777" w:rsidR="00822B8A" w:rsidRPr="00822B8A" w:rsidRDefault="00822B8A" w:rsidP="00822B8A">
            <w:pPr>
              <w:jc w:val="center"/>
              <w:rPr>
                <w:rFonts w:asciiTheme="majorHAnsi" w:hAnsiTheme="majorHAnsi"/>
                <w:sz w:val="20"/>
                <w:szCs w:val="20"/>
              </w:rPr>
            </w:pPr>
            <w:r w:rsidRPr="00822B8A">
              <w:rPr>
                <w:rFonts w:asciiTheme="majorHAnsi" w:hAnsiTheme="majorHAnsi"/>
                <w:sz w:val="20"/>
                <w:szCs w:val="20"/>
              </w:rPr>
              <w:t>Instituto Nacional de Seguros (INS)</w:t>
            </w:r>
          </w:p>
        </w:tc>
        <w:tc>
          <w:tcPr>
            <w:tcW w:w="3243" w:type="dxa"/>
          </w:tcPr>
          <w:p w14:paraId="7137F54D" w14:textId="2EDB5D84" w:rsidR="00822B8A" w:rsidRPr="00822B8A" w:rsidRDefault="00822B8A" w:rsidP="00822B8A">
            <w:pPr>
              <w:jc w:val="center"/>
              <w:rPr>
                <w:rFonts w:asciiTheme="majorHAnsi" w:hAnsiTheme="majorHAnsi"/>
                <w:sz w:val="20"/>
                <w:szCs w:val="20"/>
              </w:rPr>
            </w:pPr>
            <w:r w:rsidRPr="00822B8A">
              <w:rPr>
                <w:rFonts w:asciiTheme="majorHAnsi" w:hAnsiTheme="majorHAnsi"/>
                <w:sz w:val="20"/>
                <w:szCs w:val="20"/>
              </w:rPr>
              <w:t>Luis Fernando Monge Salas – Gerente General</w:t>
            </w:r>
          </w:p>
        </w:tc>
        <w:tc>
          <w:tcPr>
            <w:tcW w:w="3463" w:type="dxa"/>
          </w:tcPr>
          <w:p w14:paraId="0ACA8DBA" w14:textId="3BB59D0A" w:rsidR="00822B8A" w:rsidRPr="00822B8A" w:rsidRDefault="00822B8A" w:rsidP="00822B8A">
            <w:pPr>
              <w:jc w:val="center"/>
              <w:rPr>
                <w:rFonts w:asciiTheme="majorHAnsi" w:hAnsiTheme="majorHAnsi"/>
                <w:sz w:val="20"/>
                <w:szCs w:val="20"/>
              </w:rPr>
            </w:pPr>
            <w:r w:rsidRPr="00822B8A">
              <w:rPr>
                <w:rFonts w:asciiTheme="majorHAnsi" w:hAnsiTheme="majorHAnsi"/>
                <w:sz w:val="20"/>
                <w:szCs w:val="20"/>
              </w:rPr>
              <w:t>Oficio G-01630-2025</w:t>
            </w:r>
          </w:p>
        </w:tc>
        <w:tc>
          <w:tcPr>
            <w:tcW w:w="2699" w:type="dxa"/>
          </w:tcPr>
          <w:p w14:paraId="17ABCAB3" w14:textId="6574BDBD" w:rsidR="00822B8A" w:rsidRPr="00822B8A" w:rsidRDefault="00822B8A" w:rsidP="00822B8A">
            <w:pPr>
              <w:jc w:val="center"/>
              <w:rPr>
                <w:rFonts w:asciiTheme="majorHAnsi" w:hAnsiTheme="majorHAnsi"/>
                <w:sz w:val="20"/>
                <w:szCs w:val="20"/>
              </w:rPr>
            </w:pPr>
            <w:r w:rsidRPr="00822B8A">
              <w:rPr>
                <w:rFonts w:asciiTheme="majorHAnsi" w:hAnsiTheme="majorHAnsi"/>
                <w:sz w:val="20"/>
                <w:szCs w:val="20"/>
              </w:rPr>
              <w:t>2 de mayo de 2025</w:t>
            </w:r>
          </w:p>
        </w:tc>
      </w:tr>
    </w:tbl>
    <w:p w14:paraId="6E56759A" w14:textId="6667E66B" w:rsidR="00136A68" w:rsidRDefault="00136A68" w:rsidP="00136A68">
      <w:pPr>
        <w:pStyle w:val="Prrafodelista"/>
        <w:spacing w:after="0" w:line="276" w:lineRule="auto"/>
        <w:ind w:left="567"/>
        <w:rPr>
          <w:rFonts w:ascii="Cambria" w:eastAsia="Times New Roman" w:hAnsi="Cambria" w:cstheme="minorHAnsi"/>
          <w:b/>
          <w:bCs/>
          <w:sz w:val="24"/>
          <w:szCs w:val="24"/>
          <w:lang w:val="es-ES" w:eastAsia="es-ES"/>
        </w:rPr>
      </w:pPr>
    </w:p>
    <w:p w14:paraId="3AFF8970" w14:textId="77777777" w:rsidR="00136A68" w:rsidRDefault="00136A68">
      <w:pPr>
        <w:spacing w:after="200" w:line="276" w:lineRule="auto"/>
        <w:rPr>
          <w:rFonts w:ascii="Cambria" w:eastAsia="Times New Roman" w:hAnsi="Cambria" w:cstheme="minorHAnsi"/>
          <w:b/>
          <w:bCs/>
          <w:sz w:val="24"/>
          <w:szCs w:val="24"/>
          <w:lang w:val="es-ES" w:eastAsia="es-ES"/>
        </w:rPr>
      </w:pPr>
      <w:r>
        <w:rPr>
          <w:rFonts w:ascii="Cambria" w:eastAsia="Times New Roman" w:hAnsi="Cambria" w:cstheme="minorHAnsi"/>
          <w:b/>
          <w:bCs/>
          <w:sz w:val="24"/>
          <w:szCs w:val="24"/>
          <w:lang w:val="es-ES" w:eastAsia="es-ES"/>
        </w:rPr>
        <w:br w:type="page"/>
      </w:r>
    </w:p>
    <w:p w14:paraId="0EFEF774" w14:textId="77777777" w:rsidR="00136A68" w:rsidRDefault="00136A68" w:rsidP="00136A68">
      <w:pPr>
        <w:pStyle w:val="Prrafodelista"/>
        <w:spacing w:after="0" w:line="276" w:lineRule="auto"/>
        <w:ind w:left="567"/>
        <w:rPr>
          <w:rFonts w:ascii="Cambria" w:eastAsia="Times New Roman" w:hAnsi="Cambria" w:cstheme="minorHAnsi"/>
          <w:b/>
          <w:bCs/>
          <w:sz w:val="24"/>
          <w:szCs w:val="24"/>
          <w:lang w:val="es-ES" w:eastAsia="es-ES"/>
        </w:rPr>
      </w:pPr>
    </w:p>
    <w:p w14:paraId="6C0A849B" w14:textId="31A6FD76" w:rsidR="00BB1A42" w:rsidRPr="00BB1A42" w:rsidRDefault="00094761" w:rsidP="00136A68">
      <w:pPr>
        <w:pStyle w:val="Prrafodelista"/>
        <w:numPr>
          <w:ilvl w:val="0"/>
          <w:numId w:val="7"/>
        </w:numPr>
        <w:spacing w:after="0" w:line="276" w:lineRule="auto"/>
        <w:ind w:left="567" w:hanging="567"/>
        <w:rPr>
          <w:rFonts w:ascii="Cambria" w:eastAsia="Times New Roman" w:hAnsi="Cambria" w:cstheme="minorHAnsi"/>
          <w:b/>
          <w:bCs/>
          <w:sz w:val="24"/>
          <w:szCs w:val="24"/>
          <w:lang w:val="es-ES" w:eastAsia="es-ES"/>
        </w:rPr>
      </w:pPr>
      <w:r>
        <w:rPr>
          <w:rFonts w:ascii="Cambria" w:eastAsia="Times New Roman" w:hAnsi="Cambria" w:cstheme="minorHAnsi"/>
          <w:b/>
          <w:bCs/>
          <w:sz w:val="24"/>
          <w:szCs w:val="24"/>
          <w:lang w:val="es-ES" w:eastAsia="es-ES"/>
        </w:rPr>
        <w:t>OBSERVACIONES RECIBIDAS, TEXTO CONSULTADO Y NUEVA VERSIÓN</w:t>
      </w:r>
    </w:p>
    <w:tbl>
      <w:tblPr>
        <w:tblStyle w:val="Tablaconcuadrcula"/>
        <w:tblW w:w="13603" w:type="dxa"/>
        <w:tblLayout w:type="fixed"/>
        <w:tblLook w:val="04A0" w:firstRow="1" w:lastRow="0" w:firstColumn="1" w:lastColumn="0" w:noHBand="0" w:noVBand="1"/>
      </w:tblPr>
      <w:tblGrid>
        <w:gridCol w:w="3680"/>
        <w:gridCol w:w="3119"/>
        <w:gridCol w:w="3119"/>
        <w:gridCol w:w="3685"/>
      </w:tblGrid>
      <w:tr w:rsidR="00BB1A42" w:rsidRPr="001022B7" w14:paraId="6545BFE7" w14:textId="3B80DC4A" w:rsidTr="00157D90">
        <w:trPr>
          <w:tblHeader/>
        </w:trPr>
        <w:tc>
          <w:tcPr>
            <w:tcW w:w="3680" w:type="dxa"/>
            <w:shd w:val="clear" w:color="auto" w:fill="002060"/>
          </w:tcPr>
          <w:p w14:paraId="1F325F43" w14:textId="77777777" w:rsidR="00BB1A42" w:rsidRPr="001022B7" w:rsidRDefault="00BB1A42" w:rsidP="00136A68">
            <w:pPr>
              <w:spacing w:after="0" w:line="240" w:lineRule="auto"/>
              <w:jc w:val="center"/>
              <w:rPr>
                <w:rFonts w:ascii="Cambria" w:hAnsi="Cambria"/>
                <w:b/>
                <w:bCs/>
                <w:color w:val="FFFFFF" w:themeColor="background1"/>
                <w:sz w:val="20"/>
                <w:szCs w:val="20"/>
              </w:rPr>
            </w:pPr>
            <w:r w:rsidRPr="001022B7">
              <w:rPr>
                <w:rFonts w:ascii="Cambria" w:hAnsi="Cambria"/>
                <w:b/>
                <w:bCs/>
                <w:color w:val="FFFFFF" w:themeColor="background1"/>
                <w:sz w:val="20"/>
                <w:szCs w:val="20"/>
              </w:rPr>
              <w:t>Propuesta</w:t>
            </w:r>
          </w:p>
        </w:tc>
        <w:tc>
          <w:tcPr>
            <w:tcW w:w="3119" w:type="dxa"/>
            <w:shd w:val="clear" w:color="auto" w:fill="002060"/>
          </w:tcPr>
          <w:p w14:paraId="6A7D557E" w14:textId="35693E65" w:rsidR="00BB1A42" w:rsidRPr="001022B7" w:rsidRDefault="00BB1A42" w:rsidP="00136A68">
            <w:pPr>
              <w:spacing w:after="0" w:line="240" w:lineRule="auto"/>
              <w:jc w:val="center"/>
              <w:rPr>
                <w:rFonts w:ascii="Cambria" w:hAnsi="Cambria"/>
                <w:b/>
                <w:bCs/>
                <w:color w:val="FFFFFF" w:themeColor="background1"/>
                <w:sz w:val="20"/>
                <w:szCs w:val="20"/>
              </w:rPr>
            </w:pPr>
            <w:r w:rsidRPr="001022B7">
              <w:rPr>
                <w:rFonts w:ascii="Cambria" w:hAnsi="Cambria"/>
                <w:b/>
                <w:bCs/>
                <w:color w:val="FFFFFF" w:themeColor="background1"/>
                <w:sz w:val="20"/>
                <w:szCs w:val="20"/>
              </w:rPr>
              <w:t>Observaciones y Comentarios</w:t>
            </w:r>
          </w:p>
        </w:tc>
        <w:tc>
          <w:tcPr>
            <w:tcW w:w="3119" w:type="dxa"/>
            <w:shd w:val="clear" w:color="auto" w:fill="002060"/>
          </w:tcPr>
          <w:p w14:paraId="598FC917" w14:textId="38D817E0" w:rsidR="00BB1A42" w:rsidRPr="001022B7" w:rsidRDefault="00BB1A42" w:rsidP="00136A68">
            <w:pPr>
              <w:spacing w:after="0" w:line="240" w:lineRule="auto"/>
              <w:jc w:val="center"/>
              <w:rPr>
                <w:rFonts w:ascii="Cambria" w:hAnsi="Cambria"/>
                <w:b/>
                <w:bCs/>
                <w:color w:val="FFFFFF" w:themeColor="background1"/>
                <w:sz w:val="20"/>
                <w:szCs w:val="20"/>
              </w:rPr>
            </w:pPr>
            <w:r w:rsidRPr="001022B7">
              <w:rPr>
                <w:rFonts w:ascii="Cambria" w:hAnsi="Cambria"/>
                <w:b/>
                <w:bCs/>
                <w:color w:val="FFFFFF" w:themeColor="background1"/>
                <w:sz w:val="20"/>
                <w:szCs w:val="20"/>
              </w:rPr>
              <w:t>Comentario Sugese</w:t>
            </w:r>
          </w:p>
        </w:tc>
        <w:tc>
          <w:tcPr>
            <w:tcW w:w="3685" w:type="dxa"/>
            <w:shd w:val="clear" w:color="auto" w:fill="002060"/>
          </w:tcPr>
          <w:p w14:paraId="7C2258C2" w14:textId="00D70520" w:rsidR="00BB1A42" w:rsidRPr="001022B7" w:rsidRDefault="00BB1A42" w:rsidP="00136A68">
            <w:pPr>
              <w:spacing w:after="0" w:line="240" w:lineRule="auto"/>
              <w:jc w:val="center"/>
              <w:rPr>
                <w:rFonts w:ascii="Cambria" w:hAnsi="Cambria"/>
                <w:b/>
                <w:bCs/>
                <w:color w:val="FFFFFF" w:themeColor="background1"/>
                <w:sz w:val="20"/>
                <w:szCs w:val="20"/>
              </w:rPr>
            </w:pPr>
            <w:r w:rsidRPr="001022B7">
              <w:rPr>
                <w:rFonts w:ascii="Cambria" w:hAnsi="Cambria"/>
                <w:b/>
                <w:bCs/>
                <w:color w:val="FFFFFF" w:themeColor="background1"/>
                <w:sz w:val="20"/>
                <w:szCs w:val="20"/>
              </w:rPr>
              <w:t>Texto Final</w:t>
            </w:r>
          </w:p>
        </w:tc>
      </w:tr>
      <w:tr w:rsidR="00BB1A42" w:rsidRPr="001022B7" w14:paraId="14FD3942" w14:textId="3DBD383D" w:rsidTr="00157D90">
        <w:tc>
          <w:tcPr>
            <w:tcW w:w="3680" w:type="dxa"/>
            <w:shd w:val="clear" w:color="auto" w:fill="auto"/>
          </w:tcPr>
          <w:p w14:paraId="49265571" w14:textId="77777777" w:rsidR="00BB1A42" w:rsidRPr="001022B7" w:rsidRDefault="00BB1A42" w:rsidP="00136A68">
            <w:pPr>
              <w:spacing w:after="0" w:line="240" w:lineRule="auto"/>
              <w:jc w:val="center"/>
              <w:rPr>
                <w:rFonts w:ascii="Roboto" w:hAnsi="Roboto"/>
                <w:b/>
                <w:bCs/>
                <w:i/>
                <w:sz w:val="20"/>
                <w:szCs w:val="20"/>
              </w:rPr>
            </w:pPr>
            <w:r w:rsidRPr="001022B7">
              <w:rPr>
                <w:rFonts w:ascii="Roboto" w:hAnsi="Roboto"/>
                <w:b/>
                <w:bCs/>
                <w:i/>
                <w:sz w:val="20"/>
                <w:szCs w:val="20"/>
              </w:rPr>
              <w:t>PROYECTO DE ACUERDO DE SUPERINTENDENTE</w:t>
            </w:r>
          </w:p>
          <w:p w14:paraId="5EA8BEB8" w14:textId="77777777" w:rsidR="00BB1A42" w:rsidRPr="001022B7" w:rsidRDefault="00BB1A42" w:rsidP="00136A68">
            <w:pPr>
              <w:pStyle w:val="Textoindependiente"/>
              <w:spacing w:after="0" w:line="240" w:lineRule="auto"/>
              <w:jc w:val="center"/>
              <w:rPr>
                <w:rFonts w:ascii="Roboto" w:eastAsia="Times New Roman" w:hAnsi="Roboto" w:cs="Times New Roman"/>
                <w:b/>
                <w:bCs/>
                <w:i/>
                <w:sz w:val="20"/>
                <w:szCs w:val="20"/>
                <w:lang w:eastAsia="es-ES"/>
              </w:rPr>
            </w:pPr>
            <w:r w:rsidRPr="001022B7">
              <w:rPr>
                <w:rFonts w:ascii="Roboto" w:eastAsia="Times New Roman" w:hAnsi="Roboto" w:cs="Times New Roman"/>
                <w:b/>
                <w:bCs/>
                <w:i/>
                <w:sz w:val="20"/>
                <w:szCs w:val="20"/>
                <w:lang w:eastAsia="es-ES"/>
              </w:rPr>
              <w:t>SGS-DES-A-XXX-2025</w:t>
            </w:r>
          </w:p>
          <w:p w14:paraId="0AA97D8D" w14:textId="77777777" w:rsidR="00BB1A42" w:rsidRPr="001022B7" w:rsidRDefault="00BB1A42" w:rsidP="00136A68">
            <w:pPr>
              <w:spacing w:after="0" w:line="240" w:lineRule="auto"/>
              <w:rPr>
                <w:rFonts w:ascii="Roboto" w:hAnsi="Roboto"/>
                <w:b/>
                <w:bCs/>
                <w:i/>
                <w:sz w:val="20"/>
                <w:szCs w:val="20"/>
              </w:rPr>
            </w:pPr>
          </w:p>
          <w:p w14:paraId="058B9E6C" w14:textId="16F326DE" w:rsidR="00BB1A42" w:rsidRPr="001022B7" w:rsidRDefault="00BB1A42" w:rsidP="00136A68">
            <w:pPr>
              <w:spacing w:after="0" w:line="240" w:lineRule="auto"/>
              <w:jc w:val="center"/>
              <w:rPr>
                <w:rFonts w:ascii="Roboto" w:hAnsi="Roboto"/>
                <w:b/>
                <w:bCs/>
                <w:i/>
                <w:sz w:val="20"/>
                <w:szCs w:val="20"/>
              </w:rPr>
            </w:pPr>
            <w:r w:rsidRPr="001022B7">
              <w:rPr>
                <w:rFonts w:ascii="Roboto" w:hAnsi="Roboto"/>
                <w:b/>
                <w:bCs/>
                <w:i/>
                <w:sz w:val="20"/>
                <w:szCs w:val="20"/>
              </w:rPr>
              <w:t>MODIFICACIONES ACUERDO SGS-A-021-2013, PARA NORMAR LA REMISIÓN DE LOS INFORMES DE LA INSTANCIA DE ATENCIÓN DEL CONSUMIDOR DE SEGUROS POR PARTE DE LAS ENTIDADES ASEGURADORAS Y CORRECCIÓN DE ERROR MATERIAL EN FÓRMULA DEL RCS-5 EN ANEXO 4</w:t>
            </w:r>
          </w:p>
          <w:p w14:paraId="3151A011" w14:textId="59C99DAA" w:rsidR="00BB1A42" w:rsidRPr="001022B7" w:rsidRDefault="00BB1A42" w:rsidP="00136A68">
            <w:pPr>
              <w:spacing w:after="0" w:line="240" w:lineRule="auto"/>
              <w:jc w:val="both"/>
              <w:rPr>
                <w:rFonts w:ascii="Roboto" w:hAnsi="Roboto"/>
                <w:sz w:val="20"/>
                <w:szCs w:val="20"/>
              </w:rPr>
            </w:pPr>
            <w:r w:rsidRPr="001022B7">
              <w:rPr>
                <w:rFonts w:ascii="Roboto" w:hAnsi="Roboto"/>
                <w:sz w:val="20"/>
                <w:szCs w:val="20"/>
                <w:lang w:val="es-ES_tradnl"/>
              </w:rPr>
              <w:t>El Superintendente General de Seguros a las XXX horas del XXX de XXX del dos mil veinticinco, considerando</w:t>
            </w:r>
            <w:r w:rsidRPr="001022B7">
              <w:rPr>
                <w:rFonts w:ascii="Roboto" w:hAnsi="Roboto"/>
                <w:sz w:val="20"/>
                <w:szCs w:val="20"/>
              </w:rPr>
              <w:t xml:space="preserve"> que:</w:t>
            </w:r>
          </w:p>
        </w:tc>
        <w:tc>
          <w:tcPr>
            <w:tcW w:w="3119" w:type="dxa"/>
            <w:shd w:val="clear" w:color="auto" w:fill="auto"/>
          </w:tcPr>
          <w:p w14:paraId="237685F1"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119" w:type="dxa"/>
          </w:tcPr>
          <w:p w14:paraId="1F236044"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685" w:type="dxa"/>
          </w:tcPr>
          <w:p w14:paraId="50DB9C9A" w14:textId="77777777" w:rsidR="00002020" w:rsidRPr="001022B7" w:rsidRDefault="00002020" w:rsidP="00136A68">
            <w:pPr>
              <w:spacing w:after="0" w:line="240" w:lineRule="auto"/>
              <w:jc w:val="center"/>
              <w:rPr>
                <w:rFonts w:ascii="Roboto" w:hAnsi="Roboto"/>
                <w:b/>
                <w:bCs/>
                <w:i/>
                <w:sz w:val="20"/>
                <w:szCs w:val="20"/>
              </w:rPr>
            </w:pPr>
            <w:r w:rsidRPr="001022B7">
              <w:rPr>
                <w:rFonts w:ascii="Roboto" w:hAnsi="Roboto"/>
                <w:b/>
                <w:bCs/>
                <w:i/>
                <w:sz w:val="20"/>
                <w:szCs w:val="20"/>
              </w:rPr>
              <w:t>PROYECTO DE ACUERDO DE SUPERINTENDENTE</w:t>
            </w:r>
          </w:p>
          <w:p w14:paraId="1413979D" w14:textId="77777777" w:rsidR="00002020" w:rsidRPr="001022B7" w:rsidRDefault="00002020" w:rsidP="00136A68">
            <w:pPr>
              <w:pStyle w:val="Textoindependiente"/>
              <w:spacing w:after="0" w:line="240" w:lineRule="auto"/>
              <w:jc w:val="center"/>
              <w:rPr>
                <w:rFonts w:ascii="Roboto" w:eastAsia="Times New Roman" w:hAnsi="Roboto" w:cs="Times New Roman"/>
                <w:b/>
                <w:bCs/>
                <w:i/>
                <w:sz w:val="20"/>
                <w:szCs w:val="20"/>
                <w:lang w:eastAsia="es-ES"/>
              </w:rPr>
            </w:pPr>
            <w:r w:rsidRPr="001022B7">
              <w:rPr>
                <w:rFonts w:ascii="Roboto" w:eastAsia="Times New Roman" w:hAnsi="Roboto" w:cs="Times New Roman"/>
                <w:b/>
                <w:bCs/>
                <w:i/>
                <w:sz w:val="20"/>
                <w:szCs w:val="20"/>
                <w:lang w:eastAsia="es-ES"/>
              </w:rPr>
              <w:t>SGS-DES-A-XXX-2025</w:t>
            </w:r>
          </w:p>
          <w:p w14:paraId="4EAC2971" w14:textId="77777777" w:rsidR="00002020" w:rsidRPr="001022B7" w:rsidRDefault="00002020" w:rsidP="00136A68">
            <w:pPr>
              <w:spacing w:after="0" w:line="240" w:lineRule="auto"/>
              <w:rPr>
                <w:rFonts w:ascii="Roboto" w:hAnsi="Roboto"/>
                <w:b/>
                <w:bCs/>
                <w:i/>
                <w:sz w:val="20"/>
                <w:szCs w:val="20"/>
              </w:rPr>
            </w:pPr>
          </w:p>
          <w:p w14:paraId="3DBEB1DD" w14:textId="77777777" w:rsidR="00002020" w:rsidRPr="001022B7" w:rsidRDefault="00002020" w:rsidP="00136A68">
            <w:pPr>
              <w:spacing w:after="0" w:line="240" w:lineRule="auto"/>
              <w:jc w:val="center"/>
              <w:rPr>
                <w:rFonts w:ascii="Roboto" w:hAnsi="Roboto"/>
                <w:b/>
                <w:bCs/>
                <w:i/>
                <w:sz w:val="20"/>
                <w:szCs w:val="20"/>
              </w:rPr>
            </w:pPr>
            <w:r w:rsidRPr="001022B7">
              <w:rPr>
                <w:rFonts w:ascii="Roboto" w:hAnsi="Roboto"/>
                <w:b/>
                <w:bCs/>
                <w:i/>
                <w:sz w:val="20"/>
                <w:szCs w:val="20"/>
              </w:rPr>
              <w:t>MODIFICACIONES ACUERDO SGS-A-021-2013, PARA NORMAR LA REMISIÓN DE LOS INFORMES DE LA INSTANCIA DE ATENCIÓN DEL CONSUMIDOR DE SEGUROS POR PARTE DE LAS ENTIDADES ASEGURADORAS Y CORRECCIÓN DE ERROR MATERIAL EN FÓRMULA DEL RCS-5 EN ANEXO 4</w:t>
            </w:r>
          </w:p>
          <w:p w14:paraId="2B30DDF5" w14:textId="57BA2EA5" w:rsidR="00BB1A42" w:rsidRPr="001022B7" w:rsidRDefault="00002020" w:rsidP="00136A68">
            <w:pPr>
              <w:spacing w:after="0" w:line="240" w:lineRule="auto"/>
              <w:jc w:val="both"/>
              <w:rPr>
                <w:rFonts w:ascii="Cambria" w:hAnsi="Cambria"/>
                <w:b/>
                <w:bCs/>
                <w:color w:val="FFFFFF" w:themeColor="background1"/>
                <w:sz w:val="20"/>
                <w:szCs w:val="20"/>
              </w:rPr>
            </w:pPr>
            <w:r w:rsidRPr="001022B7">
              <w:rPr>
                <w:rFonts w:ascii="Roboto" w:hAnsi="Roboto"/>
                <w:sz w:val="20"/>
                <w:szCs w:val="20"/>
                <w:lang w:val="es-ES_tradnl"/>
              </w:rPr>
              <w:t>El Superintendente General de Seguros a las XXX horas del XXX de XXX del dos mil veinticinco, considerando</w:t>
            </w:r>
            <w:r w:rsidRPr="001022B7">
              <w:rPr>
                <w:rFonts w:ascii="Roboto" w:hAnsi="Roboto"/>
                <w:sz w:val="20"/>
                <w:szCs w:val="20"/>
              </w:rPr>
              <w:t xml:space="preserve"> que:</w:t>
            </w:r>
          </w:p>
        </w:tc>
      </w:tr>
      <w:tr w:rsidR="00BB1A42" w:rsidRPr="001022B7" w14:paraId="0ED2B3CE" w14:textId="0FDAC641" w:rsidTr="00157D90">
        <w:tc>
          <w:tcPr>
            <w:tcW w:w="3680" w:type="dxa"/>
            <w:shd w:val="clear" w:color="auto" w:fill="auto"/>
          </w:tcPr>
          <w:p w14:paraId="03B978A9" w14:textId="13CD8D42" w:rsidR="00BB1A42" w:rsidRPr="00136A68" w:rsidRDefault="00136A68" w:rsidP="00136A68">
            <w:pPr>
              <w:spacing w:after="0" w:line="240" w:lineRule="auto"/>
              <w:jc w:val="both"/>
              <w:rPr>
                <w:rFonts w:ascii="Roboto" w:hAnsi="Roboto"/>
                <w:sz w:val="20"/>
                <w:szCs w:val="20"/>
              </w:rPr>
            </w:pPr>
            <w:r w:rsidRPr="00136A68">
              <w:rPr>
                <w:rFonts w:ascii="Roboto" w:hAnsi="Roboto"/>
                <w:sz w:val="20"/>
                <w:szCs w:val="20"/>
              </w:rPr>
              <w:t>1.</w:t>
            </w:r>
            <w:r>
              <w:rPr>
                <w:rFonts w:ascii="Roboto" w:hAnsi="Roboto"/>
                <w:sz w:val="20"/>
                <w:szCs w:val="20"/>
              </w:rPr>
              <w:t xml:space="preserve"> </w:t>
            </w:r>
            <w:r w:rsidR="00BB1A42" w:rsidRPr="00136A68">
              <w:rPr>
                <w:rFonts w:ascii="Roboto" w:hAnsi="Roboto"/>
                <w:sz w:val="20"/>
                <w:szCs w:val="20"/>
              </w:rPr>
              <w:t xml:space="preserve">El artículo 29 de la Ley Reguladora del Mercado de Seguros (en adelante, Ley N° 8653), establece como objetivo de la Superintendencia General de Seguros (SUGESE) “velar por </w:t>
            </w:r>
            <w:r w:rsidR="00BB1A42" w:rsidRPr="00136A68">
              <w:rPr>
                <w:rFonts w:ascii="Roboto" w:hAnsi="Roboto"/>
                <w:sz w:val="20"/>
                <w:szCs w:val="20"/>
              </w:rPr>
              <w:lastRenderedPageBreak/>
              <w:t>la estabilidad y el eficiente funcionamiento del mercado de seguros, así como entregar la más amplia información a los asegurados”. Además, para cumplir el objetivo mencionado, el inciso j) del Artículo 29 de dicha Ley, faculta a la SUGESE para dictar las normas y directrices de carácter técnico u operativo que se requieran.</w:t>
            </w:r>
          </w:p>
          <w:p w14:paraId="4230A97A" w14:textId="77777777" w:rsidR="00BB1A42" w:rsidRPr="001022B7" w:rsidRDefault="00BB1A42" w:rsidP="00136A68">
            <w:pPr>
              <w:spacing w:after="0" w:line="240" w:lineRule="auto"/>
              <w:jc w:val="both"/>
              <w:rPr>
                <w:rFonts w:ascii="Cambria" w:eastAsia="Times New Roman" w:hAnsi="Cambria" w:cstheme="minorHAnsi"/>
                <w:b/>
                <w:bCs/>
                <w:sz w:val="20"/>
                <w:szCs w:val="20"/>
                <w:lang w:eastAsia="es-ES"/>
              </w:rPr>
            </w:pPr>
          </w:p>
        </w:tc>
        <w:tc>
          <w:tcPr>
            <w:tcW w:w="3119" w:type="dxa"/>
            <w:shd w:val="clear" w:color="auto" w:fill="auto"/>
          </w:tcPr>
          <w:p w14:paraId="5FE27C98"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119" w:type="dxa"/>
          </w:tcPr>
          <w:p w14:paraId="56F46130"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685" w:type="dxa"/>
          </w:tcPr>
          <w:p w14:paraId="4C9B4917" w14:textId="4BDA9D6C" w:rsidR="00002020" w:rsidRPr="001022B7" w:rsidRDefault="00002020" w:rsidP="00136A68">
            <w:pPr>
              <w:spacing w:after="0" w:line="240" w:lineRule="auto"/>
              <w:jc w:val="both"/>
              <w:rPr>
                <w:rFonts w:ascii="Roboto" w:hAnsi="Roboto"/>
                <w:b/>
                <w:bCs/>
                <w:iCs/>
                <w:sz w:val="20"/>
                <w:szCs w:val="20"/>
              </w:rPr>
            </w:pPr>
            <w:r w:rsidRPr="001022B7">
              <w:rPr>
                <w:rFonts w:ascii="Roboto" w:hAnsi="Roboto"/>
                <w:b/>
                <w:bCs/>
                <w:sz w:val="20"/>
                <w:szCs w:val="20"/>
              </w:rPr>
              <w:t>1.</w:t>
            </w:r>
            <w:r w:rsidRPr="001022B7">
              <w:rPr>
                <w:rFonts w:ascii="Roboto" w:hAnsi="Roboto"/>
                <w:sz w:val="20"/>
                <w:szCs w:val="20"/>
              </w:rPr>
              <w:t xml:space="preserve"> El artículo 29 de la Ley Reguladora del Mercado de Seguros (en adelante, Ley N° 8653), establece como objetivo de la Superintendencia General de Seguros (SUGESE) </w:t>
            </w:r>
            <w:r w:rsidRPr="001022B7">
              <w:rPr>
                <w:rFonts w:ascii="Roboto" w:hAnsi="Roboto"/>
                <w:i/>
                <w:iCs/>
                <w:sz w:val="20"/>
                <w:szCs w:val="20"/>
              </w:rPr>
              <w:t xml:space="preserve">“velar por la estabilidad y el eficiente funcionamiento </w:t>
            </w:r>
            <w:r w:rsidRPr="001022B7">
              <w:rPr>
                <w:rFonts w:ascii="Roboto" w:hAnsi="Roboto"/>
                <w:i/>
                <w:iCs/>
                <w:sz w:val="20"/>
                <w:szCs w:val="20"/>
              </w:rPr>
              <w:lastRenderedPageBreak/>
              <w:t>del mercado de seguros, así como entregar la más amplia información a los asegurados”</w:t>
            </w:r>
            <w:r w:rsidRPr="001022B7">
              <w:rPr>
                <w:rFonts w:ascii="Roboto" w:hAnsi="Roboto"/>
                <w:sz w:val="20"/>
                <w:szCs w:val="20"/>
              </w:rPr>
              <w:t>. Además, para cumplir el objetivo mencionado, el inciso j) del Artículo 29 de dicha Ley, faculta a la SUGESE para dictar las normas y directrices de carácter técnico u operativo que se requieran.</w:t>
            </w:r>
          </w:p>
          <w:p w14:paraId="78414367" w14:textId="77777777" w:rsidR="00BB1A42" w:rsidRPr="001022B7" w:rsidRDefault="00BB1A42" w:rsidP="00136A68">
            <w:pPr>
              <w:spacing w:after="0" w:line="240" w:lineRule="auto"/>
              <w:jc w:val="both"/>
              <w:rPr>
                <w:rFonts w:ascii="Cambria" w:hAnsi="Cambria"/>
                <w:b/>
                <w:bCs/>
                <w:color w:val="FFFFFF" w:themeColor="background1"/>
                <w:sz w:val="20"/>
                <w:szCs w:val="20"/>
              </w:rPr>
            </w:pPr>
          </w:p>
        </w:tc>
      </w:tr>
      <w:tr w:rsidR="00BB1A42" w:rsidRPr="001022B7" w14:paraId="09FF5BF2" w14:textId="40129FC1" w:rsidTr="00157D90">
        <w:tc>
          <w:tcPr>
            <w:tcW w:w="3680" w:type="dxa"/>
            <w:shd w:val="clear" w:color="auto" w:fill="auto"/>
          </w:tcPr>
          <w:p w14:paraId="71AF8C69" w14:textId="79235E94" w:rsidR="00BB1A42" w:rsidRPr="00136A68" w:rsidRDefault="00136A68" w:rsidP="00136A68">
            <w:pPr>
              <w:pStyle w:val="Prrafodelista"/>
              <w:spacing w:after="0" w:line="240" w:lineRule="auto"/>
              <w:ind w:left="0"/>
              <w:jc w:val="both"/>
              <w:rPr>
                <w:rFonts w:ascii="Roboto" w:hAnsi="Roboto"/>
                <w:b/>
                <w:bCs/>
                <w:iCs/>
                <w:sz w:val="20"/>
                <w:szCs w:val="20"/>
              </w:rPr>
            </w:pPr>
            <w:r>
              <w:rPr>
                <w:rFonts w:ascii="Roboto" w:hAnsi="Roboto"/>
                <w:sz w:val="20"/>
                <w:szCs w:val="20"/>
              </w:rPr>
              <w:lastRenderedPageBreak/>
              <w:t xml:space="preserve">2. </w:t>
            </w:r>
            <w:r w:rsidR="00BB1A42" w:rsidRPr="001022B7">
              <w:rPr>
                <w:rFonts w:ascii="Roboto" w:hAnsi="Roboto"/>
                <w:sz w:val="20"/>
                <w:szCs w:val="20"/>
              </w:rPr>
              <w:t xml:space="preserve">De conformidad con el artículo 25 c) de la Ley N° 8653, las entidades aseguradoras del mercado de seguros están obligadas a proporcionar a la Superintendencia la información correcta y completa, dentro de los plazos y las formalidades requeridos, lo cual se refuerza con lo señalado en el último párrafo del citado artículo que indica: </w:t>
            </w:r>
            <w:r w:rsidR="00BB1A42" w:rsidRPr="001022B7">
              <w:rPr>
                <w:rFonts w:ascii="Roboto" w:hAnsi="Roboto"/>
                <w:i/>
                <w:iCs/>
                <w:sz w:val="20"/>
                <w:szCs w:val="20"/>
              </w:rPr>
              <w:t xml:space="preserve">“Para las obligaciones señaladas en este artículo, el Consejo Nacional y la </w:t>
            </w:r>
            <w:r w:rsidR="00BB1A42" w:rsidRPr="001022B7">
              <w:rPr>
                <w:rFonts w:ascii="Roboto" w:hAnsi="Roboto"/>
                <w:i/>
                <w:iCs/>
                <w:sz w:val="20"/>
                <w:szCs w:val="20"/>
              </w:rPr>
              <w:lastRenderedPageBreak/>
              <w:t>Superintendencia, según corresponda, podrán emitir la normativa necesaria que determine el contenido de las obligaciones, la periodicidad, las condiciones, los formatos, los términos, la operatividad y, en general, cualquier aspecto necesario para su efectivo cumplimiento, supervisión, verificación y sanción en caso de inobservancia.”.</w:t>
            </w:r>
          </w:p>
        </w:tc>
        <w:tc>
          <w:tcPr>
            <w:tcW w:w="3119" w:type="dxa"/>
            <w:shd w:val="clear" w:color="auto" w:fill="auto"/>
          </w:tcPr>
          <w:p w14:paraId="76AA9ABE"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119" w:type="dxa"/>
          </w:tcPr>
          <w:p w14:paraId="25877C71"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685" w:type="dxa"/>
          </w:tcPr>
          <w:p w14:paraId="59BDBFE9" w14:textId="392502D4" w:rsidR="00BB1A42" w:rsidRPr="00136A68" w:rsidRDefault="00DA4D7B" w:rsidP="00136A68">
            <w:pPr>
              <w:spacing w:after="0" w:line="240" w:lineRule="auto"/>
              <w:jc w:val="both"/>
              <w:rPr>
                <w:rFonts w:ascii="Roboto" w:hAnsi="Roboto"/>
                <w:b/>
                <w:bCs/>
                <w:iCs/>
                <w:sz w:val="20"/>
                <w:szCs w:val="20"/>
              </w:rPr>
            </w:pPr>
            <w:r w:rsidRPr="001022B7">
              <w:rPr>
                <w:rFonts w:ascii="Roboto" w:hAnsi="Roboto"/>
                <w:b/>
                <w:bCs/>
                <w:sz w:val="20"/>
                <w:szCs w:val="20"/>
              </w:rPr>
              <w:t>2.</w:t>
            </w:r>
            <w:r w:rsidRPr="001022B7">
              <w:rPr>
                <w:rFonts w:ascii="Roboto" w:hAnsi="Roboto"/>
                <w:sz w:val="20"/>
                <w:szCs w:val="20"/>
              </w:rPr>
              <w:t xml:space="preserve"> D</w:t>
            </w:r>
            <w:r w:rsidR="00002020" w:rsidRPr="001022B7">
              <w:rPr>
                <w:rFonts w:ascii="Roboto" w:hAnsi="Roboto"/>
                <w:sz w:val="20"/>
                <w:szCs w:val="20"/>
              </w:rPr>
              <w:t xml:space="preserve">e conformidad con el artículo 25 c) de la Ley N° 8653, las entidades aseguradoras del mercado de seguros están obligadas a proporcionar a la Superintendencia la información correcta y completa, dentro de los plazos y las formalidades requeridos, lo cual se refuerza con lo señalado en el último párrafo del citado artículo que indica: </w:t>
            </w:r>
            <w:r w:rsidR="00002020" w:rsidRPr="001022B7">
              <w:rPr>
                <w:rFonts w:ascii="Roboto" w:hAnsi="Roboto"/>
                <w:i/>
                <w:iCs/>
                <w:sz w:val="20"/>
                <w:szCs w:val="20"/>
              </w:rPr>
              <w:t xml:space="preserve">“Para las obligaciones señaladas en este artículo, el Consejo Nacional y la Superintendencia, según corresponda, podrán emitir la normativa necesaria que </w:t>
            </w:r>
            <w:r w:rsidR="00002020" w:rsidRPr="001022B7">
              <w:rPr>
                <w:rFonts w:ascii="Roboto" w:hAnsi="Roboto"/>
                <w:i/>
                <w:iCs/>
                <w:sz w:val="20"/>
                <w:szCs w:val="20"/>
              </w:rPr>
              <w:lastRenderedPageBreak/>
              <w:t>determine el contenido de las obligaciones, la periodicidad, las condiciones, los formatos, los términos, la operatividad y, en general, cualquier aspecto necesario para su efectivo cumplimiento, supervisión, verificación y sanción en caso de inobservancia.”.</w:t>
            </w:r>
          </w:p>
        </w:tc>
      </w:tr>
      <w:tr w:rsidR="00BB1A42" w:rsidRPr="001022B7" w14:paraId="16030E69" w14:textId="71A8CB47" w:rsidTr="00157D90">
        <w:trPr>
          <w:trHeight w:val="422"/>
        </w:trPr>
        <w:tc>
          <w:tcPr>
            <w:tcW w:w="3680" w:type="dxa"/>
            <w:shd w:val="clear" w:color="auto" w:fill="auto"/>
          </w:tcPr>
          <w:p w14:paraId="0AC22AE5" w14:textId="2763B8AE" w:rsidR="00BB1A42" w:rsidRPr="00136A68" w:rsidRDefault="00136A68" w:rsidP="00136A68">
            <w:pPr>
              <w:spacing w:after="0" w:line="240" w:lineRule="auto"/>
              <w:jc w:val="both"/>
              <w:rPr>
                <w:rFonts w:ascii="Roboto" w:hAnsi="Roboto"/>
                <w:sz w:val="20"/>
                <w:szCs w:val="20"/>
              </w:rPr>
            </w:pPr>
            <w:r>
              <w:rPr>
                <w:rFonts w:ascii="Roboto" w:hAnsi="Roboto"/>
                <w:sz w:val="20"/>
                <w:szCs w:val="20"/>
              </w:rPr>
              <w:lastRenderedPageBreak/>
              <w:t xml:space="preserve">3. </w:t>
            </w:r>
            <w:r w:rsidR="00BB1A42" w:rsidRPr="00136A68">
              <w:rPr>
                <w:rFonts w:ascii="Roboto" w:hAnsi="Roboto"/>
                <w:sz w:val="20"/>
                <w:szCs w:val="20"/>
              </w:rPr>
              <w:t>De conformidad con el artículo 25 inciso n) y el artículo 29 inciso n), ambos de la Ley N° 8653, las entidades aseguradoras deben contar con una instancia de atención del consumidor de seguros, con el objeto de atender y resolver las quejas y reclamaciones que le sean presentadas por parte de consumidores de seguros, provenientes de las instancias operativas de la entidad y sus vinculadas.</w:t>
            </w:r>
          </w:p>
        </w:tc>
        <w:tc>
          <w:tcPr>
            <w:tcW w:w="3119" w:type="dxa"/>
            <w:shd w:val="clear" w:color="auto" w:fill="auto"/>
          </w:tcPr>
          <w:p w14:paraId="55F43E33"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119" w:type="dxa"/>
          </w:tcPr>
          <w:p w14:paraId="738B4984"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685" w:type="dxa"/>
          </w:tcPr>
          <w:p w14:paraId="5C9410B9" w14:textId="1C6CA88C" w:rsidR="00DA4D7B" w:rsidRPr="001022B7" w:rsidRDefault="00DA4D7B" w:rsidP="00136A68">
            <w:pPr>
              <w:spacing w:after="0" w:line="240" w:lineRule="auto"/>
              <w:jc w:val="both"/>
              <w:rPr>
                <w:rFonts w:ascii="Roboto" w:hAnsi="Roboto"/>
                <w:sz w:val="20"/>
                <w:szCs w:val="20"/>
              </w:rPr>
            </w:pPr>
            <w:r w:rsidRPr="001022B7">
              <w:rPr>
                <w:rFonts w:ascii="Roboto" w:hAnsi="Roboto"/>
                <w:b/>
                <w:bCs/>
                <w:sz w:val="20"/>
                <w:szCs w:val="20"/>
              </w:rPr>
              <w:t>3.</w:t>
            </w:r>
            <w:r w:rsidRPr="001022B7">
              <w:rPr>
                <w:rFonts w:ascii="Roboto" w:hAnsi="Roboto"/>
                <w:sz w:val="20"/>
                <w:szCs w:val="20"/>
              </w:rPr>
              <w:t xml:space="preserve"> De conformidad con el artículo 25 inciso n) y el artículo 29 inciso n), ambos de la Ley N° 8653, las entidades aseguradoras deben contar con una instancia de atención del consumidor de seguros, con el objeto de atender y resolver las quejas y reclamaciones que le sean presentadas por parte de consumidores de seguros, provenientes de las instancias operativas de la entidad y sus vinculadas.</w:t>
            </w:r>
          </w:p>
          <w:p w14:paraId="41904E5B" w14:textId="77777777" w:rsidR="00BB1A42" w:rsidRPr="001022B7" w:rsidRDefault="00BB1A42" w:rsidP="00136A68">
            <w:pPr>
              <w:spacing w:after="0" w:line="240" w:lineRule="auto"/>
              <w:jc w:val="both"/>
              <w:rPr>
                <w:rFonts w:ascii="Cambria" w:hAnsi="Cambria"/>
                <w:b/>
                <w:bCs/>
                <w:color w:val="FFFFFF" w:themeColor="background1"/>
                <w:sz w:val="20"/>
                <w:szCs w:val="20"/>
              </w:rPr>
            </w:pPr>
          </w:p>
        </w:tc>
      </w:tr>
      <w:tr w:rsidR="00BB1A42" w:rsidRPr="001022B7" w14:paraId="46BAA479" w14:textId="75496A83" w:rsidTr="00157D90">
        <w:trPr>
          <w:trHeight w:val="2256"/>
        </w:trPr>
        <w:tc>
          <w:tcPr>
            <w:tcW w:w="3680" w:type="dxa"/>
            <w:shd w:val="clear" w:color="auto" w:fill="auto"/>
          </w:tcPr>
          <w:p w14:paraId="556FA567" w14:textId="4767CB0F" w:rsidR="00BB1A42" w:rsidRPr="00136A68" w:rsidRDefault="00136A68" w:rsidP="00136A68">
            <w:pPr>
              <w:spacing w:after="0" w:line="240" w:lineRule="auto"/>
              <w:jc w:val="both"/>
              <w:rPr>
                <w:rFonts w:ascii="Roboto" w:hAnsi="Roboto"/>
                <w:sz w:val="20"/>
                <w:szCs w:val="20"/>
              </w:rPr>
            </w:pPr>
            <w:r>
              <w:rPr>
                <w:rFonts w:ascii="Roboto" w:hAnsi="Roboto"/>
                <w:sz w:val="20"/>
                <w:szCs w:val="20"/>
              </w:rPr>
              <w:t xml:space="preserve">4. </w:t>
            </w:r>
            <w:r w:rsidR="00BB1A42" w:rsidRPr="00136A68">
              <w:rPr>
                <w:rFonts w:ascii="Roboto" w:hAnsi="Roboto"/>
                <w:sz w:val="20"/>
                <w:szCs w:val="20"/>
              </w:rPr>
              <w:t>El artículo 13 del Reglamento de Defensa y Protección del Consumidor de Seguros (Acuerdo Sugese 06-13), dispuso la creación de la citada instancia de atención del consumidor de seguros de conformidad con lo dispuesto en la Ley N° 8653, a efectos de proteger los intereses del asegurado o beneficiario de un seguro.</w:t>
            </w:r>
          </w:p>
        </w:tc>
        <w:tc>
          <w:tcPr>
            <w:tcW w:w="3119" w:type="dxa"/>
            <w:shd w:val="clear" w:color="auto" w:fill="auto"/>
          </w:tcPr>
          <w:p w14:paraId="37294EA3"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119" w:type="dxa"/>
          </w:tcPr>
          <w:p w14:paraId="1C882A77"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685" w:type="dxa"/>
          </w:tcPr>
          <w:p w14:paraId="2ED1C8E9" w14:textId="40774CA9" w:rsidR="00BB1A42" w:rsidRPr="00136A68" w:rsidRDefault="00DA4D7B" w:rsidP="00136A68">
            <w:pPr>
              <w:spacing w:after="0" w:line="240" w:lineRule="auto"/>
              <w:jc w:val="both"/>
              <w:rPr>
                <w:rFonts w:ascii="Roboto" w:hAnsi="Roboto"/>
                <w:sz w:val="20"/>
                <w:szCs w:val="20"/>
              </w:rPr>
            </w:pPr>
            <w:r w:rsidRPr="001022B7">
              <w:rPr>
                <w:rFonts w:ascii="Roboto" w:hAnsi="Roboto"/>
                <w:b/>
                <w:bCs/>
                <w:sz w:val="20"/>
                <w:szCs w:val="20"/>
              </w:rPr>
              <w:t>4.</w:t>
            </w:r>
            <w:r w:rsidRPr="001022B7">
              <w:rPr>
                <w:rFonts w:ascii="Roboto" w:hAnsi="Roboto"/>
                <w:sz w:val="20"/>
                <w:szCs w:val="20"/>
              </w:rPr>
              <w:t xml:space="preserve"> El artículo 13 del Reglamento de Defensa y Protección del Consumidor de Seguros (Acuerdo Sugese 06-13), dispuso la creación de la citada instancia de atención del consumidor de seguros de conformidad con lo dispuesto en la Ley N° 8653, a efectos de proteger los intereses del asegurado o beneficiario de un seguro.</w:t>
            </w:r>
          </w:p>
        </w:tc>
      </w:tr>
      <w:tr w:rsidR="00BB1A42" w:rsidRPr="001022B7" w14:paraId="12518AC1" w14:textId="66AB1444" w:rsidTr="00157D90">
        <w:trPr>
          <w:trHeight w:val="2024"/>
        </w:trPr>
        <w:tc>
          <w:tcPr>
            <w:tcW w:w="3680" w:type="dxa"/>
            <w:shd w:val="clear" w:color="auto" w:fill="auto"/>
          </w:tcPr>
          <w:p w14:paraId="2B5D142F" w14:textId="05A3F3B1" w:rsidR="00BB1A42" w:rsidRPr="00157D90" w:rsidRDefault="00136A68" w:rsidP="00157D90">
            <w:pPr>
              <w:spacing w:after="0" w:line="240" w:lineRule="auto"/>
              <w:jc w:val="both"/>
              <w:rPr>
                <w:rFonts w:ascii="Roboto" w:hAnsi="Roboto"/>
                <w:sz w:val="20"/>
                <w:szCs w:val="20"/>
              </w:rPr>
            </w:pPr>
            <w:r>
              <w:rPr>
                <w:rFonts w:ascii="Roboto" w:hAnsi="Roboto"/>
                <w:sz w:val="20"/>
                <w:szCs w:val="20"/>
              </w:rPr>
              <w:t xml:space="preserve">5. </w:t>
            </w:r>
            <w:r w:rsidR="00BB1A42" w:rsidRPr="00136A68">
              <w:rPr>
                <w:rFonts w:ascii="Roboto" w:hAnsi="Roboto"/>
                <w:sz w:val="20"/>
                <w:szCs w:val="20"/>
              </w:rPr>
              <w:t>El artículo 16 del Acuerdo Sugese 06-13 citado, establece la obligación por parte de las entidades aseguradoras de rendir cuentas de su gestión de atención al consumidor, mediante la emisión de un informe trimestral de carácter público, que deberá ser presentado ante la SUGESE.</w:t>
            </w:r>
          </w:p>
        </w:tc>
        <w:tc>
          <w:tcPr>
            <w:tcW w:w="3119" w:type="dxa"/>
            <w:shd w:val="clear" w:color="auto" w:fill="auto"/>
          </w:tcPr>
          <w:p w14:paraId="2CDC1655"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119" w:type="dxa"/>
          </w:tcPr>
          <w:p w14:paraId="4C356E9C"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685" w:type="dxa"/>
          </w:tcPr>
          <w:p w14:paraId="2B348EA9" w14:textId="78668704" w:rsidR="00DA4D7B" w:rsidRPr="001022B7" w:rsidRDefault="00DA4D7B" w:rsidP="00136A68">
            <w:pPr>
              <w:spacing w:after="0" w:line="240" w:lineRule="auto"/>
              <w:jc w:val="both"/>
              <w:rPr>
                <w:rFonts w:ascii="Roboto" w:hAnsi="Roboto"/>
                <w:sz w:val="20"/>
                <w:szCs w:val="20"/>
              </w:rPr>
            </w:pPr>
            <w:r w:rsidRPr="001022B7">
              <w:rPr>
                <w:rFonts w:ascii="Roboto" w:hAnsi="Roboto"/>
                <w:b/>
                <w:bCs/>
                <w:sz w:val="20"/>
                <w:szCs w:val="20"/>
              </w:rPr>
              <w:t>5.</w:t>
            </w:r>
            <w:r w:rsidRPr="001022B7">
              <w:rPr>
                <w:rFonts w:ascii="Roboto" w:hAnsi="Roboto"/>
                <w:sz w:val="20"/>
                <w:szCs w:val="20"/>
              </w:rPr>
              <w:t xml:space="preserve"> El artículo 16 del Acuerdo Sugese 06-13 citado, establece la obligación por parte de las entidades aseguradoras de rendir cuentas de su gestión de atención al consumidor, mediante la emisión de un informe trimestral de carácter público, que deberá ser presentado ante la SUGESE.</w:t>
            </w:r>
          </w:p>
          <w:p w14:paraId="38E144D1" w14:textId="77777777" w:rsidR="00BB1A42" w:rsidRPr="001022B7" w:rsidRDefault="00BB1A42" w:rsidP="00136A68">
            <w:pPr>
              <w:spacing w:after="0" w:line="240" w:lineRule="auto"/>
              <w:jc w:val="both"/>
              <w:rPr>
                <w:rFonts w:ascii="Cambria" w:hAnsi="Cambria"/>
                <w:b/>
                <w:bCs/>
                <w:color w:val="FFFFFF" w:themeColor="background1"/>
                <w:sz w:val="20"/>
                <w:szCs w:val="20"/>
              </w:rPr>
            </w:pPr>
          </w:p>
        </w:tc>
      </w:tr>
      <w:tr w:rsidR="00BB1A42" w:rsidRPr="001022B7" w14:paraId="2719AAA0" w14:textId="7E3B6D1B" w:rsidTr="00157D90">
        <w:tc>
          <w:tcPr>
            <w:tcW w:w="3680" w:type="dxa"/>
            <w:shd w:val="clear" w:color="auto" w:fill="auto"/>
          </w:tcPr>
          <w:p w14:paraId="094370E8" w14:textId="37E01F25" w:rsidR="00BB1A42" w:rsidRPr="00157D90" w:rsidRDefault="00157D90" w:rsidP="00157D90">
            <w:pPr>
              <w:spacing w:after="0" w:line="240" w:lineRule="auto"/>
              <w:jc w:val="both"/>
              <w:rPr>
                <w:rFonts w:ascii="Roboto" w:hAnsi="Roboto"/>
                <w:sz w:val="20"/>
                <w:szCs w:val="20"/>
              </w:rPr>
            </w:pPr>
            <w:r>
              <w:rPr>
                <w:rFonts w:ascii="Roboto" w:hAnsi="Roboto"/>
                <w:sz w:val="20"/>
                <w:szCs w:val="20"/>
              </w:rPr>
              <w:t xml:space="preserve">6. </w:t>
            </w:r>
            <w:r w:rsidR="00BB1A42" w:rsidRPr="00157D90">
              <w:rPr>
                <w:rFonts w:ascii="Roboto" w:hAnsi="Roboto"/>
                <w:sz w:val="20"/>
                <w:szCs w:val="20"/>
              </w:rPr>
              <w:t xml:space="preserve">Mediante oficio </w:t>
            </w:r>
            <w:r w:rsidR="00BB1A42" w:rsidRPr="00157D90">
              <w:rPr>
                <w:rFonts w:ascii="Roboto" w:hAnsi="Roboto" w:cs="Arial"/>
                <w:sz w:val="20"/>
                <w:szCs w:val="20"/>
              </w:rPr>
              <w:t xml:space="preserve">SGS-DES-O-1545-2014 del 4 de octubre de 2014, </w:t>
            </w:r>
            <w:r w:rsidR="00BB1A42" w:rsidRPr="00157D90">
              <w:rPr>
                <w:rFonts w:ascii="Roboto" w:hAnsi="Roboto"/>
                <w:sz w:val="20"/>
                <w:szCs w:val="20"/>
              </w:rPr>
              <w:t>la Superintendencia estableció reglas operativas relacionadas con la presentación de los informes trimestrales relacionados con la gestión de las instancias de atención del consumidor de seguros.</w:t>
            </w:r>
          </w:p>
        </w:tc>
        <w:tc>
          <w:tcPr>
            <w:tcW w:w="3119" w:type="dxa"/>
            <w:shd w:val="clear" w:color="auto" w:fill="auto"/>
          </w:tcPr>
          <w:p w14:paraId="7B4F2A60"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119" w:type="dxa"/>
          </w:tcPr>
          <w:p w14:paraId="48D59BA5"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685" w:type="dxa"/>
          </w:tcPr>
          <w:p w14:paraId="6448919C" w14:textId="4BFA4249" w:rsidR="00DA4D7B" w:rsidRPr="001022B7" w:rsidRDefault="00DA4D7B" w:rsidP="00136A68">
            <w:pPr>
              <w:spacing w:after="0" w:line="240" w:lineRule="auto"/>
              <w:jc w:val="both"/>
              <w:rPr>
                <w:rFonts w:ascii="Roboto" w:hAnsi="Roboto"/>
                <w:sz w:val="20"/>
                <w:szCs w:val="20"/>
              </w:rPr>
            </w:pPr>
            <w:r w:rsidRPr="001022B7">
              <w:rPr>
                <w:rFonts w:ascii="Roboto" w:hAnsi="Roboto"/>
                <w:b/>
                <w:bCs/>
                <w:sz w:val="20"/>
                <w:szCs w:val="20"/>
              </w:rPr>
              <w:t>6.</w:t>
            </w:r>
            <w:r w:rsidRPr="001022B7">
              <w:rPr>
                <w:rFonts w:ascii="Roboto" w:hAnsi="Roboto"/>
                <w:sz w:val="20"/>
                <w:szCs w:val="20"/>
              </w:rPr>
              <w:t xml:space="preserve"> Mediante oficio </w:t>
            </w:r>
            <w:r w:rsidRPr="001022B7">
              <w:rPr>
                <w:rFonts w:ascii="Roboto" w:hAnsi="Roboto" w:cs="Arial"/>
                <w:sz w:val="20"/>
                <w:szCs w:val="20"/>
              </w:rPr>
              <w:t xml:space="preserve">SGS-DES-O-1545-2014 del 4 de octubre de 2014, </w:t>
            </w:r>
            <w:r w:rsidRPr="001022B7">
              <w:rPr>
                <w:rFonts w:ascii="Roboto" w:hAnsi="Roboto"/>
                <w:sz w:val="20"/>
                <w:szCs w:val="20"/>
              </w:rPr>
              <w:t>la Superintendencia estableció reglas operativas relacionadas con la presentación de los informes trimestrales relacionados con la gestión de las instancias de atención del consumidor de seguros.</w:t>
            </w:r>
          </w:p>
          <w:p w14:paraId="45C0E614" w14:textId="77777777" w:rsidR="00BB1A42" w:rsidRPr="001022B7" w:rsidRDefault="00BB1A42" w:rsidP="00136A68">
            <w:pPr>
              <w:spacing w:after="0" w:line="240" w:lineRule="auto"/>
              <w:jc w:val="both"/>
              <w:rPr>
                <w:rFonts w:ascii="Cambria" w:hAnsi="Cambria"/>
                <w:b/>
                <w:bCs/>
                <w:color w:val="FFFFFF" w:themeColor="background1"/>
                <w:sz w:val="20"/>
                <w:szCs w:val="20"/>
              </w:rPr>
            </w:pPr>
          </w:p>
        </w:tc>
      </w:tr>
      <w:tr w:rsidR="00BB1A42" w:rsidRPr="001022B7" w14:paraId="05E60A0B" w14:textId="4013B26E" w:rsidTr="00157D90">
        <w:tc>
          <w:tcPr>
            <w:tcW w:w="3680" w:type="dxa"/>
            <w:shd w:val="clear" w:color="auto" w:fill="auto"/>
          </w:tcPr>
          <w:p w14:paraId="1B266FAF" w14:textId="25B1F547" w:rsidR="00BB1A42" w:rsidRPr="00157D90" w:rsidRDefault="00157D90" w:rsidP="00157D90">
            <w:pPr>
              <w:spacing w:after="0" w:line="240" w:lineRule="auto"/>
              <w:jc w:val="both"/>
              <w:rPr>
                <w:rFonts w:ascii="Roboto" w:hAnsi="Roboto"/>
                <w:sz w:val="20"/>
                <w:szCs w:val="20"/>
              </w:rPr>
            </w:pPr>
            <w:r>
              <w:rPr>
                <w:rFonts w:ascii="Roboto" w:hAnsi="Roboto"/>
                <w:sz w:val="20"/>
                <w:szCs w:val="20"/>
              </w:rPr>
              <w:t xml:space="preserve">7. </w:t>
            </w:r>
            <w:r w:rsidR="00BB1A42" w:rsidRPr="00157D90">
              <w:rPr>
                <w:rFonts w:ascii="Roboto" w:hAnsi="Roboto"/>
                <w:sz w:val="20"/>
                <w:szCs w:val="20"/>
              </w:rPr>
              <w:t xml:space="preserve">Los Principios Básicos de Seguros, emitidos por la Asociación Internacional de Supervisores de Seguros (IAIS por sus siglas en inglés) en 2019, establecen, como parte de las precondiciones establecidas para un sistema de supervisión efectivo, entre otras, el contar con </w:t>
            </w:r>
            <w:r w:rsidR="00BB1A42" w:rsidRPr="00157D90">
              <w:rPr>
                <w:rFonts w:ascii="Roboto" w:hAnsi="Roboto"/>
                <w:i/>
                <w:sz w:val="20"/>
                <w:szCs w:val="20"/>
              </w:rPr>
              <w:t>“…una infraestructura pública bien desarrollada…”</w:t>
            </w:r>
            <w:r w:rsidR="00BB1A42" w:rsidRPr="00157D90">
              <w:rPr>
                <w:rFonts w:ascii="Roboto" w:hAnsi="Roboto"/>
                <w:sz w:val="20"/>
                <w:szCs w:val="20"/>
              </w:rPr>
              <w:t xml:space="preserve">, así como el </w:t>
            </w:r>
            <w:r w:rsidR="00BB1A42" w:rsidRPr="00157D90">
              <w:rPr>
                <w:rFonts w:ascii="Roboto" w:hAnsi="Roboto"/>
                <w:sz w:val="20"/>
                <w:szCs w:val="20"/>
              </w:rPr>
              <w:lastRenderedPageBreak/>
              <w:t xml:space="preserve">contar con </w:t>
            </w:r>
            <w:r w:rsidR="00BB1A42" w:rsidRPr="00157D90">
              <w:rPr>
                <w:rFonts w:ascii="Roboto" w:hAnsi="Roboto"/>
                <w:i/>
                <w:iCs/>
                <w:sz w:val="20"/>
                <w:szCs w:val="20"/>
              </w:rPr>
              <w:t>“mecanismos para proporcionar un nivel adecuado de protección”</w:t>
            </w:r>
            <w:r w:rsidR="00BB1A42" w:rsidRPr="00157D90">
              <w:rPr>
                <w:rFonts w:ascii="Roboto" w:hAnsi="Roboto"/>
                <w:sz w:val="20"/>
                <w:szCs w:val="20"/>
              </w:rPr>
              <w:t xml:space="preserve">. Adicionalmente, el enfoque de supervisión establecido en el Principio Básico de Seguros No. 19 sobre “Conducta de Negocio”, actualizado por IAIS en noviembre de 2017, requiere que el supervisor tenga pleno conocimiento del alcance y escala de los riesgos que tienen una incidencia directa en la obtención de los resultados para el consumidor, generados por el trato justo y equitativo del consumidor durante todas las etapas del ciclo de vida del producto de seguros. Lo anterior con el objetivo de que dichos resultados sean recibidos efectivamente por el consumidor y se genere una </w:t>
            </w:r>
            <w:r w:rsidR="00BB1A42" w:rsidRPr="00157D90">
              <w:rPr>
                <w:rFonts w:ascii="Roboto" w:hAnsi="Roboto"/>
                <w:sz w:val="20"/>
                <w:szCs w:val="20"/>
              </w:rPr>
              <w:lastRenderedPageBreak/>
              <w:t>mayor confianza en el mercado de manera integral.</w:t>
            </w:r>
          </w:p>
          <w:p w14:paraId="54868617" w14:textId="77777777" w:rsidR="00BB1A42" w:rsidRPr="001022B7" w:rsidRDefault="00BB1A42" w:rsidP="00136A68">
            <w:pPr>
              <w:pStyle w:val="Prrafodelista"/>
              <w:spacing w:after="0" w:line="240" w:lineRule="auto"/>
              <w:jc w:val="both"/>
              <w:rPr>
                <w:rFonts w:ascii="Roboto" w:hAnsi="Roboto"/>
                <w:sz w:val="20"/>
                <w:szCs w:val="20"/>
              </w:rPr>
            </w:pPr>
          </w:p>
        </w:tc>
        <w:tc>
          <w:tcPr>
            <w:tcW w:w="3119" w:type="dxa"/>
            <w:shd w:val="clear" w:color="auto" w:fill="auto"/>
          </w:tcPr>
          <w:p w14:paraId="47D307FB"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119" w:type="dxa"/>
          </w:tcPr>
          <w:p w14:paraId="4EB0F037"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685" w:type="dxa"/>
          </w:tcPr>
          <w:p w14:paraId="21F01ABC" w14:textId="096B0A07" w:rsidR="00DA4D7B" w:rsidRPr="001022B7" w:rsidRDefault="00DA4D7B" w:rsidP="00136A68">
            <w:pPr>
              <w:spacing w:after="0" w:line="240" w:lineRule="auto"/>
              <w:jc w:val="both"/>
              <w:rPr>
                <w:rFonts w:ascii="Roboto" w:hAnsi="Roboto"/>
                <w:sz w:val="20"/>
                <w:szCs w:val="20"/>
              </w:rPr>
            </w:pPr>
            <w:r w:rsidRPr="001022B7">
              <w:rPr>
                <w:rFonts w:ascii="Roboto" w:hAnsi="Roboto"/>
                <w:b/>
                <w:bCs/>
                <w:sz w:val="20"/>
                <w:szCs w:val="20"/>
              </w:rPr>
              <w:t>7.</w:t>
            </w:r>
            <w:r w:rsidRPr="001022B7">
              <w:rPr>
                <w:rFonts w:ascii="Roboto" w:hAnsi="Roboto"/>
                <w:sz w:val="20"/>
                <w:szCs w:val="20"/>
              </w:rPr>
              <w:t xml:space="preserve"> Los Principios Básicos de Seguros, emitidos por la Asociación Internacional de Supervisores de Seguros (IAIS por sus siglas en inglés) en 2019, establecen, como parte de las precondiciones establecidas para un sistema de supervisión efectivo, entre otras, el contar con </w:t>
            </w:r>
            <w:r w:rsidRPr="001022B7">
              <w:rPr>
                <w:rFonts w:ascii="Roboto" w:hAnsi="Roboto"/>
                <w:i/>
                <w:sz w:val="20"/>
                <w:szCs w:val="20"/>
              </w:rPr>
              <w:t>“…una infraestructura pública bien desarrollada…”</w:t>
            </w:r>
            <w:r w:rsidRPr="001022B7">
              <w:rPr>
                <w:rFonts w:ascii="Roboto" w:hAnsi="Roboto"/>
                <w:sz w:val="20"/>
                <w:szCs w:val="20"/>
              </w:rPr>
              <w:t xml:space="preserve">, así como el contar con </w:t>
            </w:r>
            <w:r w:rsidRPr="001022B7">
              <w:rPr>
                <w:rFonts w:ascii="Roboto" w:hAnsi="Roboto"/>
                <w:i/>
                <w:iCs/>
                <w:sz w:val="20"/>
                <w:szCs w:val="20"/>
              </w:rPr>
              <w:t>“mecanismos para proporcionar un nivel adecuado de protección”</w:t>
            </w:r>
            <w:r w:rsidRPr="001022B7">
              <w:rPr>
                <w:rFonts w:ascii="Roboto" w:hAnsi="Roboto"/>
                <w:sz w:val="20"/>
                <w:szCs w:val="20"/>
              </w:rPr>
              <w:t xml:space="preserve">. </w:t>
            </w:r>
            <w:r w:rsidRPr="001022B7">
              <w:rPr>
                <w:rFonts w:ascii="Roboto" w:hAnsi="Roboto"/>
                <w:sz w:val="20"/>
                <w:szCs w:val="20"/>
              </w:rPr>
              <w:lastRenderedPageBreak/>
              <w:t>Adicionalmente, el enfoque de supervisión establecido en el Principio Básico de Seguros No. 19 sobre “Conducta de Negocio”, actualizado por IAIS en noviembre de 2017, requiere que el supervisor tenga pleno conocimiento del alcance y escala de los riesgos que tienen una incidencia directa en la obtención de los resultados para el consumidor, generados por el trato justo y equitativo del consumidor durante todas las etapas del ciclo de vida del producto de seguros. Lo anterior con el objetivo de que dichos resultados sean recibidos efectivamente por el consumidor y se genere una mayor confianza en el mercado de manera integral.</w:t>
            </w:r>
          </w:p>
          <w:p w14:paraId="74FC480B" w14:textId="77777777" w:rsidR="00BB1A42" w:rsidRPr="001022B7" w:rsidRDefault="00BB1A42" w:rsidP="00136A68">
            <w:pPr>
              <w:spacing w:after="0" w:line="240" w:lineRule="auto"/>
              <w:jc w:val="both"/>
              <w:rPr>
                <w:rFonts w:ascii="Cambria" w:hAnsi="Cambria"/>
                <w:b/>
                <w:bCs/>
                <w:color w:val="FFFFFF" w:themeColor="background1"/>
                <w:sz w:val="20"/>
                <w:szCs w:val="20"/>
              </w:rPr>
            </w:pPr>
          </w:p>
        </w:tc>
      </w:tr>
      <w:tr w:rsidR="00BB1A42" w:rsidRPr="001022B7" w14:paraId="054113D6" w14:textId="4B34832E" w:rsidTr="00157D90">
        <w:trPr>
          <w:trHeight w:val="461"/>
        </w:trPr>
        <w:tc>
          <w:tcPr>
            <w:tcW w:w="3680" w:type="dxa"/>
            <w:shd w:val="clear" w:color="auto" w:fill="auto"/>
          </w:tcPr>
          <w:p w14:paraId="5597981D" w14:textId="2BF291FA" w:rsidR="00BB1A42" w:rsidRPr="00157D90" w:rsidRDefault="00157D90" w:rsidP="00157D90">
            <w:pPr>
              <w:spacing w:after="0" w:line="240" w:lineRule="auto"/>
              <w:jc w:val="both"/>
              <w:rPr>
                <w:rFonts w:ascii="Roboto" w:hAnsi="Roboto"/>
                <w:sz w:val="20"/>
                <w:szCs w:val="20"/>
              </w:rPr>
            </w:pPr>
            <w:r>
              <w:rPr>
                <w:rFonts w:ascii="Roboto" w:hAnsi="Roboto"/>
                <w:sz w:val="20"/>
                <w:szCs w:val="20"/>
              </w:rPr>
              <w:lastRenderedPageBreak/>
              <w:t xml:space="preserve">8. </w:t>
            </w:r>
            <w:r w:rsidR="00BB1A42" w:rsidRPr="00157D90">
              <w:rPr>
                <w:rFonts w:ascii="Roboto" w:hAnsi="Roboto"/>
                <w:sz w:val="20"/>
                <w:szCs w:val="20"/>
              </w:rPr>
              <w:t xml:space="preserve">De manera complementaria a lo anterior, el Principio Básico de Seguros No. 20 sobre “Divulgación de Información”, establece la necesidad de que el Supervisor requiera a las </w:t>
            </w:r>
            <w:r w:rsidR="00BB1A42" w:rsidRPr="00157D90">
              <w:rPr>
                <w:rFonts w:ascii="Roboto" w:hAnsi="Roboto"/>
                <w:i/>
                <w:iCs/>
                <w:sz w:val="20"/>
                <w:szCs w:val="20"/>
              </w:rPr>
              <w:t>“</w:t>
            </w:r>
            <w:r w:rsidR="00BB1A42" w:rsidRPr="00157D90">
              <w:rPr>
                <w:rFonts w:ascii="Roboto" w:hAnsi="Roboto" w:cs="Tahoma"/>
                <w:i/>
                <w:iCs/>
                <w:sz w:val="20"/>
                <w:szCs w:val="20"/>
              </w:rPr>
              <w:t>aseguradoras que divulguen información relevante y exhaustiva en el momento oportuno con el fin de ofrecer a los tomadores de seguros y a los participantes del mercado una visión clara”</w:t>
            </w:r>
            <w:r w:rsidR="00BB1A42" w:rsidRPr="00157D90">
              <w:rPr>
                <w:rFonts w:ascii="Roboto" w:hAnsi="Roboto" w:cs="Tahoma"/>
                <w:sz w:val="20"/>
                <w:szCs w:val="20"/>
              </w:rPr>
              <w:t xml:space="preserve">, </w:t>
            </w:r>
            <w:r w:rsidR="00BB1A42" w:rsidRPr="00157D90">
              <w:rPr>
                <w:rFonts w:ascii="Roboto" w:hAnsi="Roboto"/>
                <w:sz w:val="20"/>
                <w:szCs w:val="20"/>
              </w:rPr>
              <w:t>lo que implica que el desarrollo y buen funcionamiento del mercado requiere de flujos de información adecuados para todos los participantes del mercado y para el público en general.</w:t>
            </w:r>
          </w:p>
        </w:tc>
        <w:tc>
          <w:tcPr>
            <w:tcW w:w="3119" w:type="dxa"/>
            <w:shd w:val="clear" w:color="auto" w:fill="auto"/>
          </w:tcPr>
          <w:p w14:paraId="33B36BF3"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119" w:type="dxa"/>
          </w:tcPr>
          <w:p w14:paraId="38995F24"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685" w:type="dxa"/>
          </w:tcPr>
          <w:p w14:paraId="5A4133C4" w14:textId="36982C36" w:rsidR="00DA4D7B" w:rsidRPr="001022B7" w:rsidRDefault="00DA4D7B" w:rsidP="00136A68">
            <w:pPr>
              <w:spacing w:after="0" w:line="240" w:lineRule="auto"/>
              <w:jc w:val="both"/>
              <w:rPr>
                <w:rFonts w:ascii="Roboto" w:hAnsi="Roboto"/>
                <w:sz w:val="20"/>
                <w:szCs w:val="20"/>
              </w:rPr>
            </w:pPr>
            <w:r w:rsidRPr="001022B7">
              <w:rPr>
                <w:rFonts w:ascii="Roboto" w:hAnsi="Roboto"/>
                <w:b/>
                <w:bCs/>
                <w:sz w:val="20"/>
                <w:szCs w:val="20"/>
              </w:rPr>
              <w:t>8.</w:t>
            </w:r>
            <w:r w:rsidRPr="001022B7">
              <w:rPr>
                <w:rFonts w:ascii="Roboto" w:hAnsi="Roboto"/>
                <w:sz w:val="20"/>
                <w:szCs w:val="20"/>
              </w:rPr>
              <w:t xml:space="preserve"> De manera complementaria a lo anterior, el Principio Básico de Seguros No. 20 sobre “Divulgación de Información”, establece la necesidad de que el Supervisor requiera a las </w:t>
            </w:r>
            <w:r w:rsidRPr="001022B7">
              <w:rPr>
                <w:rFonts w:ascii="Roboto" w:hAnsi="Roboto"/>
                <w:i/>
                <w:iCs/>
                <w:sz w:val="20"/>
                <w:szCs w:val="20"/>
              </w:rPr>
              <w:t>“</w:t>
            </w:r>
            <w:r w:rsidRPr="001022B7">
              <w:rPr>
                <w:rFonts w:ascii="Roboto" w:hAnsi="Roboto" w:cs="Tahoma"/>
                <w:i/>
                <w:iCs/>
                <w:sz w:val="20"/>
                <w:szCs w:val="20"/>
              </w:rPr>
              <w:t>aseguradoras que divulguen información relevante y exhaustiva en el momento oportuno con el fin de ofrecer a los tomadores de seguros y a los participantes del mercado una visión clara”</w:t>
            </w:r>
            <w:r w:rsidRPr="001022B7">
              <w:rPr>
                <w:rFonts w:ascii="Roboto" w:hAnsi="Roboto" w:cs="Tahoma"/>
                <w:sz w:val="20"/>
                <w:szCs w:val="20"/>
              </w:rPr>
              <w:t xml:space="preserve">, </w:t>
            </w:r>
            <w:r w:rsidRPr="001022B7">
              <w:rPr>
                <w:rFonts w:ascii="Roboto" w:hAnsi="Roboto"/>
                <w:sz w:val="20"/>
                <w:szCs w:val="20"/>
              </w:rPr>
              <w:t>lo que implica que el desarrollo y buen funcionamiento del mercado requiere de flujos de información adecuados para todos los participantes del mercado y para el público en general.</w:t>
            </w:r>
          </w:p>
          <w:p w14:paraId="6EE3C357" w14:textId="77777777" w:rsidR="00BB1A42" w:rsidRPr="001022B7" w:rsidRDefault="00BB1A42" w:rsidP="00136A68">
            <w:pPr>
              <w:spacing w:after="0" w:line="240" w:lineRule="auto"/>
              <w:jc w:val="both"/>
              <w:rPr>
                <w:rFonts w:ascii="Cambria" w:hAnsi="Cambria"/>
                <w:b/>
                <w:bCs/>
                <w:color w:val="FFFFFF" w:themeColor="background1"/>
                <w:sz w:val="20"/>
                <w:szCs w:val="20"/>
              </w:rPr>
            </w:pPr>
          </w:p>
        </w:tc>
      </w:tr>
      <w:tr w:rsidR="00BB1A42" w:rsidRPr="001022B7" w14:paraId="4F120C9F" w14:textId="077D70EB" w:rsidTr="00157D90">
        <w:tc>
          <w:tcPr>
            <w:tcW w:w="3680" w:type="dxa"/>
            <w:shd w:val="clear" w:color="auto" w:fill="auto"/>
          </w:tcPr>
          <w:p w14:paraId="4B567D1F" w14:textId="348DB410" w:rsidR="00BB1A42" w:rsidRPr="00157D90" w:rsidRDefault="00157D90" w:rsidP="00157D90">
            <w:pPr>
              <w:widowControl w:val="0"/>
              <w:spacing w:after="0" w:line="240" w:lineRule="auto"/>
              <w:jc w:val="both"/>
              <w:rPr>
                <w:rFonts w:ascii="Roboto" w:hAnsi="Roboto"/>
                <w:sz w:val="20"/>
                <w:szCs w:val="20"/>
              </w:rPr>
            </w:pPr>
            <w:r>
              <w:rPr>
                <w:rFonts w:ascii="Roboto" w:hAnsi="Roboto"/>
                <w:sz w:val="20"/>
                <w:szCs w:val="20"/>
              </w:rPr>
              <w:t xml:space="preserve">9. </w:t>
            </w:r>
            <w:r w:rsidR="00BB1A42" w:rsidRPr="00157D90">
              <w:rPr>
                <w:rFonts w:ascii="Roboto" w:hAnsi="Roboto"/>
                <w:sz w:val="20"/>
                <w:szCs w:val="20"/>
              </w:rPr>
              <w:t>La remisión de información relacionada con la gestión de la atención al consumidor de manera periódica constituye una herramienta fundamental para las labores de supervisión y control desarrolladas por la Superintendencia. De acuerdo con el principio 9 de IAIS, relacionado con la revisión del supervisor, para una supervisión efectiva, la entidad supervisora debe obtener la información necesaria para llevar a cabo sus labores de supervisar y analizar a las aseguradoras y evaluar el mercado de seguros</w:t>
            </w:r>
          </w:p>
        </w:tc>
        <w:tc>
          <w:tcPr>
            <w:tcW w:w="3119" w:type="dxa"/>
            <w:shd w:val="clear" w:color="auto" w:fill="auto"/>
          </w:tcPr>
          <w:p w14:paraId="500AF2D1"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119" w:type="dxa"/>
          </w:tcPr>
          <w:p w14:paraId="72619274"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685" w:type="dxa"/>
          </w:tcPr>
          <w:p w14:paraId="243C627E" w14:textId="7DA89601" w:rsidR="00BB1A42" w:rsidRPr="00157D90" w:rsidRDefault="00DA4D7B" w:rsidP="00157D90">
            <w:pPr>
              <w:widowControl w:val="0"/>
              <w:spacing w:after="0" w:line="240" w:lineRule="auto"/>
              <w:jc w:val="both"/>
              <w:rPr>
                <w:rFonts w:ascii="Roboto" w:hAnsi="Roboto"/>
                <w:sz w:val="20"/>
                <w:szCs w:val="20"/>
              </w:rPr>
            </w:pPr>
            <w:r w:rsidRPr="001022B7">
              <w:rPr>
                <w:rFonts w:ascii="Roboto" w:hAnsi="Roboto"/>
                <w:b/>
                <w:bCs/>
                <w:sz w:val="20"/>
                <w:szCs w:val="20"/>
              </w:rPr>
              <w:t>9.</w:t>
            </w:r>
            <w:r w:rsidRPr="001022B7">
              <w:rPr>
                <w:rFonts w:ascii="Roboto" w:hAnsi="Roboto"/>
                <w:sz w:val="20"/>
                <w:szCs w:val="20"/>
              </w:rPr>
              <w:t xml:space="preserve"> La remisión de información relacionada con la gestión de la atención al consumidor de manera periódica constituye una herramienta fundamental para las labores de supervisión y control desarrolladas por la Superintendencia. De acuerdo con el principio 9 de IAIS, relacionado con la revisión del supervisor, para una supervisión efectiva, la entidad supervisora debe obtener la información necesaria para llevar a cabo sus labores de supervisar y analizar a las aseguradoras y evaluar el mercado de seguros.</w:t>
            </w:r>
          </w:p>
        </w:tc>
      </w:tr>
      <w:tr w:rsidR="00BB1A42" w:rsidRPr="001022B7" w14:paraId="41DAF32B" w14:textId="71F81B99" w:rsidTr="00157D90">
        <w:tc>
          <w:tcPr>
            <w:tcW w:w="3680" w:type="dxa"/>
            <w:shd w:val="clear" w:color="auto" w:fill="auto"/>
          </w:tcPr>
          <w:p w14:paraId="7D627A4D" w14:textId="6043136A" w:rsidR="00BB1A42" w:rsidRPr="00157D90" w:rsidRDefault="00157D90" w:rsidP="00157D90">
            <w:pPr>
              <w:widowControl w:val="0"/>
              <w:spacing w:after="0" w:line="240" w:lineRule="auto"/>
              <w:jc w:val="both"/>
              <w:rPr>
                <w:rFonts w:ascii="Roboto" w:hAnsi="Roboto"/>
                <w:sz w:val="20"/>
                <w:szCs w:val="20"/>
              </w:rPr>
            </w:pPr>
            <w:r>
              <w:rPr>
                <w:rFonts w:ascii="Roboto" w:hAnsi="Roboto"/>
                <w:sz w:val="20"/>
                <w:szCs w:val="20"/>
              </w:rPr>
              <w:t xml:space="preserve">10. </w:t>
            </w:r>
            <w:r w:rsidR="00BB1A42" w:rsidRPr="00157D90">
              <w:rPr>
                <w:rFonts w:ascii="Roboto" w:hAnsi="Roboto"/>
                <w:sz w:val="20"/>
                <w:szCs w:val="20"/>
              </w:rPr>
              <w:t xml:space="preserve">De conformidad con el artículo 29 de la Ley N° 8653, la Superintendencia aplicará la norma establecida en el artículo 180 de la Ley Reguladora del Mercado de </w:t>
            </w:r>
            <w:r w:rsidR="00BB1A42" w:rsidRPr="00157D90">
              <w:rPr>
                <w:rFonts w:ascii="Roboto" w:hAnsi="Roboto"/>
                <w:sz w:val="20"/>
                <w:szCs w:val="20"/>
              </w:rPr>
              <w:lastRenderedPageBreak/>
              <w:t xml:space="preserve">Valores, Ley N° 7732, la cual </w:t>
            </w:r>
            <w:r w:rsidR="00BB1A42" w:rsidRPr="001022B7">
              <w:rPr>
                <w:rFonts w:ascii="Roboto" w:hAnsi="Roboto"/>
                <w:sz w:val="20"/>
                <w:szCs w:val="20"/>
              </w:rPr>
              <w:t>faculta a las superintendencias a la utilización de medios electrónicos o magnéticos de transmisión y almacenamiento de datos, para solicitar información a las entidades supervisadas y para mantener sus archivos, actas y demás documentos. Además, la norma indica que la información así mantenida tiene valor probatorio equivalente al de los documentos para todos los efectos legales.</w:t>
            </w:r>
          </w:p>
        </w:tc>
        <w:tc>
          <w:tcPr>
            <w:tcW w:w="3119" w:type="dxa"/>
            <w:shd w:val="clear" w:color="auto" w:fill="auto"/>
          </w:tcPr>
          <w:p w14:paraId="0BE55DAD" w14:textId="00A75BC4" w:rsidR="00F52D42" w:rsidRPr="001022B7" w:rsidRDefault="00F52D42" w:rsidP="00136A68">
            <w:pPr>
              <w:pStyle w:val="Prrafodelista"/>
              <w:numPr>
                <w:ilvl w:val="0"/>
                <w:numId w:val="8"/>
              </w:numPr>
              <w:tabs>
                <w:tab w:val="left" w:pos="280"/>
              </w:tabs>
              <w:spacing w:after="0" w:line="240" w:lineRule="auto"/>
              <w:ind w:left="36" w:firstLine="0"/>
              <w:jc w:val="both"/>
              <w:rPr>
                <w:rFonts w:ascii="Roboto" w:hAnsi="Roboto"/>
                <w:b/>
                <w:bCs/>
                <w:color w:val="000000" w:themeColor="text1"/>
                <w:sz w:val="20"/>
                <w:szCs w:val="20"/>
              </w:rPr>
            </w:pPr>
            <w:r w:rsidRPr="001022B7">
              <w:rPr>
                <w:rFonts w:ascii="Roboto" w:hAnsi="Roboto"/>
                <w:b/>
                <w:bCs/>
                <w:color w:val="000000" w:themeColor="text1"/>
                <w:sz w:val="20"/>
                <w:szCs w:val="20"/>
              </w:rPr>
              <w:lastRenderedPageBreak/>
              <w:t>Mapfre:</w:t>
            </w:r>
            <w:r w:rsidR="00763B7A" w:rsidRPr="001022B7">
              <w:rPr>
                <w:rFonts w:ascii="Roboto" w:hAnsi="Roboto"/>
                <w:b/>
                <w:bCs/>
                <w:color w:val="000000" w:themeColor="text1"/>
                <w:sz w:val="20"/>
                <w:szCs w:val="20"/>
              </w:rPr>
              <w:t xml:space="preserve"> </w:t>
            </w:r>
            <w:r w:rsidRPr="001022B7">
              <w:rPr>
                <w:rFonts w:ascii="Roboto" w:hAnsi="Roboto"/>
                <w:color w:val="000000" w:themeColor="text1"/>
                <w:sz w:val="20"/>
                <w:szCs w:val="20"/>
              </w:rPr>
              <w:t xml:space="preserve">Consulta sobre la modificación del RCS-4 la nueva línea 110 “PROVISIÓN PARA PRIMAS NO DEVENGADAS Seguros de Caución” ¿El monto que se </w:t>
            </w:r>
            <w:r w:rsidRPr="001022B7">
              <w:rPr>
                <w:rFonts w:ascii="Roboto" w:hAnsi="Roboto"/>
                <w:color w:val="000000" w:themeColor="text1"/>
                <w:sz w:val="20"/>
                <w:szCs w:val="20"/>
              </w:rPr>
              <w:lastRenderedPageBreak/>
              <w:t>debe registrar en esa casilla es el monto por seguro directo o el neto de reaseguro?</w:t>
            </w:r>
          </w:p>
          <w:p w14:paraId="45FACEC3"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119" w:type="dxa"/>
          </w:tcPr>
          <w:p w14:paraId="5647B19E" w14:textId="6EFC725C" w:rsidR="00BB1A42" w:rsidRPr="001022B7" w:rsidRDefault="00157D90" w:rsidP="00157D90">
            <w:pPr>
              <w:spacing w:after="0" w:line="240" w:lineRule="auto"/>
              <w:jc w:val="both"/>
              <w:rPr>
                <w:rFonts w:ascii="Cambria" w:hAnsi="Cambria"/>
                <w:b/>
                <w:bCs/>
                <w:color w:val="FFFFFF" w:themeColor="background1"/>
                <w:sz w:val="20"/>
                <w:szCs w:val="20"/>
              </w:rPr>
            </w:pPr>
            <w:r w:rsidRPr="00157D90">
              <w:rPr>
                <w:rFonts w:ascii="Roboto" w:hAnsi="Roboto"/>
                <w:b/>
                <w:bCs/>
                <w:sz w:val="20"/>
                <w:szCs w:val="20"/>
              </w:rPr>
              <w:lastRenderedPageBreak/>
              <w:t xml:space="preserve">1. </w:t>
            </w:r>
            <w:r w:rsidR="00F146E7" w:rsidRPr="00157D90">
              <w:rPr>
                <w:rFonts w:ascii="Roboto" w:hAnsi="Roboto"/>
                <w:b/>
                <w:bCs/>
                <w:sz w:val="20"/>
                <w:szCs w:val="20"/>
              </w:rPr>
              <w:t>Se aclara:</w:t>
            </w:r>
            <w:r>
              <w:rPr>
                <w:rFonts w:ascii="Roboto" w:hAnsi="Roboto"/>
                <w:b/>
                <w:bCs/>
                <w:sz w:val="20"/>
                <w:szCs w:val="20"/>
              </w:rPr>
              <w:t xml:space="preserve">  </w:t>
            </w:r>
            <w:r w:rsidR="00F146E7" w:rsidRPr="00157D90">
              <w:rPr>
                <w:rFonts w:ascii="Roboto" w:hAnsi="Roboto"/>
                <w:sz w:val="20"/>
                <w:szCs w:val="20"/>
              </w:rPr>
              <w:t xml:space="preserve">El monto a registrar en la casilla RCS-4 la nueva línea 110 “PROVISIÓN PARA PRIMAS NO </w:t>
            </w:r>
            <w:r w:rsidR="00F146E7" w:rsidRPr="00157D90">
              <w:rPr>
                <w:rFonts w:ascii="Roboto" w:hAnsi="Roboto"/>
                <w:sz w:val="20"/>
                <w:szCs w:val="20"/>
              </w:rPr>
              <w:lastRenderedPageBreak/>
              <w:t>DEVENGADAS es el monto por seguro Directo</w:t>
            </w:r>
            <w:r w:rsidR="002F1529" w:rsidRPr="00157D90">
              <w:rPr>
                <w:rFonts w:ascii="Roboto" w:hAnsi="Roboto"/>
                <w:sz w:val="20"/>
                <w:szCs w:val="20"/>
              </w:rPr>
              <w:t>.</w:t>
            </w:r>
          </w:p>
        </w:tc>
        <w:tc>
          <w:tcPr>
            <w:tcW w:w="3685" w:type="dxa"/>
          </w:tcPr>
          <w:p w14:paraId="1775F01D" w14:textId="7105FCFE" w:rsidR="00F146E7" w:rsidRPr="00157D90" w:rsidRDefault="002F10C4" w:rsidP="00157D90">
            <w:pPr>
              <w:widowControl w:val="0"/>
              <w:spacing w:after="0" w:line="240" w:lineRule="auto"/>
              <w:jc w:val="both"/>
              <w:rPr>
                <w:rFonts w:ascii="Roboto" w:hAnsi="Roboto"/>
                <w:sz w:val="20"/>
                <w:szCs w:val="20"/>
              </w:rPr>
            </w:pPr>
            <w:r w:rsidRPr="002F10C4">
              <w:rPr>
                <w:rFonts w:ascii="Roboto" w:hAnsi="Roboto"/>
                <w:b/>
                <w:bCs/>
                <w:sz w:val="20"/>
                <w:szCs w:val="20"/>
              </w:rPr>
              <w:lastRenderedPageBreak/>
              <w:t>10.</w:t>
            </w:r>
            <w:r>
              <w:rPr>
                <w:rFonts w:ascii="Roboto" w:hAnsi="Roboto"/>
                <w:sz w:val="20"/>
                <w:szCs w:val="20"/>
              </w:rPr>
              <w:t xml:space="preserve"> </w:t>
            </w:r>
            <w:r w:rsidR="00A111A1">
              <w:rPr>
                <w:rFonts w:ascii="Roboto" w:hAnsi="Roboto"/>
                <w:sz w:val="20"/>
                <w:szCs w:val="20"/>
              </w:rPr>
              <w:t>D</w:t>
            </w:r>
            <w:r w:rsidR="00A111A1" w:rsidRPr="00A111A1">
              <w:rPr>
                <w:rFonts w:ascii="Roboto" w:hAnsi="Roboto"/>
                <w:sz w:val="20"/>
                <w:szCs w:val="20"/>
              </w:rPr>
              <w:t xml:space="preserve">e conformidad con el artículo 29 de la Ley N° 8653, la Superintendencia aplicará la norma establecida en el artículo 180 de la Ley Reguladora del Mercado de Valores, Ley N° 7732, la cual faculta a las superintendencias a </w:t>
            </w:r>
            <w:r w:rsidR="00A111A1" w:rsidRPr="00A111A1">
              <w:rPr>
                <w:rFonts w:ascii="Roboto" w:hAnsi="Roboto"/>
                <w:sz w:val="20"/>
                <w:szCs w:val="20"/>
              </w:rPr>
              <w:lastRenderedPageBreak/>
              <w:t>la utilización de medios electrónicos o magnéticos de transmisión y almacenamiento de datos, para solicitar información a las entidades supervisadas y para mantener sus archivos, actas y demás documentos. Además, la norma indica que la información así mantenida tiene valor probatorio equivalente al de los documentos para todos los efectos legales.</w:t>
            </w:r>
          </w:p>
        </w:tc>
      </w:tr>
      <w:tr w:rsidR="00BB1A42" w:rsidRPr="001022B7" w14:paraId="47782659" w14:textId="6E759438" w:rsidTr="00157D90">
        <w:tc>
          <w:tcPr>
            <w:tcW w:w="3680" w:type="dxa"/>
            <w:shd w:val="clear" w:color="auto" w:fill="auto"/>
          </w:tcPr>
          <w:p w14:paraId="4CDFB5EF" w14:textId="7A04A19C" w:rsidR="00BB1A42" w:rsidRPr="00157D90" w:rsidRDefault="00157D90" w:rsidP="00157D90">
            <w:pPr>
              <w:widowControl w:val="0"/>
              <w:spacing w:after="0" w:line="240" w:lineRule="auto"/>
              <w:jc w:val="both"/>
              <w:rPr>
                <w:rFonts w:ascii="Roboto" w:hAnsi="Roboto"/>
                <w:b/>
                <w:bCs/>
                <w:iCs/>
                <w:sz w:val="20"/>
                <w:szCs w:val="20"/>
              </w:rPr>
            </w:pPr>
            <w:r>
              <w:rPr>
                <w:rFonts w:ascii="Roboto" w:hAnsi="Roboto"/>
                <w:sz w:val="20"/>
                <w:szCs w:val="20"/>
              </w:rPr>
              <w:lastRenderedPageBreak/>
              <w:t xml:space="preserve">11. </w:t>
            </w:r>
            <w:r w:rsidR="00BB1A42" w:rsidRPr="00157D90">
              <w:rPr>
                <w:rFonts w:ascii="Roboto" w:hAnsi="Roboto"/>
                <w:sz w:val="20"/>
                <w:szCs w:val="20"/>
              </w:rPr>
              <w:t xml:space="preserve">El Consejo Nacional de Supervisión del Sistema Financiero (CONASSIF),  mediante artículo 8 del acta de la sesión 1655-2021 celebrada el 12 de abril de 2021, aprobó el </w:t>
            </w:r>
            <w:r w:rsidR="00BB1A42" w:rsidRPr="00157D90">
              <w:rPr>
                <w:rFonts w:ascii="Roboto" w:hAnsi="Roboto"/>
                <w:i/>
                <w:iCs/>
                <w:sz w:val="20"/>
                <w:szCs w:val="20"/>
              </w:rPr>
              <w:t xml:space="preserve">Reglamento sobre remisión de información periódica y </w:t>
            </w:r>
            <w:r w:rsidR="00BB1A42" w:rsidRPr="00157D90">
              <w:rPr>
                <w:rFonts w:ascii="Roboto" w:hAnsi="Roboto"/>
                <w:i/>
                <w:iCs/>
                <w:sz w:val="20"/>
                <w:szCs w:val="20"/>
              </w:rPr>
              <w:lastRenderedPageBreak/>
              <w:t xml:space="preserve">revelación de hechos relevantes por entidades supervisadas por SUGESE, </w:t>
            </w:r>
            <w:r w:rsidR="00BB1A42" w:rsidRPr="00157D90">
              <w:rPr>
                <w:rFonts w:ascii="Roboto" w:hAnsi="Roboto"/>
                <w:sz w:val="20"/>
                <w:szCs w:val="20"/>
              </w:rPr>
              <w:t xml:space="preserve">Acuerdo SUGESE 12-21, el cual en el primer párrafo del artículo 5, en relación con la información periódica, indica lo siguiente: </w:t>
            </w:r>
            <w:r w:rsidR="00BB1A42" w:rsidRPr="00157D90">
              <w:rPr>
                <w:rFonts w:ascii="Roboto" w:hAnsi="Roboto"/>
                <w:i/>
                <w:iCs/>
                <w:sz w:val="20"/>
                <w:szCs w:val="20"/>
              </w:rPr>
              <w:t>“El Superintendente mediante acuerdo general, establecerá los requerimientos, plazos y medios para la presentación de la información periódica, cuando esto no haya sido establecido de manera expresa en la regulación que la requiere; igualmente establecerá los plazos y medios de presentación de cualquier otra información periódica que requiera para el cumplimiento de las funciones y responsabilidades que le impone la ley...”.</w:t>
            </w:r>
          </w:p>
        </w:tc>
        <w:tc>
          <w:tcPr>
            <w:tcW w:w="3119" w:type="dxa"/>
            <w:shd w:val="clear" w:color="auto" w:fill="auto"/>
          </w:tcPr>
          <w:p w14:paraId="3D538092"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119" w:type="dxa"/>
          </w:tcPr>
          <w:p w14:paraId="2FC414C4"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685" w:type="dxa"/>
          </w:tcPr>
          <w:p w14:paraId="105D76C0" w14:textId="2D68EE2B" w:rsidR="00BB1A42" w:rsidRPr="00157D90" w:rsidRDefault="00DA4D7B" w:rsidP="00136A68">
            <w:pPr>
              <w:spacing w:after="0" w:line="240" w:lineRule="auto"/>
              <w:jc w:val="both"/>
              <w:rPr>
                <w:rFonts w:ascii="Roboto" w:hAnsi="Roboto"/>
                <w:b/>
                <w:bCs/>
                <w:iCs/>
                <w:sz w:val="20"/>
                <w:szCs w:val="20"/>
              </w:rPr>
            </w:pPr>
            <w:r w:rsidRPr="001022B7">
              <w:rPr>
                <w:rFonts w:ascii="Roboto" w:hAnsi="Roboto"/>
                <w:b/>
                <w:bCs/>
                <w:sz w:val="20"/>
                <w:szCs w:val="20"/>
              </w:rPr>
              <w:t>11.</w:t>
            </w:r>
            <w:r w:rsidRPr="001022B7">
              <w:rPr>
                <w:rFonts w:ascii="Roboto" w:hAnsi="Roboto"/>
                <w:sz w:val="20"/>
                <w:szCs w:val="20"/>
              </w:rPr>
              <w:t xml:space="preserve"> El Consejo Nacional de Supervisión del Sistema Financiero (CONASSIF),  mediante artículo 8 del acta de la sesión 1655-2021 celebrada el 12 de abril de 2021, aprobó el </w:t>
            </w:r>
            <w:r w:rsidRPr="001022B7">
              <w:rPr>
                <w:rFonts w:ascii="Roboto" w:hAnsi="Roboto"/>
                <w:i/>
                <w:iCs/>
                <w:sz w:val="20"/>
                <w:szCs w:val="20"/>
              </w:rPr>
              <w:t xml:space="preserve">Reglamento sobre remisión de información periódica y revelación de hechos relevantes por entidades supervisadas por SUGESE, </w:t>
            </w:r>
            <w:r w:rsidRPr="001022B7">
              <w:rPr>
                <w:rFonts w:ascii="Roboto" w:hAnsi="Roboto"/>
                <w:sz w:val="20"/>
                <w:szCs w:val="20"/>
              </w:rPr>
              <w:lastRenderedPageBreak/>
              <w:t xml:space="preserve">Acuerdo SUGESE 12-21, el cual en el primer párrafo del artículo 5, en relación con la información periódica, indica lo siguiente: </w:t>
            </w:r>
            <w:r w:rsidRPr="001022B7">
              <w:rPr>
                <w:rFonts w:ascii="Roboto" w:hAnsi="Roboto"/>
                <w:i/>
                <w:iCs/>
                <w:sz w:val="20"/>
                <w:szCs w:val="20"/>
              </w:rPr>
              <w:t>“El Superintendente mediante acuerdo general, establecerá los requerimientos, plazos y medios para la presentación de la información periódica, cuando esto no haya sido establecido de manera expresa en la regulación que la requiere; igualmente establecerá los plazos y medios de presentación de cualquier otra información periódica que requiera para el cumplimiento de las funciones y responsabilidades que le impone la ley...”.</w:t>
            </w:r>
          </w:p>
        </w:tc>
      </w:tr>
      <w:tr w:rsidR="00BB1A42" w:rsidRPr="001022B7" w14:paraId="6947E097" w14:textId="30B7F3DC" w:rsidTr="00157D90">
        <w:tc>
          <w:tcPr>
            <w:tcW w:w="3680" w:type="dxa"/>
            <w:shd w:val="clear" w:color="auto" w:fill="auto"/>
          </w:tcPr>
          <w:p w14:paraId="24589D93" w14:textId="0A66AFBF" w:rsidR="00BB1A42" w:rsidRPr="00157D90" w:rsidRDefault="00157D90" w:rsidP="00157D90">
            <w:pPr>
              <w:widowControl w:val="0"/>
              <w:spacing w:after="0" w:line="240" w:lineRule="auto"/>
              <w:jc w:val="both"/>
              <w:rPr>
                <w:rFonts w:ascii="Roboto" w:hAnsi="Roboto"/>
                <w:sz w:val="20"/>
                <w:szCs w:val="20"/>
              </w:rPr>
            </w:pPr>
            <w:r>
              <w:rPr>
                <w:rFonts w:ascii="Roboto" w:hAnsi="Roboto"/>
                <w:sz w:val="20"/>
                <w:szCs w:val="20"/>
              </w:rPr>
              <w:lastRenderedPageBreak/>
              <w:t xml:space="preserve">12. </w:t>
            </w:r>
            <w:r w:rsidR="00BB1A42" w:rsidRPr="00157D90">
              <w:rPr>
                <w:rFonts w:ascii="Roboto" w:hAnsi="Roboto"/>
                <w:sz w:val="20"/>
                <w:szCs w:val="20"/>
              </w:rPr>
              <w:t>El Superintendente de Seguros, mediante acuerdo SGS-A-</w:t>
            </w:r>
            <w:r w:rsidR="00BB1A42" w:rsidRPr="00157D90">
              <w:rPr>
                <w:rFonts w:ascii="Roboto" w:hAnsi="Roboto"/>
                <w:sz w:val="20"/>
                <w:szCs w:val="20"/>
              </w:rPr>
              <w:lastRenderedPageBreak/>
              <w:t xml:space="preserve">0021-2013, emitió las </w:t>
            </w:r>
            <w:r w:rsidR="00BB1A42" w:rsidRPr="00157D90">
              <w:rPr>
                <w:rFonts w:ascii="Roboto" w:hAnsi="Roboto"/>
                <w:i/>
                <w:iCs/>
                <w:sz w:val="20"/>
                <w:szCs w:val="20"/>
              </w:rPr>
              <w:t xml:space="preserve">Disposiciones para la Remisión de la Información Contable y Estadística a la Superintendencia General de Seguros por parte de las Entidades Supervisadas, </w:t>
            </w:r>
            <w:r w:rsidR="00BB1A42" w:rsidRPr="00157D90">
              <w:rPr>
                <w:rFonts w:ascii="Roboto" w:hAnsi="Roboto"/>
                <w:sz w:val="20"/>
                <w:szCs w:val="20"/>
              </w:rPr>
              <w:t>a efecto de normar los requerimientos de información que las entidades supervisadas deben remitir de forma periódica a la Superintendencia, entre ellos lo correspondiente al régimen de suficiencia de capital, específicamente el cálculo del Índice de Suficiencia de Capital (SC), que debe ser enviado de acuerdo con el modelo dispuesto en el Anexo 4 de ese acuerdo.</w:t>
            </w:r>
          </w:p>
          <w:p w14:paraId="34446A83" w14:textId="77777777" w:rsidR="00BB1A42" w:rsidRPr="001022B7" w:rsidRDefault="00BB1A42" w:rsidP="00136A68">
            <w:pPr>
              <w:pStyle w:val="Prrafodelista"/>
              <w:spacing w:after="0" w:line="240" w:lineRule="auto"/>
              <w:jc w:val="both"/>
              <w:rPr>
                <w:rFonts w:ascii="Roboto" w:hAnsi="Roboto"/>
                <w:sz w:val="20"/>
                <w:szCs w:val="20"/>
              </w:rPr>
            </w:pPr>
          </w:p>
        </w:tc>
        <w:tc>
          <w:tcPr>
            <w:tcW w:w="3119" w:type="dxa"/>
            <w:shd w:val="clear" w:color="auto" w:fill="auto"/>
          </w:tcPr>
          <w:p w14:paraId="3FB6F7A9"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119" w:type="dxa"/>
          </w:tcPr>
          <w:p w14:paraId="1C13068E"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685" w:type="dxa"/>
          </w:tcPr>
          <w:p w14:paraId="73ACEFEA" w14:textId="6741B1FA" w:rsidR="00DA4D7B" w:rsidRPr="001022B7" w:rsidRDefault="00DA4D7B" w:rsidP="00136A68">
            <w:pPr>
              <w:spacing w:after="0" w:line="240" w:lineRule="auto"/>
              <w:jc w:val="both"/>
              <w:rPr>
                <w:rFonts w:ascii="Roboto" w:hAnsi="Roboto"/>
                <w:sz w:val="20"/>
                <w:szCs w:val="20"/>
              </w:rPr>
            </w:pPr>
            <w:r w:rsidRPr="001022B7">
              <w:rPr>
                <w:rFonts w:ascii="Roboto" w:hAnsi="Roboto"/>
                <w:b/>
                <w:bCs/>
                <w:sz w:val="20"/>
                <w:szCs w:val="20"/>
              </w:rPr>
              <w:t>12.</w:t>
            </w:r>
            <w:r w:rsidRPr="001022B7">
              <w:rPr>
                <w:rFonts w:ascii="Roboto" w:hAnsi="Roboto"/>
                <w:sz w:val="20"/>
                <w:szCs w:val="20"/>
              </w:rPr>
              <w:t xml:space="preserve"> El Superintendente de Seguros, mediante acuerdo SGS-A-0021-2013, </w:t>
            </w:r>
            <w:r w:rsidRPr="001022B7">
              <w:rPr>
                <w:rFonts w:ascii="Roboto" w:hAnsi="Roboto"/>
                <w:sz w:val="20"/>
                <w:szCs w:val="20"/>
              </w:rPr>
              <w:lastRenderedPageBreak/>
              <w:t xml:space="preserve">emitió las </w:t>
            </w:r>
            <w:r w:rsidRPr="001022B7">
              <w:rPr>
                <w:rFonts w:ascii="Roboto" w:hAnsi="Roboto"/>
                <w:i/>
                <w:iCs/>
                <w:sz w:val="20"/>
                <w:szCs w:val="20"/>
              </w:rPr>
              <w:t xml:space="preserve">Disposiciones para la Remisión de la Información Contable y Estadística a la Superintendencia General de Seguros por parte de las Entidades Supervisadas, </w:t>
            </w:r>
            <w:r w:rsidRPr="001022B7">
              <w:rPr>
                <w:rFonts w:ascii="Roboto" w:hAnsi="Roboto"/>
                <w:sz w:val="20"/>
                <w:szCs w:val="20"/>
              </w:rPr>
              <w:t>a efecto de normar los requerimientos de información que las entidades supervisadas deben remitir de forma periódica a la Superintendencia, entre ellos lo correspondiente al régimen de suficiencia de capital, específicamente el cálculo del Índice de Suficiencia de Capital (SC), que debe ser enviado de acuerdo con el modelo dispuesto en el Anexo 4 de ese acuerdo.</w:t>
            </w:r>
          </w:p>
          <w:p w14:paraId="20EF41F1" w14:textId="77777777" w:rsidR="00BB1A42" w:rsidRPr="001022B7" w:rsidRDefault="00BB1A42" w:rsidP="00136A68">
            <w:pPr>
              <w:spacing w:after="0" w:line="240" w:lineRule="auto"/>
              <w:jc w:val="both"/>
              <w:rPr>
                <w:rFonts w:ascii="Cambria" w:hAnsi="Cambria"/>
                <w:b/>
                <w:bCs/>
                <w:color w:val="FFFFFF" w:themeColor="background1"/>
                <w:sz w:val="20"/>
                <w:szCs w:val="20"/>
              </w:rPr>
            </w:pPr>
          </w:p>
        </w:tc>
      </w:tr>
      <w:tr w:rsidR="00BB1A42" w:rsidRPr="001022B7" w14:paraId="18628B9D" w14:textId="32158C3B" w:rsidTr="00157D90">
        <w:tc>
          <w:tcPr>
            <w:tcW w:w="3680" w:type="dxa"/>
            <w:shd w:val="clear" w:color="auto" w:fill="auto"/>
          </w:tcPr>
          <w:p w14:paraId="5B950FF5" w14:textId="02361537" w:rsidR="00BB1A42" w:rsidRPr="00157D90" w:rsidRDefault="00157D90" w:rsidP="00157D90">
            <w:pPr>
              <w:widowControl w:val="0"/>
              <w:spacing w:after="0" w:line="240" w:lineRule="auto"/>
              <w:jc w:val="both"/>
              <w:rPr>
                <w:rFonts w:ascii="Roboto" w:hAnsi="Roboto"/>
                <w:sz w:val="20"/>
                <w:szCs w:val="20"/>
              </w:rPr>
            </w:pPr>
            <w:r>
              <w:rPr>
                <w:rFonts w:ascii="Roboto" w:hAnsi="Roboto"/>
                <w:sz w:val="20"/>
                <w:szCs w:val="20"/>
              </w:rPr>
              <w:lastRenderedPageBreak/>
              <w:t xml:space="preserve">13. </w:t>
            </w:r>
            <w:r w:rsidR="00BB1A42" w:rsidRPr="00157D90">
              <w:rPr>
                <w:rFonts w:ascii="Roboto" w:hAnsi="Roboto"/>
                <w:sz w:val="20"/>
                <w:szCs w:val="20"/>
              </w:rPr>
              <w:t xml:space="preserve">Se ha detectado un error en la versión 13.2 del formulario </w:t>
            </w:r>
            <w:r w:rsidR="00BB1A42" w:rsidRPr="00157D90">
              <w:rPr>
                <w:rFonts w:ascii="Roboto" w:hAnsi="Roboto"/>
                <w:sz w:val="20"/>
                <w:szCs w:val="20"/>
              </w:rPr>
              <w:lastRenderedPageBreak/>
              <w:t>incluido en el Anexo 4 del acuerdo SGS-DES-A-021-2013, específicamente en el cálculo del requerimiento de capital por riesgo de reaseguro cedido (RCS-5), en el apartado del requerimiento por riesgo de concentración cuando se identifican concentraciones para reaseguradores con calificaciones de riesgo menores a BBB, por lo que es necesario corregir la fórmula ahí aplicada. Adicionalmente, con el propósito de validar la consistencia de las provisiones para primas no devengadas (PPND) reportadas por las aseguradoras, es importante incluir una celda adicional en el requerimiento de riesgo por seguros generales, para el ramo de caución, para que las entidades reporten dicho cálculo.</w:t>
            </w:r>
          </w:p>
          <w:p w14:paraId="34D1A8B9" w14:textId="77777777" w:rsidR="00BB1A42" w:rsidRPr="001022B7" w:rsidRDefault="00BB1A42" w:rsidP="00136A68">
            <w:pPr>
              <w:pStyle w:val="Prrafodelista"/>
              <w:spacing w:after="0" w:line="240" w:lineRule="auto"/>
              <w:jc w:val="both"/>
              <w:rPr>
                <w:rFonts w:ascii="Roboto" w:hAnsi="Roboto"/>
                <w:sz w:val="20"/>
                <w:szCs w:val="20"/>
              </w:rPr>
            </w:pPr>
          </w:p>
        </w:tc>
        <w:tc>
          <w:tcPr>
            <w:tcW w:w="3119" w:type="dxa"/>
            <w:shd w:val="clear" w:color="auto" w:fill="auto"/>
          </w:tcPr>
          <w:p w14:paraId="68C14820" w14:textId="7E9B962D" w:rsidR="0092164B" w:rsidRPr="00F146E7" w:rsidRDefault="0092164B" w:rsidP="00136A68">
            <w:pPr>
              <w:pStyle w:val="Prrafodelista"/>
              <w:numPr>
                <w:ilvl w:val="0"/>
                <w:numId w:val="8"/>
              </w:numPr>
              <w:tabs>
                <w:tab w:val="left" w:pos="280"/>
              </w:tabs>
              <w:spacing w:after="0" w:line="240" w:lineRule="auto"/>
              <w:ind w:left="36" w:firstLine="0"/>
              <w:jc w:val="both"/>
              <w:rPr>
                <w:rFonts w:ascii="Roboto" w:hAnsi="Roboto"/>
                <w:sz w:val="20"/>
                <w:szCs w:val="20"/>
              </w:rPr>
            </w:pPr>
            <w:r w:rsidRPr="00F146E7">
              <w:rPr>
                <w:rFonts w:ascii="Roboto" w:hAnsi="Roboto"/>
                <w:b/>
                <w:bCs/>
                <w:sz w:val="20"/>
                <w:szCs w:val="20"/>
              </w:rPr>
              <w:lastRenderedPageBreak/>
              <w:t>INS:</w:t>
            </w:r>
            <w:r w:rsidRPr="00F146E7">
              <w:rPr>
                <w:rFonts w:ascii="Roboto" w:hAnsi="Roboto"/>
                <w:sz w:val="20"/>
                <w:szCs w:val="20"/>
              </w:rPr>
              <w:t xml:space="preserve"> En la celda que corresponde a la Provisión de Primas No Devengadas del </w:t>
            </w:r>
            <w:r w:rsidRPr="00F146E7">
              <w:rPr>
                <w:rFonts w:ascii="Roboto" w:hAnsi="Roboto"/>
                <w:sz w:val="20"/>
                <w:szCs w:val="20"/>
              </w:rPr>
              <w:lastRenderedPageBreak/>
              <w:t>requerimiento RCS-4 específicamente en el seguro de caución que se está incluyendo (celda C110) no se permite ingresar el dato que forma parte del cálculo de requerimiento de capital de caución.   Y la celda no contiene fórmula por lo que se debe de ingresar y se encuentra bloqueada.</w:t>
            </w:r>
          </w:p>
          <w:p w14:paraId="59F8DB1A" w14:textId="77777777" w:rsidR="0092164B" w:rsidRPr="00F146E7" w:rsidRDefault="0092164B" w:rsidP="00136A68">
            <w:pPr>
              <w:spacing w:after="0" w:line="240" w:lineRule="auto"/>
              <w:jc w:val="both"/>
              <w:rPr>
                <w:rFonts w:ascii="Roboto" w:hAnsi="Roboto"/>
                <w:b/>
                <w:bCs/>
                <w:sz w:val="20"/>
                <w:szCs w:val="20"/>
              </w:rPr>
            </w:pPr>
          </w:p>
          <w:p w14:paraId="3AFA485E" w14:textId="415EA9ED" w:rsidR="0092164B" w:rsidRPr="00F146E7" w:rsidRDefault="0092164B" w:rsidP="00136A68">
            <w:pPr>
              <w:pStyle w:val="Prrafodelista"/>
              <w:numPr>
                <w:ilvl w:val="0"/>
                <w:numId w:val="8"/>
              </w:numPr>
              <w:tabs>
                <w:tab w:val="left" w:pos="280"/>
              </w:tabs>
              <w:spacing w:after="0" w:line="240" w:lineRule="auto"/>
              <w:ind w:left="36" w:firstLine="0"/>
              <w:jc w:val="both"/>
              <w:rPr>
                <w:rFonts w:ascii="Roboto" w:hAnsi="Roboto"/>
                <w:sz w:val="20"/>
                <w:szCs w:val="20"/>
              </w:rPr>
            </w:pPr>
            <w:r w:rsidRPr="00F146E7">
              <w:rPr>
                <w:rFonts w:ascii="Roboto" w:hAnsi="Roboto"/>
                <w:b/>
                <w:bCs/>
                <w:sz w:val="20"/>
                <w:szCs w:val="20"/>
              </w:rPr>
              <w:t>INS:</w:t>
            </w:r>
            <w:r w:rsidRPr="00F146E7">
              <w:rPr>
                <w:rFonts w:ascii="Roboto" w:hAnsi="Roboto"/>
                <w:sz w:val="20"/>
                <w:szCs w:val="20"/>
              </w:rPr>
              <w:t xml:space="preserve"> En la hoja del RCS-5 Crédito los totales (celdas D263 y E263) de la participación del reasegurador en las provisiones técnicas y la posición del reasegurador por otras cuentas, debería corresponder a las celdas E263 y F263.</w:t>
            </w:r>
          </w:p>
          <w:p w14:paraId="6A429BDE" w14:textId="77777777" w:rsidR="00BB1A42" w:rsidRPr="00F146E7" w:rsidRDefault="00BB1A42" w:rsidP="00136A68">
            <w:pPr>
              <w:spacing w:after="0" w:line="240" w:lineRule="auto"/>
              <w:jc w:val="both"/>
              <w:rPr>
                <w:rFonts w:ascii="Roboto" w:hAnsi="Roboto"/>
                <w:b/>
                <w:bCs/>
                <w:color w:val="FFFFFF" w:themeColor="background1"/>
                <w:sz w:val="20"/>
                <w:szCs w:val="20"/>
              </w:rPr>
            </w:pPr>
          </w:p>
        </w:tc>
        <w:tc>
          <w:tcPr>
            <w:tcW w:w="3119" w:type="dxa"/>
          </w:tcPr>
          <w:p w14:paraId="68CF1E91" w14:textId="5DB50A33" w:rsidR="00F146E7" w:rsidRPr="004F4515" w:rsidRDefault="00F146E7" w:rsidP="00136A68">
            <w:pPr>
              <w:spacing w:after="0" w:line="240" w:lineRule="auto"/>
              <w:jc w:val="both"/>
              <w:rPr>
                <w:rFonts w:ascii="Roboto" w:hAnsi="Roboto"/>
                <w:b/>
                <w:bCs/>
                <w:sz w:val="20"/>
                <w:szCs w:val="20"/>
              </w:rPr>
            </w:pPr>
            <w:r w:rsidRPr="00F146E7">
              <w:rPr>
                <w:rFonts w:ascii="Roboto" w:hAnsi="Roboto"/>
                <w:b/>
                <w:bCs/>
                <w:sz w:val="20"/>
                <w:szCs w:val="20"/>
              </w:rPr>
              <w:lastRenderedPageBreak/>
              <w:t xml:space="preserve"> </w:t>
            </w:r>
            <w:r w:rsidR="00157D90">
              <w:rPr>
                <w:rFonts w:ascii="Roboto" w:hAnsi="Roboto"/>
                <w:b/>
                <w:bCs/>
                <w:sz w:val="20"/>
                <w:szCs w:val="20"/>
              </w:rPr>
              <w:t xml:space="preserve">2. </w:t>
            </w:r>
            <w:r w:rsidRPr="00F146E7">
              <w:rPr>
                <w:rFonts w:ascii="Roboto" w:hAnsi="Roboto"/>
                <w:b/>
                <w:bCs/>
                <w:sz w:val="20"/>
                <w:szCs w:val="20"/>
              </w:rPr>
              <w:t xml:space="preserve">Se </w:t>
            </w:r>
            <w:r w:rsidR="00157D90">
              <w:rPr>
                <w:rFonts w:ascii="Roboto" w:hAnsi="Roboto"/>
                <w:b/>
                <w:bCs/>
                <w:sz w:val="20"/>
                <w:szCs w:val="20"/>
              </w:rPr>
              <w:t>corrige</w:t>
            </w:r>
            <w:r w:rsidRPr="00F146E7">
              <w:rPr>
                <w:rFonts w:ascii="Roboto" w:hAnsi="Roboto"/>
                <w:b/>
                <w:bCs/>
                <w:sz w:val="20"/>
                <w:szCs w:val="20"/>
              </w:rPr>
              <w:t>:</w:t>
            </w:r>
            <w:r w:rsidR="004F4515">
              <w:rPr>
                <w:rFonts w:ascii="Roboto" w:hAnsi="Roboto"/>
                <w:b/>
                <w:bCs/>
                <w:sz w:val="20"/>
                <w:szCs w:val="20"/>
              </w:rPr>
              <w:t xml:space="preserve"> </w:t>
            </w:r>
            <w:r w:rsidRPr="00F146E7">
              <w:rPr>
                <w:rFonts w:ascii="Roboto" w:hAnsi="Roboto"/>
                <w:sz w:val="20"/>
                <w:szCs w:val="20"/>
              </w:rPr>
              <w:t xml:space="preserve">Se desbloquea la celda que corresponde a la Provisión de </w:t>
            </w:r>
            <w:r w:rsidRPr="00F146E7">
              <w:rPr>
                <w:rFonts w:ascii="Roboto" w:hAnsi="Roboto"/>
                <w:sz w:val="20"/>
                <w:szCs w:val="20"/>
              </w:rPr>
              <w:lastRenderedPageBreak/>
              <w:t>Primas No devengadas del requerimiento RCS-4.</w:t>
            </w:r>
          </w:p>
          <w:p w14:paraId="5C8608E5" w14:textId="77777777" w:rsidR="00157D90" w:rsidRDefault="00157D90" w:rsidP="00136A68">
            <w:pPr>
              <w:spacing w:after="0" w:line="240" w:lineRule="auto"/>
              <w:jc w:val="both"/>
              <w:rPr>
                <w:rFonts w:ascii="Roboto" w:hAnsi="Roboto"/>
                <w:sz w:val="20"/>
                <w:szCs w:val="20"/>
              </w:rPr>
            </w:pPr>
          </w:p>
          <w:p w14:paraId="1157364D" w14:textId="77777777" w:rsidR="00157D90" w:rsidRDefault="00157D90" w:rsidP="00136A68">
            <w:pPr>
              <w:spacing w:after="0" w:line="240" w:lineRule="auto"/>
              <w:jc w:val="both"/>
              <w:rPr>
                <w:rFonts w:ascii="Roboto" w:hAnsi="Roboto"/>
                <w:sz w:val="20"/>
                <w:szCs w:val="20"/>
              </w:rPr>
            </w:pPr>
          </w:p>
          <w:p w14:paraId="54C4EE4C" w14:textId="77777777" w:rsidR="00157D90" w:rsidRDefault="00157D90" w:rsidP="00136A68">
            <w:pPr>
              <w:spacing w:after="0" w:line="240" w:lineRule="auto"/>
              <w:jc w:val="both"/>
              <w:rPr>
                <w:rFonts w:ascii="Roboto" w:hAnsi="Roboto"/>
                <w:sz w:val="20"/>
                <w:szCs w:val="20"/>
              </w:rPr>
            </w:pPr>
          </w:p>
          <w:p w14:paraId="0F3B20DE" w14:textId="77777777" w:rsidR="00157D90" w:rsidRDefault="00157D90" w:rsidP="00136A68">
            <w:pPr>
              <w:spacing w:after="0" w:line="240" w:lineRule="auto"/>
              <w:jc w:val="both"/>
              <w:rPr>
                <w:rFonts w:ascii="Roboto" w:hAnsi="Roboto"/>
                <w:sz w:val="20"/>
                <w:szCs w:val="20"/>
              </w:rPr>
            </w:pPr>
          </w:p>
          <w:p w14:paraId="4B5B8161" w14:textId="77777777" w:rsidR="00157D90" w:rsidRDefault="00157D90" w:rsidP="00136A68">
            <w:pPr>
              <w:spacing w:after="0" w:line="240" w:lineRule="auto"/>
              <w:jc w:val="both"/>
              <w:rPr>
                <w:rFonts w:ascii="Roboto" w:hAnsi="Roboto"/>
                <w:sz w:val="20"/>
                <w:szCs w:val="20"/>
              </w:rPr>
            </w:pPr>
          </w:p>
          <w:p w14:paraId="7F597373" w14:textId="77777777" w:rsidR="00157D90" w:rsidRDefault="00157D90" w:rsidP="00136A68">
            <w:pPr>
              <w:spacing w:after="0" w:line="240" w:lineRule="auto"/>
              <w:jc w:val="both"/>
              <w:rPr>
                <w:rFonts w:ascii="Roboto" w:hAnsi="Roboto"/>
                <w:sz w:val="20"/>
                <w:szCs w:val="20"/>
              </w:rPr>
            </w:pPr>
          </w:p>
          <w:p w14:paraId="432C8A4C" w14:textId="77777777" w:rsidR="00157D90" w:rsidRDefault="00157D90" w:rsidP="00136A68">
            <w:pPr>
              <w:spacing w:after="0" w:line="240" w:lineRule="auto"/>
              <w:jc w:val="both"/>
              <w:rPr>
                <w:rFonts w:ascii="Roboto" w:hAnsi="Roboto"/>
                <w:sz w:val="20"/>
                <w:szCs w:val="20"/>
              </w:rPr>
            </w:pPr>
          </w:p>
          <w:p w14:paraId="212AF815" w14:textId="77777777" w:rsidR="00157D90" w:rsidRDefault="00157D90" w:rsidP="00136A68">
            <w:pPr>
              <w:spacing w:after="0" w:line="240" w:lineRule="auto"/>
              <w:jc w:val="both"/>
              <w:rPr>
                <w:rFonts w:ascii="Roboto" w:hAnsi="Roboto"/>
                <w:sz w:val="20"/>
                <w:szCs w:val="20"/>
              </w:rPr>
            </w:pPr>
          </w:p>
          <w:p w14:paraId="17BD74E3" w14:textId="77777777" w:rsidR="00157D90" w:rsidRDefault="00157D90" w:rsidP="00136A68">
            <w:pPr>
              <w:spacing w:after="0" w:line="240" w:lineRule="auto"/>
              <w:jc w:val="both"/>
              <w:rPr>
                <w:rFonts w:ascii="Roboto" w:hAnsi="Roboto"/>
                <w:sz w:val="20"/>
                <w:szCs w:val="20"/>
              </w:rPr>
            </w:pPr>
          </w:p>
          <w:p w14:paraId="7FB19343" w14:textId="05552504" w:rsidR="00F146E7" w:rsidRPr="00F146E7" w:rsidRDefault="00157D90" w:rsidP="00136A68">
            <w:pPr>
              <w:spacing w:after="0" w:line="240" w:lineRule="auto"/>
              <w:jc w:val="both"/>
              <w:rPr>
                <w:rFonts w:ascii="Roboto" w:hAnsi="Roboto"/>
                <w:b/>
                <w:bCs/>
                <w:sz w:val="20"/>
                <w:szCs w:val="20"/>
              </w:rPr>
            </w:pPr>
            <w:r w:rsidRPr="00157D90">
              <w:rPr>
                <w:rFonts w:ascii="Roboto" w:hAnsi="Roboto"/>
                <w:b/>
                <w:bCs/>
                <w:sz w:val="20"/>
                <w:szCs w:val="20"/>
              </w:rPr>
              <w:t>3</w:t>
            </w:r>
            <w:r>
              <w:rPr>
                <w:rFonts w:ascii="Roboto" w:hAnsi="Roboto"/>
                <w:b/>
                <w:bCs/>
                <w:sz w:val="20"/>
                <w:szCs w:val="20"/>
              </w:rPr>
              <w:t>.</w:t>
            </w:r>
            <w:r w:rsidRPr="00157D90">
              <w:rPr>
                <w:rFonts w:ascii="Roboto" w:hAnsi="Roboto"/>
                <w:b/>
                <w:bCs/>
                <w:sz w:val="20"/>
                <w:szCs w:val="20"/>
              </w:rPr>
              <w:t xml:space="preserve"> Se corrige:</w:t>
            </w:r>
            <w:r>
              <w:rPr>
                <w:rFonts w:ascii="Roboto" w:hAnsi="Roboto"/>
                <w:sz w:val="20"/>
                <w:szCs w:val="20"/>
              </w:rPr>
              <w:t xml:space="preserve"> </w:t>
            </w:r>
            <w:r w:rsidR="00F146E7" w:rsidRPr="00F146E7">
              <w:rPr>
                <w:rFonts w:ascii="Roboto" w:hAnsi="Roboto"/>
                <w:sz w:val="20"/>
                <w:szCs w:val="20"/>
              </w:rPr>
              <w:t>se ajustan las celdas de la hoja RCS-5 los totales de la participación del reasegurador en las provisiones técnicas.</w:t>
            </w:r>
          </w:p>
        </w:tc>
        <w:tc>
          <w:tcPr>
            <w:tcW w:w="3685" w:type="dxa"/>
          </w:tcPr>
          <w:p w14:paraId="164905AA" w14:textId="3144B974" w:rsidR="00DA4D7B" w:rsidRPr="001022B7" w:rsidRDefault="00DA4D7B" w:rsidP="00136A68">
            <w:pPr>
              <w:spacing w:after="0" w:line="240" w:lineRule="auto"/>
              <w:jc w:val="both"/>
              <w:rPr>
                <w:rFonts w:ascii="Roboto" w:hAnsi="Roboto"/>
                <w:sz w:val="20"/>
                <w:szCs w:val="20"/>
              </w:rPr>
            </w:pPr>
            <w:r w:rsidRPr="001022B7">
              <w:rPr>
                <w:rFonts w:ascii="Roboto" w:hAnsi="Roboto"/>
                <w:b/>
                <w:bCs/>
                <w:sz w:val="20"/>
                <w:szCs w:val="20"/>
              </w:rPr>
              <w:lastRenderedPageBreak/>
              <w:t>13.</w:t>
            </w:r>
            <w:r w:rsidRPr="001022B7">
              <w:rPr>
                <w:rFonts w:ascii="Roboto" w:hAnsi="Roboto"/>
                <w:sz w:val="20"/>
                <w:szCs w:val="20"/>
              </w:rPr>
              <w:t xml:space="preserve"> Se ha detectado un error en la versión 13.2 del formulario incluido en </w:t>
            </w:r>
            <w:r w:rsidRPr="001022B7">
              <w:rPr>
                <w:rFonts w:ascii="Roboto" w:hAnsi="Roboto"/>
                <w:sz w:val="20"/>
                <w:szCs w:val="20"/>
              </w:rPr>
              <w:lastRenderedPageBreak/>
              <w:t>el Anexo 4 del acuerdo SGS-DES-A-021-2013, específicamente en el cálculo del requerimiento de capital por riesgo de reaseguro cedido (RCS-5), en el apartado del requerimiento por riesgo de concentración cuando se identifican concentraciones para reaseguradores con calificaciones de riesgo menores a BBB, por lo que es necesario corregir la fórmula ahí aplicada. Adicionalmente, con el propósito de validar la consistencia de las provisiones para primas no devengadas (PPND) reportadas por las aseguradoras, es importante incluir una celda adicional en el requerimiento de riesgo por seguros generales, para el ramo de caución, para que las entidades reporten dicho cálculo.</w:t>
            </w:r>
          </w:p>
          <w:p w14:paraId="5A6B7DC1" w14:textId="5F43234C" w:rsidR="00BB1A42" w:rsidRPr="001022B7" w:rsidRDefault="00BB1A42" w:rsidP="00136A68">
            <w:pPr>
              <w:spacing w:after="0" w:line="240" w:lineRule="auto"/>
              <w:jc w:val="both"/>
              <w:rPr>
                <w:rFonts w:ascii="Cambria" w:hAnsi="Cambria"/>
                <w:b/>
                <w:bCs/>
                <w:color w:val="FFFFFF" w:themeColor="background1"/>
                <w:sz w:val="20"/>
                <w:szCs w:val="20"/>
              </w:rPr>
            </w:pPr>
          </w:p>
        </w:tc>
      </w:tr>
      <w:tr w:rsidR="00BB1A42" w:rsidRPr="001022B7" w14:paraId="7E6DA684" w14:textId="1AAFF026" w:rsidTr="00157D90">
        <w:tc>
          <w:tcPr>
            <w:tcW w:w="3680" w:type="dxa"/>
            <w:shd w:val="clear" w:color="auto" w:fill="auto"/>
          </w:tcPr>
          <w:p w14:paraId="7B6DB378" w14:textId="3F36237B" w:rsidR="00BB1A42" w:rsidRPr="00157D90" w:rsidRDefault="00157D90" w:rsidP="00157D90">
            <w:pPr>
              <w:widowControl w:val="0"/>
              <w:spacing w:after="0" w:line="240" w:lineRule="auto"/>
              <w:jc w:val="both"/>
              <w:rPr>
                <w:rFonts w:ascii="Roboto" w:hAnsi="Roboto"/>
                <w:sz w:val="20"/>
                <w:szCs w:val="20"/>
              </w:rPr>
            </w:pPr>
            <w:r>
              <w:rPr>
                <w:rFonts w:ascii="Roboto" w:hAnsi="Roboto"/>
                <w:sz w:val="20"/>
                <w:szCs w:val="20"/>
              </w:rPr>
              <w:lastRenderedPageBreak/>
              <w:t xml:space="preserve">14. </w:t>
            </w:r>
            <w:r w:rsidR="00BB1A42" w:rsidRPr="00157D90">
              <w:rPr>
                <w:rFonts w:ascii="Roboto" w:hAnsi="Roboto"/>
                <w:sz w:val="20"/>
                <w:szCs w:val="20"/>
              </w:rPr>
              <w:t xml:space="preserve">Por lo expuesto en los considerandos anteriores, resulta necesario modificar el acuerdo SGS-DES-A-021-2013, para requerir a las entidades aseguradoras el informe trimestral de la Instancia de Atención del Consumidor de Seguros establecido en el artículo 16 del Acuerdo Sugese 06-13, </w:t>
            </w:r>
            <w:r w:rsidR="00BB1A42" w:rsidRPr="00157D90">
              <w:rPr>
                <w:rFonts w:ascii="Roboto" w:hAnsi="Roboto"/>
                <w:i/>
                <w:iCs/>
                <w:sz w:val="20"/>
                <w:szCs w:val="20"/>
              </w:rPr>
              <w:t>Reglamento de Defensa y Protección del Consumidor de Seguros</w:t>
            </w:r>
            <w:r w:rsidR="00BB1A42" w:rsidRPr="00157D90">
              <w:rPr>
                <w:rFonts w:ascii="Roboto" w:hAnsi="Roboto"/>
                <w:sz w:val="20"/>
                <w:szCs w:val="20"/>
              </w:rPr>
              <w:t xml:space="preserve"> y corregir el error material en el Anexo 4 citado sobre el cálculo del ISC.</w:t>
            </w:r>
          </w:p>
        </w:tc>
        <w:tc>
          <w:tcPr>
            <w:tcW w:w="3119" w:type="dxa"/>
            <w:shd w:val="clear" w:color="auto" w:fill="auto"/>
          </w:tcPr>
          <w:p w14:paraId="3A8AEB32"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119" w:type="dxa"/>
          </w:tcPr>
          <w:p w14:paraId="6A9CAFBA"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685" w:type="dxa"/>
          </w:tcPr>
          <w:p w14:paraId="180E6F2E" w14:textId="095DC04F" w:rsidR="00BB1A42" w:rsidRPr="00157D90" w:rsidRDefault="009907AD" w:rsidP="00157D90">
            <w:pPr>
              <w:widowControl w:val="0"/>
              <w:spacing w:after="0" w:line="240" w:lineRule="auto"/>
              <w:jc w:val="both"/>
              <w:rPr>
                <w:rFonts w:ascii="Roboto" w:hAnsi="Roboto"/>
                <w:sz w:val="20"/>
                <w:szCs w:val="20"/>
              </w:rPr>
            </w:pPr>
            <w:r w:rsidRPr="009907AD">
              <w:rPr>
                <w:rFonts w:ascii="Roboto" w:hAnsi="Roboto"/>
                <w:b/>
                <w:bCs/>
                <w:sz w:val="20"/>
                <w:szCs w:val="20"/>
              </w:rPr>
              <w:t>14.</w:t>
            </w:r>
            <w:r>
              <w:rPr>
                <w:rFonts w:ascii="Roboto" w:hAnsi="Roboto"/>
                <w:sz w:val="20"/>
                <w:szCs w:val="20"/>
              </w:rPr>
              <w:t xml:space="preserve"> P</w:t>
            </w:r>
            <w:r w:rsidRPr="009907AD">
              <w:rPr>
                <w:rFonts w:ascii="Roboto" w:hAnsi="Roboto"/>
                <w:sz w:val="20"/>
                <w:szCs w:val="20"/>
              </w:rPr>
              <w:t xml:space="preserve">or lo expuesto en los considerandos anteriores, resulta necesario modificar el acuerdo SGS-DES-A-021-2013, para requerir a las entidades aseguradoras el informe trimestral de la Instancia de Atención del Consumidor de Seguros establecido en el artículo 16 del Acuerdo Sugese 06-13, </w:t>
            </w:r>
            <w:r w:rsidRPr="009907AD">
              <w:rPr>
                <w:rFonts w:ascii="Roboto" w:hAnsi="Roboto"/>
                <w:i/>
                <w:iCs/>
                <w:sz w:val="20"/>
                <w:szCs w:val="20"/>
              </w:rPr>
              <w:t>Reglamento de Defensa y Protección del Consumidor de Seguros</w:t>
            </w:r>
            <w:r w:rsidRPr="009907AD">
              <w:rPr>
                <w:rFonts w:ascii="Roboto" w:hAnsi="Roboto"/>
                <w:sz w:val="20"/>
                <w:szCs w:val="20"/>
              </w:rPr>
              <w:t xml:space="preserve"> y corregir el error material en el Anexo 4 citado sobre el cálculo del ISC.</w:t>
            </w:r>
          </w:p>
        </w:tc>
      </w:tr>
      <w:tr w:rsidR="00BB1A42" w:rsidRPr="001022B7" w14:paraId="1F7DF2B4" w14:textId="5B031FCF" w:rsidTr="00157D90">
        <w:tc>
          <w:tcPr>
            <w:tcW w:w="3680" w:type="dxa"/>
            <w:shd w:val="clear" w:color="auto" w:fill="auto"/>
          </w:tcPr>
          <w:p w14:paraId="09F96559" w14:textId="3DE65683" w:rsidR="00BB1A42" w:rsidRPr="00157D90" w:rsidRDefault="00157D90" w:rsidP="00157D90">
            <w:pPr>
              <w:widowControl w:val="0"/>
              <w:spacing w:after="0" w:line="240" w:lineRule="auto"/>
              <w:jc w:val="both"/>
              <w:rPr>
                <w:rFonts w:ascii="Roboto" w:hAnsi="Roboto"/>
                <w:sz w:val="20"/>
                <w:szCs w:val="20"/>
              </w:rPr>
            </w:pPr>
            <w:r>
              <w:rPr>
                <w:rFonts w:ascii="Roboto" w:hAnsi="Roboto"/>
                <w:sz w:val="20"/>
                <w:szCs w:val="20"/>
              </w:rPr>
              <w:t xml:space="preserve">15. </w:t>
            </w:r>
            <w:r w:rsidR="00BB1A42" w:rsidRPr="00157D90">
              <w:rPr>
                <w:rFonts w:ascii="Roboto" w:hAnsi="Roboto"/>
                <w:sz w:val="20"/>
                <w:szCs w:val="20"/>
              </w:rPr>
              <w:t>El inciso 2) del artículo 361 de la Ley General de la Administración Pública, establece que “</w:t>
            </w:r>
            <w:r w:rsidR="00BB1A42" w:rsidRPr="00157D90">
              <w:rPr>
                <w:rFonts w:ascii="Roboto" w:hAnsi="Roboto"/>
                <w:i/>
                <w:sz w:val="20"/>
                <w:szCs w:val="20"/>
              </w:rPr>
              <w:t xml:space="preserve">Se concederá a las entidades representativas de intereses de carácter general o corporativo afectados por la </w:t>
            </w:r>
            <w:r w:rsidR="00BB1A42" w:rsidRPr="00157D90">
              <w:rPr>
                <w:rFonts w:ascii="Roboto" w:hAnsi="Roboto"/>
                <w:i/>
                <w:sz w:val="20"/>
                <w:szCs w:val="20"/>
              </w:rPr>
              <w:lastRenderedPageBreak/>
              <w:t>disposición la oportunidad de exponer su parecer, dentro del plazo de diez días, salvo cuando se opongan a ello razones de interés público o de urgencia debidamente consignadas en el anteproyecto.”</w:t>
            </w:r>
          </w:p>
        </w:tc>
        <w:tc>
          <w:tcPr>
            <w:tcW w:w="3119" w:type="dxa"/>
            <w:shd w:val="clear" w:color="auto" w:fill="auto"/>
          </w:tcPr>
          <w:p w14:paraId="3FB1B51D"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119" w:type="dxa"/>
          </w:tcPr>
          <w:p w14:paraId="21E82A82"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685" w:type="dxa"/>
          </w:tcPr>
          <w:p w14:paraId="62B37CB0" w14:textId="328D0D83" w:rsidR="00BB1A42" w:rsidRPr="00157D90" w:rsidRDefault="009907AD" w:rsidP="00157D90">
            <w:pPr>
              <w:widowControl w:val="0"/>
              <w:spacing w:after="0" w:line="240" w:lineRule="auto"/>
              <w:jc w:val="both"/>
              <w:rPr>
                <w:rFonts w:ascii="Roboto" w:hAnsi="Roboto"/>
                <w:sz w:val="20"/>
                <w:szCs w:val="20"/>
              </w:rPr>
            </w:pPr>
            <w:r w:rsidRPr="009907AD">
              <w:rPr>
                <w:rFonts w:ascii="Roboto" w:hAnsi="Roboto"/>
                <w:b/>
                <w:bCs/>
                <w:sz w:val="20"/>
                <w:szCs w:val="20"/>
              </w:rPr>
              <w:t>15.</w:t>
            </w:r>
            <w:r>
              <w:rPr>
                <w:rFonts w:ascii="Roboto" w:hAnsi="Roboto"/>
                <w:sz w:val="20"/>
                <w:szCs w:val="20"/>
              </w:rPr>
              <w:t xml:space="preserve"> E</w:t>
            </w:r>
            <w:r w:rsidRPr="009907AD">
              <w:rPr>
                <w:rFonts w:ascii="Roboto" w:hAnsi="Roboto"/>
                <w:sz w:val="20"/>
                <w:szCs w:val="20"/>
              </w:rPr>
              <w:t>l inciso 2) del artículo 361 de la Ley General de la Administración Pública, establece que “</w:t>
            </w:r>
            <w:r w:rsidRPr="009907AD">
              <w:rPr>
                <w:rFonts w:ascii="Roboto" w:hAnsi="Roboto"/>
                <w:i/>
                <w:sz w:val="20"/>
                <w:szCs w:val="20"/>
              </w:rPr>
              <w:t xml:space="preserve">Se concederá a las entidades representativas de intereses de carácter general o corporativo afectados por la disposición la oportunidad de exponer su parecer, </w:t>
            </w:r>
            <w:r w:rsidRPr="009907AD">
              <w:rPr>
                <w:rFonts w:ascii="Roboto" w:hAnsi="Roboto"/>
                <w:i/>
                <w:sz w:val="20"/>
                <w:szCs w:val="20"/>
              </w:rPr>
              <w:lastRenderedPageBreak/>
              <w:t>dentro del plazo de diez días, salvo cuando se opongan a ello razones de interés público o de urgencia debidamente consignadas en el anteproyecto.”</w:t>
            </w:r>
          </w:p>
        </w:tc>
      </w:tr>
      <w:tr w:rsidR="00BB1A42" w:rsidRPr="001022B7" w14:paraId="3FA9B7EF" w14:textId="57C92F8F" w:rsidTr="00157D90">
        <w:tc>
          <w:tcPr>
            <w:tcW w:w="3680" w:type="dxa"/>
            <w:shd w:val="clear" w:color="auto" w:fill="auto"/>
          </w:tcPr>
          <w:p w14:paraId="6DA3C1F1" w14:textId="233E1B13" w:rsidR="00BB1A42" w:rsidRPr="001022B7" w:rsidRDefault="00BB1A42" w:rsidP="00136A68">
            <w:pPr>
              <w:spacing w:after="0" w:line="240" w:lineRule="auto"/>
              <w:jc w:val="both"/>
              <w:rPr>
                <w:rFonts w:ascii="Roboto" w:hAnsi="Roboto"/>
                <w:b/>
                <w:sz w:val="20"/>
                <w:szCs w:val="20"/>
              </w:rPr>
            </w:pPr>
            <w:r w:rsidRPr="001022B7">
              <w:rPr>
                <w:rFonts w:ascii="Roboto" w:hAnsi="Roboto"/>
                <w:b/>
                <w:sz w:val="20"/>
                <w:szCs w:val="20"/>
              </w:rPr>
              <w:lastRenderedPageBreak/>
              <w:t xml:space="preserve">Dispone: </w:t>
            </w:r>
          </w:p>
        </w:tc>
        <w:tc>
          <w:tcPr>
            <w:tcW w:w="3119" w:type="dxa"/>
            <w:shd w:val="clear" w:color="auto" w:fill="auto"/>
          </w:tcPr>
          <w:p w14:paraId="3E543608"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119" w:type="dxa"/>
          </w:tcPr>
          <w:p w14:paraId="5C3258B0"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685" w:type="dxa"/>
          </w:tcPr>
          <w:p w14:paraId="12814CAE" w14:textId="6B0D8525" w:rsidR="00BB1A42" w:rsidRPr="001022B7" w:rsidRDefault="009907AD" w:rsidP="00136A68">
            <w:pPr>
              <w:spacing w:after="0" w:line="240" w:lineRule="auto"/>
              <w:jc w:val="both"/>
              <w:rPr>
                <w:rFonts w:ascii="Cambria" w:hAnsi="Cambria"/>
                <w:b/>
                <w:bCs/>
                <w:color w:val="FFFFFF" w:themeColor="background1"/>
                <w:sz w:val="20"/>
                <w:szCs w:val="20"/>
              </w:rPr>
            </w:pPr>
            <w:r w:rsidRPr="001022B7">
              <w:rPr>
                <w:rFonts w:ascii="Roboto" w:hAnsi="Roboto"/>
                <w:b/>
                <w:sz w:val="20"/>
                <w:szCs w:val="20"/>
              </w:rPr>
              <w:t>Dispone:</w:t>
            </w:r>
          </w:p>
        </w:tc>
      </w:tr>
      <w:tr w:rsidR="00BB1A42" w:rsidRPr="001022B7" w14:paraId="5312392C" w14:textId="1CA02548" w:rsidTr="00157D90">
        <w:tc>
          <w:tcPr>
            <w:tcW w:w="3680" w:type="dxa"/>
            <w:shd w:val="clear" w:color="auto" w:fill="auto"/>
          </w:tcPr>
          <w:p w14:paraId="2941CD19" w14:textId="1285E353" w:rsidR="00BB1A42" w:rsidRPr="00157D90" w:rsidRDefault="00157D90" w:rsidP="00157D90">
            <w:pPr>
              <w:spacing w:after="0" w:line="240" w:lineRule="auto"/>
              <w:jc w:val="both"/>
              <w:rPr>
                <w:rFonts w:ascii="Roboto" w:hAnsi="Roboto"/>
                <w:i/>
                <w:sz w:val="20"/>
                <w:szCs w:val="20"/>
                <w:lang w:val="es-ES_tradnl"/>
              </w:rPr>
            </w:pPr>
            <w:r>
              <w:rPr>
                <w:rFonts w:ascii="Roboto" w:hAnsi="Roboto"/>
                <w:b/>
                <w:bCs/>
                <w:sz w:val="20"/>
                <w:szCs w:val="20"/>
                <w:lang w:val="es-ES"/>
              </w:rPr>
              <w:t xml:space="preserve">I. </w:t>
            </w:r>
            <w:r w:rsidR="009907AD" w:rsidRPr="00157D90">
              <w:rPr>
                <w:rFonts w:ascii="Roboto" w:hAnsi="Roboto"/>
                <w:b/>
                <w:bCs/>
                <w:sz w:val="20"/>
                <w:szCs w:val="20"/>
                <w:lang w:val="es-ES"/>
              </w:rPr>
              <w:t>Modificar el artículo 2 del acuerdo SGS-A-0021-2013 para incluir una línea final a la tabla contenida en dicho artículo, que se lea de la siguiente forma:</w:t>
            </w:r>
          </w:p>
        </w:tc>
        <w:tc>
          <w:tcPr>
            <w:tcW w:w="3119" w:type="dxa"/>
            <w:shd w:val="clear" w:color="auto" w:fill="auto"/>
          </w:tcPr>
          <w:p w14:paraId="5C6613CB"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119" w:type="dxa"/>
          </w:tcPr>
          <w:p w14:paraId="46C308A2"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685" w:type="dxa"/>
          </w:tcPr>
          <w:p w14:paraId="432F01A6" w14:textId="0427DD64" w:rsidR="00BB1A42" w:rsidRPr="00157D90" w:rsidRDefault="00157D90" w:rsidP="00157D90">
            <w:pPr>
              <w:spacing w:after="0" w:line="240" w:lineRule="auto"/>
              <w:jc w:val="both"/>
              <w:rPr>
                <w:rFonts w:ascii="Roboto" w:hAnsi="Roboto"/>
                <w:b/>
                <w:bCs/>
                <w:sz w:val="20"/>
                <w:szCs w:val="20"/>
                <w:lang w:val="es-ES"/>
              </w:rPr>
            </w:pPr>
            <w:r>
              <w:rPr>
                <w:rFonts w:ascii="Roboto" w:hAnsi="Roboto"/>
                <w:b/>
                <w:bCs/>
                <w:sz w:val="20"/>
                <w:szCs w:val="20"/>
                <w:lang w:val="es-ES"/>
              </w:rPr>
              <w:t xml:space="preserve">I. </w:t>
            </w:r>
            <w:r w:rsidR="009907AD" w:rsidRPr="00157D90">
              <w:rPr>
                <w:rFonts w:ascii="Roboto" w:hAnsi="Roboto"/>
                <w:b/>
                <w:bCs/>
                <w:sz w:val="20"/>
                <w:szCs w:val="20"/>
                <w:lang w:val="es-ES"/>
              </w:rPr>
              <w:t>Modificar el artículo 2 del acuerdo SGS-A-0021-2013 para incluir una línea final a la tabla contenida en dicho artículo, que se lea de la siguiente forma:</w:t>
            </w:r>
          </w:p>
        </w:tc>
      </w:tr>
      <w:tr w:rsidR="00BB1A42" w:rsidRPr="001022B7" w14:paraId="10ECE9CE" w14:textId="24C03C13" w:rsidTr="00157D90">
        <w:tc>
          <w:tcPr>
            <w:tcW w:w="3680" w:type="dxa"/>
            <w:shd w:val="clear" w:color="auto" w:fill="auto"/>
          </w:tcPr>
          <w:tbl>
            <w:tblPr>
              <w:tblStyle w:val="Tablaconcuadrcula"/>
              <w:tblW w:w="5000" w:type="pct"/>
              <w:jc w:val="center"/>
              <w:tblLayout w:type="fixed"/>
              <w:tblLook w:val="04A0" w:firstRow="1" w:lastRow="0" w:firstColumn="1" w:lastColumn="0" w:noHBand="0" w:noVBand="1"/>
            </w:tblPr>
            <w:tblGrid>
              <w:gridCol w:w="765"/>
              <w:gridCol w:w="765"/>
              <w:gridCol w:w="710"/>
              <w:gridCol w:w="1214"/>
            </w:tblGrid>
            <w:tr w:rsidR="00BB1A42" w:rsidRPr="001022B7" w14:paraId="2F819E7F" w14:textId="77777777" w:rsidTr="00F15543">
              <w:trPr>
                <w:cantSplit/>
                <w:trHeight w:val="615"/>
                <w:tblHeader/>
                <w:jc w:val="center"/>
              </w:trPr>
              <w:tc>
                <w:tcPr>
                  <w:tcW w:w="1106" w:type="pct"/>
                  <w:shd w:val="clear" w:color="auto" w:fill="A6A6A6" w:themeFill="background1" w:themeFillShade="A6"/>
                  <w:vAlign w:val="center"/>
                </w:tcPr>
                <w:p w14:paraId="3AE06529" w14:textId="77777777" w:rsidR="00BB1A42" w:rsidRPr="001022B7" w:rsidRDefault="00BB1A42" w:rsidP="00136A68">
                  <w:pPr>
                    <w:widowControl w:val="0"/>
                    <w:spacing w:after="0" w:line="240" w:lineRule="auto"/>
                    <w:jc w:val="center"/>
                    <w:rPr>
                      <w:rFonts w:ascii="Roboto" w:hAnsi="Roboto"/>
                      <w:b/>
                      <w:i/>
                      <w:snapToGrid w:val="0"/>
                      <w:sz w:val="20"/>
                      <w:szCs w:val="20"/>
                    </w:rPr>
                  </w:pPr>
                  <w:r w:rsidRPr="001022B7">
                    <w:rPr>
                      <w:rFonts w:ascii="Roboto" w:hAnsi="Roboto"/>
                      <w:b/>
                      <w:i/>
                      <w:snapToGrid w:val="0"/>
                      <w:sz w:val="20"/>
                      <w:szCs w:val="20"/>
                    </w:rPr>
                    <w:lastRenderedPageBreak/>
                    <w:t>Información</w:t>
                  </w:r>
                </w:p>
              </w:tc>
              <w:tc>
                <w:tcPr>
                  <w:tcW w:w="1107" w:type="pct"/>
                  <w:shd w:val="clear" w:color="auto" w:fill="A6A6A6" w:themeFill="background1" w:themeFillShade="A6"/>
                  <w:vAlign w:val="center"/>
                </w:tcPr>
                <w:p w14:paraId="4D95A578" w14:textId="77777777" w:rsidR="00BB1A42" w:rsidRPr="001022B7" w:rsidRDefault="00BB1A42" w:rsidP="00136A68">
                  <w:pPr>
                    <w:pStyle w:val="Ttulo5"/>
                    <w:rPr>
                      <w:rFonts w:ascii="Roboto" w:hAnsi="Roboto"/>
                      <w:b w:val="0"/>
                      <w:i w:val="0"/>
                      <w:sz w:val="20"/>
                      <w:szCs w:val="20"/>
                    </w:rPr>
                  </w:pPr>
                  <w:r w:rsidRPr="001022B7">
                    <w:rPr>
                      <w:rFonts w:ascii="Roboto" w:hAnsi="Roboto"/>
                      <w:sz w:val="20"/>
                      <w:szCs w:val="20"/>
                    </w:rPr>
                    <w:t>Periodicidad</w:t>
                  </w:r>
                </w:p>
              </w:tc>
              <w:tc>
                <w:tcPr>
                  <w:tcW w:w="1028" w:type="pct"/>
                  <w:shd w:val="clear" w:color="auto" w:fill="A6A6A6" w:themeFill="background1" w:themeFillShade="A6"/>
                  <w:vAlign w:val="center"/>
                </w:tcPr>
                <w:p w14:paraId="00F9C2B1" w14:textId="77777777" w:rsidR="00BB1A42" w:rsidRPr="001022B7" w:rsidRDefault="00BB1A42" w:rsidP="00136A68">
                  <w:pPr>
                    <w:widowControl w:val="0"/>
                    <w:spacing w:after="0" w:line="240" w:lineRule="auto"/>
                    <w:jc w:val="center"/>
                    <w:rPr>
                      <w:rFonts w:ascii="Roboto" w:hAnsi="Roboto"/>
                      <w:b/>
                      <w:i/>
                      <w:snapToGrid w:val="0"/>
                      <w:sz w:val="20"/>
                      <w:szCs w:val="20"/>
                    </w:rPr>
                  </w:pPr>
                  <w:r w:rsidRPr="001022B7">
                    <w:rPr>
                      <w:rFonts w:ascii="Roboto" w:hAnsi="Roboto"/>
                      <w:b/>
                      <w:i/>
                      <w:snapToGrid w:val="0"/>
                      <w:sz w:val="20"/>
                      <w:szCs w:val="20"/>
                    </w:rPr>
                    <w:t>Plazo de entrega</w:t>
                  </w:r>
                </w:p>
              </w:tc>
              <w:tc>
                <w:tcPr>
                  <w:tcW w:w="1758" w:type="pct"/>
                  <w:shd w:val="clear" w:color="auto" w:fill="A6A6A6" w:themeFill="background1" w:themeFillShade="A6"/>
                  <w:vAlign w:val="center"/>
                </w:tcPr>
                <w:p w14:paraId="08AEA877" w14:textId="77777777" w:rsidR="00BB1A42" w:rsidRPr="001022B7" w:rsidRDefault="00BB1A42" w:rsidP="00136A68">
                  <w:pPr>
                    <w:widowControl w:val="0"/>
                    <w:spacing w:after="0" w:line="240" w:lineRule="auto"/>
                    <w:jc w:val="center"/>
                    <w:rPr>
                      <w:rFonts w:ascii="Roboto" w:hAnsi="Roboto"/>
                      <w:b/>
                      <w:i/>
                      <w:snapToGrid w:val="0"/>
                      <w:sz w:val="20"/>
                      <w:szCs w:val="20"/>
                    </w:rPr>
                  </w:pPr>
                  <w:r w:rsidRPr="001022B7">
                    <w:rPr>
                      <w:rFonts w:ascii="Roboto" w:hAnsi="Roboto"/>
                      <w:b/>
                      <w:i/>
                      <w:snapToGrid w:val="0"/>
                      <w:sz w:val="20"/>
                      <w:szCs w:val="20"/>
                    </w:rPr>
                    <w:t>Medio</w:t>
                  </w:r>
                </w:p>
              </w:tc>
            </w:tr>
            <w:tr w:rsidR="00BB1A42" w:rsidRPr="001022B7" w14:paraId="518B1289" w14:textId="77777777" w:rsidTr="00F15543">
              <w:trPr>
                <w:cantSplit/>
                <w:trHeight w:val="373"/>
                <w:tblHeader/>
                <w:jc w:val="center"/>
              </w:trPr>
              <w:tc>
                <w:tcPr>
                  <w:tcW w:w="1106" w:type="pct"/>
                  <w:shd w:val="clear" w:color="auto" w:fill="FFFFFF" w:themeFill="background1"/>
                  <w:vAlign w:val="center"/>
                </w:tcPr>
                <w:p w14:paraId="1AAA3522" w14:textId="77777777" w:rsidR="00BB1A42" w:rsidRPr="001022B7" w:rsidRDefault="00BB1A42" w:rsidP="00136A68">
                  <w:pPr>
                    <w:widowControl w:val="0"/>
                    <w:spacing w:after="0" w:line="240" w:lineRule="auto"/>
                    <w:jc w:val="center"/>
                    <w:rPr>
                      <w:rFonts w:ascii="Roboto" w:hAnsi="Roboto"/>
                      <w:b/>
                      <w:i/>
                      <w:snapToGrid w:val="0"/>
                      <w:sz w:val="20"/>
                      <w:szCs w:val="20"/>
                    </w:rPr>
                  </w:pPr>
                  <w:r w:rsidRPr="001022B7">
                    <w:rPr>
                      <w:rFonts w:ascii="Roboto" w:hAnsi="Roboto"/>
                      <w:b/>
                      <w:i/>
                      <w:snapToGrid w:val="0"/>
                      <w:sz w:val="20"/>
                      <w:szCs w:val="20"/>
                    </w:rPr>
                    <w:t>…</w:t>
                  </w:r>
                </w:p>
              </w:tc>
              <w:tc>
                <w:tcPr>
                  <w:tcW w:w="1107" w:type="pct"/>
                  <w:shd w:val="clear" w:color="auto" w:fill="FFFFFF" w:themeFill="background1"/>
                  <w:vAlign w:val="center"/>
                </w:tcPr>
                <w:p w14:paraId="0EC52405" w14:textId="77777777" w:rsidR="00BB1A42" w:rsidRPr="001022B7" w:rsidRDefault="00BB1A42" w:rsidP="00136A68">
                  <w:pPr>
                    <w:pStyle w:val="Ttulo5"/>
                    <w:rPr>
                      <w:rFonts w:ascii="Roboto" w:hAnsi="Roboto"/>
                      <w:sz w:val="20"/>
                      <w:szCs w:val="20"/>
                    </w:rPr>
                  </w:pPr>
                </w:p>
              </w:tc>
              <w:tc>
                <w:tcPr>
                  <w:tcW w:w="1028" w:type="pct"/>
                  <w:shd w:val="clear" w:color="auto" w:fill="FFFFFF" w:themeFill="background1"/>
                  <w:vAlign w:val="center"/>
                </w:tcPr>
                <w:p w14:paraId="3C039AA9" w14:textId="77777777" w:rsidR="00BB1A42" w:rsidRPr="001022B7" w:rsidRDefault="00BB1A42" w:rsidP="00136A68">
                  <w:pPr>
                    <w:widowControl w:val="0"/>
                    <w:spacing w:after="0" w:line="240" w:lineRule="auto"/>
                    <w:jc w:val="center"/>
                    <w:rPr>
                      <w:rFonts w:ascii="Roboto" w:hAnsi="Roboto"/>
                      <w:b/>
                      <w:i/>
                      <w:snapToGrid w:val="0"/>
                      <w:sz w:val="20"/>
                      <w:szCs w:val="20"/>
                    </w:rPr>
                  </w:pPr>
                </w:p>
              </w:tc>
              <w:tc>
                <w:tcPr>
                  <w:tcW w:w="1758" w:type="pct"/>
                  <w:shd w:val="clear" w:color="auto" w:fill="FFFFFF" w:themeFill="background1"/>
                  <w:vAlign w:val="center"/>
                </w:tcPr>
                <w:p w14:paraId="7151287C" w14:textId="77777777" w:rsidR="00BB1A42" w:rsidRPr="001022B7" w:rsidRDefault="00BB1A42" w:rsidP="00136A68">
                  <w:pPr>
                    <w:widowControl w:val="0"/>
                    <w:spacing w:after="0" w:line="240" w:lineRule="auto"/>
                    <w:jc w:val="center"/>
                    <w:rPr>
                      <w:rFonts w:ascii="Roboto" w:hAnsi="Roboto"/>
                      <w:b/>
                      <w:i/>
                      <w:snapToGrid w:val="0"/>
                      <w:sz w:val="20"/>
                      <w:szCs w:val="20"/>
                    </w:rPr>
                  </w:pPr>
                </w:p>
              </w:tc>
            </w:tr>
            <w:tr w:rsidR="00BB1A42" w:rsidRPr="001022B7" w14:paraId="3501A9A2" w14:textId="77777777" w:rsidTr="00F15543">
              <w:trPr>
                <w:cantSplit/>
                <w:trHeight w:val="3015"/>
                <w:jc w:val="center"/>
              </w:trPr>
              <w:tc>
                <w:tcPr>
                  <w:tcW w:w="1106" w:type="pct"/>
                </w:tcPr>
                <w:p w14:paraId="5F52E46A" w14:textId="77777777" w:rsidR="00BB1A42" w:rsidRPr="001022B7" w:rsidRDefault="00BB1A42" w:rsidP="00136A68">
                  <w:pPr>
                    <w:widowControl w:val="0"/>
                    <w:spacing w:after="0" w:line="240" w:lineRule="auto"/>
                    <w:jc w:val="both"/>
                    <w:rPr>
                      <w:rFonts w:ascii="Roboto" w:hAnsi="Roboto"/>
                      <w:b/>
                      <w:sz w:val="20"/>
                      <w:szCs w:val="20"/>
                    </w:rPr>
                  </w:pPr>
                  <w:r w:rsidRPr="001022B7">
                    <w:rPr>
                      <w:rFonts w:ascii="Roboto" w:hAnsi="Roboto"/>
                      <w:b/>
                      <w:sz w:val="20"/>
                      <w:szCs w:val="20"/>
                    </w:rPr>
                    <w:t xml:space="preserve">Informe de la gestión realizada por la Instancia de Atención del Consumidor de Seguros (Defensoría del </w:t>
                  </w:r>
                  <w:r w:rsidRPr="001022B7">
                    <w:rPr>
                      <w:rFonts w:ascii="Roboto" w:hAnsi="Roboto"/>
                      <w:b/>
                      <w:sz w:val="20"/>
                      <w:szCs w:val="20"/>
                    </w:rPr>
                    <w:lastRenderedPageBreak/>
                    <w:t>Asegurado)</w:t>
                  </w:r>
                </w:p>
              </w:tc>
              <w:tc>
                <w:tcPr>
                  <w:tcW w:w="1107" w:type="pct"/>
                </w:tcPr>
                <w:p w14:paraId="0A119DC3" w14:textId="77777777" w:rsidR="00BB1A42" w:rsidRPr="001022B7" w:rsidRDefault="00BB1A42" w:rsidP="00136A68">
                  <w:pPr>
                    <w:widowControl w:val="0"/>
                    <w:spacing w:after="0" w:line="240" w:lineRule="auto"/>
                    <w:jc w:val="both"/>
                    <w:rPr>
                      <w:rFonts w:ascii="Roboto" w:hAnsi="Roboto" w:cstheme="minorHAnsi"/>
                      <w:b/>
                      <w:strike/>
                      <w:snapToGrid w:val="0"/>
                      <w:sz w:val="20"/>
                      <w:szCs w:val="20"/>
                    </w:rPr>
                  </w:pPr>
                  <w:r w:rsidRPr="001022B7">
                    <w:rPr>
                      <w:rFonts w:ascii="Roboto" w:hAnsi="Roboto"/>
                      <w:bCs/>
                      <w:sz w:val="20"/>
                      <w:szCs w:val="20"/>
                    </w:rPr>
                    <w:lastRenderedPageBreak/>
                    <w:t>Trimestral</w:t>
                  </w:r>
                </w:p>
              </w:tc>
              <w:tc>
                <w:tcPr>
                  <w:tcW w:w="1028" w:type="pct"/>
                </w:tcPr>
                <w:p w14:paraId="60DE00DA" w14:textId="77777777" w:rsidR="00BB1A42" w:rsidRPr="001022B7" w:rsidRDefault="00BB1A42" w:rsidP="00136A68">
                  <w:pPr>
                    <w:widowControl w:val="0"/>
                    <w:spacing w:after="0" w:line="240" w:lineRule="auto"/>
                    <w:jc w:val="both"/>
                    <w:rPr>
                      <w:rFonts w:ascii="Roboto" w:hAnsi="Roboto"/>
                      <w:bCs/>
                      <w:sz w:val="20"/>
                      <w:szCs w:val="20"/>
                    </w:rPr>
                  </w:pPr>
                  <w:r w:rsidRPr="001022B7">
                    <w:rPr>
                      <w:rFonts w:ascii="Roboto" w:hAnsi="Roboto"/>
                      <w:bCs/>
                      <w:sz w:val="20"/>
                      <w:szCs w:val="20"/>
                    </w:rPr>
                    <w:t>El último día hábil del mes siguiente al cierre de cada trimestre (marzo, junio, setiembre y diciembre</w:t>
                  </w:r>
                  <w:r w:rsidRPr="001022B7">
                    <w:rPr>
                      <w:rFonts w:ascii="Roboto" w:hAnsi="Roboto"/>
                      <w:bCs/>
                      <w:sz w:val="20"/>
                      <w:szCs w:val="20"/>
                    </w:rPr>
                    <w:lastRenderedPageBreak/>
                    <w:t>).</w:t>
                  </w:r>
                </w:p>
              </w:tc>
              <w:tc>
                <w:tcPr>
                  <w:tcW w:w="1758" w:type="pct"/>
                </w:tcPr>
                <w:p w14:paraId="3FD3A22F" w14:textId="77777777" w:rsidR="00BB1A42" w:rsidRPr="001022B7" w:rsidRDefault="00BB1A42" w:rsidP="00136A68">
                  <w:pPr>
                    <w:widowControl w:val="0"/>
                    <w:spacing w:after="0" w:line="240" w:lineRule="auto"/>
                    <w:jc w:val="both"/>
                    <w:rPr>
                      <w:rFonts w:ascii="Roboto" w:hAnsi="Roboto" w:cstheme="minorHAnsi"/>
                      <w:b/>
                      <w:strike/>
                      <w:snapToGrid w:val="0"/>
                      <w:sz w:val="20"/>
                      <w:szCs w:val="20"/>
                    </w:rPr>
                  </w:pPr>
                  <w:r w:rsidRPr="001022B7">
                    <w:rPr>
                      <w:rFonts w:ascii="Roboto" w:hAnsi="Roboto"/>
                      <w:bCs/>
                      <w:sz w:val="20"/>
                      <w:szCs w:val="20"/>
                    </w:rPr>
                    <w:lastRenderedPageBreak/>
                    <w:t xml:space="preserve">En documento Word y hoja de Excel según formato establecido en los </w:t>
                  </w:r>
                  <w:r w:rsidRPr="001022B7">
                    <w:rPr>
                      <w:rFonts w:ascii="Roboto" w:hAnsi="Roboto"/>
                      <w:b/>
                      <w:sz w:val="20"/>
                      <w:szCs w:val="20"/>
                    </w:rPr>
                    <w:t>Anexos 16 y 17</w:t>
                  </w:r>
                  <w:r w:rsidRPr="001022B7">
                    <w:rPr>
                      <w:rFonts w:ascii="Roboto" w:hAnsi="Roboto"/>
                      <w:b/>
                      <w:bCs/>
                      <w:sz w:val="20"/>
                      <w:szCs w:val="20"/>
                    </w:rPr>
                    <w:t xml:space="preserve">, </w:t>
                  </w:r>
                  <w:r w:rsidRPr="001022B7">
                    <w:rPr>
                      <w:rFonts w:ascii="Roboto" w:hAnsi="Roboto"/>
                      <w:sz w:val="20"/>
                      <w:szCs w:val="20"/>
                    </w:rPr>
                    <w:t xml:space="preserve">remitidos al correo electrónico </w:t>
                  </w:r>
                  <w:hyperlink r:id="rId11" w:history="1">
                    <w:r w:rsidRPr="001022B7">
                      <w:rPr>
                        <w:rStyle w:val="Hipervnculo"/>
                        <w:rFonts w:ascii="Roboto" w:hAnsi="Roboto"/>
                        <w:sz w:val="20"/>
                        <w:szCs w:val="20"/>
                      </w:rPr>
                      <w:t>sugese@sugese.fi.cr</w:t>
                    </w:r>
                  </w:hyperlink>
                  <w:r w:rsidRPr="001022B7">
                    <w:rPr>
                      <w:rFonts w:ascii="Roboto" w:hAnsi="Roboto"/>
                      <w:sz w:val="20"/>
                      <w:szCs w:val="20"/>
                    </w:rPr>
                    <w:t xml:space="preserve">  </w:t>
                  </w:r>
                </w:p>
              </w:tc>
            </w:tr>
          </w:tbl>
          <w:p w14:paraId="6AC0612C" w14:textId="77777777" w:rsidR="00BB1A42" w:rsidRPr="001022B7" w:rsidRDefault="00BB1A42" w:rsidP="00136A68">
            <w:pPr>
              <w:spacing w:after="0" w:line="240" w:lineRule="auto"/>
              <w:jc w:val="both"/>
              <w:rPr>
                <w:rFonts w:ascii="Roboto" w:hAnsi="Roboto"/>
                <w:b/>
                <w:bCs/>
                <w:sz w:val="20"/>
                <w:szCs w:val="20"/>
              </w:rPr>
            </w:pPr>
          </w:p>
        </w:tc>
        <w:tc>
          <w:tcPr>
            <w:tcW w:w="3119" w:type="dxa"/>
            <w:shd w:val="clear" w:color="auto" w:fill="auto"/>
          </w:tcPr>
          <w:p w14:paraId="715CD1E3"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119" w:type="dxa"/>
          </w:tcPr>
          <w:p w14:paraId="7DCD6962"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685" w:type="dxa"/>
          </w:tcPr>
          <w:tbl>
            <w:tblPr>
              <w:tblStyle w:val="Tablaconcuadrcula"/>
              <w:tblW w:w="5000" w:type="pct"/>
              <w:jc w:val="center"/>
              <w:tblLayout w:type="fixed"/>
              <w:tblLook w:val="04A0" w:firstRow="1" w:lastRow="0" w:firstColumn="1" w:lastColumn="0" w:noHBand="0" w:noVBand="1"/>
            </w:tblPr>
            <w:tblGrid>
              <w:gridCol w:w="766"/>
              <w:gridCol w:w="766"/>
              <w:gridCol w:w="711"/>
              <w:gridCol w:w="1216"/>
            </w:tblGrid>
            <w:tr w:rsidR="009907AD" w:rsidRPr="001022B7" w14:paraId="5225CE66" w14:textId="77777777" w:rsidTr="0016452D">
              <w:trPr>
                <w:cantSplit/>
                <w:trHeight w:val="615"/>
                <w:tblHeader/>
                <w:jc w:val="center"/>
              </w:trPr>
              <w:tc>
                <w:tcPr>
                  <w:tcW w:w="1106" w:type="pct"/>
                  <w:shd w:val="clear" w:color="auto" w:fill="A6A6A6" w:themeFill="background1" w:themeFillShade="A6"/>
                  <w:vAlign w:val="center"/>
                </w:tcPr>
                <w:p w14:paraId="64DB45BE" w14:textId="77777777" w:rsidR="009907AD" w:rsidRPr="001022B7" w:rsidRDefault="009907AD" w:rsidP="00136A68">
                  <w:pPr>
                    <w:widowControl w:val="0"/>
                    <w:spacing w:after="0" w:line="240" w:lineRule="auto"/>
                    <w:jc w:val="center"/>
                    <w:rPr>
                      <w:rFonts w:ascii="Roboto" w:hAnsi="Roboto"/>
                      <w:b/>
                      <w:i/>
                      <w:snapToGrid w:val="0"/>
                      <w:sz w:val="20"/>
                      <w:szCs w:val="20"/>
                    </w:rPr>
                  </w:pPr>
                  <w:r w:rsidRPr="001022B7">
                    <w:rPr>
                      <w:rFonts w:ascii="Roboto" w:hAnsi="Roboto"/>
                      <w:b/>
                      <w:i/>
                      <w:snapToGrid w:val="0"/>
                      <w:sz w:val="20"/>
                      <w:szCs w:val="20"/>
                    </w:rPr>
                    <w:t>Información</w:t>
                  </w:r>
                </w:p>
              </w:tc>
              <w:tc>
                <w:tcPr>
                  <w:tcW w:w="1107" w:type="pct"/>
                  <w:shd w:val="clear" w:color="auto" w:fill="A6A6A6" w:themeFill="background1" w:themeFillShade="A6"/>
                  <w:vAlign w:val="center"/>
                </w:tcPr>
                <w:p w14:paraId="4B0F6F07" w14:textId="77777777" w:rsidR="009907AD" w:rsidRPr="001022B7" w:rsidRDefault="009907AD" w:rsidP="00136A68">
                  <w:pPr>
                    <w:pStyle w:val="Ttulo5"/>
                    <w:rPr>
                      <w:rFonts w:ascii="Roboto" w:hAnsi="Roboto"/>
                      <w:b w:val="0"/>
                      <w:i w:val="0"/>
                      <w:sz w:val="20"/>
                      <w:szCs w:val="20"/>
                    </w:rPr>
                  </w:pPr>
                  <w:r w:rsidRPr="001022B7">
                    <w:rPr>
                      <w:rFonts w:ascii="Roboto" w:hAnsi="Roboto"/>
                      <w:sz w:val="20"/>
                      <w:szCs w:val="20"/>
                    </w:rPr>
                    <w:t>Periodicidad</w:t>
                  </w:r>
                </w:p>
              </w:tc>
              <w:tc>
                <w:tcPr>
                  <w:tcW w:w="1028" w:type="pct"/>
                  <w:shd w:val="clear" w:color="auto" w:fill="A6A6A6" w:themeFill="background1" w:themeFillShade="A6"/>
                  <w:vAlign w:val="center"/>
                </w:tcPr>
                <w:p w14:paraId="2A233F27" w14:textId="77777777" w:rsidR="009907AD" w:rsidRPr="001022B7" w:rsidRDefault="009907AD" w:rsidP="00136A68">
                  <w:pPr>
                    <w:widowControl w:val="0"/>
                    <w:spacing w:after="0" w:line="240" w:lineRule="auto"/>
                    <w:jc w:val="center"/>
                    <w:rPr>
                      <w:rFonts w:ascii="Roboto" w:hAnsi="Roboto"/>
                      <w:b/>
                      <w:i/>
                      <w:snapToGrid w:val="0"/>
                      <w:sz w:val="20"/>
                      <w:szCs w:val="20"/>
                    </w:rPr>
                  </w:pPr>
                  <w:r w:rsidRPr="001022B7">
                    <w:rPr>
                      <w:rFonts w:ascii="Roboto" w:hAnsi="Roboto"/>
                      <w:b/>
                      <w:i/>
                      <w:snapToGrid w:val="0"/>
                      <w:sz w:val="20"/>
                      <w:szCs w:val="20"/>
                    </w:rPr>
                    <w:t>Plazo de entrega</w:t>
                  </w:r>
                </w:p>
              </w:tc>
              <w:tc>
                <w:tcPr>
                  <w:tcW w:w="1758" w:type="pct"/>
                  <w:shd w:val="clear" w:color="auto" w:fill="A6A6A6" w:themeFill="background1" w:themeFillShade="A6"/>
                  <w:vAlign w:val="center"/>
                </w:tcPr>
                <w:p w14:paraId="253A8C51" w14:textId="77777777" w:rsidR="009907AD" w:rsidRPr="001022B7" w:rsidRDefault="009907AD" w:rsidP="00136A68">
                  <w:pPr>
                    <w:widowControl w:val="0"/>
                    <w:spacing w:after="0" w:line="240" w:lineRule="auto"/>
                    <w:jc w:val="center"/>
                    <w:rPr>
                      <w:rFonts w:ascii="Roboto" w:hAnsi="Roboto"/>
                      <w:b/>
                      <w:i/>
                      <w:snapToGrid w:val="0"/>
                      <w:sz w:val="20"/>
                      <w:szCs w:val="20"/>
                    </w:rPr>
                  </w:pPr>
                  <w:r w:rsidRPr="001022B7">
                    <w:rPr>
                      <w:rFonts w:ascii="Roboto" w:hAnsi="Roboto"/>
                      <w:b/>
                      <w:i/>
                      <w:snapToGrid w:val="0"/>
                      <w:sz w:val="20"/>
                      <w:szCs w:val="20"/>
                    </w:rPr>
                    <w:t>Medio</w:t>
                  </w:r>
                </w:p>
              </w:tc>
            </w:tr>
            <w:tr w:rsidR="009907AD" w:rsidRPr="001022B7" w14:paraId="24402387" w14:textId="77777777" w:rsidTr="0016452D">
              <w:trPr>
                <w:cantSplit/>
                <w:trHeight w:val="373"/>
                <w:tblHeader/>
                <w:jc w:val="center"/>
              </w:trPr>
              <w:tc>
                <w:tcPr>
                  <w:tcW w:w="1106" w:type="pct"/>
                  <w:shd w:val="clear" w:color="auto" w:fill="FFFFFF" w:themeFill="background1"/>
                  <w:vAlign w:val="center"/>
                </w:tcPr>
                <w:p w14:paraId="0F6C0A21" w14:textId="77777777" w:rsidR="009907AD" w:rsidRPr="001022B7" w:rsidRDefault="009907AD" w:rsidP="00136A68">
                  <w:pPr>
                    <w:widowControl w:val="0"/>
                    <w:spacing w:after="0" w:line="240" w:lineRule="auto"/>
                    <w:jc w:val="center"/>
                    <w:rPr>
                      <w:rFonts w:ascii="Roboto" w:hAnsi="Roboto"/>
                      <w:b/>
                      <w:i/>
                      <w:snapToGrid w:val="0"/>
                      <w:sz w:val="20"/>
                      <w:szCs w:val="20"/>
                    </w:rPr>
                  </w:pPr>
                  <w:r w:rsidRPr="001022B7">
                    <w:rPr>
                      <w:rFonts w:ascii="Roboto" w:hAnsi="Roboto"/>
                      <w:b/>
                      <w:i/>
                      <w:snapToGrid w:val="0"/>
                      <w:sz w:val="20"/>
                      <w:szCs w:val="20"/>
                    </w:rPr>
                    <w:t>…</w:t>
                  </w:r>
                </w:p>
              </w:tc>
              <w:tc>
                <w:tcPr>
                  <w:tcW w:w="1107" w:type="pct"/>
                  <w:shd w:val="clear" w:color="auto" w:fill="FFFFFF" w:themeFill="background1"/>
                  <w:vAlign w:val="center"/>
                </w:tcPr>
                <w:p w14:paraId="3ECD5D1E" w14:textId="77777777" w:rsidR="009907AD" w:rsidRPr="001022B7" w:rsidRDefault="009907AD" w:rsidP="00136A68">
                  <w:pPr>
                    <w:pStyle w:val="Ttulo5"/>
                    <w:rPr>
                      <w:rFonts w:ascii="Roboto" w:hAnsi="Roboto"/>
                      <w:sz w:val="20"/>
                      <w:szCs w:val="20"/>
                    </w:rPr>
                  </w:pPr>
                </w:p>
              </w:tc>
              <w:tc>
                <w:tcPr>
                  <w:tcW w:w="1028" w:type="pct"/>
                  <w:shd w:val="clear" w:color="auto" w:fill="FFFFFF" w:themeFill="background1"/>
                  <w:vAlign w:val="center"/>
                </w:tcPr>
                <w:p w14:paraId="677A2C86" w14:textId="77777777" w:rsidR="009907AD" w:rsidRPr="001022B7" w:rsidRDefault="009907AD" w:rsidP="00136A68">
                  <w:pPr>
                    <w:widowControl w:val="0"/>
                    <w:spacing w:after="0" w:line="240" w:lineRule="auto"/>
                    <w:jc w:val="center"/>
                    <w:rPr>
                      <w:rFonts w:ascii="Roboto" w:hAnsi="Roboto"/>
                      <w:b/>
                      <w:i/>
                      <w:snapToGrid w:val="0"/>
                      <w:sz w:val="20"/>
                      <w:szCs w:val="20"/>
                    </w:rPr>
                  </w:pPr>
                </w:p>
              </w:tc>
              <w:tc>
                <w:tcPr>
                  <w:tcW w:w="1758" w:type="pct"/>
                  <w:shd w:val="clear" w:color="auto" w:fill="FFFFFF" w:themeFill="background1"/>
                  <w:vAlign w:val="center"/>
                </w:tcPr>
                <w:p w14:paraId="550B0EB5" w14:textId="77777777" w:rsidR="009907AD" w:rsidRPr="001022B7" w:rsidRDefault="009907AD" w:rsidP="00136A68">
                  <w:pPr>
                    <w:widowControl w:val="0"/>
                    <w:spacing w:after="0" w:line="240" w:lineRule="auto"/>
                    <w:jc w:val="center"/>
                    <w:rPr>
                      <w:rFonts w:ascii="Roboto" w:hAnsi="Roboto"/>
                      <w:b/>
                      <w:i/>
                      <w:snapToGrid w:val="0"/>
                      <w:sz w:val="20"/>
                      <w:szCs w:val="20"/>
                    </w:rPr>
                  </w:pPr>
                </w:p>
              </w:tc>
            </w:tr>
            <w:tr w:rsidR="009907AD" w:rsidRPr="001022B7" w14:paraId="63AF89E9" w14:textId="77777777" w:rsidTr="0016452D">
              <w:trPr>
                <w:cantSplit/>
                <w:trHeight w:val="3015"/>
                <w:jc w:val="center"/>
              </w:trPr>
              <w:tc>
                <w:tcPr>
                  <w:tcW w:w="1106" w:type="pct"/>
                </w:tcPr>
                <w:p w14:paraId="4B9FA97D" w14:textId="77777777" w:rsidR="009907AD" w:rsidRPr="001022B7" w:rsidRDefault="009907AD" w:rsidP="00136A68">
                  <w:pPr>
                    <w:widowControl w:val="0"/>
                    <w:spacing w:after="0" w:line="240" w:lineRule="auto"/>
                    <w:jc w:val="both"/>
                    <w:rPr>
                      <w:rFonts w:ascii="Roboto" w:hAnsi="Roboto"/>
                      <w:b/>
                      <w:sz w:val="20"/>
                      <w:szCs w:val="20"/>
                    </w:rPr>
                  </w:pPr>
                  <w:r w:rsidRPr="001022B7">
                    <w:rPr>
                      <w:rFonts w:ascii="Roboto" w:hAnsi="Roboto"/>
                      <w:b/>
                      <w:sz w:val="20"/>
                      <w:szCs w:val="20"/>
                    </w:rPr>
                    <w:t xml:space="preserve">Informe de la gestión realizada por la Instancia de Atención del Consumidor de Seguros (Defensoría del </w:t>
                  </w:r>
                  <w:r w:rsidRPr="001022B7">
                    <w:rPr>
                      <w:rFonts w:ascii="Roboto" w:hAnsi="Roboto"/>
                      <w:b/>
                      <w:sz w:val="20"/>
                      <w:szCs w:val="20"/>
                    </w:rPr>
                    <w:lastRenderedPageBreak/>
                    <w:t>Asegurado)</w:t>
                  </w:r>
                </w:p>
              </w:tc>
              <w:tc>
                <w:tcPr>
                  <w:tcW w:w="1107" w:type="pct"/>
                </w:tcPr>
                <w:p w14:paraId="47360A22" w14:textId="77777777" w:rsidR="009907AD" w:rsidRPr="001022B7" w:rsidRDefault="009907AD" w:rsidP="00136A68">
                  <w:pPr>
                    <w:widowControl w:val="0"/>
                    <w:spacing w:after="0" w:line="240" w:lineRule="auto"/>
                    <w:jc w:val="both"/>
                    <w:rPr>
                      <w:rFonts w:ascii="Roboto" w:hAnsi="Roboto" w:cstheme="minorHAnsi"/>
                      <w:b/>
                      <w:strike/>
                      <w:snapToGrid w:val="0"/>
                      <w:sz w:val="20"/>
                      <w:szCs w:val="20"/>
                    </w:rPr>
                  </w:pPr>
                  <w:r w:rsidRPr="001022B7">
                    <w:rPr>
                      <w:rFonts w:ascii="Roboto" w:hAnsi="Roboto"/>
                      <w:bCs/>
                      <w:sz w:val="20"/>
                      <w:szCs w:val="20"/>
                    </w:rPr>
                    <w:lastRenderedPageBreak/>
                    <w:t>Trimestral</w:t>
                  </w:r>
                </w:p>
              </w:tc>
              <w:tc>
                <w:tcPr>
                  <w:tcW w:w="1028" w:type="pct"/>
                </w:tcPr>
                <w:p w14:paraId="7F2F9F80" w14:textId="77777777" w:rsidR="009907AD" w:rsidRPr="001022B7" w:rsidRDefault="009907AD" w:rsidP="00136A68">
                  <w:pPr>
                    <w:widowControl w:val="0"/>
                    <w:spacing w:after="0" w:line="240" w:lineRule="auto"/>
                    <w:jc w:val="both"/>
                    <w:rPr>
                      <w:rFonts w:ascii="Roboto" w:hAnsi="Roboto"/>
                      <w:bCs/>
                      <w:sz w:val="20"/>
                      <w:szCs w:val="20"/>
                    </w:rPr>
                  </w:pPr>
                  <w:r w:rsidRPr="001022B7">
                    <w:rPr>
                      <w:rFonts w:ascii="Roboto" w:hAnsi="Roboto"/>
                      <w:bCs/>
                      <w:sz w:val="20"/>
                      <w:szCs w:val="20"/>
                    </w:rPr>
                    <w:t>El último día hábil del mes siguiente al cierre de cada trimestre (marzo, junio, setiembre y diciembre</w:t>
                  </w:r>
                  <w:r w:rsidRPr="001022B7">
                    <w:rPr>
                      <w:rFonts w:ascii="Roboto" w:hAnsi="Roboto"/>
                      <w:bCs/>
                      <w:sz w:val="20"/>
                      <w:szCs w:val="20"/>
                    </w:rPr>
                    <w:lastRenderedPageBreak/>
                    <w:t>).</w:t>
                  </w:r>
                </w:p>
              </w:tc>
              <w:tc>
                <w:tcPr>
                  <w:tcW w:w="1758" w:type="pct"/>
                </w:tcPr>
                <w:p w14:paraId="6106F9F1" w14:textId="77777777" w:rsidR="009907AD" w:rsidRPr="001022B7" w:rsidRDefault="009907AD" w:rsidP="00136A68">
                  <w:pPr>
                    <w:widowControl w:val="0"/>
                    <w:spacing w:after="0" w:line="240" w:lineRule="auto"/>
                    <w:jc w:val="both"/>
                    <w:rPr>
                      <w:rFonts w:ascii="Roboto" w:hAnsi="Roboto" w:cstheme="minorHAnsi"/>
                      <w:b/>
                      <w:strike/>
                      <w:snapToGrid w:val="0"/>
                      <w:sz w:val="20"/>
                      <w:szCs w:val="20"/>
                    </w:rPr>
                  </w:pPr>
                  <w:r w:rsidRPr="001022B7">
                    <w:rPr>
                      <w:rFonts w:ascii="Roboto" w:hAnsi="Roboto"/>
                      <w:bCs/>
                      <w:sz w:val="20"/>
                      <w:szCs w:val="20"/>
                    </w:rPr>
                    <w:lastRenderedPageBreak/>
                    <w:t xml:space="preserve">En documento Word y hoja de Excel según formato establecido en los </w:t>
                  </w:r>
                  <w:r w:rsidRPr="001022B7">
                    <w:rPr>
                      <w:rFonts w:ascii="Roboto" w:hAnsi="Roboto"/>
                      <w:b/>
                      <w:sz w:val="20"/>
                      <w:szCs w:val="20"/>
                    </w:rPr>
                    <w:t>Anexos 16 y 17</w:t>
                  </w:r>
                  <w:r w:rsidRPr="001022B7">
                    <w:rPr>
                      <w:rFonts w:ascii="Roboto" w:hAnsi="Roboto"/>
                      <w:b/>
                      <w:bCs/>
                      <w:sz w:val="20"/>
                      <w:szCs w:val="20"/>
                    </w:rPr>
                    <w:t xml:space="preserve">, </w:t>
                  </w:r>
                  <w:r w:rsidRPr="001022B7">
                    <w:rPr>
                      <w:rFonts w:ascii="Roboto" w:hAnsi="Roboto"/>
                      <w:sz w:val="20"/>
                      <w:szCs w:val="20"/>
                    </w:rPr>
                    <w:t xml:space="preserve">remitidos al correo electrónico </w:t>
                  </w:r>
                  <w:hyperlink r:id="rId12" w:history="1">
                    <w:r w:rsidRPr="001022B7">
                      <w:rPr>
                        <w:rStyle w:val="Hipervnculo"/>
                        <w:rFonts w:ascii="Roboto" w:hAnsi="Roboto"/>
                        <w:sz w:val="20"/>
                        <w:szCs w:val="20"/>
                      </w:rPr>
                      <w:t>sugese@sugese.fi.cr</w:t>
                    </w:r>
                  </w:hyperlink>
                  <w:r w:rsidRPr="001022B7">
                    <w:rPr>
                      <w:rFonts w:ascii="Roboto" w:hAnsi="Roboto"/>
                      <w:sz w:val="20"/>
                      <w:szCs w:val="20"/>
                    </w:rPr>
                    <w:t xml:space="preserve">  </w:t>
                  </w:r>
                </w:p>
              </w:tc>
            </w:tr>
          </w:tbl>
          <w:p w14:paraId="4C50D58D" w14:textId="77777777" w:rsidR="00BB1A42" w:rsidRPr="001022B7" w:rsidRDefault="00BB1A42" w:rsidP="00136A68">
            <w:pPr>
              <w:spacing w:after="0" w:line="240" w:lineRule="auto"/>
              <w:jc w:val="both"/>
              <w:rPr>
                <w:rFonts w:ascii="Cambria" w:hAnsi="Cambria"/>
                <w:b/>
                <w:bCs/>
                <w:color w:val="FFFFFF" w:themeColor="background1"/>
                <w:sz w:val="20"/>
                <w:szCs w:val="20"/>
              </w:rPr>
            </w:pPr>
          </w:p>
        </w:tc>
      </w:tr>
      <w:tr w:rsidR="00BB1A42" w:rsidRPr="001022B7" w14:paraId="36E2450C" w14:textId="170DDF8B" w:rsidTr="00157D90">
        <w:tc>
          <w:tcPr>
            <w:tcW w:w="3680" w:type="dxa"/>
            <w:shd w:val="clear" w:color="auto" w:fill="auto"/>
          </w:tcPr>
          <w:p w14:paraId="66AEBFE9" w14:textId="1090ACC3" w:rsidR="00BB1A42" w:rsidRPr="00157D90" w:rsidRDefault="00157D90" w:rsidP="00157D90">
            <w:pPr>
              <w:spacing w:after="0" w:line="240" w:lineRule="auto"/>
              <w:jc w:val="both"/>
              <w:rPr>
                <w:rFonts w:ascii="Roboto" w:hAnsi="Roboto"/>
                <w:b/>
                <w:bCs/>
                <w:sz w:val="20"/>
                <w:szCs w:val="20"/>
              </w:rPr>
            </w:pPr>
            <w:r>
              <w:rPr>
                <w:rFonts w:ascii="Roboto" w:hAnsi="Roboto"/>
                <w:b/>
                <w:bCs/>
                <w:sz w:val="20"/>
                <w:szCs w:val="20"/>
              </w:rPr>
              <w:lastRenderedPageBreak/>
              <w:t xml:space="preserve">II. </w:t>
            </w:r>
            <w:r w:rsidR="00BB1A42" w:rsidRPr="00157D90">
              <w:rPr>
                <w:rFonts w:ascii="Roboto" w:hAnsi="Roboto"/>
                <w:b/>
                <w:bCs/>
                <w:sz w:val="20"/>
                <w:szCs w:val="20"/>
              </w:rPr>
              <w:t>Adicionar al acuerdo SGS-A-0021-2013 el Anexo 16 y 17 según se detalla a continuación:</w:t>
            </w:r>
          </w:p>
        </w:tc>
        <w:tc>
          <w:tcPr>
            <w:tcW w:w="3119" w:type="dxa"/>
            <w:shd w:val="clear" w:color="auto" w:fill="auto"/>
          </w:tcPr>
          <w:p w14:paraId="59052ED3"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119" w:type="dxa"/>
          </w:tcPr>
          <w:p w14:paraId="0A45A6C6"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685" w:type="dxa"/>
          </w:tcPr>
          <w:p w14:paraId="2D1BB427" w14:textId="6C2961A3" w:rsidR="00BB1A42" w:rsidRPr="00157D90" w:rsidRDefault="00157D90" w:rsidP="00157D90">
            <w:pPr>
              <w:spacing w:after="0" w:line="240" w:lineRule="auto"/>
              <w:jc w:val="both"/>
              <w:rPr>
                <w:rFonts w:ascii="Cambria" w:hAnsi="Cambria"/>
                <w:b/>
                <w:bCs/>
                <w:color w:val="FFFFFF" w:themeColor="background1"/>
                <w:sz w:val="20"/>
                <w:szCs w:val="20"/>
              </w:rPr>
            </w:pPr>
            <w:r>
              <w:rPr>
                <w:rFonts w:ascii="Roboto" w:hAnsi="Roboto"/>
                <w:b/>
                <w:bCs/>
                <w:sz w:val="20"/>
                <w:szCs w:val="20"/>
              </w:rPr>
              <w:t xml:space="preserve">II. </w:t>
            </w:r>
            <w:r w:rsidR="009907AD" w:rsidRPr="00157D90">
              <w:rPr>
                <w:rFonts w:ascii="Roboto" w:hAnsi="Roboto"/>
                <w:b/>
                <w:bCs/>
                <w:sz w:val="20"/>
                <w:szCs w:val="20"/>
              </w:rPr>
              <w:t>Adicionar al acuerdo SGS-A-0021-2013 el Anexo 16 y 17 según se detalla a continuación:</w:t>
            </w:r>
          </w:p>
        </w:tc>
      </w:tr>
      <w:tr w:rsidR="00BB1A42" w:rsidRPr="001022B7" w14:paraId="3D5866F7" w14:textId="4CBD10E1" w:rsidTr="00157D90">
        <w:tc>
          <w:tcPr>
            <w:tcW w:w="3680" w:type="dxa"/>
            <w:shd w:val="clear" w:color="auto" w:fill="auto"/>
          </w:tcPr>
          <w:p w14:paraId="249A4236" w14:textId="77777777" w:rsidR="00BB1A42" w:rsidRPr="001022B7" w:rsidRDefault="00BB1A42" w:rsidP="00136A68">
            <w:pPr>
              <w:spacing w:after="0" w:line="240" w:lineRule="auto"/>
              <w:jc w:val="both"/>
              <w:rPr>
                <w:rFonts w:ascii="Roboto" w:hAnsi="Roboto"/>
                <w:b/>
                <w:bCs/>
                <w:sz w:val="20"/>
                <w:szCs w:val="20"/>
              </w:rPr>
            </w:pPr>
            <w:r w:rsidRPr="001022B7">
              <w:rPr>
                <w:rFonts w:ascii="Roboto" w:hAnsi="Roboto"/>
                <w:b/>
                <w:bCs/>
                <w:sz w:val="20"/>
                <w:szCs w:val="20"/>
              </w:rPr>
              <w:t>ANEXO 16.</w:t>
            </w:r>
          </w:p>
          <w:p w14:paraId="6627B4EC" w14:textId="22B84184" w:rsidR="00BB1A42" w:rsidRPr="001022B7" w:rsidRDefault="00BB1A42" w:rsidP="00136A68">
            <w:pPr>
              <w:spacing w:after="0" w:line="240" w:lineRule="auto"/>
              <w:jc w:val="both"/>
              <w:rPr>
                <w:rFonts w:ascii="Roboto" w:hAnsi="Roboto"/>
                <w:b/>
                <w:sz w:val="20"/>
                <w:szCs w:val="20"/>
              </w:rPr>
            </w:pPr>
            <w:r w:rsidRPr="001022B7">
              <w:rPr>
                <w:rFonts w:ascii="Roboto" w:hAnsi="Roboto"/>
                <w:b/>
                <w:sz w:val="20"/>
                <w:szCs w:val="20"/>
              </w:rPr>
              <w:t>Oficio de remisión del informe trimestral de la gestión realizada por la Instancia de Atención del Consumidor de Seguros (Defensoría del Asegurado)</w:t>
            </w:r>
          </w:p>
          <w:bookmarkStart w:id="0" w:name="_MON_1799566143"/>
          <w:bookmarkEnd w:id="0"/>
          <w:p w14:paraId="1C54B341" w14:textId="77777777" w:rsidR="00BB1A42" w:rsidRPr="001022B7" w:rsidRDefault="00BB1A42" w:rsidP="00136A68">
            <w:pPr>
              <w:pStyle w:val="Prrafodelista"/>
              <w:spacing w:after="0" w:line="240" w:lineRule="auto"/>
              <w:ind w:left="1080"/>
              <w:jc w:val="both"/>
              <w:rPr>
                <w:rFonts w:ascii="Roboto" w:hAnsi="Roboto"/>
                <w:b/>
                <w:sz w:val="20"/>
                <w:szCs w:val="20"/>
              </w:rPr>
            </w:pPr>
            <w:r w:rsidRPr="001022B7">
              <w:rPr>
                <w:rFonts w:ascii="Arial Narrow" w:hAnsi="Arial Narrow" w:cstheme="minorHAnsi"/>
                <w:sz w:val="20"/>
                <w:szCs w:val="20"/>
              </w:rPr>
              <w:object w:dxaOrig="1508" w:dyaOrig="983" w14:anchorId="4318AC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49.5pt" o:ole="">
                  <v:imagedata r:id="rId13" o:title=""/>
                </v:shape>
                <o:OLEObject Type="Embed" ProgID="Word.Document.12" ShapeID="_x0000_i1025" DrawAspect="Icon" ObjectID="_1809631402" r:id="rId14">
                  <o:FieldCodes>\s</o:FieldCodes>
                </o:OLEObject>
              </w:object>
            </w:r>
          </w:p>
          <w:p w14:paraId="0160137A" w14:textId="77777777" w:rsidR="00BB1A42" w:rsidRPr="001022B7" w:rsidRDefault="00BB1A42" w:rsidP="00136A68">
            <w:pPr>
              <w:pStyle w:val="Prrafodelista"/>
              <w:spacing w:after="0" w:line="240" w:lineRule="auto"/>
              <w:ind w:left="1080"/>
              <w:jc w:val="both"/>
              <w:rPr>
                <w:rFonts w:ascii="Roboto" w:hAnsi="Roboto"/>
                <w:b/>
                <w:bCs/>
                <w:sz w:val="20"/>
                <w:szCs w:val="20"/>
              </w:rPr>
            </w:pPr>
          </w:p>
        </w:tc>
        <w:tc>
          <w:tcPr>
            <w:tcW w:w="3119" w:type="dxa"/>
            <w:shd w:val="clear" w:color="auto" w:fill="auto"/>
          </w:tcPr>
          <w:p w14:paraId="5DD7DD7A"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119" w:type="dxa"/>
          </w:tcPr>
          <w:p w14:paraId="0C3D6FD1"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685" w:type="dxa"/>
          </w:tcPr>
          <w:p w14:paraId="049C47FD" w14:textId="77777777" w:rsidR="007E7168" w:rsidRPr="001022B7" w:rsidRDefault="007E7168" w:rsidP="00136A68">
            <w:pPr>
              <w:spacing w:after="0" w:line="240" w:lineRule="auto"/>
              <w:jc w:val="both"/>
              <w:rPr>
                <w:rFonts w:ascii="Roboto" w:hAnsi="Roboto"/>
                <w:b/>
                <w:bCs/>
                <w:sz w:val="20"/>
                <w:szCs w:val="20"/>
              </w:rPr>
            </w:pPr>
            <w:r w:rsidRPr="001022B7">
              <w:rPr>
                <w:rFonts w:ascii="Roboto" w:hAnsi="Roboto"/>
                <w:b/>
                <w:bCs/>
                <w:sz w:val="20"/>
                <w:szCs w:val="20"/>
              </w:rPr>
              <w:t>ANEXO 16.</w:t>
            </w:r>
          </w:p>
          <w:p w14:paraId="7A825E7E" w14:textId="77777777" w:rsidR="007E7168" w:rsidRPr="001022B7" w:rsidRDefault="007E7168" w:rsidP="00136A68">
            <w:pPr>
              <w:spacing w:after="0" w:line="240" w:lineRule="auto"/>
              <w:jc w:val="both"/>
              <w:rPr>
                <w:rFonts w:ascii="Roboto" w:hAnsi="Roboto"/>
                <w:b/>
                <w:sz w:val="20"/>
                <w:szCs w:val="20"/>
              </w:rPr>
            </w:pPr>
            <w:r w:rsidRPr="001022B7">
              <w:rPr>
                <w:rFonts w:ascii="Roboto" w:hAnsi="Roboto"/>
                <w:b/>
                <w:sz w:val="20"/>
                <w:szCs w:val="20"/>
              </w:rPr>
              <w:t>Oficio de remisión del informe trimestral de la gestión realizada por la Instancia de Atención del Consumidor de Seguros (Defensoría del Asegurado)</w:t>
            </w:r>
          </w:p>
          <w:p w14:paraId="10B7F6AD" w14:textId="77777777" w:rsidR="00BB1A42" w:rsidRDefault="00BB1A42" w:rsidP="00136A68">
            <w:pPr>
              <w:spacing w:after="0" w:line="240" w:lineRule="auto"/>
              <w:jc w:val="both"/>
              <w:rPr>
                <w:rFonts w:ascii="Cambria" w:hAnsi="Cambria"/>
                <w:b/>
                <w:bCs/>
                <w:color w:val="FFFFFF" w:themeColor="background1"/>
                <w:sz w:val="20"/>
                <w:szCs w:val="20"/>
              </w:rPr>
            </w:pPr>
          </w:p>
          <w:p w14:paraId="2BF763DE" w14:textId="30037B69" w:rsidR="007E7168" w:rsidRPr="001022B7" w:rsidRDefault="007E7168" w:rsidP="00136A68">
            <w:pPr>
              <w:spacing w:after="0" w:line="240" w:lineRule="auto"/>
              <w:jc w:val="both"/>
              <w:rPr>
                <w:rFonts w:ascii="Cambria" w:hAnsi="Cambria"/>
                <w:b/>
                <w:bCs/>
                <w:color w:val="FFFFFF" w:themeColor="background1"/>
                <w:sz w:val="20"/>
                <w:szCs w:val="20"/>
              </w:rPr>
            </w:pPr>
            <w:r w:rsidRPr="001022B7">
              <w:rPr>
                <w:rFonts w:ascii="Arial Narrow" w:hAnsi="Arial Narrow" w:cstheme="minorHAnsi"/>
                <w:sz w:val="20"/>
                <w:szCs w:val="20"/>
              </w:rPr>
              <w:object w:dxaOrig="1508" w:dyaOrig="983" w14:anchorId="7C7F0583">
                <v:shape id="_x0000_i1026" type="#_x0000_t75" style="width:74.25pt;height:49.5pt" o:ole="">
                  <v:imagedata r:id="rId13" o:title=""/>
                </v:shape>
                <o:OLEObject Type="Embed" ProgID="Word.Document.12" ShapeID="_x0000_i1026" DrawAspect="Icon" ObjectID="_1809631403" r:id="rId15">
                  <o:FieldCodes>\s</o:FieldCodes>
                </o:OLEObject>
              </w:object>
            </w:r>
          </w:p>
        </w:tc>
      </w:tr>
      <w:tr w:rsidR="00BB1A42" w:rsidRPr="001022B7" w14:paraId="78C49BAA" w14:textId="18935CA3" w:rsidTr="00157D90">
        <w:tc>
          <w:tcPr>
            <w:tcW w:w="3680" w:type="dxa"/>
            <w:shd w:val="clear" w:color="auto" w:fill="auto"/>
          </w:tcPr>
          <w:p w14:paraId="3FB1AC3D" w14:textId="77777777" w:rsidR="007E7168" w:rsidRPr="001022B7" w:rsidRDefault="007E7168" w:rsidP="00157D90">
            <w:pPr>
              <w:pStyle w:val="Prrafodelista"/>
              <w:spacing w:after="0" w:line="240" w:lineRule="auto"/>
              <w:ind w:left="-120"/>
              <w:jc w:val="both"/>
              <w:rPr>
                <w:rFonts w:ascii="Roboto" w:hAnsi="Roboto"/>
                <w:b/>
                <w:bCs/>
                <w:sz w:val="20"/>
                <w:szCs w:val="20"/>
              </w:rPr>
            </w:pPr>
            <w:r w:rsidRPr="001022B7">
              <w:rPr>
                <w:rFonts w:ascii="Roboto" w:hAnsi="Roboto"/>
                <w:b/>
                <w:bCs/>
                <w:sz w:val="20"/>
                <w:szCs w:val="20"/>
              </w:rPr>
              <w:lastRenderedPageBreak/>
              <w:t>ANEXO 17.</w:t>
            </w:r>
          </w:p>
          <w:p w14:paraId="1E298338" w14:textId="77777777" w:rsidR="007E7168" w:rsidRPr="001022B7" w:rsidRDefault="007E7168" w:rsidP="00157D90">
            <w:pPr>
              <w:pStyle w:val="Prrafodelista"/>
              <w:spacing w:after="0" w:line="240" w:lineRule="auto"/>
              <w:ind w:left="-120"/>
              <w:jc w:val="both"/>
              <w:rPr>
                <w:rFonts w:ascii="Roboto" w:hAnsi="Roboto"/>
                <w:b/>
                <w:sz w:val="20"/>
                <w:szCs w:val="20"/>
              </w:rPr>
            </w:pPr>
            <w:r w:rsidRPr="001022B7">
              <w:rPr>
                <w:rFonts w:ascii="Roboto" w:hAnsi="Roboto"/>
                <w:b/>
                <w:sz w:val="20"/>
                <w:szCs w:val="20"/>
              </w:rPr>
              <w:t>Matriz con información estadística del informe trimestral de la Instancia de Atención del Consumidor de Seguros (Defensoría del Asegurado)</w:t>
            </w:r>
          </w:p>
          <w:bookmarkStart w:id="1" w:name="_MON_1798952883"/>
          <w:bookmarkEnd w:id="1"/>
          <w:p w14:paraId="00F0C299" w14:textId="2243A6E4" w:rsidR="00BB1A42" w:rsidRPr="001022B7" w:rsidRDefault="00BB1A42" w:rsidP="00136A68">
            <w:pPr>
              <w:spacing w:after="0" w:line="240" w:lineRule="auto"/>
              <w:jc w:val="both"/>
              <w:rPr>
                <w:rFonts w:ascii="Roboto" w:hAnsi="Roboto"/>
                <w:b/>
                <w:bCs/>
                <w:sz w:val="20"/>
                <w:szCs w:val="20"/>
              </w:rPr>
            </w:pPr>
            <w:r w:rsidRPr="001022B7">
              <w:rPr>
                <w:rFonts w:ascii="Arial Narrow" w:hAnsi="Arial Narrow" w:cstheme="minorHAnsi"/>
                <w:sz w:val="20"/>
                <w:szCs w:val="20"/>
              </w:rPr>
              <w:object w:dxaOrig="1508" w:dyaOrig="983" w14:anchorId="2994CF71">
                <v:shape id="_x0000_i1027" type="#_x0000_t75" style="width:74.25pt;height:49.5pt" o:ole="">
                  <v:imagedata r:id="rId16" o:title=""/>
                </v:shape>
                <o:OLEObject Type="Embed" ProgID="Excel.Sheet.12" ShapeID="_x0000_i1027" DrawAspect="Icon" ObjectID="_1809631404" r:id="rId17"/>
              </w:object>
            </w:r>
          </w:p>
        </w:tc>
        <w:tc>
          <w:tcPr>
            <w:tcW w:w="3119" w:type="dxa"/>
            <w:shd w:val="clear" w:color="auto" w:fill="auto"/>
          </w:tcPr>
          <w:p w14:paraId="2F660B19"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119" w:type="dxa"/>
          </w:tcPr>
          <w:p w14:paraId="6855A33E"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685" w:type="dxa"/>
          </w:tcPr>
          <w:p w14:paraId="55FE04FC" w14:textId="77777777" w:rsidR="007E7168" w:rsidRPr="007E7168" w:rsidRDefault="007E7168" w:rsidP="00136A68">
            <w:pPr>
              <w:spacing w:after="0" w:line="240" w:lineRule="auto"/>
              <w:jc w:val="both"/>
              <w:rPr>
                <w:rFonts w:ascii="Roboto" w:hAnsi="Roboto"/>
                <w:b/>
                <w:bCs/>
                <w:sz w:val="20"/>
                <w:szCs w:val="20"/>
              </w:rPr>
            </w:pPr>
            <w:r w:rsidRPr="007E7168">
              <w:rPr>
                <w:rFonts w:ascii="Roboto" w:hAnsi="Roboto"/>
                <w:b/>
                <w:bCs/>
                <w:sz w:val="20"/>
                <w:szCs w:val="20"/>
              </w:rPr>
              <w:t>ANEXO 17.</w:t>
            </w:r>
          </w:p>
          <w:p w14:paraId="0D1218E2" w14:textId="77777777" w:rsidR="007E7168" w:rsidRPr="007E7168" w:rsidRDefault="007E7168" w:rsidP="00136A68">
            <w:pPr>
              <w:spacing w:after="0" w:line="240" w:lineRule="auto"/>
              <w:jc w:val="both"/>
              <w:rPr>
                <w:rFonts w:ascii="Roboto" w:hAnsi="Roboto"/>
                <w:b/>
                <w:sz w:val="20"/>
                <w:szCs w:val="20"/>
              </w:rPr>
            </w:pPr>
            <w:r w:rsidRPr="007E7168">
              <w:rPr>
                <w:rFonts w:ascii="Roboto" w:hAnsi="Roboto"/>
                <w:b/>
                <w:sz w:val="20"/>
                <w:szCs w:val="20"/>
              </w:rPr>
              <w:t>Matriz con información estadística del informe trimestral de la Instancia de Atención del Consumidor de Seguros (Defensoría del Asegurado)</w:t>
            </w:r>
          </w:p>
          <w:p w14:paraId="38646D0C" w14:textId="05D618B4" w:rsidR="00BB1A42" w:rsidRPr="001022B7" w:rsidRDefault="007E7168" w:rsidP="00136A68">
            <w:pPr>
              <w:spacing w:after="0" w:line="240" w:lineRule="auto"/>
              <w:jc w:val="both"/>
              <w:rPr>
                <w:rFonts w:ascii="Cambria" w:hAnsi="Cambria"/>
                <w:b/>
                <w:bCs/>
                <w:color w:val="FFFFFF" w:themeColor="background1"/>
                <w:sz w:val="20"/>
                <w:szCs w:val="20"/>
              </w:rPr>
            </w:pPr>
            <w:r w:rsidRPr="001022B7">
              <w:rPr>
                <w:rFonts w:ascii="Arial Narrow" w:hAnsi="Arial Narrow" w:cstheme="minorHAnsi"/>
                <w:sz w:val="20"/>
                <w:szCs w:val="20"/>
              </w:rPr>
              <w:object w:dxaOrig="1508" w:dyaOrig="983" w14:anchorId="5F817E45">
                <v:shape id="_x0000_i1028" type="#_x0000_t75" style="width:74.25pt;height:49.5pt" o:ole="">
                  <v:imagedata r:id="rId16" o:title=""/>
                </v:shape>
                <o:OLEObject Type="Embed" ProgID="Excel.Sheet.12" ShapeID="_x0000_i1028" DrawAspect="Icon" ObjectID="_1809631405" r:id="rId18"/>
              </w:object>
            </w:r>
          </w:p>
        </w:tc>
      </w:tr>
      <w:tr w:rsidR="00157D90" w:rsidRPr="001022B7" w14:paraId="2FEC605C" w14:textId="0B849C59" w:rsidTr="00157D90">
        <w:tc>
          <w:tcPr>
            <w:tcW w:w="3680" w:type="dxa"/>
            <w:shd w:val="clear" w:color="auto" w:fill="auto"/>
          </w:tcPr>
          <w:p w14:paraId="41ED0D11" w14:textId="4A8701FB" w:rsidR="00157D90" w:rsidRPr="00157D90" w:rsidRDefault="00157D90" w:rsidP="00157D90">
            <w:pPr>
              <w:spacing w:after="0" w:line="240" w:lineRule="auto"/>
              <w:jc w:val="both"/>
              <w:rPr>
                <w:rFonts w:ascii="Roboto" w:hAnsi="Roboto"/>
                <w:b/>
                <w:bCs/>
                <w:sz w:val="20"/>
                <w:szCs w:val="20"/>
              </w:rPr>
            </w:pPr>
            <w:r>
              <w:rPr>
                <w:rFonts w:ascii="Roboto" w:hAnsi="Roboto"/>
                <w:b/>
                <w:bCs/>
                <w:sz w:val="20"/>
                <w:szCs w:val="20"/>
              </w:rPr>
              <w:t xml:space="preserve">III. </w:t>
            </w:r>
            <w:r w:rsidRPr="00157D90">
              <w:rPr>
                <w:rFonts w:ascii="Roboto" w:hAnsi="Roboto"/>
                <w:b/>
                <w:bCs/>
                <w:sz w:val="20"/>
                <w:szCs w:val="20"/>
              </w:rPr>
              <w:t>Sustituir el archivo que figura como Anexo 4 del SGS-A-0021-2013 por el siguiente:</w:t>
            </w:r>
          </w:p>
        </w:tc>
        <w:tc>
          <w:tcPr>
            <w:tcW w:w="3119" w:type="dxa"/>
            <w:shd w:val="clear" w:color="auto" w:fill="auto"/>
          </w:tcPr>
          <w:p w14:paraId="3E1B1473" w14:textId="01724E0D" w:rsidR="00157D90" w:rsidRPr="00CF1FA8" w:rsidRDefault="00157D90" w:rsidP="00157D90">
            <w:pPr>
              <w:tabs>
                <w:tab w:val="left" w:pos="280"/>
              </w:tabs>
              <w:spacing w:after="0" w:line="240" w:lineRule="auto"/>
              <w:jc w:val="both"/>
              <w:rPr>
                <w:rFonts w:ascii="Cambria" w:hAnsi="Cambria" w:cs="Cambria"/>
                <w:color w:val="000000"/>
                <w:sz w:val="27"/>
                <w:szCs w:val="27"/>
              </w:rPr>
            </w:pPr>
            <w:r w:rsidRPr="00CF1FA8">
              <w:rPr>
                <w:sz w:val="27"/>
                <w:szCs w:val="27"/>
              </w:rPr>
              <w:t xml:space="preserve"> </w:t>
            </w:r>
          </w:p>
        </w:tc>
        <w:tc>
          <w:tcPr>
            <w:tcW w:w="3119" w:type="dxa"/>
          </w:tcPr>
          <w:p w14:paraId="796EBB93" w14:textId="77777777" w:rsidR="00157D90" w:rsidRPr="001022B7" w:rsidRDefault="00157D90" w:rsidP="00157D90">
            <w:pPr>
              <w:spacing w:after="0" w:line="240" w:lineRule="auto"/>
              <w:jc w:val="both"/>
              <w:rPr>
                <w:rFonts w:ascii="Cambria" w:hAnsi="Cambria"/>
                <w:b/>
                <w:bCs/>
                <w:color w:val="FFFFFF" w:themeColor="background1"/>
                <w:sz w:val="20"/>
                <w:szCs w:val="20"/>
              </w:rPr>
            </w:pPr>
          </w:p>
        </w:tc>
        <w:tc>
          <w:tcPr>
            <w:tcW w:w="3685" w:type="dxa"/>
          </w:tcPr>
          <w:p w14:paraId="281EEDEA" w14:textId="70D30545" w:rsidR="00157D90" w:rsidRPr="001022B7" w:rsidRDefault="00157D90" w:rsidP="00157D90">
            <w:pPr>
              <w:spacing w:after="0" w:line="240" w:lineRule="auto"/>
              <w:jc w:val="both"/>
              <w:rPr>
                <w:rFonts w:ascii="Cambria" w:hAnsi="Cambria"/>
                <w:b/>
                <w:bCs/>
                <w:color w:val="FFFFFF" w:themeColor="background1"/>
                <w:sz w:val="20"/>
                <w:szCs w:val="20"/>
              </w:rPr>
            </w:pPr>
            <w:r>
              <w:rPr>
                <w:rFonts w:ascii="Roboto" w:hAnsi="Roboto"/>
                <w:b/>
                <w:bCs/>
                <w:sz w:val="20"/>
                <w:szCs w:val="20"/>
              </w:rPr>
              <w:t xml:space="preserve">III. </w:t>
            </w:r>
            <w:r w:rsidRPr="00157D90">
              <w:rPr>
                <w:rFonts w:ascii="Roboto" w:hAnsi="Roboto"/>
                <w:b/>
                <w:bCs/>
                <w:sz w:val="20"/>
                <w:szCs w:val="20"/>
              </w:rPr>
              <w:t>Sustituir el archivo que figura como Anexo 4 del SGS-A-0021-2013 por el siguiente:</w:t>
            </w:r>
          </w:p>
        </w:tc>
      </w:tr>
      <w:bookmarkStart w:id="2" w:name="_MON_1808556978"/>
      <w:bookmarkEnd w:id="2"/>
      <w:tr w:rsidR="00BB1A42" w:rsidRPr="001022B7" w14:paraId="32EC7FDF" w14:textId="44E436FF" w:rsidTr="00157D90">
        <w:tc>
          <w:tcPr>
            <w:tcW w:w="3680" w:type="dxa"/>
            <w:shd w:val="clear" w:color="auto" w:fill="auto"/>
          </w:tcPr>
          <w:p w14:paraId="43E5C6D1" w14:textId="5C4EDCA6" w:rsidR="00BB1A42" w:rsidRPr="001022B7" w:rsidRDefault="00BD7CE0" w:rsidP="00136A68">
            <w:pPr>
              <w:spacing w:after="0" w:line="240" w:lineRule="auto"/>
              <w:jc w:val="both"/>
              <w:rPr>
                <w:rFonts w:ascii="Roboto" w:hAnsi="Roboto"/>
                <w:b/>
                <w:bCs/>
                <w:sz w:val="20"/>
                <w:szCs w:val="20"/>
              </w:rPr>
            </w:pPr>
            <w:r w:rsidRPr="001022B7">
              <w:rPr>
                <w:rFonts w:ascii="Arial Narrow" w:hAnsi="Arial Narrow"/>
                <w:b/>
                <w:bCs/>
                <w:sz w:val="20"/>
                <w:szCs w:val="20"/>
              </w:rPr>
              <w:object w:dxaOrig="1508" w:dyaOrig="983" w14:anchorId="57795309">
                <v:shape id="_x0000_i1029" type="#_x0000_t75" style="width:104.25pt;height:68.25pt" o:ole="">
                  <v:imagedata r:id="rId19" o:title=""/>
                </v:shape>
                <o:OLEObject Type="Embed" ProgID="Excel.Sheet.12" ShapeID="_x0000_i1029" DrawAspect="Icon" ObjectID="_1809631406" r:id="rId20"/>
              </w:object>
            </w:r>
          </w:p>
        </w:tc>
        <w:tc>
          <w:tcPr>
            <w:tcW w:w="3119" w:type="dxa"/>
            <w:shd w:val="clear" w:color="auto" w:fill="auto"/>
          </w:tcPr>
          <w:p w14:paraId="538E344D" w14:textId="12027426" w:rsidR="00FA09F0" w:rsidRPr="00157D90" w:rsidRDefault="00CF1FA8" w:rsidP="00136A68">
            <w:pPr>
              <w:pStyle w:val="Prrafodelista"/>
              <w:numPr>
                <w:ilvl w:val="0"/>
                <w:numId w:val="8"/>
              </w:numPr>
              <w:tabs>
                <w:tab w:val="left" w:pos="280"/>
              </w:tabs>
              <w:spacing w:after="0" w:line="240" w:lineRule="auto"/>
              <w:ind w:left="36" w:firstLine="0"/>
              <w:jc w:val="both"/>
              <w:rPr>
                <w:rFonts w:ascii="Roboto" w:hAnsi="Roboto"/>
                <w:sz w:val="20"/>
                <w:szCs w:val="20"/>
              </w:rPr>
            </w:pPr>
            <w:r w:rsidRPr="00157D90">
              <w:rPr>
                <w:rFonts w:ascii="Roboto" w:hAnsi="Roboto"/>
                <w:b/>
                <w:bCs/>
                <w:sz w:val="20"/>
                <w:szCs w:val="20"/>
              </w:rPr>
              <w:t xml:space="preserve">AAP: RCS4 Riesgo de Seguros Generales: </w:t>
            </w:r>
            <w:r w:rsidRPr="00157D90">
              <w:rPr>
                <w:rFonts w:ascii="Roboto" w:hAnsi="Roboto" w:cs="Cambria"/>
                <w:sz w:val="20"/>
                <w:szCs w:val="20"/>
              </w:rPr>
              <w:t>Se observa que el nuevo campo denominado “PROVISIÓN PARA PRIMAS NO</w:t>
            </w:r>
            <w:r w:rsidR="00157D90" w:rsidRPr="00157D90">
              <w:rPr>
                <w:rFonts w:ascii="Roboto" w:hAnsi="Roboto" w:cs="Cambria"/>
                <w:sz w:val="20"/>
                <w:szCs w:val="20"/>
              </w:rPr>
              <w:t xml:space="preserve"> </w:t>
            </w:r>
            <w:r w:rsidRPr="00157D90">
              <w:rPr>
                <w:rFonts w:ascii="Roboto" w:hAnsi="Roboto"/>
                <w:sz w:val="20"/>
                <w:szCs w:val="20"/>
              </w:rPr>
              <w:t xml:space="preserve">DEVENGADAS Seguros de Caución” está bloqueado y no posee fórmula referenciada a otro campo. Se solicita amablemente se confirme si esta situación es intencional, así como el impacto esperado de esta modificación en el cálculo respectivo. </w:t>
            </w:r>
          </w:p>
          <w:p w14:paraId="77908807" w14:textId="77777777" w:rsidR="00FA09F0" w:rsidRDefault="00FA09F0" w:rsidP="00136A68">
            <w:pPr>
              <w:pStyle w:val="Default"/>
              <w:jc w:val="both"/>
              <w:rPr>
                <w:rFonts w:ascii="Roboto" w:hAnsi="Roboto"/>
                <w:sz w:val="20"/>
                <w:szCs w:val="20"/>
              </w:rPr>
            </w:pPr>
          </w:p>
          <w:p w14:paraId="61090AB4" w14:textId="11795A79" w:rsidR="00BB1A42" w:rsidRPr="00FA09F0" w:rsidRDefault="00CF1FA8" w:rsidP="00136A68">
            <w:pPr>
              <w:pStyle w:val="Prrafodelista"/>
              <w:numPr>
                <w:ilvl w:val="0"/>
                <w:numId w:val="8"/>
              </w:numPr>
              <w:tabs>
                <w:tab w:val="left" w:pos="280"/>
              </w:tabs>
              <w:spacing w:after="0" w:line="240" w:lineRule="auto"/>
              <w:ind w:left="36" w:firstLine="0"/>
              <w:jc w:val="both"/>
              <w:rPr>
                <w:rFonts w:ascii="Roboto" w:hAnsi="Roboto"/>
                <w:color w:val="000000"/>
                <w:sz w:val="20"/>
                <w:szCs w:val="20"/>
              </w:rPr>
            </w:pPr>
            <w:r w:rsidRPr="00FA09F0">
              <w:rPr>
                <w:rFonts w:ascii="Roboto" w:hAnsi="Roboto" w:cs="Calibri"/>
                <w:b/>
                <w:bCs/>
                <w:sz w:val="20"/>
                <w:szCs w:val="20"/>
              </w:rPr>
              <w:t xml:space="preserve">AAP: RCS6 Riesgo Catastrófico: </w:t>
            </w:r>
            <w:r w:rsidRPr="00FA09F0">
              <w:rPr>
                <w:rFonts w:ascii="Roboto" w:hAnsi="Roboto"/>
                <w:sz w:val="20"/>
                <w:szCs w:val="20"/>
              </w:rPr>
              <w:t>Se identifica que actualmente no se está calculando el requerimiento por concentración. Si bien se visualiza un cambio en la fórmula aplicada, este ajuste no fue descrito o mencionado explícitamente en el oficio remitido. Se agradece confirmar el alcance de dicho cambio y su razonamiento técnico.</w:t>
            </w:r>
          </w:p>
        </w:tc>
        <w:tc>
          <w:tcPr>
            <w:tcW w:w="3119" w:type="dxa"/>
          </w:tcPr>
          <w:p w14:paraId="383228BA" w14:textId="31EBC48A" w:rsidR="00BC55AF" w:rsidRPr="00575193" w:rsidRDefault="00157D90" w:rsidP="00136A68">
            <w:pPr>
              <w:spacing w:after="0" w:line="240" w:lineRule="auto"/>
              <w:jc w:val="both"/>
              <w:rPr>
                <w:rFonts w:ascii="Roboto" w:hAnsi="Roboto"/>
                <w:sz w:val="20"/>
                <w:szCs w:val="20"/>
              </w:rPr>
            </w:pPr>
            <w:r>
              <w:rPr>
                <w:rFonts w:ascii="Roboto" w:hAnsi="Roboto"/>
                <w:b/>
                <w:bCs/>
                <w:sz w:val="20"/>
                <w:szCs w:val="20"/>
              </w:rPr>
              <w:t xml:space="preserve">4. </w:t>
            </w:r>
            <w:r w:rsidR="00BC55AF" w:rsidRPr="00575193">
              <w:rPr>
                <w:rFonts w:ascii="Roboto" w:hAnsi="Roboto"/>
                <w:b/>
                <w:bCs/>
                <w:sz w:val="20"/>
                <w:szCs w:val="20"/>
              </w:rPr>
              <w:t xml:space="preserve">Se </w:t>
            </w:r>
            <w:r>
              <w:rPr>
                <w:rFonts w:ascii="Roboto" w:hAnsi="Roboto"/>
                <w:b/>
                <w:bCs/>
                <w:sz w:val="20"/>
                <w:szCs w:val="20"/>
              </w:rPr>
              <w:t>corrige</w:t>
            </w:r>
            <w:r w:rsidR="00BC55AF" w:rsidRPr="00575193">
              <w:rPr>
                <w:rFonts w:ascii="Roboto" w:hAnsi="Roboto"/>
                <w:b/>
                <w:bCs/>
                <w:sz w:val="20"/>
                <w:szCs w:val="20"/>
              </w:rPr>
              <w:t xml:space="preserve">: </w:t>
            </w:r>
            <w:r w:rsidR="00BC55AF" w:rsidRPr="00575193">
              <w:rPr>
                <w:rFonts w:ascii="Roboto" w:hAnsi="Roboto"/>
                <w:sz w:val="20"/>
                <w:szCs w:val="20"/>
              </w:rPr>
              <w:t>Se desbloquea la celda que corresponde a la Provisión de Primas No devengadas del requerimiento RCS-4.</w:t>
            </w:r>
            <w:r>
              <w:rPr>
                <w:rFonts w:ascii="Roboto" w:hAnsi="Roboto"/>
                <w:sz w:val="20"/>
                <w:szCs w:val="20"/>
              </w:rPr>
              <w:t xml:space="preserve">  Adi</w:t>
            </w:r>
            <w:r w:rsidR="005A686E">
              <w:rPr>
                <w:rFonts w:ascii="Roboto" w:hAnsi="Roboto"/>
                <w:sz w:val="20"/>
                <w:szCs w:val="20"/>
              </w:rPr>
              <w:t>cionalmente, se aclara que l</w:t>
            </w:r>
            <w:r w:rsidR="00575193" w:rsidRPr="00575193">
              <w:rPr>
                <w:rFonts w:ascii="Roboto" w:hAnsi="Roboto"/>
                <w:sz w:val="20"/>
                <w:szCs w:val="20"/>
              </w:rPr>
              <w:t>a modificación incluida en el RCS-4 no tiene impacto alguno en el cálculo, únicamente es para propósitos de revelación de la completitud de las provisiones por primas no devengadas de todos los ramos</w:t>
            </w:r>
            <w:r w:rsidR="00575193">
              <w:rPr>
                <w:rFonts w:ascii="Roboto" w:hAnsi="Roboto"/>
                <w:sz w:val="20"/>
                <w:szCs w:val="20"/>
              </w:rPr>
              <w:t>.</w:t>
            </w:r>
          </w:p>
          <w:p w14:paraId="4D17A92D" w14:textId="77777777" w:rsidR="00BC55AF" w:rsidRPr="00575193" w:rsidRDefault="00BC55AF" w:rsidP="00136A68">
            <w:pPr>
              <w:spacing w:after="0" w:line="240" w:lineRule="auto"/>
              <w:jc w:val="both"/>
              <w:rPr>
                <w:rFonts w:ascii="Roboto" w:hAnsi="Roboto"/>
                <w:sz w:val="20"/>
                <w:szCs w:val="20"/>
              </w:rPr>
            </w:pPr>
          </w:p>
          <w:p w14:paraId="0DF2AD37" w14:textId="77777777" w:rsidR="005A686E" w:rsidRDefault="005A686E" w:rsidP="00136A68">
            <w:pPr>
              <w:spacing w:after="0" w:line="240" w:lineRule="auto"/>
              <w:jc w:val="both"/>
              <w:rPr>
                <w:rFonts w:ascii="Roboto" w:hAnsi="Roboto"/>
                <w:b/>
                <w:bCs/>
                <w:sz w:val="20"/>
                <w:szCs w:val="20"/>
              </w:rPr>
            </w:pPr>
          </w:p>
          <w:p w14:paraId="021EB9A5" w14:textId="0690EA87" w:rsidR="00BC55AF" w:rsidRPr="00575193" w:rsidRDefault="005A686E" w:rsidP="00136A68">
            <w:pPr>
              <w:spacing w:after="0" w:line="240" w:lineRule="auto"/>
              <w:jc w:val="both"/>
              <w:rPr>
                <w:rFonts w:ascii="Roboto" w:hAnsi="Roboto"/>
                <w:color w:val="FFFFFF" w:themeColor="background1"/>
                <w:sz w:val="20"/>
                <w:szCs w:val="20"/>
              </w:rPr>
            </w:pPr>
            <w:r>
              <w:rPr>
                <w:rFonts w:ascii="Roboto" w:hAnsi="Roboto"/>
                <w:b/>
                <w:bCs/>
                <w:sz w:val="20"/>
                <w:szCs w:val="20"/>
              </w:rPr>
              <w:t xml:space="preserve">5. </w:t>
            </w:r>
            <w:r w:rsidR="00BC55AF" w:rsidRPr="00575193">
              <w:rPr>
                <w:rFonts w:ascii="Roboto" w:hAnsi="Roboto"/>
                <w:b/>
                <w:bCs/>
                <w:sz w:val="20"/>
                <w:szCs w:val="20"/>
              </w:rPr>
              <w:t>Se aclara</w:t>
            </w:r>
            <w:r w:rsidR="00BC55AF" w:rsidRPr="00575193">
              <w:rPr>
                <w:rFonts w:ascii="Roboto" w:hAnsi="Roboto"/>
                <w:sz w:val="20"/>
                <w:szCs w:val="20"/>
              </w:rPr>
              <w:t xml:space="preserve"> que </w:t>
            </w:r>
            <w:r w:rsidR="00575193" w:rsidRPr="00575193">
              <w:rPr>
                <w:rFonts w:ascii="Roboto" w:hAnsi="Roboto"/>
                <w:sz w:val="20"/>
                <w:szCs w:val="20"/>
              </w:rPr>
              <w:t xml:space="preserve">a fórmula que se está modificando, según se describe en el punto 2 del oficio SGS-0415-2025 del 8 de abril del 2025, es la que se aplica en el requerimiento de riesgo por concentración de reaseguro para el RCS-5. La fórmula correspondiente para el requerimiento por riesgo de concentración del RCS-6 no ha </w:t>
            </w:r>
            <w:r>
              <w:rPr>
                <w:rFonts w:ascii="Roboto" w:hAnsi="Roboto"/>
                <w:sz w:val="20"/>
                <w:szCs w:val="20"/>
              </w:rPr>
              <w:t xml:space="preserve">tenido </w:t>
            </w:r>
            <w:r w:rsidR="00575193" w:rsidRPr="00575193">
              <w:rPr>
                <w:rFonts w:ascii="Roboto" w:hAnsi="Roboto"/>
                <w:sz w:val="20"/>
                <w:szCs w:val="20"/>
              </w:rPr>
              <w:t xml:space="preserve"> modificaciones</w:t>
            </w:r>
            <w:r w:rsidR="00575193">
              <w:rPr>
                <w:rFonts w:ascii="Roboto" w:hAnsi="Roboto"/>
                <w:sz w:val="20"/>
                <w:szCs w:val="20"/>
              </w:rPr>
              <w:t>.</w:t>
            </w:r>
          </w:p>
        </w:tc>
        <w:tc>
          <w:tcPr>
            <w:tcW w:w="3685" w:type="dxa"/>
          </w:tcPr>
          <w:p w14:paraId="69A8AA81" w14:textId="7475A7F4" w:rsidR="00BB1A42" w:rsidRDefault="00BB1A42" w:rsidP="00136A68">
            <w:pPr>
              <w:spacing w:after="0" w:line="240" w:lineRule="auto"/>
              <w:jc w:val="both"/>
              <w:rPr>
                <w:rFonts w:ascii="Arial Narrow" w:hAnsi="Arial Narrow"/>
                <w:b/>
                <w:bCs/>
                <w:sz w:val="20"/>
                <w:szCs w:val="20"/>
              </w:rPr>
            </w:pPr>
          </w:p>
          <w:p w14:paraId="6FC49CB8" w14:textId="25DCE6DB" w:rsidR="007E7168" w:rsidRPr="001022B7" w:rsidRDefault="00DB6C7E" w:rsidP="00136A68">
            <w:pPr>
              <w:spacing w:after="0" w:line="240" w:lineRule="auto"/>
              <w:jc w:val="both"/>
              <w:rPr>
                <w:rFonts w:ascii="Cambria" w:hAnsi="Cambria"/>
                <w:b/>
                <w:bCs/>
                <w:color w:val="FFFFFF" w:themeColor="background1"/>
                <w:sz w:val="20"/>
                <w:szCs w:val="20"/>
              </w:rPr>
            </w:pPr>
            <w:r>
              <w:rPr>
                <w:rFonts w:ascii="Cambria" w:hAnsi="Cambria"/>
                <w:b/>
                <w:bCs/>
                <w:color w:val="FFFFFF" w:themeColor="background1"/>
                <w:sz w:val="20"/>
                <w:szCs w:val="20"/>
              </w:rPr>
              <w:object w:dxaOrig="1508" w:dyaOrig="983" w14:anchorId="7541549C">
                <v:shape id="_x0000_i1030" type="#_x0000_t75" style="width:75.75pt;height:49.5pt" o:ole="">
                  <v:imagedata r:id="rId21" o:title=""/>
                </v:shape>
                <o:OLEObject Type="Embed" ProgID="Excel.Sheet.12" ShapeID="_x0000_i1030" DrawAspect="Icon" ObjectID="_1809631407" r:id="rId22"/>
              </w:object>
            </w:r>
          </w:p>
        </w:tc>
      </w:tr>
      <w:tr w:rsidR="00BB1A42" w:rsidRPr="001022B7" w14:paraId="5728D41A" w14:textId="0EE68873" w:rsidTr="00157D90">
        <w:tc>
          <w:tcPr>
            <w:tcW w:w="3680" w:type="dxa"/>
            <w:shd w:val="clear" w:color="auto" w:fill="auto"/>
          </w:tcPr>
          <w:p w14:paraId="0E29700B" w14:textId="53B45135" w:rsidR="00BB1A42" w:rsidRPr="001022B7" w:rsidRDefault="005A686E" w:rsidP="005A686E">
            <w:pPr>
              <w:spacing w:after="0" w:line="240" w:lineRule="auto"/>
              <w:jc w:val="both"/>
              <w:rPr>
                <w:rFonts w:ascii="Roboto" w:hAnsi="Roboto"/>
                <w:b/>
                <w:bCs/>
                <w:sz w:val="20"/>
                <w:szCs w:val="20"/>
              </w:rPr>
            </w:pPr>
            <w:r>
              <w:rPr>
                <w:rFonts w:ascii="Roboto" w:hAnsi="Roboto"/>
                <w:b/>
                <w:bCs/>
                <w:sz w:val="20"/>
                <w:szCs w:val="20"/>
              </w:rPr>
              <w:lastRenderedPageBreak/>
              <w:t xml:space="preserve">IV. </w:t>
            </w:r>
            <w:r w:rsidR="007E7168" w:rsidRPr="001022B7">
              <w:rPr>
                <w:rFonts w:ascii="Roboto" w:hAnsi="Roboto"/>
                <w:b/>
                <w:bCs/>
                <w:sz w:val="20"/>
                <w:szCs w:val="20"/>
              </w:rPr>
              <w:t>Actualizar la versión publicada del acuerdo de Superintendente SGS-A-0021-2013 para incluir las modificaciones señaladas en este acto.</w:t>
            </w:r>
          </w:p>
        </w:tc>
        <w:tc>
          <w:tcPr>
            <w:tcW w:w="3119" w:type="dxa"/>
            <w:shd w:val="clear" w:color="auto" w:fill="auto"/>
          </w:tcPr>
          <w:p w14:paraId="66BC0C18"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119" w:type="dxa"/>
          </w:tcPr>
          <w:p w14:paraId="3D0D6B56"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685" w:type="dxa"/>
          </w:tcPr>
          <w:p w14:paraId="46DB87A0" w14:textId="314CCCF3" w:rsidR="00BB1A42" w:rsidRPr="001022B7" w:rsidRDefault="005A686E" w:rsidP="005A686E">
            <w:pPr>
              <w:spacing w:after="0" w:line="240" w:lineRule="auto"/>
              <w:jc w:val="both"/>
              <w:rPr>
                <w:rFonts w:ascii="Cambria" w:hAnsi="Cambria"/>
                <w:b/>
                <w:bCs/>
                <w:color w:val="FFFFFF" w:themeColor="background1"/>
                <w:sz w:val="20"/>
                <w:szCs w:val="20"/>
              </w:rPr>
            </w:pPr>
            <w:r>
              <w:rPr>
                <w:rFonts w:ascii="Roboto" w:hAnsi="Roboto"/>
                <w:b/>
                <w:bCs/>
                <w:sz w:val="20"/>
                <w:szCs w:val="20"/>
              </w:rPr>
              <w:t xml:space="preserve">IV. </w:t>
            </w:r>
            <w:r w:rsidR="007E7168" w:rsidRPr="001022B7">
              <w:rPr>
                <w:rFonts w:ascii="Roboto" w:hAnsi="Roboto"/>
                <w:b/>
                <w:bCs/>
                <w:sz w:val="20"/>
                <w:szCs w:val="20"/>
              </w:rPr>
              <w:t>Actualizar la versión publicada del acuerdo de Superintendente SGS-A-0021-2013 para incluir las modificaciones señaladas en este acto.</w:t>
            </w:r>
          </w:p>
        </w:tc>
      </w:tr>
      <w:tr w:rsidR="00BB1A42" w:rsidRPr="001022B7" w14:paraId="43F728A7" w14:textId="675528A7" w:rsidTr="00157D90">
        <w:tc>
          <w:tcPr>
            <w:tcW w:w="3680" w:type="dxa"/>
            <w:shd w:val="clear" w:color="auto" w:fill="auto"/>
          </w:tcPr>
          <w:p w14:paraId="433B4719" w14:textId="77777777" w:rsidR="00BB1A42" w:rsidRPr="001022B7" w:rsidRDefault="00BB1A42" w:rsidP="00136A68">
            <w:pPr>
              <w:spacing w:after="0" w:line="240" w:lineRule="auto"/>
              <w:jc w:val="both"/>
              <w:rPr>
                <w:rFonts w:ascii="Roboto" w:hAnsi="Roboto"/>
                <w:sz w:val="20"/>
                <w:szCs w:val="20"/>
              </w:rPr>
            </w:pPr>
            <w:r w:rsidRPr="001022B7">
              <w:rPr>
                <w:rFonts w:ascii="Roboto" w:hAnsi="Roboto"/>
                <w:sz w:val="20"/>
                <w:szCs w:val="20"/>
              </w:rPr>
              <w:t>Rige a partir de su comunicación.</w:t>
            </w:r>
          </w:p>
          <w:p w14:paraId="41AD52A6" w14:textId="3767CCBC" w:rsidR="00BB1A42" w:rsidRPr="001022B7" w:rsidRDefault="00BB1A42" w:rsidP="00136A68">
            <w:pPr>
              <w:spacing w:after="0" w:line="240" w:lineRule="auto"/>
              <w:jc w:val="both"/>
              <w:rPr>
                <w:rFonts w:ascii="Roboto" w:hAnsi="Roboto"/>
                <w:sz w:val="20"/>
                <w:szCs w:val="20"/>
              </w:rPr>
            </w:pPr>
            <w:r w:rsidRPr="001022B7">
              <w:rPr>
                <w:rFonts w:ascii="Roboto" w:hAnsi="Roboto"/>
                <w:b/>
                <w:bCs/>
                <w:sz w:val="20"/>
                <w:szCs w:val="20"/>
              </w:rPr>
              <w:br/>
              <w:t>Transitorio Único:</w:t>
            </w:r>
            <w:r w:rsidRPr="001022B7">
              <w:rPr>
                <w:rFonts w:ascii="Roboto" w:hAnsi="Roboto"/>
                <w:sz w:val="20"/>
                <w:szCs w:val="20"/>
              </w:rPr>
              <w:t xml:space="preserve"> La información correspondiente al informe trimestral de la gestión realizada por la Instancia de Atención del Consumidor de Seguros del primer trimestre 2025 con corte a marzo 2025, se entrega con el informe del segundo trimestre 2025.</w:t>
            </w:r>
          </w:p>
        </w:tc>
        <w:tc>
          <w:tcPr>
            <w:tcW w:w="3119" w:type="dxa"/>
            <w:shd w:val="clear" w:color="auto" w:fill="auto"/>
          </w:tcPr>
          <w:p w14:paraId="31487682"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119" w:type="dxa"/>
          </w:tcPr>
          <w:p w14:paraId="4905831B" w14:textId="77777777" w:rsidR="00BB1A42" w:rsidRPr="001022B7" w:rsidRDefault="00BB1A42" w:rsidP="00136A68">
            <w:pPr>
              <w:spacing w:after="0" w:line="240" w:lineRule="auto"/>
              <w:jc w:val="both"/>
              <w:rPr>
                <w:rFonts w:ascii="Cambria" w:hAnsi="Cambria"/>
                <w:b/>
                <w:bCs/>
                <w:color w:val="FFFFFF" w:themeColor="background1"/>
                <w:sz w:val="20"/>
                <w:szCs w:val="20"/>
              </w:rPr>
            </w:pPr>
          </w:p>
        </w:tc>
        <w:tc>
          <w:tcPr>
            <w:tcW w:w="3685" w:type="dxa"/>
          </w:tcPr>
          <w:p w14:paraId="20BA9810" w14:textId="77777777" w:rsidR="008A5108" w:rsidRPr="001022B7" w:rsidRDefault="008A5108" w:rsidP="00136A68">
            <w:pPr>
              <w:spacing w:after="0" w:line="240" w:lineRule="auto"/>
              <w:jc w:val="both"/>
              <w:rPr>
                <w:rFonts w:ascii="Roboto" w:hAnsi="Roboto"/>
                <w:sz w:val="20"/>
                <w:szCs w:val="20"/>
              </w:rPr>
            </w:pPr>
            <w:r w:rsidRPr="001022B7">
              <w:rPr>
                <w:rFonts w:ascii="Roboto" w:hAnsi="Roboto"/>
                <w:sz w:val="20"/>
                <w:szCs w:val="20"/>
              </w:rPr>
              <w:t>Rige a partir de su comunicación.</w:t>
            </w:r>
          </w:p>
          <w:p w14:paraId="738386FC" w14:textId="72420979" w:rsidR="00BB1A42" w:rsidRPr="001022B7" w:rsidRDefault="008A5108" w:rsidP="00136A68">
            <w:pPr>
              <w:spacing w:after="0" w:line="240" w:lineRule="auto"/>
              <w:jc w:val="both"/>
              <w:rPr>
                <w:rFonts w:ascii="Cambria" w:hAnsi="Cambria"/>
                <w:b/>
                <w:bCs/>
                <w:color w:val="FFFFFF" w:themeColor="background1"/>
                <w:sz w:val="20"/>
                <w:szCs w:val="20"/>
              </w:rPr>
            </w:pPr>
            <w:r w:rsidRPr="001022B7">
              <w:rPr>
                <w:rFonts w:ascii="Roboto" w:hAnsi="Roboto"/>
                <w:b/>
                <w:bCs/>
                <w:sz w:val="20"/>
                <w:szCs w:val="20"/>
              </w:rPr>
              <w:br/>
              <w:t>Transitorio Único:</w:t>
            </w:r>
            <w:r w:rsidRPr="001022B7">
              <w:rPr>
                <w:rFonts w:ascii="Roboto" w:hAnsi="Roboto"/>
                <w:sz w:val="20"/>
                <w:szCs w:val="20"/>
              </w:rPr>
              <w:t xml:space="preserve"> La información correspondiente al informe trimestral de la gestión realizada por la Instancia de Atención del Consumidor de Seguros del primer trimestre 2025 con corte a marzo 2025, se entrega con el informe del segundo trimestre 202</w:t>
            </w:r>
            <w:r w:rsidR="00E10CB4">
              <w:rPr>
                <w:rFonts w:ascii="Roboto" w:hAnsi="Roboto"/>
                <w:sz w:val="20"/>
                <w:szCs w:val="20"/>
              </w:rPr>
              <w:t>5.</w:t>
            </w:r>
          </w:p>
        </w:tc>
      </w:tr>
    </w:tbl>
    <w:p w14:paraId="296B5E4F" w14:textId="77777777" w:rsidR="00D82FEB" w:rsidRDefault="00D82FEB" w:rsidP="00060276">
      <w:pPr>
        <w:spacing w:line="276" w:lineRule="auto"/>
        <w:rPr>
          <w:rFonts w:ascii="Roboto" w:hAnsi="Roboto"/>
        </w:rPr>
      </w:pPr>
    </w:p>
    <w:sectPr w:rsidR="00D82FEB" w:rsidSect="004544DA">
      <w:headerReference w:type="default" r:id="rId23"/>
      <w:footerReference w:type="default" r:id="rId24"/>
      <w:headerReference w:type="first" r:id="rId25"/>
      <w:footerReference w:type="first" r:id="rId26"/>
      <w:pgSz w:w="15840" w:h="12240" w:orient="landscape"/>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6EF3E" w14:textId="77777777" w:rsidR="002C37F8" w:rsidRDefault="002C37F8" w:rsidP="005A1442">
      <w:r>
        <w:separator/>
      </w:r>
    </w:p>
  </w:endnote>
  <w:endnote w:type="continuationSeparator" w:id="0">
    <w:p w14:paraId="7E3A9B6F" w14:textId="77777777" w:rsidR="002C37F8" w:rsidRDefault="002C37F8"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6192215"/>
      <w:docPartObj>
        <w:docPartGallery w:val="Page Numbers (Bottom of Page)"/>
        <w:docPartUnique/>
      </w:docPartObj>
    </w:sdtPr>
    <w:sdtEndPr/>
    <w:sdtContent>
      <w:sdt>
        <w:sdtPr>
          <w:id w:val="-1769616900"/>
          <w:docPartObj>
            <w:docPartGallery w:val="Page Numbers (Top of Page)"/>
            <w:docPartUnique/>
          </w:docPartObj>
        </w:sdtPr>
        <w:sdtEndPr/>
        <w:sdtContent>
          <w:p w14:paraId="471BB1AB" w14:textId="5007385C" w:rsidR="00E946D5" w:rsidRDefault="00E946D5">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lang w:val="es-ES"/>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lang w:val="es-ES"/>
              </w:rPr>
              <w:t>2</w:t>
            </w:r>
            <w:r>
              <w:rPr>
                <w:b/>
                <w:bCs/>
                <w:sz w:val="24"/>
                <w:szCs w:val="24"/>
              </w:rPr>
              <w:fldChar w:fldCharType="end"/>
            </w:r>
          </w:p>
        </w:sdtContent>
      </w:sdt>
    </w:sdtContent>
  </w:sdt>
  <w:p w14:paraId="6E2C2222" w14:textId="77777777" w:rsidR="00F03895" w:rsidRDefault="00F0389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07528" w14:textId="3C9B888A" w:rsidR="00C8121C" w:rsidRDefault="00C8121C" w:rsidP="00C8121C">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4C0B7" w14:textId="77777777" w:rsidR="002C37F8" w:rsidRDefault="002C37F8" w:rsidP="005A1442">
      <w:r>
        <w:separator/>
      </w:r>
    </w:p>
  </w:footnote>
  <w:footnote w:type="continuationSeparator" w:id="0">
    <w:p w14:paraId="153FB118" w14:textId="77777777" w:rsidR="002C37F8" w:rsidRDefault="002C37F8" w:rsidP="005A1442">
      <w:r>
        <w:continuationSeparator/>
      </w:r>
    </w:p>
  </w:footnote>
  <w:footnote w:id="1">
    <w:p w14:paraId="6E6505C3" w14:textId="3CB1D9AC" w:rsidR="004544DA" w:rsidRDefault="004544DA">
      <w:pPr>
        <w:pStyle w:val="Textonotapie"/>
      </w:pPr>
      <w:r>
        <w:rPr>
          <w:rStyle w:val="Refdenotaalpie"/>
        </w:rPr>
        <w:footnoteRef/>
      </w:r>
      <w:r>
        <w:t xml:space="preserve"> </w:t>
      </w:r>
      <w:r w:rsidR="006C3CEA">
        <w:t>Enviado a consulta externa de la industria mediante oficio SGS</w:t>
      </w:r>
      <w:r w:rsidR="00D83753">
        <w:t xml:space="preserve">-0415-2025 </w:t>
      </w:r>
      <w:r w:rsidR="006C3CEA">
        <w:t>del 8 de</w:t>
      </w:r>
      <w:r w:rsidR="00D83753">
        <w:t xml:space="preserve"> abril del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4059D" w14:textId="77777777" w:rsidR="00D82FEB" w:rsidRPr="000D7DD9" w:rsidRDefault="00C8121C" w:rsidP="00D82FEB">
    <w:pPr>
      <w:pStyle w:val="Encabezado"/>
      <w:jc w:val="center"/>
      <w:rPr>
        <w:rFonts w:ascii="Roboto" w:hAnsi="Roboto"/>
        <w:sz w:val="24"/>
        <w:szCs w:val="24"/>
      </w:rPr>
    </w:pPr>
    <w:r w:rsidRPr="000D7DD9">
      <w:rPr>
        <w:rFonts w:ascii="Roboto" w:hAnsi="Roboto"/>
        <w:noProof/>
      </w:rPr>
      <w:drawing>
        <wp:anchor distT="0" distB="0" distL="114300" distR="114300" simplePos="0" relativeHeight="251682816" behindDoc="1" locked="0" layoutInCell="1" allowOverlap="1" wp14:anchorId="68619AAE" wp14:editId="0377F442">
          <wp:simplePos x="0" y="0"/>
          <wp:positionH relativeFrom="column">
            <wp:posOffset>-901700</wp:posOffset>
          </wp:positionH>
          <wp:positionV relativeFrom="paragraph">
            <wp:posOffset>-431800</wp:posOffset>
          </wp:positionV>
          <wp:extent cx="7782322" cy="781050"/>
          <wp:effectExtent l="0" t="0" r="952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782322" cy="78105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6EA1D" w14:textId="7DE1767A" w:rsidR="0038157B" w:rsidRPr="00D82FEB" w:rsidRDefault="009415D9" w:rsidP="00136A68">
    <w:pPr>
      <w:pStyle w:val="Encabezado"/>
      <w:jc w:val="center"/>
      <w:rPr>
        <w:rFonts w:asciiTheme="majorHAnsi" w:hAnsiTheme="majorHAnsi"/>
        <w:sz w:val="16"/>
        <w:szCs w:val="16"/>
      </w:rPr>
    </w:pPr>
    <w:r>
      <w:rPr>
        <w:noProof/>
      </w:rPr>
      <w:drawing>
        <wp:anchor distT="0" distB="0" distL="114300" distR="114300" simplePos="0" relativeHeight="251674624" behindDoc="1" locked="0" layoutInCell="1" allowOverlap="1" wp14:anchorId="2BE242CC" wp14:editId="22295624">
          <wp:simplePos x="0" y="0"/>
          <wp:positionH relativeFrom="column">
            <wp:posOffset>-920750</wp:posOffset>
          </wp:positionH>
          <wp:positionV relativeFrom="paragraph">
            <wp:posOffset>-444500</wp:posOffset>
          </wp:positionV>
          <wp:extent cx="7782322" cy="781050"/>
          <wp:effectExtent l="0" t="0" r="952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782322" cy="7810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14C8F"/>
    <w:multiLevelType w:val="hybridMultilevel"/>
    <w:tmpl w:val="154EAF0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FCE05A4"/>
    <w:multiLevelType w:val="hybridMultilevel"/>
    <w:tmpl w:val="85104638"/>
    <w:lvl w:ilvl="0" w:tplc="FFFFFFFF">
      <w:start w:val="1"/>
      <w:numFmt w:val="upperRoman"/>
      <w:lvlText w:val="%1."/>
      <w:lvlJc w:val="left"/>
      <w:pPr>
        <w:ind w:left="1080" w:hanging="72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9B0F12"/>
    <w:multiLevelType w:val="hybridMultilevel"/>
    <w:tmpl w:val="85104638"/>
    <w:lvl w:ilvl="0" w:tplc="FFFFFFFF">
      <w:start w:val="1"/>
      <w:numFmt w:val="upperRoman"/>
      <w:lvlText w:val="%1."/>
      <w:lvlJc w:val="left"/>
      <w:pPr>
        <w:ind w:left="1080" w:hanging="72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3604690"/>
    <w:multiLevelType w:val="hybridMultilevel"/>
    <w:tmpl w:val="6F72EE0C"/>
    <w:lvl w:ilvl="0" w:tplc="D5A0DAC6">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8197AE9"/>
    <w:multiLevelType w:val="hybridMultilevel"/>
    <w:tmpl w:val="85104638"/>
    <w:lvl w:ilvl="0" w:tplc="CBBEF610">
      <w:start w:val="1"/>
      <w:numFmt w:val="upperRoman"/>
      <w:lvlText w:val="%1."/>
      <w:lvlJc w:val="left"/>
      <w:pPr>
        <w:ind w:left="1080" w:hanging="720"/>
      </w:pPr>
      <w:rPr>
        <w:rFonts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3BCB0C25"/>
    <w:multiLevelType w:val="hybridMultilevel"/>
    <w:tmpl w:val="940297C8"/>
    <w:lvl w:ilvl="0" w:tplc="7F82439A">
      <w:start w:val="1"/>
      <w:numFmt w:val="decimal"/>
      <w:lvlText w:val="%1."/>
      <w:lvlJc w:val="left"/>
      <w:pPr>
        <w:ind w:left="720" w:hanging="360"/>
      </w:pPr>
      <w:rPr>
        <w:rFonts w:ascii="Roboto" w:hAnsi="Roboto" w:hint="default"/>
        <w:b/>
        <w:bCs/>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46764EE4"/>
    <w:multiLevelType w:val="hybridMultilevel"/>
    <w:tmpl w:val="A75CFE6A"/>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AAB5464"/>
    <w:multiLevelType w:val="hybridMultilevel"/>
    <w:tmpl w:val="85104638"/>
    <w:lvl w:ilvl="0" w:tplc="FFFFFFFF">
      <w:start w:val="1"/>
      <w:numFmt w:val="upperRoman"/>
      <w:lvlText w:val="%1."/>
      <w:lvlJc w:val="left"/>
      <w:pPr>
        <w:ind w:left="1080" w:hanging="72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E0550FB"/>
    <w:multiLevelType w:val="hybridMultilevel"/>
    <w:tmpl w:val="2F2AADF0"/>
    <w:lvl w:ilvl="0" w:tplc="70CA6154">
      <w:start w:val="1"/>
      <w:numFmt w:val="decimal"/>
      <w:lvlText w:val="%1."/>
      <w:lvlJc w:val="left"/>
      <w:pPr>
        <w:ind w:left="382" w:hanging="360"/>
      </w:pPr>
      <w:rPr>
        <w:rFonts w:hint="default"/>
        <w:b w:val="0"/>
      </w:rPr>
    </w:lvl>
    <w:lvl w:ilvl="1" w:tplc="140A0019" w:tentative="1">
      <w:start w:val="1"/>
      <w:numFmt w:val="lowerLetter"/>
      <w:lvlText w:val="%2."/>
      <w:lvlJc w:val="left"/>
      <w:pPr>
        <w:ind w:left="1102" w:hanging="360"/>
      </w:pPr>
    </w:lvl>
    <w:lvl w:ilvl="2" w:tplc="140A001B" w:tentative="1">
      <w:start w:val="1"/>
      <w:numFmt w:val="lowerRoman"/>
      <w:lvlText w:val="%3."/>
      <w:lvlJc w:val="right"/>
      <w:pPr>
        <w:ind w:left="1822" w:hanging="180"/>
      </w:pPr>
    </w:lvl>
    <w:lvl w:ilvl="3" w:tplc="140A000F" w:tentative="1">
      <w:start w:val="1"/>
      <w:numFmt w:val="decimal"/>
      <w:lvlText w:val="%4."/>
      <w:lvlJc w:val="left"/>
      <w:pPr>
        <w:ind w:left="2542" w:hanging="360"/>
      </w:pPr>
    </w:lvl>
    <w:lvl w:ilvl="4" w:tplc="140A0019" w:tentative="1">
      <w:start w:val="1"/>
      <w:numFmt w:val="lowerLetter"/>
      <w:lvlText w:val="%5."/>
      <w:lvlJc w:val="left"/>
      <w:pPr>
        <w:ind w:left="3262" w:hanging="360"/>
      </w:pPr>
    </w:lvl>
    <w:lvl w:ilvl="5" w:tplc="140A001B" w:tentative="1">
      <w:start w:val="1"/>
      <w:numFmt w:val="lowerRoman"/>
      <w:lvlText w:val="%6."/>
      <w:lvlJc w:val="right"/>
      <w:pPr>
        <w:ind w:left="3982" w:hanging="180"/>
      </w:pPr>
    </w:lvl>
    <w:lvl w:ilvl="6" w:tplc="140A000F" w:tentative="1">
      <w:start w:val="1"/>
      <w:numFmt w:val="decimal"/>
      <w:lvlText w:val="%7."/>
      <w:lvlJc w:val="left"/>
      <w:pPr>
        <w:ind w:left="4702" w:hanging="360"/>
      </w:pPr>
    </w:lvl>
    <w:lvl w:ilvl="7" w:tplc="140A0019" w:tentative="1">
      <w:start w:val="1"/>
      <w:numFmt w:val="lowerLetter"/>
      <w:lvlText w:val="%8."/>
      <w:lvlJc w:val="left"/>
      <w:pPr>
        <w:ind w:left="5422" w:hanging="360"/>
      </w:pPr>
    </w:lvl>
    <w:lvl w:ilvl="8" w:tplc="140A001B" w:tentative="1">
      <w:start w:val="1"/>
      <w:numFmt w:val="lowerRoman"/>
      <w:lvlText w:val="%9."/>
      <w:lvlJc w:val="right"/>
      <w:pPr>
        <w:ind w:left="6142" w:hanging="180"/>
      </w:pPr>
    </w:lvl>
  </w:abstractNum>
  <w:abstractNum w:abstractNumId="9" w15:restartNumberingAfterBreak="0">
    <w:nsid w:val="5AE728C8"/>
    <w:multiLevelType w:val="hybridMultilevel"/>
    <w:tmpl w:val="A75CFE6A"/>
    <w:lvl w:ilvl="0" w:tplc="C5E45498">
      <w:start w:val="1"/>
      <w:numFmt w:val="decimal"/>
      <w:lvlText w:val="%1."/>
      <w:lvlJc w:val="left"/>
      <w:pPr>
        <w:ind w:left="360" w:hanging="360"/>
      </w:pPr>
      <w:rPr>
        <w:b/>
        <w:bCs/>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0" w15:restartNumberingAfterBreak="0">
    <w:nsid w:val="61221FFD"/>
    <w:multiLevelType w:val="hybridMultilevel"/>
    <w:tmpl w:val="940297C8"/>
    <w:lvl w:ilvl="0" w:tplc="FFFFFFFF">
      <w:start w:val="1"/>
      <w:numFmt w:val="decimal"/>
      <w:lvlText w:val="%1."/>
      <w:lvlJc w:val="left"/>
      <w:pPr>
        <w:ind w:left="720" w:hanging="360"/>
      </w:pPr>
      <w:rPr>
        <w:rFonts w:ascii="Roboto" w:hAnsi="Roboto" w:hint="default"/>
        <w:b/>
        <w:b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0292634"/>
    <w:multiLevelType w:val="hybridMultilevel"/>
    <w:tmpl w:val="DCC04EFA"/>
    <w:lvl w:ilvl="0" w:tplc="E4424EEA">
      <w:start w:val="1"/>
      <w:numFmt w:val="upperRoman"/>
      <w:lvlText w:val="%1."/>
      <w:lvlJc w:val="left"/>
      <w:pPr>
        <w:ind w:left="1080" w:hanging="720"/>
      </w:pPr>
      <w:rPr>
        <w:rFonts w:ascii="Roboto" w:hAnsi="Roboto"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71853EF2"/>
    <w:multiLevelType w:val="hybridMultilevel"/>
    <w:tmpl w:val="A75CFE6A"/>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1DB3FF2"/>
    <w:multiLevelType w:val="hybridMultilevel"/>
    <w:tmpl w:val="2F2C08CC"/>
    <w:lvl w:ilvl="0" w:tplc="CCFECA68">
      <w:start w:val="1"/>
      <w:numFmt w:val="decimal"/>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730B4C24"/>
    <w:multiLevelType w:val="hybridMultilevel"/>
    <w:tmpl w:val="A75CFE6A"/>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7624B15"/>
    <w:multiLevelType w:val="hybridMultilevel"/>
    <w:tmpl w:val="03EA63A4"/>
    <w:lvl w:ilvl="0" w:tplc="140A000F">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794F1D43"/>
    <w:multiLevelType w:val="hybridMultilevel"/>
    <w:tmpl w:val="FE2ECD4E"/>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86033313">
    <w:abstractNumId w:val="13"/>
  </w:num>
  <w:num w:numId="2" w16cid:durableId="1188907448">
    <w:abstractNumId w:val="9"/>
  </w:num>
  <w:num w:numId="3" w16cid:durableId="508914133">
    <w:abstractNumId w:val="4"/>
  </w:num>
  <w:num w:numId="4" w16cid:durableId="335503745">
    <w:abstractNumId w:val="1"/>
  </w:num>
  <w:num w:numId="5" w16cid:durableId="1678341027">
    <w:abstractNumId w:val="2"/>
  </w:num>
  <w:num w:numId="6" w16cid:durableId="938148728">
    <w:abstractNumId w:val="7"/>
  </w:num>
  <w:num w:numId="7" w16cid:durableId="1140879957">
    <w:abstractNumId w:val="3"/>
  </w:num>
  <w:num w:numId="8" w16cid:durableId="608852957">
    <w:abstractNumId w:val="5"/>
  </w:num>
  <w:num w:numId="9" w16cid:durableId="1339965793">
    <w:abstractNumId w:val="16"/>
  </w:num>
  <w:num w:numId="10" w16cid:durableId="1381900273">
    <w:abstractNumId w:val="6"/>
  </w:num>
  <w:num w:numId="11" w16cid:durableId="1458331337">
    <w:abstractNumId w:val="14"/>
  </w:num>
  <w:num w:numId="12" w16cid:durableId="326632383">
    <w:abstractNumId w:val="11"/>
  </w:num>
  <w:num w:numId="13" w16cid:durableId="1886405225">
    <w:abstractNumId w:val="10"/>
  </w:num>
  <w:num w:numId="14" w16cid:durableId="2134706731">
    <w:abstractNumId w:val="12"/>
  </w:num>
  <w:num w:numId="15" w16cid:durableId="750203009">
    <w:abstractNumId w:val="15"/>
  </w:num>
  <w:num w:numId="16" w16cid:durableId="1026832188">
    <w:abstractNumId w:val="8"/>
  </w:num>
  <w:num w:numId="17" w16cid:durableId="417292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7F8"/>
    <w:rsid w:val="00002020"/>
    <w:rsid w:val="00003EEF"/>
    <w:rsid w:val="000076D1"/>
    <w:rsid w:val="000105FD"/>
    <w:rsid w:val="00015CC4"/>
    <w:rsid w:val="000230EC"/>
    <w:rsid w:val="00023923"/>
    <w:rsid w:val="00037F14"/>
    <w:rsid w:val="00041E99"/>
    <w:rsid w:val="00043989"/>
    <w:rsid w:val="000476C1"/>
    <w:rsid w:val="00055413"/>
    <w:rsid w:val="00060276"/>
    <w:rsid w:val="00067CF6"/>
    <w:rsid w:val="000752F9"/>
    <w:rsid w:val="000760ED"/>
    <w:rsid w:val="00083A78"/>
    <w:rsid w:val="0008604D"/>
    <w:rsid w:val="00094761"/>
    <w:rsid w:val="000A2288"/>
    <w:rsid w:val="000B2E1D"/>
    <w:rsid w:val="000C7644"/>
    <w:rsid w:val="000C76E5"/>
    <w:rsid w:val="000D4883"/>
    <w:rsid w:val="000D635B"/>
    <w:rsid w:val="000D7DD9"/>
    <w:rsid w:val="000E2718"/>
    <w:rsid w:val="000F06DC"/>
    <w:rsid w:val="000F4177"/>
    <w:rsid w:val="001022B7"/>
    <w:rsid w:val="00112325"/>
    <w:rsid w:val="00120507"/>
    <w:rsid w:val="00124D4D"/>
    <w:rsid w:val="00133DA2"/>
    <w:rsid w:val="00135FBF"/>
    <w:rsid w:val="00136A68"/>
    <w:rsid w:val="00140B90"/>
    <w:rsid w:val="00146B1D"/>
    <w:rsid w:val="001551CB"/>
    <w:rsid w:val="00157D90"/>
    <w:rsid w:val="00163C98"/>
    <w:rsid w:val="001647E2"/>
    <w:rsid w:val="00167B6E"/>
    <w:rsid w:val="0017138C"/>
    <w:rsid w:val="0018143B"/>
    <w:rsid w:val="0019456C"/>
    <w:rsid w:val="001A29D3"/>
    <w:rsid w:val="001A6FE9"/>
    <w:rsid w:val="001B3C85"/>
    <w:rsid w:val="001B6EE9"/>
    <w:rsid w:val="001C344D"/>
    <w:rsid w:val="001D2BCA"/>
    <w:rsid w:val="001E1D72"/>
    <w:rsid w:val="001E4F33"/>
    <w:rsid w:val="001F362F"/>
    <w:rsid w:val="001F5F10"/>
    <w:rsid w:val="002048C0"/>
    <w:rsid w:val="002218A1"/>
    <w:rsid w:val="00221996"/>
    <w:rsid w:val="00222862"/>
    <w:rsid w:val="00234ECC"/>
    <w:rsid w:val="002440B8"/>
    <w:rsid w:val="00247E9E"/>
    <w:rsid w:val="00267429"/>
    <w:rsid w:val="0028286F"/>
    <w:rsid w:val="0028453A"/>
    <w:rsid w:val="00286975"/>
    <w:rsid w:val="00291CE7"/>
    <w:rsid w:val="0029751A"/>
    <w:rsid w:val="002A04A2"/>
    <w:rsid w:val="002C37F8"/>
    <w:rsid w:val="002C3B80"/>
    <w:rsid w:val="002C3DDE"/>
    <w:rsid w:val="002C572C"/>
    <w:rsid w:val="002C76DF"/>
    <w:rsid w:val="002D5CF1"/>
    <w:rsid w:val="002D7832"/>
    <w:rsid w:val="002E02EC"/>
    <w:rsid w:val="002E6AFE"/>
    <w:rsid w:val="002F10C4"/>
    <w:rsid w:val="002F1529"/>
    <w:rsid w:val="002F22F3"/>
    <w:rsid w:val="002F2345"/>
    <w:rsid w:val="002F51B5"/>
    <w:rsid w:val="00302219"/>
    <w:rsid w:val="00304DCB"/>
    <w:rsid w:val="0030537C"/>
    <w:rsid w:val="00305398"/>
    <w:rsid w:val="003219D5"/>
    <w:rsid w:val="00333BA8"/>
    <w:rsid w:val="00336659"/>
    <w:rsid w:val="00343523"/>
    <w:rsid w:val="00343D0D"/>
    <w:rsid w:val="003623F7"/>
    <w:rsid w:val="0036475D"/>
    <w:rsid w:val="00366016"/>
    <w:rsid w:val="003758F1"/>
    <w:rsid w:val="00376DE7"/>
    <w:rsid w:val="00377FD2"/>
    <w:rsid w:val="0038157B"/>
    <w:rsid w:val="00387B10"/>
    <w:rsid w:val="00391C88"/>
    <w:rsid w:val="00394C88"/>
    <w:rsid w:val="003A39BC"/>
    <w:rsid w:val="003A53B0"/>
    <w:rsid w:val="003B043B"/>
    <w:rsid w:val="003B6304"/>
    <w:rsid w:val="003B7CC2"/>
    <w:rsid w:val="003D3429"/>
    <w:rsid w:val="003E350E"/>
    <w:rsid w:val="003E469F"/>
    <w:rsid w:val="003E62CB"/>
    <w:rsid w:val="003E721F"/>
    <w:rsid w:val="0041034A"/>
    <w:rsid w:val="004260BF"/>
    <w:rsid w:val="004263F9"/>
    <w:rsid w:val="004277B9"/>
    <w:rsid w:val="00432474"/>
    <w:rsid w:val="00437870"/>
    <w:rsid w:val="00446DD9"/>
    <w:rsid w:val="00452110"/>
    <w:rsid w:val="004544DA"/>
    <w:rsid w:val="00454C55"/>
    <w:rsid w:val="00470D89"/>
    <w:rsid w:val="0047219D"/>
    <w:rsid w:val="0047406C"/>
    <w:rsid w:val="00490A25"/>
    <w:rsid w:val="004948D8"/>
    <w:rsid w:val="00495470"/>
    <w:rsid w:val="00496C81"/>
    <w:rsid w:val="004A03B7"/>
    <w:rsid w:val="004A495A"/>
    <w:rsid w:val="004B589D"/>
    <w:rsid w:val="004B767D"/>
    <w:rsid w:val="004C0841"/>
    <w:rsid w:val="004C110E"/>
    <w:rsid w:val="004C4D3C"/>
    <w:rsid w:val="004D2EB0"/>
    <w:rsid w:val="004D7196"/>
    <w:rsid w:val="004E6798"/>
    <w:rsid w:val="004E7068"/>
    <w:rsid w:val="004E7104"/>
    <w:rsid w:val="004F4515"/>
    <w:rsid w:val="004F5023"/>
    <w:rsid w:val="004F6969"/>
    <w:rsid w:val="0050151B"/>
    <w:rsid w:val="0050185B"/>
    <w:rsid w:val="00501E0F"/>
    <w:rsid w:val="005078E4"/>
    <w:rsid w:val="00514940"/>
    <w:rsid w:val="005241EE"/>
    <w:rsid w:val="00524C83"/>
    <w:rsid w:val="0053290C"/>
    <w:rsid w:val="00533746"/>
    <w:rsid w:val="005442FF"/>
    <w:rsid w:val="00545CD6"/>
    <w:rsid w:val="005472F1"/>
    <w:rsid w:val="0055241D"/>
    <w:rsid w:val="00556620"/>
    <w:rsid w:val="0056158A"/>
    <w:rsid w:val="0056224B"/>
    <w:rsid w:val="00562646"/>
    <w:rsid w:val="00575193"/>
    <w:rsid w:val="00576230"/>
    <w:rsid w:val="00577ABC"/>
    <w:rsid w:val="00582A08"/>
    <w:rsid w:val="005A1442"/>
    <w:rsid w:val="005A1F20"/>
    <w:rsid w:val="005A686E"/>
    <w:rsid w:val="005A7635"/>
    <w:rsid w:val="005C5B11"/>
    <w:rsid w:val="005C69FA"/>
    <w:rsid w:val="005C7CD2"/>
    <w:rsid w:val="005D13DD"/>
    <w:rsid w:val="005E134C"/>
    <w:rsid w:val="005E7FD4"/>
    <w:rsid w:val="005F395A"/>
    <w:rsid w:val="005F48B2"/>
    <w:rsid w:val="005F7DAB"/>
    <w:rsid w:val="00602EC0"/>
    <w:rsid w:val="00604DED"/>
    <w:rsid w:val="0060756C"/>
    <w:rsid w:val="00621BF4"/>
    <w:rsid w:val="00626ECF"/>
    <w:rsid w:val="00632C9E"/>
    <w:rsid w:val="006428F4"/>
    <w:rsid w:val="00646CD3"/>
    <w:rsid w:val="00650488"/>
    <w:rsid w:val="00650E64"/>
    <w:rsid w:val="00652E5B"/>
    <w:rsid w:val="00656F7C"/>
    <w:rsid w:val="0066556D"/>
    <w:rsid w:val="006655C3"/>
    <w:rsid w:val="00665E11"/>
    <w:rsid w:val="006678C2"/>
    <w:rsid w:val="00671475"/>
    <w:rsid w:val="00671DEB"/>
    <w:rsid w:val="00672C4A"/>
    <w:rsid w:val="00673269"/>
    <w:rsid w:val="00674F4F"/>
    <w:rsid w:val="006772DD"/>
    <w:rsid w:val="006829C1"/>
    <w:rsid w:val="0068417D"/>
    <w:rsid w:val="006848D6"/>
    <w:rsid w:val="006943A2"/>
    <w:rsid w:val="006A1A25"/>
    <w:rsid w:val="006B4EA1"/>
    <w:rsid w:val="006C3CEA"/>
    <w:rsid w:val="006C624C"/>
    <w:rsid w:val="006C76B1"/>
    <w:rsid w:val="006D0952"/>
    <w:rsid w:val="006E01DB"/>
    <w:rsid w:val="006E1EC2"/>
    <w:rsid w:val="006E313F"/>
    <w:rsid w:val="006F46EB"/>
    <w:rsid w:val="006F4D20"/>
    <w:rsid w:val="00706543"/>
    <w:rsid w:val="00712FFB"/>
    <w:rsid w:val="00715BD0"/>
    <w:rsid w:val="007170ED"/>
    <w:rsid w:val="00725048"/>
    <w:rsid w:val="00725493"/>
    <w:rsid w:val="00726CEB"/>
    <w:rsid w:val="007272CC"/>
    <w:rsid w:val="007324F8"/>
    <w:rsid w:val="007327C9"/>
    <w:rsid w:val="00737E47"/>
    <w:rsid w:val="0074198B"/>
    <w:rsid w:val="007437E6"/>
    <w:rsid w:val="00746E52"/>
    <w:rsid w:val="007477C6"/>
    <w:rsid w:val="007636BD"/>
    <w:rsid w:val="00763B7A"/>
    <w:rsid w:val="0076719C"/>
    <w:rsid w:val="00771580"/>
    <w:rsid w:val="00792726"/>
    <w:rsid w:val="007A0A2A"/>
    <w:rsid w:val="007A1E7F"/>
    <w:rsid w:val="007A22EA"/>
    <w:rsid w:val="007A2A51"/>
    <w:rsid w:val="007B04A5"/>
    <w:rsid w:val="007B202B"/>
    <w:rsid w:val="007C19A7"/>
    <w:rsid w:val="007C329E"/>
    <w:rsid w:val="007D2DAF"/>
    <w:rsid w:val="007E41E5"/>
    <w:rsid w:val="007E46F1"/>
    <w:rsid w:val="007E66C6"/>
    <w:rsid w:val="007E7168"/>
    <w:rsid w:val="008022A8"/>
    <w:rsid w:val="0080328F"/>
    <w:rsid w:val="00810A76"/>
    <w:rsid w:val="00821436"/>
    <w:rsid w:val="00822B8A"/>
    <w:rsid w:val="0082382D"/>
    <w:rsid w:val="008259A0"/>
    <w:rsid w:val="008370FF"/>
    <w:rsid w:val="008454E9"/>
    <w:rsid w:val="00854170"/>
    <w:rsid w:val="0085586B"/>
    <w:rsid w:val="00855F1B"/>
    <w:rsid w:val="00857848"/>
    <w:rsid w:val="00857AD8"/>
    <w:rsid w:val="008605C0"/>
    <w:rsid w:val="00866B92"/>
    <w:rsid w:val="008704B7"/>
    <w:rsid w:val="008747C3"/>
    <w:rsid w:val="00876845"/>
    <w:rsid w:val="008778EF"/>
    <w:rsid w:val="008905D6"/>
    <w:rsid w:val="00895D99"/>
    <w:rsid w:val="008962DC"/>
    <w:rsid w:val="00896B04"/>
    <w:rsid w:val="008971EC"/>
    <w:rsid w:val="008974D8"/>
    <w:rsid w:val="008A3070"/>
    <w:rsid w:val="008A5108"/>
    <w:rsid w:val="008A591C"/>
    <w:rsid w:val="008B5544"/>
    <w:rsid w:val="008D17A9"/>
    <w:rsid w:val="008D2116"/>
    <w:rsid w:val="008D2BC8"/>
    <w:rsid w:val="008D725A"/>
    <w:rsid w:val="008E7AD6"/>
    <w:rsid w:val="008F529F"/>
    <w:rsid w:val="00914210"/>
    <w:rsid w:val="00915452"/>
    <w:rsid w:val="0092164B"/>
    <w:rsid w:val="00922C3E"/>
    <w:rsid w:val="00931297"/>
    <w:rsid w:val="009318C2"/>
    <w:rsid w:val="00931B87"/>
    <w:rsid w:val="009404AD"/>
    <w:rsid w:val="009415D9"/>
    <w:rsid w:val="00947CCD"/>
    <w:rsid w:val="0095414B"/>
    <w:rsid w:val="009565BF"/>
    <w:rsid w:val="00964169"/>
    <w:rsid w:val="00975A49"/>
    <w:rsid w:val="00976D84"/>
    <w:rsid w:val="00987B3B"/>
    <w:rsid w:val="009907AD"/>
    <w:rsid w:val="0099310A"/>
    <w:rsid w:val="009A2106"/>
    <w:rsid w:val="009A6A84"/>
    <w:rsid w:val="009B35A6"/>
    <w:rsid w:val="009D11AB"/>
    <w:rsid w:val="009D5FAF"/>
    <w:rsid w:val="009E7017"/>
    <w:rsid w:val="009F032F"/>
    <w:rsid w:val="00A02268"/>
    <w:rsid w:val="00A07AB5"/>
    <w:rsid w:val="00A111A1"/>
    <w:rsid w:val="00A12AE9"/>
    <w:rsid w:val="00A16168"/>
    <w:rsid w:val="00A2009B"/>
    <w:rsid w:val="00A22AD9"/>
    <w:rsid w:val="00A2688D"/>
    <w:rsid w:val="00A33527"/>
    <w:rsid w:val="00A37C0C"/>
    <w:rsid w:val="00A46328"/>
    <w:rsid w:val="00A54395"/>
    <w:rsid w:val="00A568AC"/>
    <w:rsid w:val="00A57156"/>
    <w:rsid w:val="00A66E6E"/>
    <w:rsid w:val="00A802DD"/>
    <w:rsid w:val="00A8710B"/>
    <w:rsid w:val="00A95F10"/>
    <w:rsid w:val="00AA2A09"/>
    <w:rsid w:val="00AA35AB"/>
    <w:rsid w:val="00AB1CD0"/>
    <w:rsid w:val="00AB33C3"/>
    <w:rsid w:val="00AC0D3F"/>
    <w:rsid w:val="00AD00BB"/>
    <w:rsid w:val="00AE0313"/>
    <w:rsid w:val="00B04011"/>
    <w:rsid w:val="00B12501"/>
    <w:rsid w:val="00B14429"/>
    <w:rsid w:val="00B21C1A"/>
    <w:rsid w:val="00B2475F"/>
    <w:rsid w:val="00B25C9B"/>
    <w:rsid w:val="00B300E9"/>
    <w:rsid w:val="00B32651"/>
    <w:rsid w:val="00B351D6"/>
    <w:rsid w:val="00B40526"/>
    <w:rsid w:val="00B45FD8"/>
    <w:rsid w:val="00B50514"/>
    <w:rsid w:val="00B826E2"/>
    <w:rsid w:val="00B85E9A"/>
    <w:rsid w:val="00B910A3"/>
    <w:rsid w:val="00B95233"/>
    <w:rsid w:val="00B96A9E"/>
    <w:rsid w:val="00BA2A3A"/>
    <w:rsid w:val="00BA4095"/>
    <w:rsid w:val="00BA4BCA"/>
    <w:rsid w:val="00BA4EB8"/>
    <w:rsid w:val="00BB1A42"/>
    <w:rsid w:val="00BB64F2"/>
    <w:rsid w:val="00BC0F7D"/>
    <w:rsid w:val="00BC2F23"/>
    <w:rsid w:val="00BC43D9"/>
    <w:rsid w:val="00BC55AF"/>
    <w:rsid w:val="00BC722B"/>
    <w:rsid w:val="00BD18FF"/>
    <w:rsid w:val="00BD7CE0"/>
    <w:rsid w:val="00BE08B6"/>
    <w:rsid w:val="00BE61CE"/>
    <w:rsid w:val="00BF28E2"/>
    <w:rsid w:val="00BF5BF7"/>
    <w:rsid w:val="00BF67A7"/>
    <w:rsid w:val="00C00485"/>
    <w:rsid w:val="00C05704"/>
    <w:rsid w:val="00C224A9"/>
    <w:rsid w:val="00C240F2"/>
    <w:rsid w:val="00C276E6"/>
    <w:rsid w:val="00C503F7"/>
    <w:rsid w:val="00C519D3"/>
    <w:rsid w:val="00C52BC9"/>
    <w:rsid w:val="00C61BE3"/>
    <w:rsid w:val="00C64061"/>
    <w:rsid w:val="00C74835"/>
    <w:rsid w:val="00C76BCE"/>
    <w:rsid w:val="00C8121C"/>
    <w:rsid w:val="00C82150"/>
    <w:rsid w:val="00C846AA"/>
    <w:rsid w:val="00C85E4F"/>
    <w:rsid w:val="00CA5BE0"/>
    <w:rsid w:val="00CA7870"/>
    <w:rsid w:val="00CA7AE4"/>
    <w:rsid w:val="00CB0CC5"/>
    <w:rsid w:val="00CC4427"/>
    <w:rsid w:val="00CC5D7F"/>
    <w:rsid w:val="00CD2179"/>
    <w:rsid w:val="00CE08EF"/>
    <w:rsid w:val="00CE13EF"/>
    <w:rsid w:val="00CE3032"/>
    <w:rsid w:val="00CE42E3"/>
    <w:rsid w:val="00CF181A"/>
    <w:rsid w:val="00CF1FA8"/>
    <w:rsid w:val="00CF5F10"/>
    <w:rsid w:val="00D05BFA"/>
    <w:rsid w:val="00D06152"/>
    <w:rsid w:val="00D13047"/>
    <w:rsid w:val="00D15050"/>
    <w:rsid w:val="00D15CCE"/>
    <w:rsid w:val="00D20E5C"/>
    <w:rsid w:val="00D27227"/>
    <w:rsid w:val="00D332E9"/>
    <w:rsid w:val="00D34B75"/>
    <w:rsid w:val="00D36B9F"/>
    <w:rsid w:val="00D43603"/>
    <w:rsid w:val="00D6484A"/>
    <w:rsid w:val="00D70C14"/>
    <w:rsid w:val="00D74E1D"/>
    <w:rsid w:val="00D82FEB"/>
    <w:rsid w:val="00D83753"/>
    <w:rsid w:val="00D84595"/>
    <w:rsid w:val="00D92485"/>
    <w:rsid w:val="00D92CD1"/>
    <w:rsid w:val="00DA218C"/>
    <w:rsid w:val="00DA2D4F"/>
    <w:rsid w:val="00DA4D7B"/>
    <w:rsid w:val="00DA5032"/>
    <w:rsid w:val="00DB041E"/>
    <w:rsid w:val="00DB1CE2"/>
    <w:rsid w:val="00DB3DBF"/>
    <w:rsid w:val="00DB4D57"/>
    <w:rsid w:val="00DB63A8"/>
    <w:rsid w:val="00DB6C7E"/>
    <w:rsid w:val="00DC1346"/>
    <w:rsid w:val="00DC26B0"/>
    <w:rsid w:val="00DC2FD3"/>
    <w:rsid w:val="00DD035E"/>
    <w:rsid w:val="00DD03DC"/>
    <w:rsid w:val="00DD1A0E"/>
    <w:rsid w:val="00DD480F"/>
    <w:rsid w:val="00DD4EE4"/>
    <w:rsid w:val="00DF0F30"/>
    <w:rsid w:val="00DF1CE6"/>
    <w:rsid w:val="00DF2BE9"/>
    <w:rsid w:val="00DF3ABA"/>
    <w:rsid w:val="00E04EAD"/>
    <w:rsid w:val="00E068C2"/>
    <w:rsid w:val="00E06E7D"/>
    <w:rsid w:val="00E06F9A"/>
    <w:rsid w:val="00E10CB4"/>
    <w:rsid w:val="00E157FF"/>
    <w:rsid w:val="00E20D65"/>
    <w:rsid w:val="00E25B90"/>
    <w:rsid w:val="00E2643F"/>
    <w:rsid w:val="00E320DA"/>
    <w:rsid w:val="00E34013"/>
    <w:rsid w:val="00E35FD0"/>
    <w:rsid w:val="00E37A14"/>
    <w:rsid w:val="00E40FF3"/>
    <w:rsid w:val="00E42E5A"/>
    <w:rsid w:val="00E43276"/>
    <w:rsid w:val="00E51B7E"/>
    <w:rsid w:val="00E61AE9"/>
    <w:rsid w:val="00E645D5"/>
    <w:rsid w:val="00E67EDC"/>
    <w:rsid w:val="00E75421"/>
    <w:rsid w:val="00E8166D"/>
    <w:rsid w:val="00E86F7B"/>
    <w:rsid w:val="00E913C9"/>
    <w:rsid w:val="00E93FB0"/>
    <w:rsid w:val="00E946D5"/>
    <w:rsid w:val="00EA03A0"/>
    <w:rsid w:val="00EA0A06"/>
    <w:rsid w:val="00EA1A46"/>
    <w:rsid w:val="00EA55B3"/>
    <w:rsid w:val="00EA58F4"/>
    <w:rsid w:val="00EB1C88"/>
    <w:rsid w:val="00EB5517"/>
    <w:rsid w:val="00EC0737"/>
    <w:rsid w:val="00EE5C1F"/>
    <w:rsid w:val="00EE6EF6"/>
    <w:rsid w:val="00EF0612"/>
    <w:rsid w:val="00EF0B3D"/>
    <w:rsid w:val="00EF5858"/>
    <w:rsid w:val="00F03895"/>
    <w:rsid w:val="00F046DF"/>
    <w:rsid w:val="00F0751F"/>
    <w:rsid w:val="00F146E7"/>
    <w:rsid w:val="00F15543"/>
    <w:rsid w:val="00F17004"/>
    <w:rsid w:val="00F1744F"/>
    <w:rsid w:val="00F178E2"/>
    <w:rsid w:val="00F17E74"/>
    <w:rsid w:val="00F226A9"/>
    <w:rsid w:val="00F30C6B"/>
    <w:rsid w:val="00F33456"/>
    <w:rsid w:val="00F33704"/>
    <w:rsid w:val="00F34196"/>
    <w:rsid w:val="00F36332"/>
    <w:rsid w:val="00F41D5A"/>
    <w:rsid w:val="00F426E4"/>
    <w:rsid w:val="00F45AE0"/>
    <w:rsid w:val="00F46E76"/>
    <w:rsid w:val="00F47064"/>
    <w:rsid w:val="00F5139D"/>
    <w:rsid w:val="00F52D42"/>
    <w:rsid w:val="00F611D6"/>
    <w:rsid w:val="00F615EE"/>
    <w:rsid w:val="00F6508B"/>
    <w:rsid w:val="00F84235"/>
    <w:rsid w:val="00F87AC4"/>
    <w:rsid w:val="00F952FA"/>
    <w:rsid w:val="00F95F9E"/>
    <w:rsid w:val="00FA09F0"/>
    <w:rsid w:val="00FA56C0"/>
    <w:rsid w:val="00FB6C78"/>
    <w:rsid w:val="00FC04CD"/>
    <w:rsid w:val="00FC2DDB"/>
    <w:rsid w:val="00FC5636"/>
    <w:rsid w:val="00FC7C8A"/>
    <w:rsid w:val="00FD0685"/>
    <w:rsid w:val="00FD32FF"/>
    <w:rsid w:val="00FE165F"/>
    <w:rsid w:val="00FE1C22"/>
    <w:rsid w:val="00FE3A47"/>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15FFA288"/>
  <w15:docId w15:val="{CEDC66E6-907C-48DD-B604-BCE24BA49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841"/>
    <w:pPr>
      <w:spacing w:after="160" w:line="259" w:lineRule="auto"/>
    </w:pPr>
  </w:style>
  <w:style w:type="paragraph" w:styleId="Ttulo5">
    <w:name w:val="heading 5"/>
    <w:basedOn w:val="Normal"/>
    <w:next w:val="Normal"/>
    <w:link w:val="Ttulo5Car"/>
    <w:uiPriority w:val="9"/>
    <w:qFormat/>
    <w:rsid w:val="00C224A9"/>
    <w:pPr>
      <w:keepNext/>
      <w:widowControl w:val="0"/>
      <w:spacing w:after="0" w:line="240" w:lineRule="auto"/>
      <w:jc w:val="center"/>
      <w:outlineLvl w:val="4"/>
    </w:pPr>
    <w:rPr>
      <w:rFonts w:ascii="Times New Roman" w:eastAsia="Times New Roman" w:hAnsi="Times New Roman" w:cs="Times New Roman"/>
      <w:b/>
      <w:i/>
      <w:snapToGrid w:val="0"/>
      <w:szCs w:val="24"/>
      <w:lang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iPriority w:val="99"/>
    <w:unhideWhenUsed/>
    <w:rsid w:val="005A1442"/>
    <w:pPr>
      <w:tabs>
        <w:tab w:val="center" w:pos="4419"/>
        <w:tab w:val="right" w:pos="8838"/>
      </w:tabs>
    </w:pPr>
  </w:style>
  <w:style w:type="character" w:customStyle="1" w:styleId="PiedepginaCar">
    <w:name w:val="Pie de página Car"/>
    <w:basedOn w:val="Fuentedeprrafopredeter"/>
    <w:link w:val="Piedepgina"/>
    <w:uiPriority w:val="99"/>
    <w:rsid w:val="005A1442"/>
  </w:style>
  <w:style w:type="paragraph" w:styleId="Textodeglobo">
    <w:name w:val="Balloon Text"/>
    <w:basedOn w:val="Normal"/>
    <w:link w:val="TextodegloboCar"/>
    <w:uiPriority w:val="99"/>
    <w:semiHidden/>
    <w:unhideWhenUsed/>
    <w:rsid w:val="005A1442"/>
    <w:rPr>
      <w:rFonts w:ascii="Tahoma" w:hAnsi="Tahoma" w:cs="Tahoma"/>
      <w:sz w:val="16"/>
      <w:szCs w:val="16"/>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character" w:styleId="Textodelmarcadordeposicin">
    <w:name w:val="Placeholder Text"/>
    <w:basedOn w:val="Fuentedeprrafopredeter"/>
    <w:uiPriority w:val="99"/>
    <w:semiHidden/>
    <w:rsid w:val="00A02268"/>
    <w:rPr>
      <w:color w:val="808080"/>
    </w:rPr>
  </w:style>
  <w:style w:type="paragraph" w:customStyle="1" w:styleId="Default">
    <w:name w:val="Default"/>
    <w:rsid w:val="00CE08EF"/>
    <w:pPr>
      <w:autoSpaceDE w:val="0"/>
      <w:autoSpaceDN w:val="0"/>
      <w:adjustRightInd w:val="0"/>
      <w:spacing w:after="0" w:line="240" w:lineRule="auto"/>
    </w:pPr>
    <w:rPr>
      <w:rFonts w:ascii="Times New Roman" w:hAnsi="Times New Roman" w:cs="Times New Roman"/>
      <w:color w:val="000000"/>
      <w:sz w:val="24"/>
      <w:szCs w:val="24"/>
    </w:rPr>
  </w:style>
  <w:style w:type="character" w:styleId="Refdecomentario">
    <w:name w:val="annotation reference"/>
    <w:basedOn w:val="Fuentedeprrafopredeter"/>
    <w:uiPriority w:val="99"/>
    <w:semiHidden/>
    <w:unhideWhenUsed/>
    <w:rsid w:val="00CE08EF"/>
    <w:rPr>
      <w:sz w:val="16"/>
      <w:szCs w:val="16"/>
    </w:rPr>
  </w:style>
  <w:style w:type="paragraph" w:styleId="Textocomentario">
    <w:name w:val="annotation text"/>
    <w:basedOn w:val="Normal"/>
    <w:link w:val="TextocomentarioCar"/>
    <w:uiPriority w:val="99"/>
    <w:unhideWhenUsed/>
    <w:rsid w:val="00CE08EF"/>
    <w:rPr>
      <w:sz w:val="20"/>
      <w:szCs w:val="20"/>
    </w:rPr>
  </w:style>
  <w:style w:type="character" w:customStyle="1" w:styleId="TextocomentarioCar">
    <w:name w:val="Texto comentario Car"/>
    <w:basedOn w:val="Fuentedeprrafopredeter"/>
    <w:link w:val="Textocomentario"/>
    <w:uiPriority w:val="99"/>
    <w:rsid w:val="00CE08EF"/>
    <w:rPr>
      <w:rFonts w:ascii="Times New Roman" w:eastAsia="Times New Roman" w:hAnsi="Times New Roman" w:cs="Times New Roman"/>
      <w:sz w:val="20"/>
      <w:szCs w:val="20"/>
      <w:lang w:val="es-ES" w:eastAsia="es-ES"/>
    </w:rPr>
  </w:style>
  <w:style w:type="paragraph" w:styleId="Prrafodelista">
    <w:name w:val="List Paragraph"/>
    <w:aliases w:val="Informe,Con viñetas,Normal con viñetas,3,Use Case List Paragraph,Bullet 1,titulo 3,figuras y gráficos,Viñetas,Bulletr List Paragraph,List Paragraph 1,Numbered List Paragraph,Main numbered paragraph,Bullets,List Paragraph (numbered (a))"/>
    <w:basedOn w:val="Normal"/>
    <w:link w:val="PrrafodelistaCar"/>
    <w:uiPriority w:val="34"/>
    <w:qFormat/>
    <w:rsid w:val="000E2718"/>
    <w:pPr>
      <w:ind w:left="720"/>
      <w:contextualSpacing/>
    </w:pPr>
  </w:style>
  <w:style w:type="character" w:customStyle="1" w:styleId="PrrafodelistaCar">
    <w:name w:val="Párrafo de lista Car"/>
    <w:aliases w:val="Informe Car,Con viñetas Car,Normal con viñetas Car,3 Car,Use Case List Paragraph Car,Bullet 1 Car,titulo 3 Car,figuras y gráficos Car,Viñetas Car,Bulletr List Paragraph Car,List Paragraph 1 Car,Numbered List Paragraph Car"/>
    <w:basedOn w:val="Fuentedeprrafopredeter"/>
    <w:link w:val="Prrafodelista"/>
    <w:uiPriority w:val="34"/>
    <w:qFormat/>
    <w:locked/>
    <w:rsid w:val="000E2718"/>
    <w:rPr>
      <w:rFonts w:ascii="Times New Roman" w:eastAsia="Times New Roman" w:hAnsi="Times New Roman" w:cs="Times New Roman"/>
      <w:sz w:val="24"/>
      <w:szCs w:val="24"/>
      <w:lang w:val="es-ES" w:eastAsia="es-ES"/>
    </w:rPr>
  </w:style>
  <w:style w:type="paragraph" w:styleId="Asuntodelcomentario">
    <w:name w:val="annotation subject"/>
    <w:basedOn w:val="Textocomentario"/>
    <w:next w:val="Textocomentario"/>
    <w:link w:val="AsuntodelcomentarioCar"/>
    <w:uiPriority w:val="99"/>
    <w:semiHidden/>
    <w:unhideWhenUsed/>
    <w:rsid w:val="0060756C"/>
    <w:rPr>
      <w:b/>
      <w:bCs/>
    </w:rPr>
  </w:style>
  <w:style w:type="character" w:customStyle="1" w:styleId="AsuntodelcomentarioCar">
    <w:name w:val="Asunto del comentario Car"/>
    <w:basedOn w:val="TextocomentarioCar"/>
    <w:link w:val="Asuntodelcomentario"/>
    <w:uiPriority w:val="99"/>
    <w:semiHidden/>
    <w:rsid w:val="0060756C"/>
    <w:rPr>
      <w:rFonts w:ascii="Times New Roman" w:eastAsia="Times New Roman" w:hAnsi="Times New Roman" w:cs="Times New Roman"/>
      <w:b/>
      <w:bCs/>
      <w:sz w:val="20"/>
      <w:szCs w:val="20"/>
      <w:lang w:val="es-ES" w:eastAsia="es-ES"/>
    </w:rPr>
  </w:style>
  <w:style w:type="character" w:styleId="Mencinsinresolver">
    <w:name w:val="Unresolved Mention"/>
    <w:basedOn w:val="Fuentedeprrafopredeter"/>
    <w:uiPriority w:val="99"/>
    <w:semiHidden/>
    <w:unhideWhenUsed/>
    <w:rsid w:val="000D635B"/>
    <w:rPr>
      <w:color w:val="605E5C"/>
      <w:shd w:val="clear" w:color="auto" w:fill="E1DFDD"/>
    </w:rPr>
  </w:style>
  <w:style w:type="table" w:styleId="Tablaconcuadrcula">
    <w:name w:val="Table Grid"/>
    <w:basedOn w:val="Tablanormal"/>
    <w:uiPriority w:val="39"/>
    <w:rsid w:val="004C0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nhideWhenUsed/>
    <w:rsid w:val="005A7635"/>
    <w:pPr>
      <w:spacing w:after="120" w:line="276" w:lineRule="auto"/>
    </w:pPr>
    <w:rPr>
      <w:rFonts w:eastAsiaTheme="minorEastAsia"/>
      <w:lang w:eastAsia="es-CR"/>
    </w:rPr>
  </w:style>
  <w:style w:type="character" w:customStyle="1" w:styleId="TextoindependienteCar">
    <w:name w:val="Texto independiente Car"/>
    <w:basedOn w:val="Fuentedeprrafopredeter"/>
    <w:link w:val="Textoindependiente"/>
    <w:rsid w:val="005A7635"/>
    <w:rPr>
      <w:rFonts w:eastAsiaTheme="minorEastAsia"/>
      <w:lang w:eastAsia="es-CR"/>
    </w:rPr>
  </w:style>
  <w:style w:type="character" w:customStyle="1" w:styleId="Ttulo5Car">
    <w:name w:val="Título 5 Car"/>
    <w:basedOn w:val="Fuentedeprrafopredeter"/>
    <w:link w:val="Ttulo5"/>
    <w:uiPriority w:val="9"/>
    <w:rsid w:val="00C224A9"/>
    <w:rPr>
      <w:rFonts w:ascii="Times New Roman" w:eastAsia="Times New Roman" w:hAnsi="Times New Roman" w:cs="Times New Roman"/>
      <w:b/>
      <w:i/>
      <w:snapToGrid w:val="0"/>
      <w:szCs w:val="24"/>
      <w:lang w:eastAsia="es-CR"/>
    </w:rPr>
  </w:style>
  <w:style w:type="paragraph" w:styleId="Textonotapie">
    <w:name w:val="footnote text"/>
    <w:basedOn w:val="Normal"/>
    <w:link w:val="TextonotapieCar"/>
    <w:uiPriority w:val="99"/>
    <w:semiHidden/>
    <w:unhideWhenUsed/>
    <w:rsid w:val="004544D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544DA"/>
    <w:rPr>
      <w:sz w:val="20"/>
      <w:szCs w:val="20"/>
    </w:rPr>
  </w:style>
  <w:style w:type="character" w:styleId="Refdenotaalpie">
    <w:name w:val="footnote reference"/>
    <w:basedOn w:val="Fuentedeprrafopredeter"/>
    <w:uiPriority w:val="99"/>
    <w:semiHidden/>
    <w:unhideWhenUsed/>
    <w:rsid w:val="004544DA"/>
    <w:rPr>
      <w:vertAlign w:val="superscript"/>
    </w:rPr>
  </w:style>
  <w:style w:type="table" w:customStyle="1" w:styleId="Tablaconcuadrcula1">
    <w:name w:val="Tabla con cuadrícula1"/>
    <w:basedOn w:val="Tablanormal"/>
    <w:next w:val="Tablaconcuadrcula"/>
    <w:uiPriority w:val="39"/>
    <w:rsid w:val="00D05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package" Target="embeddings/Microsoft_Excel_Worksheet2.xlsx"/><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settings" Target="settings.xml"/><Relationship Id="rId12" Type="http://schemas.openxmlformats.org/officeDocument/2006/relationships/hyperlink" Target="mailto:sugese@sugese.fi.cr" TargetMode="External"/><Relationship Id="rId17" Type="http://schemas.openxmlformats.org/officeDocument/2006/relationships/package" Target="embeddings/Microsoft_Excel_Worksheet.xlsx"/><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package" Target="embeddings/Microsoft_Excel_Worksheet3.xls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gese@sugese.fi.cr"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package" Target="embeddings/Microsoft_Word_Document1.docx"/><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_Document.docx"/><Relationship Id="rId22" Type="http://schemas.openxmlformats.org/officeDocument/2006/relationships/package" Target="embeddings/Microsoft_Excel_Worksheet4.xlsx"/><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Externa/Plantilla-SG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6A0FEF-5C27-4350-9557-C5E9C5C3EBF9}">
  <ds:schemaRefs>
    <ds:schemaRef ds:uri="http://schemas.openxmlformats.org/officeDocument/2006/bibliography"/>
  </ds:schemaRefs>
</ds:datastoreItem>
</file>

<file path=customXml/itemProps2.xml><?xml version="1.0" encoding="utf-8"?>
<ds:datastoreItem xmlns:ds="http://schemas.openxmlformats.org/officeDocument/2006/customXml" ds:itemID="{12EDAC77-8D8F-4D49-8CA5-75DD851F201D}">
  <ds:schemaRefs>
    <ds:schemaRef ds:uri="http://schemas.microsoft.com/sharepoint/v3/contenttype/forms"/>
  </ds:schemaRefs>
</ds:datastoreItem>
</file>

<file path=customXml/itemProps3.xml><?xml version="1.0" encoding="utf-8"?>
<ds:datastoreItem xmlns:ds="http://schemas.openxmlformats.org/officeDocument/2006/customXml" ds:itemID="{1C780EBA-2FEE-485A-AC1E-E7A0BDAF3FBE}">
  <ds:schemaRefs>
    <ds:schemaRef ds:uri="23c06918-25d6-4b26-baeb-7b8536dba18e"/>
    <ds:schemaRef ds:uri="http://purl.org/dc/terms/"/>
    <ds:schemaRef ds:uri="4f4ead7c-4846-46a9-b3e4-66d3d6970886"/>
    <ds:schemaRef ds:uri="http://purl.org/dc/elements/1.1/"/>
    <ds:schemaRef ds:uri="http://purl.org/dc/dcmityp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D68F2ABC-F37E-4967-9802-E53F0BE18D80}"/>
</file>

<file path=docProps/app.xml><?xml version="1.0" encoding="utf-8"?>
<Properties xmlns="http://schemas.openxmlformats.org/officeDocument/2006/extended-properties" xmlns:vt="http://schemas.openxmlformats.org/officeDocument/2006/docPropsVTypes">
  <Template>Plantilla-SGS</Template>
  <TotalTime>116</TotalTime>
  <Pages>12</Pages>
  <Words>3773</Words>
  <Characters>20756</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Superintendencia General de Seguros</Company>
  <LinksUpToDate>false</LinksUpToDate>
  <CharactersWithSpaces>24481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Observaciones Consulta Externa Modificación Acuerdo SGS-A-021-2013, para normar la remisión de Informes de la Instancia de Atención del Consumidor y Corrección de Error Material en fórmula del RCS5</dc:title>
  <dc:creator>SOLANO VALLEJOS RAQUEL</dc:creator>
  <cp:lastModifiedBy>GONZALEZ HAUG CELIA MARIA</cp:lastModifiedBy>
  <cp:revision>53</cp:revision>
  <dcterms:created xsi:type="dcterms:W3CDTF">2025-05-06T15:47:00Z</dcterms:created>
  <dcterms:modified xsi:type="dcterms:W3CDTF">2025-05-25T04:37:00Z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_dlc_policyId">
    <vt:lpwstr>0x010100E97154E09FCE6A4E8EAEBD5C54DD1AE4|-1695030217</vt:lpwstr>
  </property>
  <property fmtid="{D5CDD505-2E9C-101B-9397-08002B2CF9AE}" pid="4" name="ItemRetentionFormula">
    <vt:lpwstr>&lt;formula id="Microsoft.Office.RecordsManagement.PolicyFeatures.Expiration.Formula.BuiltIn"&gt;&lt;number&gt;14&lt;/number&gt;&lt;property&gt;FechaEnvio&lt;/property&gt;&lt;propertyId&gt;a851f67a-48e1-46a4-b6e7-ff517d02f96d&lt;/propertyId&gt;&lt;period&gt;days&lt;/period&gt;&lt;/formula&gt;</vt:lpwstr>
  </property>
  <property fmtid="{D5CDD505-2E9C-101B-9397-08002B2CF9AE}" pid="5" name="Integridad">
    <vt:lpwstr>128;#Alta|0fd17ec2-e5d0-4d9f-8e18-466324d0fdd4</vt:lpwstr>
  </property>
  <property fmtid="{D5CDD505-2E9C-101B-9397-08002B2CF9AE}" pid="6" name="Tipo Documental">
    <vt:lpwstr>126;#Oficio|417b7e3a-1426-4267-afb3-20be5f4d6412</vt:lpwstr>
  </property>
  <property fmtid="{D5CDD505-2E9C-101B-9397-08002B2CF9AE}" pid="7" name="Dirigido a (entidad externa)">
    <vt:lpwstr/>
  </property>
  <property fmtid="{D5CDD505-2E9C-101B-9397-08002B2CF9AE}" pid="8" name="Unidad de Destino">
    <vt:lpwstr/>
  </property>
  <property fmtid="{D5CDD505-2E9C-101B-9397-08002B2CF9AE}" pid="9" name="Disponibilidad">
    <vt:lpwstr>161;#Alta|7fca731c-4c62-4f1c-9061-e9f164c964b2</vt:lpwstr>
  </property>
  <property fmtid="{D5CDD505-2E9C-101B-9397-08002B2CF9AE}" pid="10" name="Confidencialidad1">
    <vt:lpwstr/>
  </property>
  <property fmtid="{D5CDD505-2E9C-101B-9397-08002B2CF9AE}" pid="11" name="Unidad Remitente">
    <vt:lpwstr>61;#SUGESE - Despacho|7a836cc5-ad21-4e03-b7a9-a703e5580e2d</vt:lpwstr>
  </property>
  <property fmtid="{D5CDD505-2E9C-101B-9397-08002B2CF9AE}" pid="12" name="lb0b7da792b243d9bfa96ad7487ad734">
    <vt:lpwstr/>
  </property>
  <property fmtid="{D5CDD505-2E9C-101B-9397-08002B2CF9AE}" pid="13" name="ConfidencialidadNueva">
    <vt:lpwstr>163;#Uso Interno|b84ab4da-351c-48b8-b2fd-466e6594f406</vt:lpwstr>
  </property>
  <property fmtid="{D5CDD505-2E9C-101B-9397-08002B2CF9AE}" pid="14" name="MSIP_Label_50b1e2a3-2ca2-4c5c-8b81-a752261f9962_Enabled">
    <vt:lpwstr>true</vt:lpwstr>
  </property>
  <property fmtid="{D5CDD505-2E9C-101B-9397-08002B2CF9AE}" pid="15" name="MSIP_Label_50b1e2a3-2ca2-4c5c-8b81-a752261f9962_SetDate">
    <vt:lpwstr>2024-02-07T19:22:41Z</vt:lpwstr>
  </property>
  <property fmtid="{D5CDD505-2E9C-101B-9397-08002B2CF9AE}" pid="16" name="MSIP_Label_50b1e2a3-2ca2-4c5c-8b81-a752261f9962_Method">
    <vt:lpwstr>Privileged</vt:lpwstr>
  </property>
  <property fmtid="{D5CDD505-2E9C-101B-9397-08002B2CF9AE}" pid="17" name="MSIP_Label_50b1e2a3-2ca2-4c5c-8b81-a752261f9962_Name">
    <vt:lpwstr>50b1e2a3-2ca2-4c5c-8b81-a752261f9962</vt:lpwstr>
  </property>
  <property fmtid="{D5CDD505-2E9C-101B-9397-08002B2CF9AE}" pid="18" name="MSIP_Label_50b1e2a3-2ca2-4c5c-8b81-a752261f9962_SiteId">
    <vt:lpwstr>618d0a45-25a6-4618-9f80-8f70a435ee52</vt:lpwstr>
  </property>
  <property fmtid="{D5CDD505-2E9C-101B-9397-08002B2CF9AE}" pid="19" name="MSIP_Label_50b1e2a3-2ca2-4c5c-8b81-a752261f9962_ActionId">
    <vt:lpwstr>c91ac01c-8bff-45de-bf5d-b5f56f789312</vt:lpwstr>
  </property>
  <property fmtid="{D5CDD505-2E9C-101B-9397-08002B2CF9AE}" pid="20" name="MSIP_Label_50b1e2a3-2ca2-4c5c-8b81-a752261f9962_ContentBits">
    <vt:lpwstr>2</vt:lpwstr>
  </property>
  <property fmtid="{D5CDD505-2E9C-101B-9397-08002B2CF9AE}" pid="21" name="MSIP_Label_b8b4be34-365a-4a68-b9fb-75c1b6874315_Enabled">
    <vt:lpwstr>true</vt:lpwstr>
  </property>
  <property fmtid="{D5CDD505-2E9C-101B-9397-08002B2CF9AE}" pid="22" name="MSIP_Label_b8b4be34-365a-4a68-b9fb-75c1b6874315_ActionId">
    <vt:lpwstr>972422f3-591a-4753-ae39-0000d60bd543</vt:lpwstr>
  </property>
  <property fmtid="{D5CDD505-2E9C-101B-9397-08002B2CF9AE}" pid="23" name="MSIP_Label_b8b4be34-365a-4a68-b9fb-75c1b6874315_SetDate">
    <vt:lpwstr>2023-12-06T20:12:15Z</vt:lpwstr>
  </property>
  <property fmtid="{D5CDD505-2E9C-101B-9397-08002B2CF9AE}" pid="24" name="MSIP_Label_b8b4be34-365a-4a68-b9fb-75c1b6874315_Method">
    <vt:lpwstr>Standard</vt:lpwstr>
  </property>
  <property fmtid="{D5CDD505-2E9C-101B-9397-08002B2CF9AE}" pid="25" name="MSIP_Label_b8b4be34-365a-4a68-b9fb-75c1b6874315_SiteId">
    <vt:lpwstr>618d0a45-25a6-4618-9f80-8f70a435ee52</vt:lpwstr>
  </property>
  <property fmtid="{D5CDD505-2E9C-101B-9397-08002B2CF9AE}" pid="26" name="MSIP_Label_b8b4be34-365a-4a68-b9fb-75c1b6874315_Name">
    <vt:lpwstr>b8b4be34-365a-4a68-b9fb-75c1b6874315</vt:lpwstr>
  </property>
  <property fmtid="{D5CDD505-2E9C-101B-9397-08002B2CF9AE}" pid="27" name="MSIP_Label_b8b4be34-365a-4a68-b9fb-75c1b6874315_ContentBits">
    <vt:lpwstr>2</vt:lpwstr>
  </property>
  <property fmtid="{D5CDD505-2E9C-101B-9397-08002B2CF9AE}" pid="28" name="Order">
    <vt:r8>469000</vt:r8>
  </property>
  <property fmtid="{D5CDD505-2E9C-101B-9397-08002B2CF9AE}" pid="29" name="xd_Signature">
    <vt:bool>false</vt:bool>
  </property>
  <property fmtid="{D5CDD505-2E9C-101B-9397-08002B2CF9AE}" pid="30" name="xd_ProgID">
    <vt:lpwstr/>
  </property>
  <property fmtid="{D5CDD505-2E9C-101B-9397-08002B2CF9AE}" pid="31" name="DocumentSetDescription">
    <vt:lpwstr/>
  </property>
  <property fmtid="{D5CDD505-2E9C-101B-9397-08002B2CF9AE}" pid="32" name="_SourceUrl">
    <vt:lpwstr/>
  </property>
  <property fmtid="{D5CDD505-2E9C-101B-9397-08002B2CF9AE}" pid="33" name="_SharedFileIndex">
    <vt:lpwstr/>
  </property>
  <property fmtid="{D5CDD505-2E9C-101B-9397-08002B2CF9AE}" pid="34" name="ComplianceAssetId">
    <vt:lpwstr/>
  </property>
  <property fmtid="{D5CDD505-2E9C-101B-9397-08002B2CF9AE}" pid="35" name="TemplateUrl">
    <vt:lpwstr/>
  </property>
  <property fmtid="{D5CDD505-2E9C-101B-9397-08002B2CF9AE}" pid="36" name="_ExtendedDescription">
    <vt:lpwstr/>
  </property>
  <property fmtid="{D5CDD505-2E9C-101B-9397-08002B2CF9AE}" pid="37" name="TriggerFlowInfo">
    <vt:lpwstr/>
  </property>
</Properties>
</file>