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145D3" w14:textId="77777777" w:rsidR="00C966DF" w:rsidRPr="00C966DF" w:rsidRDefault="00C966DF" w:rsidP="00C966DF">
      <w:pPr>
        <w:contextualSpacing/>
        <w:jc w:val="center"/>
        <w:rPr>
          <w:rFonts w:ascii="Cambria" w:hAnsi="Cambria" w:cs="Arial"/>
          <w:b/>
        </w:rPr>
      </w:pPr>
      <w:r w:rsidRPr="00C966DF">
        <w:rPr>
          <w:rFonts w:ascii="Cambria" w:hAnsi="Cambria" w:cs="Arial"/>
          <w:b/>
        </w:rPr>
        <w:t xml:space="preserve">MATRIZ DE OBSERVACIONES </w:t>
      </w:r>
      <w:r w:rsidRPr="00C966DF">
        <w:rPr>
          <w:rStyle w:val="Refdenotaalpie"/>
          <w:rFonts w:ascii="Cambria" w:eastAsiaTheme="majorEastAsia" w:hAnsi="Cambria" w:cs="Arial"/>
          <w:b/>
        </w:rPr>
        <w:footnoteReference w:id="1"/>
      </w:r>
    </w:p>
    <w:p w14:paraId="15509D33" w14:textId="77777777" w:rsidR="00C966DF" w:rsidRPr="00C966DF" w:rsidRDefault="00C966DF" w:rsidP="00C966DF">
      <w:pPr>
        <w:contextualSpacing/>
        <w:jc w:val="center"/>
        <w:rPr>
          <w:rFonts w:ascii="Cambria" w:hAnsi="Cambria" w:cs="Arial"/>
          <w:b/>
        </w:rPr>
      </w:pPr>
      <w:r w:rsidRPr="00C966DF">
        <w:rPr>
          <w:rFonts w:ascii="Cambria" w:hAnsi="Cambria" w:cs="Arial"/>
          <w:b/>
        </w:rPr>
        <w:t>PROPUESTA DE ACUERDO DE SUPERINTENDENTE</w:t>
      </w:r>
    </w:p>
    <w:p w14:paraId="296A24AB" w14:textId="65F7BFBC" w:rsidR="0054318C" w:rsidRPr="00C966DF" w:rsidRDefault="0054318C" w:rsidP="0054318C">
      <w:pPr>
        <w:contextualSpacing/>
        <w:jc w:val="center"/>
        <w:rPr>
          <w:rFonts w:ascii="Cambria" w:hAnsi="Cambria"/>
          <w:b/>
          <w:bCs/>
          <w:sz w:val="20"/>
          <w:szCs w:val="20"/>
        </w:rPr>
      </w:pPr>
      <w:r w:rsidRPr="00C966DF">
        <w:rPr>
          <w:rFonts w:ascii="Cambria" w:hAnsi="Cambria"/>
          <w:b/>
          <w:bCs/>
          <w:sz w:val="20"/>
          <w:szCs w:val="20"/>
        </w:rPr>
        <w:t>MODIFICACIONES AL ACUERDO SGS-A-021-2013, PARA NORMAR LA REMISIÓN DE</w:t>
      </w:r>
      <w:r w:rsidR="0004345D">
        <w:rPr>
          <w:rFonts w:ascii="Cambria" w:hAnsi="Cambria"/>
          <w:b/>
          <w:bCs/>
          <w:sz w:val="20"/>
          <w:szCs w:val="20"/>
        </w:rPr>
        <w:t>L MODELO DE SINIESTRALIDAD DEL SEGURO OBLIGATORIO</w:t>
      </w:r>
      <w:r w:rsidR="00DD583C">
        <w:rPr>
          <w:rFonts w:ascii="Cambria" w:hAnsi="Cambria"/>
          <w:b/>
          <w:bCs/>
          <w:sz w:val="20"/>
          <w:szCs w:val="20"/>
        </w:rPr>
        <w:t xml:space="preserve"> </w:t>
      </w:r>
      <w:r w:rsidR="00814ED5">
        <w:rPr>
          <w:rFonts w:ascii="Cambria" w:hAnsi="Cambria"/>
          <w:b/>
          <w:bCs/>
          <w:sz w:val="20"/>
          <w:szCs w:val="20"/>
        </w:rPr>
        <w:t>PARA</w:t>
      </w:r>
      <w:r w:rsidR="00DD583C">
        <w:rPr>
          <w:rFonts w:ascii="Cambria" w:hAnsi="Cambria"/>
          <w:b/>
          <w:bCs/>
          <w:sz w:val="20"/>
          <w:szCs w:val="20"/>
        </w:rPr>
        <w:t xml:space="preserve"> VEHÍCULO</w:t>
      </w:r>
      <w:r w:rsidR="00814ED5">
        <w:rPr>
          <w:rFonts w:ascii="Cambria" w:hAnsi="Cambria"/>
          <w:b/>
          <w:bCs/>
          <w:sz w:val="20"/>
          <w:szCs w:val="20"/>
        </w:rPr>
        <w:t>S</w:t>
      </w:r>
      <w:r w:rsidR="00DD583C">
        <w:rPr>
          <w:rFonts w:ascii="Cambria" w:hAnsi="Cambria"/>
          <w:b/>
          <w:bCs/>
          <w:sz w:val="20"/>
          <w:szCs w:val="20"/>
        </w:rPr>
        <w:t xml:space="preserve"> AUTOMOTOR</w:t>
      </w:r>
      <w:r w:rsidR="00814ED5">
        <w:rPr>
          <w:rFonts w:ascii="Cambria" w:hAnsi="Cambria"/>
          <w:b/>
          <w:bCs/>
          <w:sz w:val="20"/>
          <w:szCs w:val="20"/>
        </w:rPr>
        <w:t>ES</w:t>
      </w:r>
      <w:r w:rsidR="00DD583C">
        <w:rPr>
          <w:rFonts w:ascii="Cambria" w:hAnsi="Cambria"/>
          <w:b/>
          <w:bCs/>
          <w:sz w:val="20"/>
          <w:szCs w:val="20"/>
        </w:rPr>
        <w:t xml:space="preserve"> (SOA)</w:t>
      </w:r>
      <w:r w:rsidRPr="00C966DF">
        <w:rPr>
          <w:rFonts w:ascii="Cambria" w:hAnsi="Cambria"/>
          <w:b/>
          <w:bCs/>
          <w:sz w:val="20"/>
          <w:szCs w:val="20"/>
        </w:rPr>
        <w:t xml:space="preserve"> </w:t>
      </w:r>
      <w:r w:rsidR="00DD583C">
        <w:rPr>
          <w:rFonts w:ascii="Cambria" w:hAnsi="Cambria"/>
          <w:b/>
          <w:bCs/>
          <w:sz w:val="20"/>
          <w:szCs w:val="20"/>
        </w:rPr>
        <w:t>MEDIANTE EL SISTEMA DE SUPERVISIÓN DE SEGUROS</w:t>
      </w:r>
    </w:p>
    <w:p w14:paraId="5CF10FCA" w14:textId="6F3FF59F" w:rsidR="00C966DF" w:rsidRDefault="00C966DF" w:rsidP="00C966DF">
      <w:pPr>
        <w:contextualSpacing/>
        <w:rPr>
          <w:rFonts w:ascii="Cambria" w:hAnsi="Cambria" w:cs="Arial"/>
          <w:b/>
        </w:rPr>
      </w:pPr>
    </w:p>
    <w:p w14:paraId="03BEC981" w14:textId="77777777" w:rsidR="009C3F59" w:rsidRPr="00C966DF" w:rsidRDefault="009C3F59" w:rsidP="00C966DF">
      <w:pPr>
        <w:contextualSpacing/>
        <w:rPr>
          <w:rFonts w:ascii="Cambria" w:hAnsi="Cambria" w:cs="Arial"/>
          <w:b/>
        </w:rPr>
      </w:pPr>
    </w:p>
    <w:p w14:paraId="26F7942C" w14:textId="77777777" w:rsidR="00C966DF" w:rsidRPr="00C966DF" w:rsidRDefault="00C966DF" w:rsidP="00C966DF">
      <w:pPr>
        <w:pStyle w:val="Prrafodelista"/>
        <w:numPr>
          <w:ilvl w:val="0"/>
          <w:numId w:val="3"/>
        </w:numPr>
        <w:ind w:left="567" w:hanging="567"/>
        <w:rPr>
          <w:rFonts w:ascii="Cambria" w:hAnsi="Cambria" w:cs="Arial"/>
          <w:b/>
          <w:szCs w:val="28"/>
        </w:rPr>
      </w:pPr>
      <w:r w:rsidRPr="00C966DF">
        <w:rPr>
          <w:rFonts w:ascii="Cambria" w:hAnsi="Cambria" w:cs="Arial"/>
          <w:b/>
          <w:szCs w:val="28"/>
        </w:rPr>
        <w:t xml:space="preserve">ENTIDADES QUE ATENDIERON LA CONSULTA </w:t>
      </w:r>
    </w:p>
    <w:tbl>
      <w:tblPr>
        <w:tblStyle w:val="Tablaconcuadrcula"/>
        <w:tblW w:w="5000" w:type="pct"/>
        <w:jc w:val="center"/>
        <w:tblLook w:val="04A0" w:firstRow="1" w:lastRow="0" w:firstColumn="1" w:lastColumn="0" w:noHBand="0" w:noVBand="1"/>
      </w:tblPr>
      <w:tblGrid>
        <w:gridCol w:w="2404"/>
        <w:gridCol w:w="2552"/>
        <w:gridCol w:w="1419"/>
        <w:gridCol w:w="1417"/>
        <w:gridCol w:w="2267"/>
        <w:gridCol w:w="2937"/>
      </w:tblGrid>
      <w:tr w:rsidR="00C966DF" w:rsidRPr="00597DFB" w14:paraId="43FD6147" w14:textId="77777777" w:rsidTr="00597DFB">
        <w:trPr>
          <w:trHeight w:val="20"/>
          <w:tblHeader/>
          <w:jc w:val="center"/>
        </w:trPr>
        <w:tc>
          <w:tcPr>
            <w:tcW w:w="925" w:type="pct"/>
            <w:shd w:val="clear" w:color="auto" w:fill="4472C4" w:themeFill="accent1"/>
          </w:tcPr>
          <w:p w14:paraId="02FC2305" w14:textId="77777777" w:rsidR="00C966DF" w:rsidRPr="00597DFB" w:rsidRDefault="00C966DF" w:rsidP="008D7F6A">
            <w:pPr>
              <w:pStyle w:val="Prrafodelista"/>
              <w:ind w:left="0"/>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ENTIDAD</w:t>
            </w:r>
          </w:p>
        </w:tc>
        <w:tc>
          <w:tcPr>
            <w:tcW w:w="982" w:type="pct"/>
            <w:shd w:val="clear" w:color="auto" w:fill="4472C4" w:themeFill="accent1"/>
          </w:tcPr>
          <w:p w14:paraId="1DD831CA" w14:textId="77777777" w:rsidR="00C966DF" w:rsidRPr="00597DFB" w:rsidRDefault="00C966DF" w:rsidP="008D7F6A">
            <w:pPr>
              <w:pStyle w:val="Prrafodelista"/>
              <w:ind w:left="0"/>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REMITENTE</w:t>
            </w:r>
          </w:p>
        </w:tc>
        <w:tc>
          <w:tcPr>
            <w:tcW w:w="546" w:type="pct"/>
            <w:shd w:val="clear" w:color="auto" w:fill="4472C4" w:themeFill="accent1"/>
          </w:tcPr>
          <w:p w14:paraId="09FAC3FE" w14:textId="77777777" w:rsidR="00C966DF" w:rsidRPr="00597DFB" w:rsidRDefault="00C966DF" w:rsidP="008D7F6A">
            <w:pPr>
              <w:pStyle w:val="Prrafodelista"/>
              <w:ind w:left="0"/>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REFERENCIA DEL OFICIO</w:t>
            </w:r>
          </w:p>
        </w:tc>
        <w:tc>
          <w:tcPr>
            <w:tcW w:w="545" w:type="pct"/>
            <w:shd w:val="clear" w:color="auto" w:fill="4472C4" w:themeFill="accent1"/>
          </w:tcPr>
          <w:p w14:paraId="743D94D4" w14:textId="77777777" w:rsidR="00C966DF" w:rsidRPr="00597DFB" w:rsidRDefault="00C966DF" w:rsidP="008D7F6A">
            <w:pPr>
              <w:pStyle w:val="Prrafodelista"/>
              <w:ind w:left="0"/>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FECHA DEL OFICIO</w:t>
            </w:r>
          </w:p>
        </w:tc>
        <w:tc>
          <w:tcPr>
            <w:tcW w:w="872" w:type="pct"/>
            <w:shd w:val="clear" w:color="auto" w:fill="4472C4" w:themeFill="accent1"/>
          </w:tcPr>
          <w:p w14:paraId="798373A3" w14:textId="77777777" w:rsidR="00C966DF" w:rsidRPr="00597DFB" w:rsidRDefault="00C966DF" w:rsidP="008D7F6A">
            <w:pPr>
              <w:pStyle w:val="Prrafodelista"/>
              <w:ind w:left="0"/>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REFERENCIA DEL INGRESO A SUGESE</w:t>
            </w:r>
          </w:p>
        </w:tc>
        <w:tc>
          <w:tcPr>
            <w:tcW w:w="1130" w:type="pct"/>
            <w:shd w:val="clear" w:color="auto" w:fill="4472C4" w:themeFill="accent1"/>
          </w:tcPr>
          <w:p w14:paraId="42F82056" w14:textId="77777777" w:rsidR="00C966DF" w:rsidRPr="00597DFB" w:rsidRDefault="00C966DF" w:rsidP="008D7F6A">
            <w:pPr>
              <w:pStyle w:val="Prrafodelista"/>
              <w:ind w:left="0"/>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COMENTARIOS</w:t>
            </w:r>
          </w:p>
        </w:tc>
      </w:tr>
      <w:tr w:rsidR="00C966DF" w:rsidRPr="00597DFB" w14:paraId="70601ED2" w14:textId="77777777" w:rsidTr="00597DFB">
        <w:trPr>
          <w:trHeight w:val="20"/>
          <w:tblHeader/>
          <w:jc w:val="center"/>
        </w:trPr>
        <w:tc>
          <w:tcPr>
            <w:tcW w:w="925" w:type="pct"/>
          </w:tcPr>
          <w:p w14:paraId="6A89B90E" w14:textId="50A53360" w:rsidR="00C966DF" w:rsidRPr="00597DFB" w:rsidRDefault="00F74408" w:rsidP="008D7F6A">
            <w:pPr>
              <w:widowControl w:val="0"/>
              <w:jc w:val="both"/>
              <w:rPr>
                <w:rFonts w:asciiTheme="majorHAnsi" w:hAnsiTheme="majorHAnsi" w:cstheme="majorHAnsi"/>
                <w:spacing w:val="20"/>
                <w:sz w:val="20"/>
                <w:szCs w:val="20"/>
              </w:rPr>
            </w:pPr>
            <w:r w:rsidRPr="00597DFB">
              <w:rPr>
                <w:rFonts w:asciiTheme="majorHAnsi" w:hAnsiTheme="majorHAnsi" w:cstheme="majorHAnsi"/>
                <w:spacing w:val="20"/>
                <w:sz w:val="20"/>
                <w:szCs w:val="20"/>
              </w:rPr>
              <w:t>INSTITUTO NACIONAL DE SEGUROS</w:t>
            </w:r>
          </w:p>
        </w:tc>
        <w:tc>
          <w:tcPr>
            <w:tcW w:w="982" w:type="pct"/>
          </w:tcPr>
          <w:p w14:paraId="75FFC823" w14:textId="77777777" w:rsidR="00F74408" w:rsidRPr="00597DFB" w:rsidRDefault="00F74408" w:rsidP="00F74408">
            <w:pPr>
              <w:jc w:val="both"/>
              <w:rPr>
                <w:rFonts w:asciiTheme="majorHAnsi" w:eastAsia="Calibri" w:hAnsiTheme="majorHAnsi" w:cstheme="majorHAnsi"/>
                <w:spacing w:val="20"/>
                <w:sz w:val="20"/>
                <w:szCs w:val="20"/>
              </w:rPr>
            </w:pPr>
            <w:r w:rsidRPr="00597DFB">
              <w:rPr>
                <w:rFonts w:asciiTheme="majorHAnsi" w:eastAsia="Calibri" w:hAnsiTheme="majorHAnsi" w:cstheme="majorHAnsi"/>
                <w:spacing w:val="20"/>
                <w:sz w:val="20"/>
                <w:szCs w:val="20"/>
              </w:rPr>
              <w:t>Lic. Luis Fernando Monge Salas</w:t>
            </w:r>
          </w:p>
          <w:p w14:paraId="408D4D3D" w14:textId="70ADE963" w:rsidR="00C966DF" w:rsidRPr="00597DFB" w:rsidRDefault="00F74408" w:rsidP="00F74408">
            <w:pPr>
              <w:jc w:val="both"/>
              <w:rPr>
                <w:rFonts w:asciiTheme="majorHAnsi" w:eastAsia="Calibri" w:hAnsiTheme="majorHAnsi" w:cstheme="majorHAnsi"/>
                <w:spacing w:val="20"/>
                <w:sz w:val="20"/>
                <w:szCs w:val="20"/>
              </w:rPr>
            </w:pPr>
            <w:r w:rsidRPr="00597DFB">
              <w:rPr>
                <w:rFonts w:asciiTheme="majorHAnsi" w:eastAsia="Calibri" w:hAnsiTheme="majorHAnsi" w:cstheme="majorHAnsi"/>
                <w:spacing w:val="20"/>
                <w:sz w:val="20"/>
                <w:szCs w:val="20"/>
              </w:rPr>
              <w:t>Gerente General</w:t>
            </w:r>
          </w:p>
        </w:tc>
        <w:tc>
          <w:tcPr>
            <w:tcW w:w="546" w:type="pct"/>
          </w:tcPr>
          <w:p w14:paraId="07D9005E" w14:textId="75593132" w:rsidR="00C966DF" w:rsidRPr="00597DFB" w:rsidRDefault="00F74408" w:rsidP="008D7F6A">
            <w:pPr>
              <w:rPr>
                <w:rFonts w:asciiTheme="majorHAnsi" w:hAnsiTheme="majorHAnsi" w:cstheme="majorHAnsi"/>
                <w:sz w:val="20"/>
                <w:szCs w:val="20"/>
              </w:rPr>
            </w:pPr>
            <w:r w:rsidRPr="00597DFB">
              <w:rPr>
                <w:rFonts w:asciiTheme="majorHAnsi" w:hAnsiTheme="majorHAnsi" w:cstheme="majorHAnsi"/>
                <w:sz w:val="20"/>
                <w:szCs w:val="20"/>
              </w:rPr>
              <w:t>G-</w:t>
            </w:r>
            <w:r w:rsidR="008365FF" w:rsidRPr="00597DFB">
              <w:rPr>
                <w:rFonts w:asciiTheme="majorHAnsi" w:hAnsiTheme="majorHAnsi" w:cstheme="majorHAnsi"/>
                <w:sz w:val="20"/>
                <w:szCs w:val="20"/>
              </w:rPr>
              <w:t>02709</w:t>
            </w:r>
            <w:r w:rsidRPr="00597DFB">
              <w:rPr>
                <w:rFonts w:asciiTheme="majorHAnsi" w:hAnsiTheme="majorHAnsi" w:cstheme="majorHAnsi"/>
                <w:sz w:val="20"/>
                <w:szCs w:val="20"/>
              </w:rPr>
              <w:t>-2023</w:t>
            </w:r>
          </w:p>
        </w:tc>
        <w:tc>
          <w:tcPr>
            <w:tcW w:w="545" w:type="pct"/>
          </w:tcPr>
          <w:p w14:paraId="2AEFDC82" w14:textId="5BD3B4C5" w:rsidR="00F74408" w:rsidRPr="00597DFB" w:rsidRDefault="0088636C" w:rsidP="008D7F6A">
            <w:pPr>
              <w:pStyle w:val="Prrafodelista"/>
              <w:ind w:left="0"/>
              <w:rPr>
                <w:rFonts w:asciiTheme="majorHAnsi" w:hAnsiTheme="majorHAnsi" w:cstheme="majorHAnsi"/>
                <w:spacing w:val="20"/>
                <w:sz w:val="20"/>
                <w:szCs w:val="20"/>
              </w:rPr>
            </w:pPr>
            <w:r w:rsidRPr="00597DFB">
              <w:rPr>
                <w:rFonts w:asciiTheme="majorHAnsi" w:hAnsiTheme="majorHAnsi" w:cstheme="majorHAnsi"/>
                <w:spacing w:val="20"/>
                <w:sz w:val="20"/>
                <w:szCs w:val="20"/>
              </w:rPr>
              <w:t>14</w:t>
            </w:r>
            <w:r w:rsidR="00F74408" w:rsidRPr="00597DFB">
              <w:rPr>
                <w:rFonts w:asciiTheme="majorHAnsi" w:hAnsiTheme="majorHAnsi" w:cstheme="majorHAnsi"/>
                <w:spacing w:val="20"/>
                <w:sz w:val="20"/>
                <w:szCs w:val="20"/>
              </w:rPr>
              <w:t>/0</w:t>
            </w:r>
            <w:r w:rsidRPr="00597DFB">
              <w:rPr>
                <w:rFonts w:asciiTheme="majorHAnsi" w:hAnsiTheme="majorHAnsi" w:cstheme="majorHAnsi"/>
                <w:spacing w:val="20"/>
                <w:sz w:val="20"/>
                <w:szCs w:val="20"/>
              </w:rPr>
              <w:t>7</w:t>
            </w:r>
            <w:r w:rsidR="00F74408" w:rsidRPr="00597DFB">
              <w:rPr>
                <w:rFonts w:asciiTheme="majorHAnsi" w:hAnsiTheme="majorHAnsi" w:cstheme="majorHAnsi"/>
                <w:spacing w:val="20"/>
                <w:sz w:val="20"/>
                <w:szCs w:val="20"/>
              </w:rPr>
              <w:t>/2023</w:t>
            </w:r>
          </w:p>
        </w:tc>
        <w:tc>
          <w:tcPr>
            <w:tcW w:w="872" w:type="pct"/>
          </w:tcPr>
          <w:p w14:paraId="4EEB3035" w14:textId="4FB7BB2F" w:rsidR="00C966DF" w:rsidRPr="00597DFB" w:rsidRDefault="00F74408" w:rsidP="008D7F6A">
            <w:pPr>
              <w:rPr>
                <w:rFonts w:asciiTheme="majorHAnsi" w:hAnsiTheme="majorHAnsi" w:cstheme="majorHAnsi"/>
                <w:sz w:val="20"/>
                <w:szCs w:val="20"/>
              </w:rPr>
            </w:pPr>
            <w:r w:rsidRPr="004F25B2">
              <w:rPr>
                <w:rFonts w:asciiTheme="majorHAnsi" w:hAnsiTheme="majorHAnsi" w:cstheme="majorHAnsi"/>
                <w:b/>
                <w:bCs/>
                <w:sz w:val="20"/>
                <w:szCs w:val="20"/>
              </w:rPr>
              <w:t>SGS-ENT-</w:t>
            </w:r>
            <w:r w:rsidR="00DB6DE5" w:rsidRPr="004F25B2">
              <w:rPr>
                <w:rFonts w:asciiTheme="majorHAnsi" w:hAnsiTheme="majorHAnsi" w:cstheme="majorHAnsi"/>
                <w:b/>
                <w:bCs/>
                <w:sz w:val="20"/>
                <w:szCs w:val="20"/>
              </w:rPr>
              <w:t>1340</w:t>
            </w:r>
            <w:r w:rsidRPr="004F25B2">
              <w:rPr>
                <w:rFonts w:asciiTheme="majorHAnsi" w:hAnsiTheme="majorHAnsi" w:cstheme="majorHAnsi"/>
                <w:b/>
                <w:bCs/>
                <w:sz w:val="20"/>
                <w:szCs w:val="20"/>
              </w:rPr>
              <w:t>-2023.msg</w:t>
            </w:r>
          </w:p>
        </w:tc>
        <w:tc>
          <w:tcPr>
            <w:tcW w:w="1130" w:type="pct"/>
          </w:tcPr>
          <w:p w14:paraId="2FA537F2" w14:textId="5D76377E" w:rsidR="00C966DF" w:rsidRPr="00597DFB" w:rsidRDefault="00DB544C" w:rsidP="008D7F6A">
            <w:pPr>
              <w:pStyle w:val="Prrafodelista"/>
              <w:ind w:left="0"/>
              <w:jc w:val="both"/>
              <w:rPr>
                <w:rFonts w:asciiTheme="majorHAnsi" w:hAnsiTheme="majorHAnsi" w:cstheme="majorHAnsi"/>
                <w:spacing w:val="20"/>
                <w:sz w:val="20"/>
                <w:szCs w:val="20"/>
              </w:rPr>
            </w:pPr>
            <w:r w:rsidRPr="00597DFB">
              <w:rPr>
                <w:rFonts w:asciiTheme="majorHAnsi" w:hAnsiTheme="majorHAnsi" w:cstheme="majorHAnsi"/>
                <w:spacing w:val="20"/>
                <w:sz w:val="20"/>
                <w:szCs w:val="20"/>
              </w:rPr>
              <w:t>Las observaciones se muestran en la sección B. Observaciones específicas</w:t>
            </w:r>
          </w:p>
        </w:tc>
      </w:tr>
    </w:tbl>
    <w:p w14:paraId="51FF2E7C" w14:textId="77777777" w:rsidR="00C966DF" w:rsidRPr="00C966DF" w:rsidRDefault="00C966DF" w:rsidP="00C966DF">
      <w:pPr>
        <w:contextualSpacing/>
        <w:rPr>
          <w:rFonts w:ascii="Cambria" w:hAnsi="Cambria"/>
          <w:b/>
        </w:rPr>
      </w:pPr>
    </w:p>
    <w:p w14:paraId="45A73465" w14:textId="77777777" w:rsidR="00C966DF" w:rsidRPr="00C966DF" w:rsidRDefault="00C966DF" w:rsidP="00C966DF">
      <w:pPr>
        <w:contextualSpacing/>
        <w:rPr>
          <w:rFonts w:ascii="Cambria" w:hAnsi="Cambria"/>
          <w:b/>
        </w:rPr>
      </w:pPr>
    </w:p>
    <w:p w14:paraId="3A91EF5E" w14:textId="77777777" w:rsidR="00C966DF" w:rsidRPr="00C966DF" w:rsidRDefault="00C966DF" w:rsidP="00C966DF">
      <w:pPr>
        <w:pStyle w:val="Prrafodelista"/>
        <w:numPr>
          <w:ilvl w:val="0"/>
          <w:numId w:val="4"/>
        </w:numPr>
        <w:ind w:left="567" w:hanging="567"/>
        <w:rPr>
          <w:rFonts w:ascii="Cambria" w:hAnsi="Cambria"/>
          <w:b/>
          <w:szCs w:val="28"/>
        </w:rPr>
      </w:pPr>
      <w:r w:rsidRPr="00C966DF">
        <w:rPr>
          <w:rFonts w:ascii="Cambria" w:hAnsi="Cambria"/>
          <w:b/>
          <w:szCs w:val="28"/>
        </w:rPr>
        <w:t>OBSERVACIONES ESPECÍFICAS-PROYECTO DE ACUERDO DE SUPERINTENDENTE</w:t>
      </w:r>
    </w:p>
    <w:p w14:paraId="31B98131" w14:textId="5C8A0EF6" w:rsidR="00143030" w:rsidRDefault="00143030" w:rsidP="00143030">
      <w:pPr>
        <w:rPr>
          <w:rFonts w:ascii="Cambria" w:hAnsi="Cambria" w:cstheme="minorBidi"/>
          <w:lang w:val="es-ES" w:eastAsia="en-US"/>
        </w:rPr>
      </w:pPr>
    </w:p>
    <w:p w14:paraId="376CCC88" w14:textId="63EF5D16" w:rsidR="00C966DF" w:rsidRDefault="00C966DF" w:rsidP="00143030">
      <w:pPr>
        <w:rPr>
          <w:rFonts w:ascii="Cambria" w:hAnsi="Cambria" w:cstheme="minorBidi"/>
          <w:lang w:val="es-ES" w:eastAsia="en-US"/>
        </w:rPr>
      </w:pPr>
    </w:p>
    <w:tbl>
      <w:tblPr>
        <w:tblStyle w:val="Tablaconcuadrcula"/>
        <w:tblW w:w="5000" w:type="pct"/>
        <w:tblLayout w:type="fixed"/>
        <w:tblLook w:val="04A0" w:firstRow="1" w:lastRow="0" w:firstColumn="1" w:lastColumn="0" w:noHBand="0" w:noVBand="1"/>
      </w:tblPr>
      <w:tblGrid>
        <w:gridCol w:w="4673"/>
        <w:gridCol w:w="2259"/>
        <w:gridCol w:w="1427"/>
        <w:gridCol w:w="4637"/>
      </w:tblGrid>
      <w:tr w:rsidR="00597DFB" w:rsidRPr="00597DFB" w14:paraId="5EB603B0" w14:textId="77777777" w:rsidTr="00597DFB">
        <w:trPr>
          <w:tblHeader/>
        </w:trPr>
        <w:tc>
          <w:tcPr>
            <w:tcW w:w="1798" w:type="pct"/>
            <w:shd w:val="clear" w:color="auto" w:fill="4472C4" w:themeFill="accent1"/>
          </w:tcPr>
          <w:p w14:paraId="6C9ED3CF" w14:textId="77777777" w:rsidR="00C966DF" w:rsidRPr="00597DFB" w:rsidRDefault="00C966DF" w:rsidP="00597DFB">
            <w:pPr>
              <w:contextualSpacing/>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TEXTO PROPUESTO</w:t>
            </w:r>
          </w:p>
        </w:tc>
        <w:tc>
          <w:tcPr>
            <w:tcW w:w="869" w:type="pct"/>
            <w:shd w:val="clear" w:color="auto" w:fill="4472C4" w:themeFill="accent1"/>
          </w:tcPr>
          <w:p w14:paraId="243097B9" w14:textId="77777777" w:rsidR="00C966DF" w:rsidRPr="00597DFB" w:rsidRDefault="00C966DF" w:rsidP="00597DFB">
            <w:pPr>
              <w:contextualSpacing/>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OBSERVACIONES Y COMENTARIOS</w:t>
            </w:r>
          </w:p>
        </w:tc>
        <w:tc>
          <w:tcPr>
            <w:tcW w:w="549" w:type="pct"/>
            <w:shd w:val="clear" w:color="auto" w:fill="4472C4" w:themeFill="accent1"/>
          </w:tcPr>
          <w:p w14:paraId="773960DB" w14:textId="50BA1909" w:rsidR="00C966DF" w:rsidRPr="00597DFB" w:rsidRDefault="00C966DF" w:rsidP="00597DFB">
            <w:pPr>
              <w:contextualSpacing/>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COMENTARIO SUGESE</w:t>
            </w:r>
          </w:p>
        </w:tc>
        <w:tc>
          <w:tcPr>
            <w:tcW w:w="1784" w:type="pct"/>
            <w:shd w:val="clear" w:color="auto" w:fill="4472C4" w:themeFill="accent1"/>
          </w:tcPr>
          <w:p w14:paraId="6F45AACA" w14:textId="77777777" w:rsidR="00C966DF" w:rsidRPr="00597DFB" w:rsidRDefault="00C966DF" w:rsidP="00597DFB">
            <w:pPr>
              <w:contextualSpacing/>
              <w:jc w:val="center"/>
              <w:rPr>
                <w:rFonts w:asciiTheme="majorHAnsi" w:hAnsiTheme="majorHAnsi" w:cstheme="majorHAnsi"/>
                <w:b/>
                <w:color w:val="FFFFFF" w:themeColor="background1"/>
                <w:sz w:val="20"/>
                <w:szCs w:val="20"/>
              </w:rPr>
            </w:pPr>
            <w:r w:rsidRPr="00597DFB">
              <w:rPr>
                <w:rFonts w:asciiTheme="majorHAnsi" w:hAnsiTheme="majorHAnsi" w:cstheme="majorHAnsi"/>
                <w:b/>
                <w:color w:val="FFFFFF" w:themeColor="background1"/>
                <w:sz w:val="20"/>
                <w:szCs w:val="20"/>
              </w:rPr>
              <w:t>TEXTO DEFINITIVO</w:t>
            </w:r>
          </w:p>
        </w:tc>
      </w:tr>
      <w:tr w:rsidR="00597DFB" w:rsidRPr="00597DFB" w14:paraId="3B2A75FF" w14:textId="77777777" w:rsidTr="00597DFB">
        <w:tc>
          <w:tcPr>
            <w:tcW w:w="1798" w:type="pct"/>
          </w:tcPr>
          <w:p w14:paraId="0A05121A" w14:textId="77777777" w:rsidR="00167A43" w:rsidRPr="00597DFB" w:rsidRDefault="00167A43" w:rsidP="00597DFB">
            <w:pPr>
              <w:pStyle w:val="Textoindependiente"/>
              <w:spacing w:after="0" w:line="240" w:lineRule="auto"/>
              <w:jc w:val="center"/>
              <w:rPr>
                <w:rFonts w:asciiTheme="majorHAnsi" w:hAnsiTheme="majorHAnsi" w:cstheme="majorHAnsi"/>
                <w:b/>
                <w:sz w:val="20"/>
                <w:szCs w:val="20"/>
              </w:rPr>
            </w:pPr>
            <w:r w:rsidRPr="00597DFB">
              <w:rPr>
                <w:rFonts w:asciiTheme="majorHAnsi" w:hAnsiTheme="majorHAnsi" w:cstheme="majorHAnsi"/>
                <w:b/>
                <w:sz w:val="20"/>
                <w:szCs w:val="20"/>
              </w:rPr>
              <w:t>PROYECTO DE ACUERDO DE SUPERINTENDENTE</w:t>
            </w:r>
          </w:p>
          <w:p w14:paraId="7F942C49" w14:textId="77777777" w:rsidR="00167A43" w:rsidRPr="00597DFB" w:rsidRDefault="00167A43" w:rsidP="00597DFB">
            <w:pPr>
              <w:jc w:val="center"/>
              <w:rPr>
                <w:rFonts w:asciiTheme="majorHAnsi" w:hAnsiTheme="majorHAnsi" w:cstheme="majorHAnsi"/>
                <w:b/>
                <w:bCs/>
                <w:sz w:val="20"/>
                <w:szCs w:val="20"/>
              </w:rPr>
            </w:pPr>
          </w:p>
          <w:p w14:paraId="7273D93D" w14:textId="77777777" w:rsidR="00167A43" w:rsidRPr="00597DFB" w:rsidRDefault="00167A43" w:rsidP="00597DFB">
            <w:pPr>
              <w:jc w:val="center"/>
              <w:rPr>
                <w:rFonts w:asciiTheme="majorHAnsi" w:hAnsiTheme="majorHAnsi" w:cstheme="majorHAnsi"/>
                <w:b/>
                <w:iCs/>
                <w:sz w:val="20"/>
                <w:szCs w:val="20"/>
              </w:rPr>
            </w:pPr>
            <w:r w:rsidRPr="00597DFB">
              <w:rPr>
                <w:rFonts w:asciiTheme="majorHAnsi" w:hAnsiTheme="majorHAnsi" w:cstheme="majorHAnsi"/>
                <w:b/>
                <w:bCs/>
                <w:sz w:val="20"/>
                <w:szCs w:val="20"/>
              </w:rPr>
              <w:t>Modificación del Acuerdo de Superintendente</w:t>
            </w:r>
            <w:r w:rsidRPr="00597DFB">
              <w:rPr>
                <w:rFonts w:asciiTheme="majorHAnsi" w:hAnsiTheme="majorHAnsi" w:cstheme="majorHAnsi"/>
                <w:b/>
                <w:sz w:val="20"/>
                <w:szCs w:val="20"/>
              </w:rPr>
              <w:t xml:space="preserve"> SGS-DES-A-021-2013</w:t>
            </w:r>
            <w:r w:rsidRPr="00597DFB">
              <w:rPr>
                <w:rFonts w:asciiTheme="majorHAnsi" w:hAnsiTheme="majorHAnsi" w:cstheme="majorHAnsi"/>
                <w:b/>
                <w:i/>
                <w:sz w:val="20"/>
                <w:szCs w:val="20"/>
              </w:rPr>
              <w:t xml:space="preserve"> “</w:t>
            </w:r>
            <w:r w:rsidRPr="00597DFB">
              <w:rPr>
                <w:rFonts w:asciiTheme="majorHAnsi" w:hAnsiTheme="majorHAnsi" w:cstheme="majorHAnsi"/>
                <w:b/>
                <w:i/>
                <w:iCs/>
                <w:sz w:val="20"/>
                <w:szCs w:val="20"/>
              </w:rPr>
              <w:t>Disposiciones para la Remisión de la Información Contable y Estadística a la Superintendencia General de Seguros por parte de las Entidades Supervisadas”,</w:t>
            </w:r>
            <w:r w:rsidRPr="00597DFB">
              <w:rPr>
                <w:rFonts w:asciiTheme="majorHAnsi" w:hAnsiTheme="majorHAnsi" w:cstheme="majorHAnsi"/>
                <w:b/>
                <w:iCs/>
                <w:sz w:val="20"/>
                <w:szCs w:val="20"/>
              </w:rPr>
              <w:t xml:space="preserve"> con el propósito de remitir el modelo de Siniestralidad del Seguro Obligatorio Automotor (SOA) mediante el SSS</w:t>
            </w:r>
          </w:p>
          <w:p w14:paraId="6161E894" w14:textId="77777777" w:rsidR="00167A43" w:rsidRPr="00597DFB" w:rsidRDefault="00167A43" w:rsidP="00597DFB">
            <w:pPr>
              <w:jc w:val="center"/>
              <w:rPr>
                <w:rFonts w:asciiTheme="majorHAnsi" w:hAnsiTheme="majorHAnsi" w:cstheme="majorHAnsi"/>
                <w:b/>
                <w:sz w:val="20"/>
                <w:szCs w:val="20"/>
              </w:rPr>
            </w:pPr>
          </w:p>
          <w:p w14:paraId="04245381" w14:textId="77777777" w:rsidR="00167A43" w:rsidRPr="00597DFB" w:rsidRDefault="00167A43" w:rsidP="00597DFB">
            <w:pPr>
              <w:jc w:val="both"/>
              <w:rPr>
                <w:rFonts w:asciiTheme="majorHAnsi" w:hAnsiTheme="majorHAnsi" w:cstheme="majorHAnsi"/>
                <w:color w:val="000000"/>
                <w:sz w:val="20"/>
                <w:szCs w:val="20"/>
              </w:rPr>
            </w:pPr>
          </w:p>
          <w:p w14:paraId="00A43842" w14:textId="77777777" w:rsidR="00167A43" w:rsidRPr="00597DFB" w:rsidRDefault="00167A43" w:rsidP="00597DFB">
            <w:pPr>
              <w:jc w:val="both"/>
              <w:rPr>
                <w:rFonts w:asciiTheme="majorHAnsi" w:hAnsiTheme="majorHAnsi" w:cstheme="majorHAnsi"/>
                <w:sz w:val="20"/>
                <w:szCs w:val="20"/>
              </w:rPr>
            </w:pPr>
            <w:r w:rsidRPr="00597DFB">
              <w:rPr>
                <w:rFonts w:asciiTheme="majorHAnsi" w:hAnsiTheme="majorHAnsi" w:cstheme="majorHAnsi"/>
                <w:sz w:val="20"/>
                <w:szCs w:val="20"/>
              </w:rPr>
              <w:t xml:space="preserve">El Superintendente General de Seguros, a </w:t>
            </w:r>
            <w:r w:rsidRPr="00597DFB">
              <w:rPr>
                <w:rFonts w:asciiTheme="majorHAnsi" w:hAnsiTheme="majorHAnsi" w:cstheme="majorHAnsi"/>
                <w:sz w:val="20"/>
                <w:szCs w:val="20"/>
                <w:shd w:val="clear" w:color="auto" w:fill="FFFFFF" w:themeFill="background1"/>
              </w:rPr>
              <w:t>las XX horas del XX de XX de dos mil veintit</w:t>
            </w:r>
            <w:r w:rsidRPr="00597DFB">
              <w:rPr>
                <w:rFonts w:asciiTheme="majorHAnsi" w:hAnsiTheme="majorHAnsi" w:cstheme="majorHAnsi"/>
                <w:sz w:val="20"/>
                <w:szCs w:val="20"/>
              </w:rPr>
              <w:t>rés.</w:t>
            </w:r>
          </w:p>
          <w:p w14:paraId="370EFEE3" w14:textId="77777777" w:rsidR="00167A43" w:rsidRPr="00597DFB" w:rsidRDefault="00167A43" w:rsidP="00597DFB">
            <w:pPr>
              <w:jc w:val="both"/>
              <w:rPr>
                <w:rFonts w:asciiTheme="majorHAnsi" w:hAnsiTheme="majorHAnsi" w:cstheme="majorHAnsi"/>
                <w:b/>
                <w:sz w:val="20"/>
                <w:szCs w:val="20"/>
              </w:rPr>
            </w:pPr>
          </w:p>
          <w:p w14:paraId="55552C2C" w14:textId="77777777" w:rsidR="00167A43" w:rsidRPr="00597DFB" w:rsidRDefault="00167A43" w:rsidP="00597DFB">
            <w:pPr>
              <w:jc w:val="both"/>
              <w:rPr>
                <w:rFonts w:asciiTheme="majorHAnsi" w:hAnsiTheme="majorHAnsi" w:cstheme="majorHAnsi"/>
                <w:b/>
                <w:sz w:val="20"/>
                <w:szCs w:val="20"/>
              </w:rPr>
            </w:pPr>
          </w:p>
          <w:p w14:paraId="3F8C73E5" w14:textId="77777777" w:rsidR="00167A43" w:rsidRPr="00597DFB" w:rsidRDefault="00167A43" w:rsidP="00597DFB">
            <w:pPr>
              <w:jc w:val="center"/>
              <w:rPr>
                <w:rFonts w:asciiTheme="majorHAnsi" w:hAnsiTheme="majorHAnsi" w:cstheme="majorHAnsi"/>
                <w:b/>
                <w:sz w:val="20"/>
                <w:szCs w:val="20"/>
              </w:rPr>
            </w:pPr>
            <w:r w:rsidRPr="00597DFB">
              <w:rPr>
                <w:rFonts w:asciiTheme="majorHAnsi" w:hAnsiTheme="majorHAnsi" w:cstheme="majorHAnsi"/>
                <w:b/>
                <w:sz w:val="20"/>
                <w:szCs w:val="20"/>
              </w:rPr>
              <w:t>Considerando que:</w:t>
            </w:r>
          </w:p>
          <w:p w14:paraId="7110B0E0" w14:textId="6E579665" w:rsidR="00167A43" w:rsidRPr="00597DFB" w:rsidRDefault="00167A43" w:rsidP="00597DFB">
            <w:pPr>
              <w:jc w:val="both"/>
              <w:rPr>
                <w:rFonts w:asciiTheme="majorHAnsi" w:hAnsiTheme="majorHAnsi" w:cstheme="majorHAnsi"/>
                <w:b/>
                <w:bCs/>
                <w:iCs/>
                <w:sz w:val="20"/>
                <w:szCs w:val="20"/>
              </w:rPr>
            </w:pPr>
          </w:p>
        </w:tc>
        <w:tc>
          <w:tcPr>
            <w:tcW w:w="869" w:type="pct"/>
            <w:shd w:val="clear" w:color="auto" w:fill="FFFFFF" w:themeFill="background1"/>
          </w:tcPr>
          <w:p w14:paraId="0526F7E2" w14:textId="2B7A0AF5" w:rsidR="00167A43" w:rsidRPr="00597DFB" w:rsidRDefault="00167A43" w:rsidP="00597DFB">
            <w:pPr>
              <w:pStyle w:val="Textoindependiente"/>
              <w:numPr>
                <w:ilvl w:val="0"/>
                <w:numId w:val="15"/>
              </w:numPr>
              <w:spacing w:after="0" w:line="240" w:lineRule="auto"/>
              <w:rPr>
                <w:rFonts w:asciiTheme="majorHAnsi" w:hAnsiTheme="majorHAnsi" w:cstheme="majorHAnsi"/>
                <w:b/>
                <w:sz w:val="20"/>
                <w:szCs w:val="20"/>
              </w:rPr>
            </w:pPr>
            <w:r w:rsidRPr="00597DFB">
              <w:rPr>
                <w:rFonts w:asciiTheme="majorHAnsi" w:hAnsiTheme="majorHAnsi" w:cstheme="majorHAnsi"/>
                <w:b/>
                <w:sz w:val="20"/>
                <w:szCs w:val="20"/>
              </w:rPr>
              <w:lastRenderedPageBreak/>
              <w:t xml:space="preserve">INS. </w:t>
            </w:r>
            <w:r w:rsidRPr="00597DFB">
              <w:rPr>
                <w:rFonts w:asciiTheme="majorHAnsi" w:hAnsiTheme="majorHAnsi" w:cstheme="majorHAnsi"/>
                <w:bCs/>
                <w:sz w:val="20"/>
                <w:szCs w:val="20"/>
              </w:rPr>
              <w:t>Ajuste en el nombre del seguro.</w:t>
            </w:r>
          </w:p>
          <w:p w14:paraId="7D27BFB4" w14:textId="77777777" w:rsidR="00167A43" w:rsidRPr="00597DFB" w:rsidRDefault="00167A43" w:rsidP="00597DFB">
            <w:pPr>
              <w:pStyle w:val="Textoindependiente"/>
              <w:spacing w:after="0" w:line="240" w:lineRule="auto"/>
              <w:jc w:val="center"/>
              <w:rPr>
                <w:rFonts w:asciiTheme="majorHAnsi" w:hAnsiTheme="majorHAnsi" w:cstheme="majorHAnsi"/>
                <w:b/>
                <w:sz w:val="20"/>
                <w:szCs w:val="20"/>
              </w:rPr>
            </w:pPr>
          </w:p>
          <w:p w14:paraId="548CB68A" w14:textId="43004A1B" w:rsidR="00167A43" w:rsidRPr="00597DFB" w:rsidRDefault="00167A43" w:rsidP="00597DFB">
            <w:pPr>
              <w:pStyle w:val="Textoindependiente"/>
              <w:spacing w:after="0" w:line="240" w:lineRule="auto"/>
              <w:jc w:val="center"/>
              <w:rPr>
                <w:rFonts w:asciiTheme="majorHAnsi" w:hAnsiTheme="majorHAnsi" w:cstheme="majorHAnsi"/>
                <w:b/>
                <w:sz w:val="20"/>
                <w:szCs w:val="20"/>
              </w:rPr>
            </w:pPr>
            <w:r w:rsidRPr="00597DFB">
              <w:rPr>
                <w:rFonts w:asciiTheme="majorHAnsi" w:hAnsiTheme="majorHAnsi" w:cstheme="majorHAnsi"/>
                <w:b/>
                <w:sz w:val="20"/>
                <w:szCs w:val="20"/>
              </w:rPr>
              <w:t>PROYECTO DE ACUERDO DE SUPERINTENDENTE</w:t>
            </w:r>
          </w:p>
          <w:p w14:paraId="3543B5A2" w14:textId="77777777" w:rsidR="00167A43" w:rsidRPr="00597DFB" w:rsidRDefault="00167A43" w:rsidP="00597DFB">
            <w:pPr>
              <w:jc w:val="center"/>
              <w:rPr>
                <w:rFonts w:asciiTheme="majorHAnsi" w:hAnsiTheme="majorHAnsi" w:cstheme="majorHAnsi"/>
                <w:b/>
                <w:bCs/>
                <w:sz w:val="20"/>
                <w:szCs w:val="20"/>
              </w:rPr>
            </w:pPr>
          </w:p>
          <w:p w14:paraId="019BD81B" w14:textId="77777777" w:rsidR="00167A43" w:rsidRPr="00597DFB" w:rsidRDefault="00167A43" w:rsidP="00597DFB">
            <w:pPr>
              <w:jc w:val="center"/>
              <w:rPr>
                <w:rFonts w:asciiTheme="majorHAnsi" w:hAnsiTheme="majorHAnsi" w:cstheme="majorHAnsi"/>
                <w:b/>
                <w:iCs/>
                <w:sz w:val="20"/>
                <w:szCs w:val="20"/>
              </w:rPr>
            </w:pPr>
            <w:r w:rsidRPr="00597DFB">
              <w:rPr>
                <w:rFonts w:asciiTheme="majorHAnsi" w:hAnsiTheme="majorHAnsi" w:cstheme="majorHAnsi"/>
                <w:b/>
                <w:bCs/>
                <w:sz w:val="20"/>
                <w:szCs w:val="20"/>
              </w:rPr>
              <w:t>Modificación del Acuerdo de Superintendente</w:t>
            </w:r>
            <w:r w:rsidRPr="00597DFB">
              <w:rPr>
                <w:rFonts w:asciiTheme="majorHAnsi" w:hAnsiTheme="majorHAnsi" w:cstheme="majorHAnsi"/>
                <w:b/>
                <w:sz w:val="20"/>
                <w:szCs w:val="20"/>
              </w:rPr>
              <w:t xml:space="preserve"> SGS-DES-A-021-2013</w:t>
            </w:r>
            <w:r w:rsidRPr="00597DFB">
              <w:rPr>
                <w:rFonts w:asciiTheme="majorHAnsi" w:hAnsiTheme="majorHAnsi" w:cstheme="majorHAnsi"/>
                <w:b/>
                <w:i/>
                <w:sz w:val="20"/>
                <w:szCs w:val="20"/>
              </w:rPr>
              <w:t xml:space="preserve"> “</w:t>
            </w:r>
            <w:r w:rsidRPr="00597DFB">
              <w:rPr>
                <w:rFonts w:asciiTheme="majorHAnsi" w:hAnsiTheme="majorHAnsi" w:cstheme="majorHAnsi"/>
                <w:b/>
                <w:i/>
                <w:iCs/>
                <w:sz w:val="20"/>
                <w:szCs w:val="20"/>
              </w:rPr>
              <w:t xml:space="preserve">Disposiciones para la Remisión de la Información Contable y Estadística a la </w:t>
            </w:r>
            <w:r w:rsidRPr="00597DFB">
              <w:rPr>
                <w:rFonts w:asciiTheme="majorHAnsi" w:hAnsiTheme="majorHAnsi" w:cstheme="majorHAnsi"/>
                <w:b/>
                <w:i/>
                <w:iCs/>
                <w:sz w:val="20"/>
                <w:szCs w:val="20"/>
              </w:rPr>
              <w:lastRenderedPageBreak/>
              <w:t>Superintendencia General de Seguros por parte de las Entidades Supervisadas”,</w:t>
            </w:r>
            <w:r w:rsidRPr="00597DFB">
              <w:rPr>
                <w:rFonts w:asciiTheme="majorHAnsi" w:hAnsiTheme="majorHAnsi" w:cstheme="majorHAnsi"/>
                <w:b/>
                <w:iCs/>
                <w:sz w:val="20"/>
                <w:szCs w:val="20"/>
              </w:rPr>
              <w:t xml:space="preserve"> con el propósito de remitir el modelo de Siniestralidad  del Seguro Obligatorio </w:t>
            </w:r>
            <w:r w:rsidRPr="00597DFB">
              <w:rPr>
                <w:rFonts w:asciiTheme="majorHAnsi" w:hAnsiTheme="majorHAnsi" w:cstheme="majorHAnsi"/>
                <w:b/>
                <w:iCs/>
                <w:color w:val="0070C0"/>
                <w:sz w:val="20"/>
                <w:szCs w:val="20"/>
              </w:rPr>
              <w:t xml:space="preserve">para Vehículos Automotores </w:t>
            </w:r>
            <w:r w:rsidRPr="00597DFB">
              <w:rPr>
                <w:rFonts w:asciiTheme="majorHAnsi" w:hAnsiTheme="majorHAnsi" w:cstheme="majorHAnsi"/>
                <w:b/>
                <w:iCs/>
                <w:sz w:val="20"/>
                <w:szCs w:val="20"/>
              </w:rPr>
              <w:t>(SOA) mediante el SSS</w:t>
            </w:r>
          </w:p>
          <w:p w14:paraId="52BE2587" w14:textId="77777777" w:rsidR="00167A43" w:rsidRPr="00597DFB" w:rsidRDefault="00167A43" w:rsidP="00597DFB">
            <w:pPr>
              <w:jc w:val="center"/>
              <w:rPr>
                <w:rFonts w:asciiTheme="majorHAnsi" w:hAnsiTheme="majorHAnsi" w:cstheme="majorHAnsi"/>
                <w:b/>
                <w:sz w:val="20"/>
                <w:szCs w:val="20"/>
              </w:rPr>
            </w:pPr>
          </w:p>
          <w:p w14:paraId="63B27BD7" w14:textId="77777777" w:rsidR="00167A43" w:rsidRPr="00597DFB" w:rsidRDefault="00167A43" w:rsidP="00597DFB">
            <w:pPr>
              <w:jc w:val="both"/>
              <w:rPr>
                <w:rFonts w:asciiTheme="majorHAnsi" w:hAnsiTheme="majorHAnsi" w:cstheme="majorHAnsi"/>
                <w:color w:val="000000"/>
                <w:sz w:val="20"/>
                <w:szCs w:val="20"/>
              </w:rPr>
            </w:pPr>
          </w:p>
          <w:p w14:paraId="5145DD91" w14:textId="77777777" w:rsidR="00167A43" w:rsidRPr="00597DFB" w:rsidRDefault="00167A43" w:rsidP="00597DFB">
            <w:pPr>
              <w:jc w:val="both"/>
              <w:rPr>
                <w:rFonts w:asciiTheme="majorHAnsi" w:hAnsiTheme="majorHAnsi" w:cstheme="majorHAnsi"/>
                <w:sz w:val="20"/>
                <w:szCs w:val="20"/>
              </w:rPr>
            </w:pPr>
            <w:r w:rsidRPr="00597DFB">
              <w:rPr>
                <w:rFonts w:asciiTheme="majorHAnsi" w:hAnsiTheme="majorHAnsi" w:cstheme="majorHAnsi"/>
                <w:sz w:val="20"/>
                <w:szCs w:val="20"/>
              </w:rPr>
              <w:t xml:space="preserve">El Superintendente General de Seguros, a </w:t>
            </w:r>
            <w:r w:rsidRPr="00597DFB">
              <w:rPr>
                <w:rFonts w:asciiTheme="majorHAnsi" w:hAnsiTheme="majorHAnsi" w:cstheme="majorHAnsi"/>
                <w:sz w:val="20"/>
                <w:szCs w:val="20"/>
                <w:shd w:val="clear" w:color="auto" w:fill="FFFFFF" w:themeFill="background1"/>
              </w:rPr>
              <w:t>las XX horas del XX de XX de dos mil veintit</w:t>
            </w:r>
            <w:r w:rsidRPr="00597DFB">
              <w:rPr>
                <w:rFonts w:asciiTheme="majorHAnsi" w:hAnsiTheme="majorHAnsi" w:cstheme="majorHAnsi"/>
                <w:sz w:val="20"/>
                <w:szCs w:val="20"/>
              </w:rPr>
              <w:t>rés.</w:t>
            </w:r>
          </w:p>
          <w:p w14:paraId="0051E430" w14:textId="77777777" w:rsidR="00167A43" w:rsidRPr="00597DFB" w:rsidRDefault="00167A43" w:rsidP="00597DFB">
            <w:pPr>
              <w:jc w:val="both"/>
              <w:rPr>
                <w:rFonts w:asciiTheme="majorHAnsi" w:hAnsiTheme="majorHAnsi" w:cstheme="majorHAnsi"/>
                <w:b/>
                <w:sz w:val="20"/>
                <w:szCs w:val="20"/>
              </w:rPr>
            </w:pPr>
          </w:p>
          <w:p w14:paraId="60ABB71D" w14:textId="77777777" w:rsidR="00167A43" w:rsidRPr="00597DFB" w:rsidRDefault="00167A43" w:rsidP="00597DFB">
            <w:pPr>
              <w:jc w:val="both"/>
              <w:rPr>
                <w:rFonts w:asciiTheme="majorHAnsi" w:hAnsiTheme="majorHAnsi" w:cstheme="majorHAnsi"/>
                <w:b/>
                <w:sz w:val="20"/>
                <w:szCs w:val="20"/>
              </w:rPr>
            </w:pPr>
          </w:p>
          <w:p w14:paraId="369CBDC9" w14:textId="77777777" w:rsidR="00167A43" w:rsidRPr="00597DFB" w:rsidRDefault="00167A43" w:rsidP="00597DFB">
            <w:pPr>
              <w:jc w:val="center"/>
              <w:rPr>
                <w:rFonts w:asciiTheme="majorHAnsi" w:hAnsiTheme="majorHAnsi" w:cstheme="majorHAnsi"/>
                <w:b/>
                <w:sz w:val="20"/>
                <w:szCs w:val="20"/>
              </w:rPr>
            </w:pPr>
            <w:r w:rsidRPr="00597DFB">
              <w:rPr>
                <w:rFonts w:asciiTheme="majorHAnsi" w:hAnsiTheme="majorHAnsi" w:cstheme="majorHAnsi"/>
                <w:b/>
                <w:sz w:val="20"/>
                <w:szCs w:val="20"/>
              </w:rPr>
              <w:t>Considerando que:</w:t>
            </w:r>
          </w:p>
          <w:p w14:paraId="285E6B2D" w14:textId="77777777"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4942631B" w14:textId="7CC2A6D4" w:rsidR="00167A43" w:rsidRPr="00597DFB" w:rsidRDefault="00167A43" w:rsidP="00597DFB">
            <w:pPr>
              <w:jc w:val="both"/>
              <w:rPr>
                <w:rFonts w:asciiTheme="majorHAnsi" w:hAnsiTheme="majorHAnsi" w:cstheme="majorHAnsi"/>
                <w:b/>
                <w:bCs/>
                <w:iCs/>
                <w:sz w:val="20"/>
                <w:szCs w:val="20"/>
              </w:rPr>
            </w:pPr>
            <w:r w:rsidRPr="00597DFB">
              <w:rPr>
                <w:rFonts w:asciiTheme="majorHAnsi" w:hAnsiTheme="majorHAnsi" w:cstheme="majorHAnsi"/>
                <w:b/>
                <w:bCs/>
                <w:iCs/>
                <w:sz w:val="20"/>
                <w:szCs w:val="20"/>
              </w:rPr>
              <w:lastRenderedPageBreak/>
              <w:t>1. SUGESE- SE ACEPTA</w:t>
            </w:r>
          </w:p>
        </w:tc>
        <w:tc>
          <w:tcPr>
            <w:tcW w:w="1784" w:type="pct"/>
          </w:tcPr>
          <w:p w14:paraId="4AE89128" w14:textId="77777777" w:rsidR="00167A43" w:rsidRPr="00597DFB" w:rsidRDefault="00167A43" w:rsidP="00597DFB">
            <w:pPr>
              <w:pStyle w:val="Textoindependiente"/>
              <w:spacing w:after="0" w:line="240" w:lineRule="auto"/>
              <w:jc w:val="center"/>
              <w:rPr>
                <w:rFonts w:asciiTheme="majorHAnsi" w:hAnsiTheme="majorHAnsi" w:cstheme="majorHAnsi"/>
                <w:b/>
                <w:sz w:val="20"/>
                <w:szCs w:val="20"/>
              </w:rPr>
            </w:pPr>
            <w:r w:rsidRPr="00597DFB">
              <w:rPr>
                <w:rFonts w:asciiTheme="majorHAnsi" w:hAnsiTheme="majorHAnsi" w:cstheme="majorHAnsi"/>
                <w:b/>
                <w:sz w:val="20"/>
                <w:szCs w:val="20"/>
              </w:rPr>
              <w:t>PROYECTO DE ACUERDO DE SUPERINTENDENTE</w:t>
            </w:r>
          </w:p>
          <w:p w14:paraId="57158CF0" w14:textId="77777777" w:rsidR="00167A43" w:rsidRPr="00597DFB" w:rsidRDefault="00167A43" w:rsidP="00597DFB">
            <w:pPr>
              <w:jc w:val="center"/>
              <w:rPr>
                <w:rFonts w:asciiTheme="majorHAnsi" w:hAnsiTheme="majorHAnsi" w:cstheme="majorHAnsi"/>
                <w:b/>
                <w:bCs/>
                <w:sz w:val="20"/>
                <w:szCs w:val="20"/>
              </w:rPr>
            </w:pPr>
          </w:p>
          <w:p w14:paraId="70CCB21E" w14:textId="4E775C58" w:rsidR="00167A43" w:rsidRPr="00597DFB" w:rsidRDefault="00167A43" w:rsidP="00597DFB">
            <w:pPr>
              <w:jc w:val="center"/>
              <w:rPr>
                <w:rFonts w:asciiTheme="majorHAnsi" w:hAnsiTheme="majorHAnsi" w:cstheme="majorHAnsi"/>
                <w:b/>
                <w:iCs/>
                <w:sz w:val="20"/>
                <w:szCs w:val="20"/>
              </w:rPr>
            </w:pPr>
            <w:r w:rsidRPr="00597DFB">
              <w:rPr>
                <w:rFonts w:asciiTheme="majorHAnsi" w:hAnsiTheme="majorHAnsi" w:cstheme="majorHAnsi"/>
                <w:b/>
                <w:bCs/>
                <w:sz w:val="20"/>
                <w:szCs w:val="20"/>
              </w:rPr>
              <w:t>Modificación del Acuerdo de Superintendente</w:t>
            </w:r>
            <w:r w:rsidRPr="00597DFB">
              <w:rPr>
                <w:rFonts w:asciiTheme="majorHAnsi" w:hAnsiTheme="majorHAnsi" w:cstheme="majorHAnsi"/>
                <w:b/>
                <w:sz w:val="20"/>
                <w:szCs w:val="20"/>
              </w:rPr>
              <w:t xml:space="preserve"> SGS-DES-A-021-2013</w:t>
            </w:r>
            <w:r w:rsidRPr="00597DFB">
              <w:rPr>
                <w:rFonts w:asciiTheme="majorHAnsi" w:hAnsiTheme="majorHAnsi" w:cstheme="majorHAnsi"/>
                <w:b/>
                <w:i/>
                <w:sz w:val="20"/>
                <w:szCs w:val="20"/>
              </w:rPr>
              <w:t xml:space="preserve"> “</w:t>
            </w:r>
            <w:r w:rsidRPr="00597DFB">
              <w:rPr>
                <w:rFonts w:asciiTheme="majorHAnsi" w:hAnsiTheme="majorHAnsi" w:cstheme="majorHAnsi"/>
                <w:b/>
                <w:i/>
                <w:iCs/>
                <w:sz w:val="20"/>
                <w:szCs w:val="20"/>
              </w:rPr>
              <w:t>Disposiciones para la Remisión de la Información Contable y Estadística a la Superintendencia General de Seguros por parte de las Entidades Supervisadas”,</w:t>
            </w:r>
            <w:r w:rsidRPr="00597DFB">
              <w:rPr>
                <w:rFonts w:asciiTheme="majorHAnsi" w:hAnsiTheme="majorHAnsi" w:cstheme="majorHAnsi"/>
                <w:b/>
                <w:iCs/>
                <w:sz w:val="20"/>
                <w:szCs w:val="20"/>
              </w:rPr>
              <w:t xml:space="preserve"> con el propósito de remitir el modelo de Siniestralidad del Seguro Obligatorio </w:t>
            </w:r>
            <w:r w:rsidR="00104E0E" w:rsidRPr="00597DFB">
              <w:rPr>
                <w:rFonts w:asciiTheme="majorHAnsi" w:hAnsiTheme="majorHAnsi" w:cstheme="majorHAnsi"/>
                <w:b/>
                <w:iCs/>
                <w:strike/>
                <w:color w:val="FF0000"/>
                <w:sz w:val="20"/>
                <w:szCs w:val="20"/>
              </w:rPr>
              <w:t>Automotor</w:t>
            </w:r>
            <w:r w:rsidR="00104E0E" w:rsidRPr="00597DFB">
              <w:rPr>
                <w:rFonts w:asciiTheme="majorHAnsi" w:hAnsiTheme="majorHAnsi" w:cstheme="majorHAnsi"/>
                <w:b/>
                <w:iCs/>
                <w:color w:val="FF0000"/>
                <w:sz w:val="20"/>
                <w:szCs w:val="20"/>
              </w:rPr>
              <w:t xml:space="preserve"> </w:t>
            </w:r>
            <w:r w:rsidR="00157634" w:rsidRPr="00597DFB">
              <w:rPr>
                <w:rFonts w:asciiTheme="majorHAnsi" w:hAnsiTheme="majorHAnsi" w:cstheme="majorHAnsi"/>
                <w:b/>
                <w:iCs/>
                <w:color w:val="4472C4" w:themeColor="accent1"/>
                <w:sz w:val="20"/>
                <w:szCs w:val="20"/>
              </w:rPr>
              <w:t xml:space="preserve">para Vehículos </w:t>
            </w:r>
            <w:r w:rsidRPr="00597DFB">
              <w:rPr>
                <w:rFonts w:asciiTheme="majorHAnsi" w:hAnsiTheme="majorHAnsi" w:cstheme="majorHAnsi"/>
                <w:b/>
                <w:iCs/>
                <w:color w:val="4472C4" w:themeColor="accent1"/>
                <w:sz w:val="20"/>
                <w:szCs w:val="20"/>
              </w:rPr>
              <w:t>Automotor</w:t>
            </w:r>
            <w:r w:rsidR="00157634" w:rsidRPr="00597DFB">
              <w:rPr>
                <w:rFonts w:asciiTheme="majorHAnsi" w:hAnsiTheme="majorHAnsi" w:cstheme="majorHAnsi"/>
                <w:b/>
                <w:iCs/>
                <w:color w:val="4472C4" w:themeColor="accent1"/>
                <w:sz w:val="20"/>
                <w:szCs w:val="20"/>
              </w:rPr>
              <w:t>es</w:t>
            </w:r>
            <w:r w:rsidRPr="00597DFB">
              <w:rPr>
                <w:rFonts w:asciiTheme="majorHAnsi" w:hAnsiTheme="majorHAnsi" w:cstheme="majorHAnsi"/>
                <w:b/>
                <w:iCs/>
                <w:sz w:val="20"/>
                <w:szCs w:val="20"/>
              </w:rPr>
              <w:t xml:space="preserve"> (SOA) mediante el SSS</w:t>
            </w:r>
          </w:p>
          <w:p w14:paraId="77DA2E6B" w14:textId="77777777" w:rsidR="00167A43" w:rsidRPr="00597DFB" w:rsidRDefault="00167A43" w:rsidP="00597DFB">
            <w:pPr>
              <w:jc w:val="center"/>
              <w:rPr>
                <w:rFonts w:asciiTheme="majorHAnsi" w:hAnsiTheme="majorHAnsi" w:cstheme="majorHAnsi"/>
                <w:b/>
                <w:sz w:val="20"/>
                <w:szCs w:val="20"/>
              </w:rPr>
            </w:pPr>
          </w:p>
          <w:p w14:paraId="0833B317" w14:textId="77777777" w:rsidR="00167A43" w:rsidRPr="00597DFB" w:rsidRDefault="00167A43" w:rsidP="00597DFB">
            <w:pPr>
              <w:jc w:val="center"/>
              <w:rPr>
                <w:rFonts w:asciiTheme="majorHAnsi" w:hAnsiTheme="majorHAnsi" w:cstheme="majorHAnsi"/>
                <w:color w:val="000000"/>
                <w:sz w:val="20"/>
                <w:szCs w:val="20"/>
              </w:rPr>
            </w:pPr>
          </w:p>
          <w:p w14:paraId="426A2257" w14:textId="77777777" w:rsidR="00167A43" w:rsidRPr="00597DFB" w:rsidRDefault="00167A43" w:rsidP="00597DFB">
            <w:pPr>
              <w:jc w:val="center"/>
              <w:rPr>
                <w:rFonts w:asciiTheme="majorHAnsi" w:hAnsiTheme="majorHAnsi" w:cstheme="majorHAnsi"/>
                <w:sz w:val="20"/>
                <w:szCs w:val="20"/>
              </w:rPr>
            </w:pPr>
            <w:r w:rsidRPr="00597DFB">
              <w:rPr>
                <w:rFonts w:asciiTheme="majorHAnsi" w:hAnsiTheme="majorHAnsi" w:cstheme="majorHAnsi"/>
                <w:sz w:val="20"/>
                <w:szCs w:val="20"/>
              </w:rPr>
              <w:t xml:space="preserve">El Superintendente General de Seguros, a </w:t>
            </w:r>
            <w:r w:rsidRPr="00597DFB">
              <w:rPr>
                <w:rFonts w:asciiTheme="majorHAnsi" w:hAnsiTheme="majorHAnsi" w:cstheme="majorHAnsi"/>
                <w:sz w:val="20"/>
                <w:szCs w:val="20"/>
                <w:shd w:val="clear" w:color="auto" w:fill="FFFFFF" w:themeFill="background1"/>
              </w:rPr>
              <w:t>las XX horas del XX de XX de dos mil veintit</w:t>
            </w:r>
            <w:r w:rsidRPr="00597DFB">
              <w:rPr>
                <w:rFonts w:asciiTheme="majorHAnsi" w:hAnsiTheme="majorHAnsi" w:cstheme="majorHAnsi"/>
                <w:sz w:val="20"/>
                <w:szCs w:val="20"/>
              </w:rPr>
              <w:t>rés.</w:t>
            </w:r>
          </w:p>
          <w:p w14:paraId="7CB44B27" w14:textId="77777777" w:rsidR="00167A43" w:rsidRPr="00597DFB" w:rsidRDefault="00167A43" w:rsidP="00597DFB">
            <w:pPr>
              <w:jc w:val="center"/>
              <w:rPr>
                <w:rFonts w:asciiTheme="majorHAnsi" w:hAnsiTheme="majorHAnsi" w:cstheme="majorHAnsi"/>
                <w:b/>
                <w:sz w:val="20"/>
                <w:szCs w:val="20"/>
              </w:rPr>
            </w:pPr>
          </w:p>
          <w:p w14:paraId="2BB4186C" w14:textId="77777777" w:rsidR="00167A43" w:rsidRPr="00597DFB" w:rsidRDefault="00167A43" w:rsidP="00597DFB">
            <w:pPr>
              <w:jc w:val="center"/>
              <w:rPr>
                <w:rFonts w:asciiTheme="majorHAnsi" w:hAnsiTheme="majorHAnsi" w:cstheme="majorHAnsi"/>
                <w:b/>
                <w:sz w:val="20"/>
                <w:szCs w:val="20"/>
              </w:rPr>
            </w:pPr>
          </w:p>
          <w:p w14:paraId="3719A773" w14:textId="77777777" w:rsidR="00167A43" w:rsidRPr="00597DFB" w:rsidRDefault="00167A43" w:rsidP="00597DFB">
            <w:pPr>
              <w:jc w:val="center"/>
              <w:rPr>
                <w:rFonts w:asciiTheme="majorHAnsi" w:hAnsiTheme="majorHAnsi" w:cstheme="majorHAnsi"/>
                <w:b/>
                <w:sz w:val="20"/>
                <w:szCs w:val="20"/>
              </w:rPr>
            </w:pPr>
            <w:r w:rsidRPr="00597DFB">
              <w:rPr>
                <w:rFonts w:asciiTheme="majorHAnsi" w:hAnsiTheme="majorHAnsi" w:cstheme="majorHAnsi"/>
                <w:b/>
                <w:sz w:val="20"/>
                <w:szCs w:val="20"/>
              </w:rPr>
              <w:t>Considerando que:</w:t>
            </w:r>
          </w:p>
          <w:p w14:paraId="3A431932" w14:textId="532DBA08" w:rsidR="00167A43" w:rsidRPr="00597DFB" w:rsidRDefault="00167A43" w:rsidP="00597DFB">
            <w:pPr>
              <w:rPr>
                <w:rFonts w:asciiTheme="majorHAnsi" w:hAnsiTheme="majorHAnsi" w:cstheme="majorHAnsi"/>
                <w:b/>
                <w:bCs/>
                <w:iCs/>
                <w:sz w:val="20"/>
                <w:szCs w:val="20"/>
              </w:rPr>
            </w:pPr>
          </w:p>
        </w:tc>
      </w:tr>
      <w:tr w:rsidR="00597DFB" w:rsidRPr="00597DFB" w14:paraId="45F1AA32" w14:textId="77777777" w:rsidTr="00597DFB">
        <w:tc>
          <w:tcPr>
            <w:tcW w:w="1798" w:type="pct"/>
          </w:tcPr>
          <w:p w14:paraId="5EAC3620" w14:textId="1FC1E102" w:rsidR="00167A43" w:rsidRPr="00597DFB" w:rsidRDefault="00167A43" w:rsidP="00597DFB">
            <w:pPr>
              <w:pStyle w:val="Prrafodelista"/>
              <w:numPr>
                <w:ilvl w:val="0"/>
                <w:numId w:val="13"/>
              </w:numPr>
              <w:ind w:left="29" w:firstLine="18"/>
              <w:jc w:val="both"/>
              <w:rPr>
                <w:rFonts w:asciiTheme="majorHAnsi" w:hAnsiTheme="majorHAnsi" w:cstheme="majorHAnsi"/>
                <w:b/>
                <w:bCs/>
                <w:iCs/>
                <w:sz w:val="20"/>
                <w:szCs w:val="20"/>
              </w:rPr>
            </w:pPr>
            <w:r w:rsidRPr="00597DFB">
              <w:rPr>
                <w:rFonts w:asciiTheme="majorHAnsi" w:hAnsiTheme="majorHAnsi" w:cstheme="majorHAnsi"/>
                <w:sz w:val="20"/>
                <w:szCs w:val="20"/>
              </w:rPr>
              <w:lastRenderedPageBreak/>
              <w:t xml:space="preserve">La Superintendencia General de Seguros (en adelante, SUGESE) debe disponer de información en los plazos, formatos y medios que le permitan cumplir con el objetivo definido en el artículo 29 de la </w:t>
            </w:r>
            <w:r w:rsidRPr="00597DFB">
              <w:rPr>
                <w:rFonts w:asciiTheme="majorHAnsi" w:hAnsiTheme="majorHAnsi" w:cstheme="majorHAnsi"/>
                <w:i/>
                <w:sz w:val="20"/>
                <w:szCs w:val="20"/>
              </w:rPr>
              <w:t>Ley Reguladora del Mercado de Seguros</w:t>
            </w:r>
            <w:r w:rsidRPr="00597DFB">
              <w:rPr>
                <w:rFonts w:asciiTheme="majorHAnsi" w:hAnsiTheme="majorHAnsi" w:cstheme="majorHAnsi"/>
                <w:sz w:val="20"/>
                <w:szCs w:val="20"/>
              </w:rPr>
              <w:t xml:space="preserve">, Ley N° 8653, de </w:t>
            </w:r>
            <w:r w:rsidRPr="00597DFB">
              <w:rPr>
                <w:rFonts w:asciiTheme="majorHAnsi" w:hAnsiTheme="majorHAnsi" w:cstheme="majorHAnsi"/>
                <w:i/>
                <w:sz w:val="20"/>
                <w:szCs w:val="20"/>
              </w:rPr>
              <w:t>“velar por la estabilidad y el eficiente funcionamiento del mercado de seguros, así como entregar la más amplia información a los asegurados”.</w:t>
            </w:r>
          </w:p>
        </w:tc>
        <w:tc>
          <w:tcPr>
            <w:tcW w:w="869" w:type="pct"/>
            <w:shd w:val="clear" w:color="auto" w:fill="FFFFFF" w:themeFill="background1"/>
          </w:tcPr>
          <w:p w14:paraId="0FA5456A" w14:textId="77777777"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5264BA8A" w14:textId="77777777" w:rsidR="00167A43" w:rsidRPr="00597DFB" w:rsidRDefault="00167A43" w:rsidP="00597DFB">
            <w:pPr>
              <w:jc w:val="both"/>
              <w:rPr>
                <w:rFonts w:asciiTheme="majorHAnsi" w:hAnsiTheme="majorHAnsi" w:cstheme="majorHAnsi"/>
                <w:b/>
                <w:bCs/>
                <w:iCs/>
                <w:sz w:val="20"/>
                <w:szCs w:val="20"/>
              </w:rPr>
            </w:pPr>
          </w:p>
        </w:tc>
        <w:tc>
          <w:tcPr>
            <w:tcW w:w="1784" w:type="pct"/>
          </w:tcPr>
          <w:p w14:paraId="7D552176" w14:textId="46EABC41" w:rsidR="00167A43" w:rsidRPr="00597DFB" w:rsidRDefault="00167A43" w:rsidP="00597DFB">
            <w:pPr>
              <w:pStyle w:val="Prrafodelista"/>
              <w:numPr>
                <w:ilvl w:val="0"/>
                <w:numId w:val="14"/>
              </w:numPr>
              <w:ind w:left="89" w:firstLine="0"/>
              <w:jc w:val="both"/>
              <w:rPr>
                <w:rFonts w:asciiTheme="majorHAnsi" w:hAnsiTheme="majorHAnsi" w:cstheme="majorHAnsi"/>
                <w:b/>
                <w:bCs/>
                <w:iCs/>
                <w:sz w:val="20"/>
                <w:szCs w:val="20"/>
              </w:rPr>
            </w:pPr>
            <w:r w:rsidRPr="00597DFB">
              <w:rPr>
                <w:rFonts w:asciiTheme="majorHAnsi" w:hAnsiTheme="majorHAnsi" w:cstheme="majorHAnsi"/>
                <w:sz w:val="20"/>
                <w:szCs w:val="20"/>
              </w:rPr>
              <w:t xml:space="preserve">La Superintendencia General de Seguros (en adelante, SUGESE) debe disponer de información en los plazos, formatos y medios que le permitan cumplir con el objetivo definido en el artículo 29 de la </w:t>
            </w:r>
            <w:r w:rsidRPr="00597DFB">
              <w:rPr>
                <w:rFonts w:asciiTheme="majorHAnsi" w:hAnsiTheme="majorHAnsi" w:cstheme="majorHAnsi"/>
                <w:i/>
                <w:sz w:val="20"/>
                <w:szCs w:val="20"/>
              </w:rPr>
              <w:t>Ley Reguladora del Mercado de Seguros</w:t>
            </w:r>
            <w:r w:rsidRPr="00597DFB">
              <w:rPr>
                <w:rFonts w:asciiTheme="majorHAnsi" w:hAnsiTheme="majorHAnsi" w:cstheme="majorHAnsi"/>
                <w:sz w:val="20"/>
                <w:szCs w:val="20"/>
              </w:rPr>
              <w:t xml:space="preserve">, Ley N° 8653, de </w:t>
            </w:r>
            <w:r w:rsidRPr="00597DFB">
              <w:rPr>
                <w:rFonts w:asciiTheme="majorHAnsi" w:hAnsiTheme="majorHAnsi" w:cstheme="majorHAnsi"/>
                <w:i/>
                <w:sz w:val="20"/>
                <w:szCs w:val="20"/>
              </w:rPr>
              <w:t>“velar por la estabilidad y el eficiente funcionamiento del mercado de seguros, así como entregar la más amplia información a los asegurados”.</w:t>
            </w:r>
          </w:p>
        </w:tc>
      </w:tr>
      <w:tr w:rsidR="00597DFB" w:rsidRPr="00597DFB" w14:paraId="3361F69D" w14:textId="77777777" w:rsidTr="00597DFB">
        <w:tc>
          <w:tcPr>
            <w:tcW w:w="1798" w:type="pct"/>
          </w:tcPr>
          <w:p w14:paraId="35374C39" w14:textId="2A6F8EEF" w:rsidR="00167A43" w:rsidRPr="00597DFB" w:rsidRDefault="00167A43" w:rsidP="00597DFB">
            <w:pPr>
              <w:pStyle w:val="Prrafodelista"/>
              <w:numPr>
                <w:ilvl w:val="0"/>
                <w:numId w:val="14"/>
              </w:numPr>
              <w:ind w:left="0" w:firstLine="0"/>
              <w:jc w:val="both"/>
              <w:rPr>
                <w:rFonts w:asciiTheme="majorHAnsi" w:hAnsiTheme="majorHAnsi" w:cstheme="majorHAnsi"/>
                <w:b/>
                <w:bCs/>
                <w:iCs/>
                <w:sz w:val="20"/>
                <w:szCs w:val="20"/>
              </w:rPr>
            </w:pPr>
            <w:r w:rsidRPr="00597DFB">
              <w:rPr>
                <w:rFonts w:asciiTheme="majorHAnsi" w:hAnsiTheme="majorHAnsi" w:cstheme="majorHAnsi"/>
                <w:sz w:val="20"/>
                <w:szCs w:val="20"/>
              </w:rPr>
              <w:t>De conformidad con el artículo 25, inciso c) de la Ley N° 8653, las entidades aseguradoras y reaseguradoras están obligadas a proporcionar a la Superintendencia la información correcta y completa, dentro de los plazos y con las formalidades requeridos.</w:t>
            </w:r>
          </w:p>
        </w:tc>
        <w:tc>
          <w:tcPr>
            <w:tcW w:w="869" w:type="pct"/>
            <w:shd w:val="clear" w:color="auto" w:fill="FFFFFF" w:themeFill="background1"/>
          </w:tcPr>
          <w:p w14:paraId="2573F7C8" w14:textId="77777777"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6CF57BA9" w14:textId="77777777" w:rsidR="00167A43" w:rsidRPr="00597DFB" w:rsidRDefault="00167A43" w:rsidP="00597DFB">
            <w:pPr>
              <w:jc w:val="both"/>
              <w:rPr>
                <w:rFonts w:asciiTheme="majorHAnsi" w:hAnsiTheme="majorHAnsi" w:cstheme="majorHAnsi"/>
                <w:b/>
                <w:bCs/>
                <w:iCs/>
                <w:sz w:val="20"/>
                <w:szCs w:val="20"/>
              </w:rPr>
            </w:pPr>
          </w:p>
        </w:tc>
        <w:tc>
          <w:tcPr>
            <w:tcW w:w="1784" w:type="pct"/>
          </w:tcPr>
          <w:p w14:paraId="2095F197" w14:textId="411FBEA5" w:rsidR="00167A43" w:rsidRPr="00597DFB" w:rsidRDefault="00167A43" w:rsidP="00597DFB">
            <w:pPr>
              <w:pStyle w:val="Prrafodelista"/>
              <w:numPr>
                <w:ilvl w:val="0"/>
                <w:numId w:val="13"/>
              </w:numPr>
              <w:ind w:left="89" w:firstLine="0"/>
              <w:jc w:val="both"/>
              <w:rPr>
                <w:rFonts w:asciiTheme="majorHAnsi" w:hAnsiTheme="majorHAnsi" w:cstheme="majorHAnsi"/>
                <w:b/>
                <w:bCs/>
                <w:iCs/>
                <w:sz w:val="20"/>
                <w:szCs w:val="20"/>
              </w:rPr>
            </w:pPr>
            <w:r w:rsidRPr="00597DFB">
              <w:rPr>
                <w:rFonts w:asciiTheme="majorHAnsi" w:hAnsiTheme="majorHAnsi" w:cstheme="majorHAnsi"/>
                <w:sz w:val="20"/>
                <w:szCs w:val="20"/>
              </w:rPr>
              <w:t>De conformidad con el artículo 25, inciso c) de la Ley N° 8653, las entidades aseguradoras y reaseguradoras están obligadas a proporcionar a la Superintendencia la información correcta y completa, dentro de los plazos y con las formalidades requeridos.</w:t>
            </w:r>
          </w:p>
        </w:tc>
      </w:tr>
      <w:tr w:rsidR="00597DFB" w:rsidRPr="00597DFB" w14:paraId="32EBFD3A" w14:textId="77777777" w:rsidTr="00597DFB">
        <w:tc>
          <w:tcPr>
            <w:tcW w:w="1798" w:type="pct"/>
          </w:tcPr>
          <w:p w14:paraId="01619E27" w14:textId="20D1241A" w:rsidR="00167A43" w:rsidRPr="00597DFB" w:rsidRDefault="00167A43" w:rsidP="00597DFB">
            <w:pPr>
              <w:pStyle w:val="Prrafodelista"/>
              <w:numPr>
                <w:ilvl w:val="0"/>
                <w:numId w:val="13"/>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lastRenderedPageBreak/>
              <w:t xml:space="preserve">La remisión de información de manera periódica constituye una herramienta fundamental para las labores de supervisión y control desarrolladas por la Superintendencia y para cumplir con el objetivo de entregar la más amplia información al asegurado, definido por el ordenamiento jurídico.  </w:t>
            </w:r>
          </w:p>
        </w:tc>
        <w:tc>
          <w:tcPr>
            <w:tcW w:w="869" w:type="pct"/>
            <w:shd w:val="clear" w:color="auto" w:fill="FFFFFF" w:themeFill="background1"/>
          </w:tcPr>
          <w:p w14:paraId="18FCF984"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3BFCEB09"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70D19271" w14:textId="07B43A0C" w:rsidR="00167A43" w:rsidRPr="00597DFB" w:rsidRDefault="00167A43" w:rsidP="00597DFB">
            <w:pPr>
              <w:pStyle w:val="Prrafodelista"/>
              <w:numPr>
                <w:ilvl w:val="0"/>
                <w:numId w:val="14"/>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t xml:space="preserve">La remisión de información de manera periódica constituye una herramienta fundamental para las labores de supervisión y control desarrolladas por la Superintendencia y para cumplir con el objetivo de entregar la más amplia información al asegurado, definido por el ordenamiento jurídico.  </w:t>
            </w:r>
          </w:p>
        </w:tc>
      </w:tr>
      <w:tr w:rsidR="00597DFB" w:rsidRPr="00597DFB" w14:paraId="5449219D" w14:textId="77777777" w:rsidTr="00597DFB">
        <w:tc>
          <w:tcPr>
            <w:tcW w:w="1798" w:type="pct"/>
          </w:tcPr>
          <w:p w14:paraId="21EB7408" w14:textId="7D119ECD" w:rsidR="00167A43" w:rsidRPr="00597DFB" w:rsidRDefault="00167A43" w:rsidP="00597DFB">
            <w:pPr>
              <w:pStyle w:val="Prrafodelista"/>
              <w:numPr>
                <w:ilvl w:val="0"/>
                <w:numId w:val="14"/>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t>De acuerdo con el principio 9 de la Asociación Internacional de Supervisores de Seguros (IAIS, por sus siglas en inglés), relacionado con la revisión del supervisor, para una supervisión efectiva, la entidad supervisora debe obtener la información necesaria para llevar a cabo sus labores de supervisar y analizar a las aseguradoras y de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asimismo, definir el alcance, contenido y frecuencia de los referidos informes; solicitar información adicional de manera más frecuente y detallada según ello sea oportuno y establecer procedimientos y pautas escritas para la realización de informes entregados al supervisor.</w:t>
            </w:r>
          </w:p>
        </w:tc>
        <w:tc>
          <w:tcPr>
            <w:tcW w:w="869" w:type="pct"/>
            <w:shd w:val="clear" w:color="auto" w:fill="FFFFFF" w:themeFill="background1"/>
          </w:tcPr>
          <w:p w14:paraId="60CF22CF"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0577391E"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49D6E62D" w14:textId="7CCD2E55" w:rsidR="00167A43" w:rsidRPr="00597DFB" w:rsidRDefault="00167A43" w:rsidP="00597DFB">
            <w:pPr>
              <w:pStyle w:val="Prrafodelista"/>
              <w:numPr>
                <w:ilvl w:val="0"/>
                <w:numId w:val="13"/>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t>De acuerdo con el principio 9 de la Asociación Internacional de Supervisores de Seguros (IAIS, por sus siglas en inglés), relacionado con la revisión del supervisor, para una supervisión efectiva, la entidad supervisora debe obtener la información necesaria para llevar a cabo sus labores de supervisar y analizar a las aseguradoras y de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asimismo, definir el alcance, contenido y frecuencia de los referidos informes; solicitar información adicional de manera más frecuente y detallada según ello sea oportuno y establecer procedimientos y pautas escritas para la realización de informes entregados al supervisor.</w:t>
            </w:r>
          </w:p>
        </w:tc>
      </w:tr>
      <w:tr w:rsidR="00597DFB" w:rsidRPr="00597DFB" w14:paraId="3186789D" w14:textId="77777777" w:rsidTr="00597DFB">
        <w:tc>
          <w:tcPr>
            <w:tcW w:w="1798" w:type="pct"/>
          </w:tcPr>
          <w:p w14:paraId="1879A253" w14:textId="107B0880" w:rsidR="00167A43" w:rsidRPr="00597DFB" w:rsidRDefault="00167A43" w:rsidP="00597DFB">
            <w:pPr>
              <w:pStyle w:val="Prrafodelista"/>
              <w:numPr>
                <w:ilvl w:val="0"/>
                <w:numId w:val="13"/>
              </w:numPr>
              <w:ind w:left="0" w:firstLine="18"/>
              <w:jc w:val="both"/>
              <w:rPr>
                <w:rFonts w:asciiTheme="majorHAnsi" w:hAnsiTheme="majorHAnsi" w:cstheme="majorHAnsi"/>
                <w:color w:val="000000"/>
                <w:sz w:val="20"/>
                <w:szCs w:val="20"/>
              </w:rPr>
            </w:pPr>
            <w:r w:rsidRPr="00597DFB">
              <w:rPr>
                <w:rFonts w:asciiTheme="majorHAnsi" w:hAnsiTheme="majorHAnsi" w:cstheme="majorHAnsi"/>
                <w:sz w:val="20"/>
                <w:szCs w:val="20"/>
              </w:rPr>
              <w:t xml:space="preserve">Según el artículo 29 de la Ley N° 8653, al Superintendente de Seguros le aplica el artículo 180 de la </w:t>
            </w:r>
            <w:r w:rsidRPr="00597DFB">
              <w:rPr>
                <w:rFonts w:asciiTheme="majorHAnsi" w:hAnsiTheme="majorHAnsi" w:cstheme="majorHAnsi"/>
                <w:i/>
                <w:iCs/>
                <w:sz w:val="20"/>
                <w:szCs w:val="20"/>
              </w:rPr>
              <w:t>Ley Reguladora del Mercado de Valores</w:t>
            </w:r>
            <w:r w:rsidRPr="00597DFB">
              <w:rPr>
                <w:rFonts w:asciiTheme="majorHAnsi" w:hAnsiTheme="majorHAnsi" w:cstheme="majorHAnsi"/>
                <w:sz w:val="20"/>
                <w:szCs w:val="20"/>
              </w:rPr>
              <w:t xml:space="preserve">, Ley N°7732, el cual faculta a la Superintendencia para utilizar medios electrónicos o magnéticos de transmisión y almacenamiento de datos para solicitar información a las entidades supervisadas y para mantener sus </w:t>
            </w:r>
            <w:r w:rsidRPr="00597DFB">
              <w:rPr>
                <w:rFonts w:asciiTheme="majorHAnsi" w:hAnsiTheme="majorHAnsi" w:cstheme="majorHAnsi"/>
                <w:sz w:val="20"/>
                <w:szCs w:val="20"/>
              </w:rPr>
              <w:lastRenderedPageBreak/>
              <w:t>archivos, actas y demás documentos. La información así mantenida tiene valor probatorio equivalente al de los documentos, para todos los efectos legales.</w:t>
            </w:r>
          </w:p>
        </w:tc>
        <w:tc>
          <w:tcPr>
            <w:tcW w:w="869" w:type="pct"/>
            <w:shd w:val="clear" w:color="auto" w:fill="FFFFFF" w:themeFill="background1"/>
          </w:tcPr>
          <w:p w14:paraId="0D550FB0"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13479BFF"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3D383CEF" w14:textId="4CE65264" w:rsidR="00167A43" w:rsidRPr="00597DFB" w:rsidRDefault="00167A43" w:rsidP="00597DFB">
            <w:pPr>
              <w:pStyle w:val="Prrafodelista"/>
              <w:numPr>
                <w:ilvl w:val="0"/>
                <w:numId w:val="14"/>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t xml:space="preserve">Según el artículo 29 de la Ley N° 8653, al Superintendente de Seguros le aplica el artículo 180 de la </w:t>
            </w:r>
            <w:r w:rsidRPr="00597DFB">
              <w:rPr>
                <w:rFonts w:asciiTheme="majorHAnsi" w:hAnsiTheme="majorHAnsi" w:cstheme="majorHAnsi"/>
                <w:i/>
                <w:iCs/>
                <w:sz w:val="20"/>
                <w:szCs w:val="20"/>
              </w:rPr>
              <w:t>Ley Reguladora del Mercado de Valores</w:t>
            </w:r>
            <w:r w:rsidRPr="00597DFB">
              <w:rPr>
                <w:rFonts w:asciiTheme="majorHAnsi" w:hAnsiTheme="majorHAnsi" w:cstheme="majorHAnsi"/>
                <w:sz w:val="20"/>
                <w:szCs w:val="20"/>
              </w:rPr>
              <w:t xml:space="preserve">, Ley N°7732, el cual faculta a la Superintendencia para utilizar medios electrónicos o magnéticos de transmisión y almacenamiento de datos para solicitar información a las entidades supervisadas y para mantener sus </w:t>
            </w:r>
            <w:r w:rsidRPr="00597DFB">
              <w:rPr>
                <w:rFonts w:asciiTheme="majorHAnsi" w:hAnsiTheme="majorHAnsi" w:cstheme="majorHAnsi"/>
                <w:sz w:val="20"/>
                <w:szCs w:val="20"/>
              </w:rPr>
              <w:lastRenderedPageBreak/>
              <w:t>archivos, actas y demás documentos. La información así mantenida tiene valor probatorio equivalente al de los documentos, para todos los efectos legales.</w:t>
            </w:r>
          </w:p>
        </w:tc>
      </w:tr>
      <w:tr w:rsidR="00597DFB" w:rsidRPr="00597DFB" w14:paraId="58C77136" w14:textId="77777777" w:rsidTr="00597DFB">
        <w:tc>
          <w:tcPr>
            <w:tcW w:w="1798" w:type="pct"/>
          </w:tcPr>
          <w:p w14:paraId="30E6875D" w14:textId="68F8B3DC" w:rsidR="00167A43" w:rsidRPr="00597DFB" w:rsidRDefault="00167A43" w:rsidP="00597DFB">
            <w:pPr>
              <w:pStyle w:val="Prrafodelista"/>
              <w:numPr>
                <w:ilvl w:val="0"/>
                <w:numId w:val="14"/>
              </w:numPr>
              <w:ind w:left="0" w:firstLine="18"/>
              <w:jc w:val="both"/>
              <w:rPr>
                <w:rFonts w:asciiTheme="majorHAnsi" w:hAnsiTheme="majorHAnsi" w:cstheme="majorHAnsi"/>
                <w:color w:val="000000"/>
                <w:sz w:val="20"/>
                <w:szCs w:val="20"/>
              </w:rPr>
            </w:pPr>
            <w:r w:rsidRPr="00597DFB">
              <w:rPr>
                <w:rFonts w:asciiTheme="majorHAnsi" w:hAnsiTheme="majorHAnsi" w:cstheme="majorHAnsi"/>
                <w:sz w:val="20"/>
                <w:szCs w:val="20"/>
              </w:rPr>
              <w:lastRenderedPageBreak/>
              <w:t xml:space="preserve">El Superintendente de Seguros, mediante acuerdo SGS-DES-A-021-2013, de las diecisiete horas del 23 de mayo de 2013, emitió las </w:t>
            </w:r>
            <w:r w:rsidRPr="00597DFB">
              <w:rPr>
                <w:rFonts w:asciiTheme="majorHAnsi" w:hAnsiTheme="majorHAnsi" w:cstheme="majorHAnsi"/>
                <w:i/>
                <w:iCs/>
                <w:sz w:val="20"/>
                <w:szCs w:val="20"/>
              </w:rPr>
              <w:t>Disposiciones para la Remisión de la Información Contable y Estadística a la Superintendencia General de Seguros por parte de las Entidades Supervisadas</w:t>
            </w:r>
            <w:r w:rsidRPr="00597DFB">
              <w:rPr>
                <w:rFonts w:asciiTheme="majorHAnsi" w:hAnsiTheme="majorHAnsi" w:cstheme="majorHAnsi"/>
                <w:sz w:val="20"/>
                <w:szCs w:val="20"/>
              </w:rPr>
              <w:t>, cuyo alcance se refiere a la remisión de información contable y estadística y es aplicable a las entidades de seguros y a los intermediarios de seguros supervisados por la Superintendencia General de Seguros.</w:t>
            </w:r>
          </w:p>
        </w:tc>
        <w:tc>
          <w:tcPr>
            <w:tcW w:w="869" w:type="pct"/>
            <w:shd w:val="clear" w:color="auto" w:fill="FFFFFF" w:themeFill="background1"/>
          </w:tcPr>
          <w:p w14:paraId="16E3B681"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38DD43C9"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1B7E5674" w14:textId="04C78202" w:rsidR="00167A43" w:rsidRPr="00597DFB" w:rsidRDefault="00167A43" w:rsidP="00597DFB">
            <w:pPr>
              <w:pStyle w:val="Prrafodelista"/>
              <w:numPr>
                <w:ilvl w:val="0"/>
                <w:numId w:val="13"/>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t xml:space="preserve">El Superintendente de Seguros, mediante acuerdo SGS-DES-A-021-2013, de las diecisiete horas del 23 de mayo de 2013, emitió las </w:t>
            </w:r>
            <w:r w:rsidRPr="00597DFB">
              <w:rPr>
                <w:rFonts w:asciiTheme="majorHAnsi" w:hAnsiTheme="majorHAnsi" w:cstheme="majorHAnsi"/>
                <w:i/>
                <w:iCs/>
                <w:sz w:val="20"/>
                <w:szCs w:val="20"/>
              </w:rPr>
              <w:t>Disposiciones para la Remisión de la Información Contable y Estadística a la Superintendencia General de Seguros por parte de las Entidades Supervisadas</w:t>
            </w:r>
            <w:r w:rsidRPr="00597DFB">
              <w:rPr>
                <w:rFonts w:asciiTheme="majorHAnsi" w:hAnsiTheme="majorHAnsi" w:cstheme="majorHAnsi"/>
                <w:sz w:val="20"/>
                <w:szCs w:val="20"/>
              </w:rPr>
              <w:t>, cuyo alcance se refiere a la remisión de información contable y estadística y es aplicable a las entidades de seguros y a los intermediarios de seguros supervisados por la Superintendencia General de Seguros.</w:t>
            </w:r>
          </w:p>
        </w:tc>
      </w:tr>
      <w:tr w:rsidR="00597DFB" w:rsidRPr="00597DFB" w14:paraId="4919579F" w14:textId="77777777" w:rsidTr="00597DFB">
        <w:tc>
          <w:tcPr>
            <w:tcW w:w="1798" w:type="pct"/>
          </w:tcPr>
          <w:p w14:paraId="573D4FB7" w14:textId="51A621BC" w:rsidR="00167A43" w:rsidRPr="00597DFB" w:rsidRDefault="00167A43" w:rsidP="00597DFB">
            <w:pPr>
              <w:pStyle w:val="Prrafodelista"/>
              <w:numPr>
                <w:ilvl w:val="0"/>
                <w:numId w:val="13"/>
              </w:numPr>
              <w:ind w:left="0" w:firstLine="18"/>
              <w:jc w:val="both"/>
              <w:rPr>
                <w:rFonts w:asciiTheme="majorHAnsi" w:hAnsiTheme="majorHAnsi" w:cstheme="majorHAnsi"/>
                <w:b/>
                <w:bCs/>
                <w:iCs/>
                <w:sz w:val="20"/>
                <w:szCs w:val="20"/>
              </w:rPr>
            </w:pPr>
            <w:r w:rsidRPr="00597DFB">
              <w:rPr>
                <w:rFonts w:asciiTheme="majorHAnsi" w:hAnsiTheme="majorHAnsi" w:cstheme="majorHAnsi"/>
                <w:color w:val="000000"/>
                <w:sz w:val="20"/>
                <w:szCs w:val="20"/>
              </w:rPr>
              <w:t xml:space="preserve">Mediante el acuerdo SGS-DES-A-039-2014 de noviembre del 2014, se modificó el acuerdo SGS-DES-A-021-2013, a efectos de incorporar el envío mensual de las estadísticas de Asegurados y Siniestralidad del Seguro Obligatorio de Vehículos Automotores (SOA), con el fin de conocer el grado de siniestralidad por accidentes de tránsito en el país y en particular por tipo de vehículo (según la clasificación establecida en el artículo 21 del Reglamento de Seguro Obligatorio para Vehículos Automotores), de forma tal que se concientice a la población de la importancia del pago del seguro y del grado de afectación que tienen los accidentes de transito, así como contar con información para la definición de políticas públicas.  Por lo tanto, es adecuado llevar un registro estadístico sobre la siniestralidad del SOA, para lo cual se requiere que las aseguradoras que ofrecen el SOA remitan periódicamente la información sobre los accidentes de tránsito ocurridos en el territorio nacional, por tipo de vehículo. Esta información se remite en forma mensual, </w:t>
            </w:r>
            <w:r w:rsidRPr="00597DFB">
              <w:rPr>
                <w:rFonts w:asciiTheme="majorHAnsi" w:hAnsiTheme="majorHAnsi" w:cstheme="majorHAnsi"/>
                <w:color w:val="000000"/>
                <w:sz w:val="20"/>
                <w:szCs w:val="20"/>
              </w:rPr>
              <w:lastRenderedPageBreak/>
              <w:t xml:space="preserve">en un archivo de Excel, y hasta febrero de 2021 fue enviada mediante correo electrónico.    </w:t>
            </w:r>
          </w:p>
        </w:tc>
        <w:tc>
          <w:tcPr>
            <w:tcW w:w="869" w:type="pct"/>
            <w:shd w:val="clear" w:color="auto" w:fill="FFFFFF" w:themeFill="background1"/>
          </w:tcPr>
          <w:p w14:paraId="66280A1A"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2918737E"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2A137FC4" w14:textId="775DC130" w:rsidR="00167A43" w:rsidRPr="00597DFB" w:rsidRDefault="00167A43" w:rsidP="00597DFB">
            <w:pPr>
              <w:pStyle w:val="Prrafodelista"/>
              <w:numPr>
                <w:ilvl w:val="0"/>
                <w:numId w:val="14"/>
              </w:numPr>
              <w:ind w:left="0" w:firstLine="18"/>
              <w:jc w:val="both"/>
              <w:rPr>
                <w:rFonts w:asciiTheme="majorHAnsi" w:hAnsiTheme="majorHAnsi" w:cstheme="majorHAnsi"/>
                <w:b/>
                <w:bCs/>
                <w:iCs/>
                <w:sz w:val="20"/>
                <w:szCs w:val="20"/>
              </w:rPr>
            </w:pPr>
            <w:r w:rsidRPr="00597DFB">
              <w:rPr>
                <w:rFonts w:asciiTheme="majorHAnsi" w:hAnsiTheme="majorHAnsi" w:cstheme="majorHAnsi"/>
                <w:color w:val="000000"/>
                <w:sz w:val="20"/>
                <w:szCs w:val="20"/>
              </w:rPr>
              <w:t xml:space="preserve">Mediante el acuerdo SGS-DES-A-039-2014 de noviembre del 2014, se modificó el acuerdo SGS-DES-A-021-2013, a efectos de incorporar el envío mensual de las estadísticas de Asegurados y Siniestralidad del Seguro Obligatorio de Vehículos Automotores (SOA), con el fin de conocer el grado de siniestralidad por accidentes de tránsito en el país y en particular por tipo de vehículo (según la clasificación establecida en el artículo 21 del Reglamento de Seguro Obligatorio para Vehículos Automotores), de forma tal que se concientice a la población de la importancia del pago del seguro y del grado de afectación que tienen los accidentes de </w:t>
            </w:r>
            <w:r w:rsidR="009B2A94" w:rsidRPr="00597DFB">
              <w:rPr>
                <w:rFonts w:asciiTheme="majorHAnsi" w:hAnsiTheme="majorHAnsi" w:cstheme="majorHAnsi"/>
                <w:color w:val="000000"/>
                <w:sz w:val="20"/>
                <w:szCs w:val="20"/>
              </w:rPr>
              <w:t>tránsito</w:t>
            </w:r>
            <w:r w:rsidRPr="00597DFB">
              <w:rPr>
                <w:rFonts w:asciiTheme="majorHAnsi" w:hAnsiTheme="majorHAnsi" w:cstheme="majorHAnsi"/>
                <w:color w:val="000000"/>
                <w:sz w:val="20"/>
                <w:szCs w:val="20"/>
              </w:rPr>
              <w:t xml:space="preserve">, así como contar con información para la definición de políticas públicas.  Por lo tanto, es adecuado llevar un registro estadístico sobre la siniestralidad del SOA, para lo cual se requiere que las aseguradoras que ofrecen el SOA remitan periódicamente la información sobre los accidentes de tránsito ocurridos en el territorio nacional, por tipo de vehículo. Esta información se remite en forma mensual, </w:t>
            </w:r>
            <w:r w:rsidRPr="00597DFB">
              <w:rPr>
                <w:rFonts w:asciiTheme="majorHAnsi" w:hAnsiTheme="majorHAnsi" w:cstheme="majorHAnsi"/>
                <w:color w:val="000000"/>
                <w:sz w:val="20"/>
                <w:szCs w:val="20"/>
              </w:rPr>
              <w:lastRenderedPageBreak/>
              <w:t xml:space="preserve">en un archivo de Excel, y hasta febrero de 2021 fue enviada mediante correo electrónico.    </w:t>
            </w:r>
          </w:p>
        </w:tc>
      </w:tr>
      <w:tr w:rsidR="00597DFB" w:rsidRPr="00597DFB" w14:paraId="42D768E3" w14:textId="77777777" w:rsidTr="00597DFB">
        <w:tc>
          <w:tcPr>
            <w:tcW w:w="1798" w:type="pct"/>
          </w:tcPr>
          <w:p w14:paraId="51C2BE38" w14:textId="05D1D43B" w:rsidR="00167A43" w:rsidRPr="00597DFB" w:rsidRDefault="00167A43" w:rsidP="00597DFB">
            <w:pPr>
              <w:pStyle w:val="Prrafodelista"/>
              <w:numPr>
                <w:ilvl w:val="0"/>
                <w:numId w:val="14"/>
              </w:numPr>
              <w:ind w:left="0" w:firstLine="18"/>
              <w:jc w:val="both"/>
              <w:rPr>
                <w:rFonts w:asciiTheme="majorHAnsi" w:hAnsiTheme="majorHAnsi" w:cstheme="majorHAnsi"/>
                <w:b/>
                <w:bCs/>
                <w:sz w:val="20"/>
                <w:szCs w:val="20"/>
              </w:rPr>
            </w:pPr>
            <w:r w:rsidRPr="00597DFB">
              <w:rPr>
                <w:rFonts w:asciiTheme="majorHAnsi" w:hAnsiTheme="majorHAnsi" w:cstheme="majorHAnsi"/>
                <w:color w:val="000000"/>
                <w:sz w:val="20"/>
                <w:szCs w:val="20"/>
              </w:rPr>
              <w:lastRenderedPageBreak/>
              <w:t>Mediante acuerdo SGS-DES-A-0076-2021 de febrero del 2021, se reformó el Acuerdo SGS-DES-A-021-2013, con el propósito de remitir el archivo de las estadísticas de Asegurados y Siniestralidad del SOA, a través del Servicio de Ejecución de Estudios y Seguimiento (EES), disponible en la plataforma Sugese en línea, en lugar del correo electrónico.</w:t>
            </w:r>
          </w:p>
        </w:tc>
        <w:tc>
          <w:tcPr>
            <w:tcW w:w="869" w:type="pct"/>
            <w:shd w:val="clear" w:color="auto" w:fill="FFFFFF" w:themeFill="background1"/>
          </w:tcPr>
          <w:p w14:paraId="3708387F"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516C24EC"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3CD141D5" w14:textId="20D7D714" w:rsidR="00167A43" w:rsidRPr="00597DFB" w:rsidRDefault="00167A43" w:rsidP="00597DFB">
            <w:pPr>
              <w:pStyle w:val="Prrafodelista"/>
              <w:numPr>
                <w:ilvl w:val="0"/>
                <w:numId w:val="13"/>
              </w:numPr>
              <w:ind w:left="0" w:firstLine="18"/>
              <w:jc w:val="both"/>
              <w:rPr>
                <w:rFonts w:asciiTheme="majorHAnsi" w:hAnsiTheme="majorHAnsi" w:cstheme="majorHAnsi"/>
                <w:b/>
                <w:bCs/>
                <w:iCs/>
                <w:sz w:val="20"/>
                <w:szCs w:val="20"/>
              </w:rPr>
            </w:pPr>
            <w:r w:rsidRPr="00597DFB">
              <w:rPr>
                <w:rFonts w:asciiTheme="majorHAnsi" w:hAnsiTheme="majorHAnsi" w:cstheme="majorHAnsi"/>
                <w:color w:val="000000"/>
                <w:sz w:val="20"/>
                <w:szCs w:val="20"/>
              </w:rPr>
              <w:t>Mediante acuerdo SGS-DES-A-0076-2021 de febrero del 2021, se reformó el Acuerdo SGS-DES-A-021-2013, con el propósito de remitir el archivo de las estadísticas de Asegurados y Siniestralidad del SOA, a través del Servicio de Ejecución de Estudios y Seguimiento (EES), disponible en la plataforma Sugese en línea, en lugar del correo electrónico.</w:t>
            </w:r>
          </w:p>
        </w:tc>
      </w:tr>
      <w:tr w:rsidR="00597DFB" w:rsidRPr="00597DFB" w14:paraId="056CA056" w14:textId="77777777" w:rsidTr="00597DFB">
        <w:tc>
          <w:tcPr>
            <w:tcW w:w="1798" w:type="pct"/>
          </w:tcPr>
          <w:p w14:paraId="10804586" w14:textId="4B14228A" w:rsidR="00167A43" w:rsidRPr="00597DFB" w:rsidRDefault="00167A43" w:rsidP="00597DFB">
            <w:pPr>
              <w:pStyle w:val="Prrafodelista"/>
              <w:numPr>
                <w:ilvl w:val="0"/>
                <w:numId w:val="13"/>
              </w:numPr>
              <w:ind w:left="0" w:firstLine="18"/>
              <w:jc w:val="both"/>
              <w:rPr>
                <w:rFonts w:asciiTheme="majorHAnsi" w:hAnsiTheme="majorHAnsi" w:cstheme="majorHAnsi"/>
                <w:b/>
                <w:bCs/>
                <w:sz w:val="20"/>
                <w:szCs w:val="20"/>
              </w:rPr>
            </w:pPr>
            <w:r w:rsidRPr="00597DFB">
              <w:rPr>
                <w:rFonts w:asciiTheme="majorHAnsi" w:hAnsiTheme="majorHAnsi" w:cstheme="majorHAnsi"/>
                <w:sz w:val="20"/>
                <w:szCs w:val="20"/>
              </w:rPr>
              <w:t xml:space="preserve">La SUGESE ha desarrollado la plataforma informática denominada </w:t>
            </w:r>
            <w:r w:rsidRPr="00597DFB">
              <w:rPr>
                <w:rFonts w:asciiTheme="majorHAnsi" w:hAnsiTheme="majorHAnsi" w:cstheme="majorHAnsi"/>
                <w:i/>
                <w:iCs/>
                <w:sz w:val="20"/>
                <w:szCs w:val="20"/>
              </w:rPr>
              <w:t>Sistema de Supervisión de Seguros</w:t>
            </w:r>
            <w:r w:rsidRPr="00597DFB">
              <w:rPr>
                <w:rFonts w:asciiTheme="majorHAnsi" w:hAnsiTheme="majorHAnsi" w:cstheme="majorHAnsi"/>
                <w:sz w:val="20"/>
                <w:szCs w:val="20"/>
              </w:rPr>
              <w:t xml:space="preserve"> (SSS), la cual permite la captura automatizada, el procesamiento, la generación de alertas, reportes y estadísticas, relativos a la información recibida de las entidades supervisadas. En virtud de lo anterior y con el fin de reducir los riesgos operacionales y mejorar la calidad y oportunidad en la entrega de la información, se propone crear un nuevo modelo en el SSS para la remisión de los datos sobre la siniestralidad del SOA, manteniendo el plazo de 15 días hábiles después del cierre de cada mes.</w:t>
            </w:r>
          </w:p>
        </w:tc>
        <w:tc>
          <w:tcPr>
            <w:tcW w:w="869" w:type="pct"/>
            <w:shd w:val="clear" w:color="auto" w:fill="FFFFFF" w:themeFill="background1"/>
          </w:tcPr>
          <w:p w14:paraId="23F7ED77" w14:textId="77777777" w:rsidR="00167A43" w:rsidRPr="00597DFB" w:rsidRDefault="00167A43" w:rsidP="00597DFB">
            <w:pPr>
              <w:ind w:firstLine="18"/>
              <w:jc w:val="both"/>
              <w:rPr>
                <w:rFonts w:asciiTheme="majorHAnsi" w:hAnsiTheme="majorHAnsi" w:cstheme="majorHAnsi"/>
                <w:b/>
                <w:bCs/>
                <w:iCs/>
                <w:sz w:val="20"/>
                <w:szCs w:val="20"/>
              </w:rPr>
            </w:pPr>
          </w:p>
        </w:tc>
        <w:tc>
          <w:tcPr>
            <w:tcW w:w="549" w:type="pct"/>
            <w:shd w:val="clear" w:color="auto" w:fill="FFFFFF" w:themeFill="background1"/>
          </w:tcPr>
          <w:p w14:paraId="795DA227" w14:textId="77777777" w:rsidR="00167A43" w:rsidRPr="00597DFB" w:rsidRDefault="00167A43" w:rsidP="00597DFB">
            <w:pPr>
              <w:ind w:firstLine="18"/>
              <w:jc w:val="both"/>
              <w:rPr>
                <w:rFonts w:asciiTheme="majorHAnsi" w:hAnsiTheme="majorHAnsi" w:cstheme="majorHAnsi"/>
                <w:b/>
                <w:bCs/>
                <w:iCs/>
                <w:sz w:val="20"/>
                <w:szCs w:val="20"/>
              </w:rPr>
            </w:pPr>
          </w:p>
        </w:tc>
        <w:tc>
          <w:tcPr>
            <w:tcW w:w="1784" w:type="pct"/>
          </w:tcPr>
          <w:p w14:paraId="1822ADA7" w14:textId="5968C0D1" w:rsidR="00167A43" w:rsidRPr="00597DFB" w:rsidRDefault="00167A43" w:rsidP="00597DFB">
            <w:pPr>
              <w:pStyle w:val="Prrafodelista"/>
              <w:numPr>
                <w:ilvl w:val="0"/>
                <w:numId w:val="14"/>
              </w:numPr>
              <w:ind w:left="0" w:firstLine="18"/>
              <w:jc w:val="both"/>
              <w:rPr>
                <w:rFonts w:asciiTheme="majorHAnsi" w:hAnsiTheme="majorHAnsi" w:cstheme="majorHAnsi"/>
                <w:b/>
                <w:bCs/>
                <w:iCs/>
                <w:sz w:val="20"/>
                <w:szCs w:val="20"/>
              </w:rPr>
            </w:pPr>
            <w:r w:rsidRPr="00597DFB">
              <w:rPr>
                <w:rFonts w:asciiTheme="majorHAnsi" w:hAnsiTheme="majorHAnsi" w:cstheme="majorHAnsi"/>
                <w:sz w:val="20"/>
                <w:szCs w:val="20"/>
              </w:rPr>
              <w:t xml:space="preserve">La SUGESE ha desarrollado la plataforma informática denominada </w:t>
            </w:r>
            <w:r w:rsidRPr="00597DFB">
              <w:rPr>
                <w:rFonts w:asciiTheme="majorHAnsi" w:hAnsiTheme="majorHAnsi" w:cstheme="majorHAnsi"/>
                <w:i/>
                <w:iCs/>
                <w:sz w:val="20"/>
                <w:szCs w:val="20"/>
              </w:rPr>
              <w:t>Sistema de Supervisión de Seguros</w:t>
            </w:r>
            <w:r w:rsidRPr="00597DFB">
              <w:rPr>
                <w:rFonts w:asciiTheme="majorHAnsi" w:hAnsiTheme="majorHAnsi" w:cstheme="majorHAnsi"/>
                <w:sz w:val="20"/>
                <w:szCs w:val="20"/>
              </w:rPr>
              <w:t xml:space="preserve"> (SSS), la cual permite la captura automatizada, el procesamiento, la generación de alertas, reportes y estadísticas, relativos a la información recibida de las entidades supervisadas. En virtud de lo anterior y con el fin de reducir los riesgos operacionales y mejorar la calidad y oportunidad en la entrega de la información, se propone crear un nuevo modelo en el SSS para la remisión de los datos sobre la siniestralidad del SOA, manteniendo el plazo de 15 días hábiles después del cierre de cada mes.</w:t>
            </w:r>
          </w:p>
        </w:tc>
      </w:tr>
      <w:tr w:rsidR="00597DFB" w:rsidRPr="00597DFB" w14:paraId="7A616060" w14:textId="77777777" w:rsidTr="00597DFB">
        <w:tc>
          <w:tcPr>
            <w:tcW w:w="1798" w:type="pct"/>
          </w:tcPr>
          <w:p w14:paraId="6B574E40" w14:textId="393A168F" w:rsidR="00167A43" w:rsidRPr="00597DFB" w:rsidRDefault="00167A43" w:rsidP="00597DFB">
            <w:pPr>
              <w:jc w:val="both"/>
              <w:rPr>
                <w:rFonts w:asciiTheme="majorHAnsi" w:hAnsiTheme="majorHAnsi" w:cstheme="majorHAnsi"/>
                <w:color w:val="000000"/>
                <w:sz w:val="20"/>
                <w:szCs w:val="20"/>
              </w:rPr>
            </w:pPr>
            <w:r w:rsidRPr="00597DFB">
              <w:rPr>
                <w:rFonts w:asciiTheme="majorHAnsi" w:hAnsiTheme="majorHAnsi" w:cstheme="majorHAnsi"/>
                <w:b/>
                <w:sz w:val="20"/>
                <w:szCs w:val="20"/>
              </w:rPr>
              <w:t>Dispone</w:t>
            </w:r>
          </w:p>
        </w:tc>
        <w:tc>
          <w:tcPr>
            <w:tcW w:w="869" w:type="pct"/>
            <w:shd w:val="clear" w:color="auto" w:fill="FFFFFF" w:themeFill="background1"/>
          </w:tcPr>
          <w:p w14:paraId="0F61E0CB" w14:textId="77777777"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38F982D2" w14:textId="77777777" w:rsidR="00167A43" w:rsidRPr="00597DFB" w:rsidRDefault="00167A43" w:rsidP="00597DFB">
            <w:pPr>
              <w:jc w:val="both"/>
              <w:rPr>
                <w:rFonts w:asciiTheme="majorHAnsi" w:hAnsiTheme="majorHAnsi" w:cstheme="majorHAnsi"/>
                <w:b/>
                <w:bCs/>
                <w:iCs/>
                <w:sz w:val="20"/>
                <w:szCs w:val="20"/>
              </w:rPr>
            </w:pPr>
          </w:p>
        </w:tc>
        <w:tc>
          <w:tcPr>
            <w:tcW w:w="1784" w:type="pct"/>
          </w:tcPr>
          <w:p w14:paraId="571C792C" w14:textId="10A9C1C1" w:rsidR="00167A43" w:rsidRPr="00597DFB" w:rsidRDefault="00167A43" w:rsidP="00597DFB">
            <w:pPr>
              <w:jc w:val="both"/>
              <w:rPr>
                <w:rFonts w:asciiTheme="majorHAnsi" w:hAnsiTheme="majorHAnsi" w:cstheme="majorHAnsi"/>
                <w:b/>
                <w:bCs/>
                <w:iCs/>
                <w:sz w:val="20"/>
                <w:szCs w:val="20"/>
              </w:rPr>
            </w:pPr>
            <w:r w:rsidRPr="00597DFB">
              <w:rPr>
                <w:rFonts w:asciiTheme="majorHAnsi" w:hAnsiTheme="majorHAnsi" w:cstheme="majorHAnsi"/>
                <w:b/>
                <w:sz w:val="20"/>
                <w:szCs w:val="20"/>
              </w:rPr>
              <w:t>Dispone</w:t>
            </w:r>
          </w:p>
        </w:tc>
      </w:tr>
      <w:tr w:rsidR="00597DFB" w:rsidRPr="00597DFB" w14:paraId="16C88D82" w14:textId="77777777" w:rsidTr="00597DFB">
        <w:tc>
          <w:tcPr>
            <w:tcW w:w="1798" w:type="pct"/>
          </w:tcPr>
          <w:p w14:paraId="7987F591" w14:textId="2BA1F757" w:rsidR="00167A43" w:rsidRPr="00597DFB" w:rsidRDefault="00167A43" w:rsidP="00597DFB">
            <w:pPr>
              <w:jc w:val="both"/>
              <w:rPr>
                <w:rFonts w:asciiTheme="majorHAnsi" w:hAnsiTheme="majorHAnsi" w:cstheme="majorHAnsi"/>
                <w:b/>
                <w:bCs/>
                <w:sz w:val="20"/>
                <w:szCs w:val="20"/>
              </w:rPr>
            </w:pPr>
            <w:r w:rsidRPr="00597DFB">
              <w:rPr>
                <w:rFonts w:asciiTheme="majorHAnsi" w:hAnsiTheme="majorHAnsi" w:cstheme="majorHAnsi"/>
                <w:b/>
                <w:bCs/>
                <w:sz w:val="20"/>
                <w:szCs w:val="20"/>
              </w:rPr>
              <w:t>Primero:</w:t>
            </w:r>
            <w:r w:rsidRPr="00597DFB">
              <w:rPr>
                <w:rFonts w:asciiTheme="majorHAnsi" w:hAnsiTheme="majorHAnsi" w:cstheme="majorHAnsi"/>
                <w:sz w:val="20"/>
                <w:szCs w:val="20"/>
              </w:rPr>
              <w:t xml:space="preserve"> Modificar la línea número 16 de la tabla del Artículo 2. Información que deben Enviar las Entidades de Seguros, Periodicidad, Plazo y Medio de Remisión, para que en adelante se lea: </w:t>
            </w:r>
          </w:p>
        </w:tc>
        <w:tc>
          <w:tcPr>
            <w:tcW w:w="869" w:type="pct"/>
            <w:shd w:val="clear" w:color="auto" w:fill="FFFFFF" w:themeFill="background1"/>
          </w:tcPr>
          <w:p w14:paraId="6FE4A253" w14:textId="77777777"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313444A9" w14:textId="77777777" w:rsidR="00167A43" w:rsidRPr="00597DFB" w:rsidRDefault="00167A43" w:rsidP="00597DFB">
            <w:pPr>
              <w:jc w:val="both"/>
              <w:rPr>
                <w:rFonts w:asciiTheme="majorHAnsi" w:hAnsiTheme="majorHAnsi" w:cstheme="majorHAnsi"/>
                <w:b/>
                <w:bCs/>
                <w:iCs/>
                <w:sz w:val="20"/>
                <w:szCs w:val="20"/>
              </w:rPr>
            </w:pPr>
          </w:p>
        </w:tc>
        <w:tc>
          <w:tcPr>
            <w:tcW w:w="1784" w:type="pct"/>
          </w:tcPr>
          <w:p w14:paraId="3D3AE0A2" w14:textId="5B7AB3D2" w:rsidR="00167A43" w:rsidRPr="00597DFB" w:rsidRDefault="00167A43" w:rsidP="00597DFB">
            <w:pPr>
              <w:jc w:val="both"/>
              <w:rPr>
                <w:rFonts w:asciiTheme="majorHAnsi" w:hAnsiTheme="majorHAnsi" w:cstheme="majorHAnsi"/>
                <w:b/>
                <w:bCs/>
                <w:iCs/>
                <w:sz w:val="20"/>
                <w:szCs w:val="20"/>
              </w:rPr>
            </w:pPr>
            <w:r w:rsidRPr="00597DFB">
              <w:rPr>
                <w:rFonts w:asciiTheme="majorHAnsi" w:hAnsiTheme="majorHAnsi" w:cstheme="majorHAnsi"/>
                <w:b/>
                <w:bCs/>
                <w:sz w:val="20"/>
                <w:szCs w:val="20"/>
              </w:rPr>
              <w:t>Primero:</w:t>
            </w:r>
            <w:r w:rsidRPr="00597DFB">
              <w:rPr>
                <w:rFonts w:asciiTheme="majorHAnsi" w:hAnsiTheme="majorHAnsi" w:cstheme="majorHAnsi"/>
                <w:sz w:val="20"/>
                <w:szCs w:val="20"/>
              </w:rPr>
              <w:t xml:space="preserve"> Modificar la línea número 16 de la tabla del Artículo 2. Información que deben Enviar las Entidades de Seguros, Periodicidad, Plazo y Medio de Remisión, para que en adelante se lea: </w:t>
            </w:r>
          </w:p>
        </w:tc>
      </w:tr>
      <w:tr w:rsidR="00597DFB" w:rsidRPr="00597DFB" w14:paraId="2C181A98" w14:textId="77777777" w:rsidTr="00597DFB">
        <w:tc>
          <w:tcPr>
            <w:tcW w:w="1798" w:type="pct"/>
          </w:tcPr>
          <w:p w14:paraId="7F9A9AFF" w14:textId="77777777" w:rsidR="00167A43" w:rsidRPr="00597DFB" w:rsidRDefault="00167A43" w:rsidP="00597DFB">
            <w:pPr>
              <w:jc w:val="both"/>
              <w:rPr>
                <w:rFonts w:asciiTheme="majorHAnsi" w:hAnsiTheme="majorHAnsi" w:cstheme="majorHAnsi"/>
                <w:b/>
                <w:sz w:val="20"/>
                <w:szCs w:val="20"/>
              </w:rPr>
            </w:pPr>
            <w:r w:rsidRPr="00597DFB">
              <w:rPr>
                <w:rFonts w:asciiTheme="majorHAnsi" w:hAnsiTheme="majorHAnsi" w:cstheme="majorHAnsi"/>
                <w:b/>
                <w:sz w:val="20"/>
                <w:szCs w:val="20"/>
              </w:rPr>
              <w:t xml:space="preserve">Artículo 2. Información que deben Enviar las Entidades de Seguros, Periodicidad, Plazo y Medio de Remisión </w:t>
            </w:r>
          </w:p>
          <w:p w14:paraId="69391308" w14:textId="77777777" w:rsidR="00167A43" w:rsidRPr="00597DFB" w:rsidRDefault="00167A43" w:rsidP="00597DFB">
            <w:pPr>
              <w:jc w:val="both"/>
              <w:rPr>
                <w:rFonts w:asciiTheme="majorHAnsi" w:hAnsiTheme="majorHAnsi" w:cstheme="majorHAnsi"/>
                <w:sz w:val="20"/>
                <w:szCs w:val="20"/>
              </w:rPr>
            </w:pPr>
            <w:r w:rsidRPr="00597DFB">
              <w:rPr>
                <w:rFonts w:asciiTheme="majorHAnsi" w:hAnsiTheme="majorHAnsi" w:cstheme="majorHAnsi"/>
                <w:sz w:val="20"/>
                <w:szCs w:val="20"/>
              </w:rPr>
              <w:t>Las entidades de seguros supervisadas deben remitir a la Superintendencia la siguiente información, en las condiciones que se indican a continuación:</w:t>
            </w:r>
          </w:p>
          <w:p w14:paraId="4D9C1769" w14:textId="77777777" w:rsidR="00167A43" w:rsidRPr="00597DFB" w:rsidRDefault="00167A43" w:rsidP="00597DFB">
            <w:pPr>
              <w:jc w:val="both"/>
              <w:rPr>
                <w:rFonts w:asciiTheme="majorHAnsi" w:hAnsiTheme="majorHAnsi" w:cstheme="majorHAnsi"/>
                <w:color w:val="000000"/>
                <w:sz w:val="20"/>
                <w:szCs w:val="20"/>
              </w:rPr>
            </w:pPr>
          </w:p>
          <w:tbl>
            <w:tblPr>
              <w:tblStyle w:val="Tablaconcuadrcula"/>
              <w:tblW w:w="3349" w:type="dxa"/>
              <w:jc w:val="center"/>
              <w:tblLayout w:type="fixed"/>
              <w:tblLook w:val="04A0" w:firstRow="1" w:lastRow="0" w:firstColumn="1" w:lastColumn="0" w:noHBand="0" w:noVBand="1"/>
            </w:tblPr>
            <w:tblGrid>
              <w:gridCol w:w="942"/>
              <w:gridCol w:w="660"/>
              <w:gridCol w:w="725"/>
              <w:gridCol w:w="1022"/>
            </w:tblGrid>
            <w:tr w:rsidR="00167A43" w:rsidRPr="009C3F59" w14:paraId="74F9B22F" w14:textId="77777777" w:rsidTr="00597DFB">
              <w:trPr>
                <w:cantSplit/>
                <w:trHeight w:val="426"/>
                <w:tblHeader/>
                <w:jc w:val="center"/>
              </w:trPr>
              <w:tc>
                <w:tcPr>
                  <w:tcW w:w="1406" w:type="pct"/>
                  <w:shd w:val="clear" w:color="auto" w:fill="A6A6A6" w:themeFill="background1" w:themeFillShade="A6"/>
                  <w:vAlign w:val="center"/>
                </w:tcPr>
                <w:p w14:paraId="783AFA7F" w14:textId="77777777" w:rsidR="00167A43" w:rsidRPr="009C3F59" w:rsidRDefault="00167A43" w:rsidP="00597DFB">
                  <w:pPr>
                    <w:widowControl w:val="0"/>
                    <w:jc w:val="center"/>
                    <w:rPr>
                      <w:rFonts w:asciiTheme="majorHAnsi" w:hAnsiTheme="majorHAnsi" w:cstheme="majorHAnsi"/>
                      <w:b/>
                      <w:i/>
                      <w:snapToGrid w:val="0"/>
                      <w:sz w:val="14"/>
                      <w:szCs w:val="14"/>
                    </w:rPr>
                  </w:pPr>
                  <w:r w:rsidRPr="009C3F59">
                    <w:rPr>
                      <w:rFonts w:asciiTheme="majorHAnsi" w:hAnsiTheme="majorHAnsi" w:cstheme="majorHAnsi"/>
                      <w:b/>
                      <w:i/>
                      <w:snapToGrid w:val="0"/>
                      <w:sz w:val="14"/>
                      <w:szCs w:val="14"/>
                    </w:rPr>
                    <w:lastRenderedPageBreak/>
                    <w:t>Información</w:t>
                  </w:r>
                </w:p>
              </w:tc>
              <w:tc>
                <w:tcPr>
                  <w:tcW w:w="985" w:type="pct"/>
                  <w:shd w:val="clear" w:color="auto" w:fill="A6A6A6" w:themeFill="background1" w:themeFillShade="A6"/>
                  <w:vAlign w:val="center"/>
                </w:tcPr>
                <w:p w14:paraId="09A8D4CC" w14:textId="77777777" w:rsidR="00167A43" w:rsidRPr="009C3F59" w:rsidRDefault="00167A43" w:rsidP="00597DFB">
                  <w:pPr>
                    <w:pStyle w:val="Ttulo5"/>
                    <w:outlineLvl w:val="4"/>
                    <w:rPr>
                      <w:rFonts w:asciiTheme="majorHAnsi" w:hAnsiTheme="majorHAnsi" w:cstheme="majorHAnsi"/>
                      <w:b w:val="0"/>
                      <w:sz w:val="14"/>
                      <w:szCs w:val="14"/>
                    </w:rPr>
                  </w:pPr>
                  <w:r w:rsidRPr="009C3F59">
                    <w:rPr>
                      <w:rFonts w:asciiTheme="majorHAnsi" w:hAnsiTheme="majorHAnsi" w:cstheme="majorHAnsi"/>
                      <w:sz w:val="14"/>
                      <w:szCs w:val="14"/>
                    </w:rPr>
                    <w:t>Periodicidad</w:t>
                  </w:r>
                </w:p>
              </w:tc>
              <w:tc>
                <w:tcPr>
                  <w:tcW w:w="1082" w:type="pct"/>
                  <w:shd w:val="clear" w:color="auto" w:fill="A6A6A6" w:themeFill="background1" w:themeFillShade="A6"/>
                  <w:vAlign w:val="center"/>
                </w:tcPr>
                <w:p w14:paraId="2CF856ED" w14:textId="77777777" w:rsidR="00167A43" w:rsidRPr="009C3F59" w:rsidRDefault="00167A43" w:rsidP="00597DFB">
                  <w:pPr>
                    <w:widowControl w:val="0"/>
                    <w:jc w:val="center"/>
                    <w:rPr>
                      <w:rFonts w:asciiTheme="majorHAnsi" w:hAnsiTheme="majorHAnsi" w:cstheme="majorHAnsi"/>
                      <w:b/>
                      <w:i/>
                      <w:snapToGrid w:val="0"/>
                      <w:sz w:val="14"/>
                      <w:szCs w:val="14"/>
                    </w:rPr>
                  </w:pPr>
                  <w:r w:rsidRPr="009C3F59">
                    <w:rPr>
                      <w:rFonts w:asciiTheme="majorHAnsi" w:hAnsiTheme="majorHAnsi" w:cstheme="majorHAnsi"/>
                      <w:b/>
                      <w:i/>
                      <w:snapToGrid w:val="0"/>
                      <w:sz w:val="14"/>
                      <w:szCs w:val="14"/>
                    </w:rPr>
                    <w:t>Plazo de entrega</w:t>
                  </w:r>
                </w:p>
              </w:tc>
              <w:tc>
                <w:tcPr>
                  <w:tcW w:w="1526" w:type="pct"/>
                  <w:shd w:val="clear" w:color="auto" w:fill="A6A6A6" w:themeFill="background1" w:themeFillShade="A6"/>
                  <w:vAlign w:val="center"/>
                </w:tcPr>
                <w:p w14:paraId="4E2B7A25" w14:textId="77777777" w:rsidR="00167A43" w:rsidRPr="009C3F59" w:rsidRDefault="00167A43" w:rsidP="00597DFB">
                  <w:pPr>
                    <w:widowControl w:val="0"/>
                    <w:jc w:val="center"/>
                    <w:rPr>
                      <w:rFonts w:asciiTheme="majorHAnsi" w:hAnsiTheme="majorHAnsi" w:cstheme="majorHAnsi"/>
                      <w:b/>
                      <w:i/>
                      <w:snapToGrid w:val="0"/>
                      <w:sz w:val="14"/>
                      <w:szCs w:val="14"/>
                    </w:rPr>
                  </w:pPr>
                  <w:r w:rsidRPr="009C3F59">
                    <w:rPr>
                      <w:rFonts w:asciiTheme="majorHAnsi" w:hAnsiTheme="majorHAnsi" w:cstheme="majorHAnsi"/>
                      <w:b/>
                      <w:i/>
                      <w:snapToGrid w:val="0"/>
                      <w:sz w:val="14"/>
                      <w:szCs w:val="14"/>
                    </w:rPr>
                    <w:t>Medio</w:t>
                  </w:r>
                </w:p>
              </w:tc>
            </w:tr>
            <w:tr w:rsidR="00167A43" w:rsidRPr="009C3F59" w14:paraId="31825D6E" w14:textId="77777777" w:rsidTr="00597DFB">
              <w:trPr>
                <w:cantSplit/>
                <w:trHeight w:val="235"/>
                <w:jc w:val="center"/>
              </w:trPr>
              <w:tc>
                <w:tcPr>
                  <w:tcW w:w="1406" w:type="pct"/>
                </w:tcPr>
                <w:p w14:paraId="2A359FA0" w14:textId="77777777" w:rsidR="00167A43" w:rsidRPr="009C3F59" w:rsidRDefault="00167A43" w:rsidP="00597DFB">
                  <w:pPr>
                    <w:widowControl w:val="0"/>
                    <w:jc w:val="both"/>
                    <w:rPr>
                      <w:rFonts w:asciiTheme="majorHAnsi" w:hAnsiTheme="majorHAnsi" w:cstheme="majorHAnsi"/>
                      <w:b/>
                      <w:sz w:val="14"/>
                      <w:szCs w:val="14"/>
                    </w:rPr>
                  </w:pPr>
                  <w:r w:rsidRPr="009C3F59">
                    <w:rPr>
                      <w:rFonts w:asciiTheme="majorHAnsi" w:hAnsiTheme="majorHAnsi" w:cstheme="majorHAnsi"/>
                      <w:b/>
                      <w:sz w:val="14"/>
                      <w:szCs w:val="14"/>
                    </w:rPr>
                    <w:t>…</w:t>
                  </w:r>
                </w:p>
              </w:tc>
              <w:tc>
                <w:tcPr>
                  <w:tcW w:w="985" w:type="pct"/>
                </w:tcPr>
                <w:p w14:paraId="66397BFD" w14:textId="77777777" w:rsidR="00167A43" w:rsidRPr="009C3F59" w:rsidRDefault="00167A43" w:rsidP="00597DFB">
                  <w:pPr>
                    <w:widowControl w:val="0"/>
                    <w:jc w:val="both"/>
                    <w:rPr>
                      <w:rFonts w:asciiTheme="majorHAnsi" w:hAnsiTheme="majorHAnsi" w:cstheme="majorHAnsi"/>
                      <w:b/>
                      <w:strike/>
                      <w:snapToGrid w:val="0"/>
                      <w:sz w:val="14"/>
                      <w:szCs w:val="14"/>
                    </w:rPr>
                  </w:pPr>
                  <w:r w:rsidRPr="009C3F59">
                    <w:rPr>
                      <w:rFonts w:asciiTheme="majorHAnsi" w:hAnsiTheme="majorHAnsi" w:cstheme="majorHAnsi"/>
                      <w:b/>
                      <w:sz w:val="14"/>
                      <w:szCs w:val="14"/>
                    </w:rPr>
                    <w:t>…</w:t>
                  </w:r>
                </w:p>
              </w:tc>
              <w:tc>
                <w:tcPr>
                  <w:tcW w:w="1082" w:type="pct"/>
                </w:tcPr>
                <w:p w14:paraId="465681F6" w14:textId="77777777" w:rsidR="00167A43" w:rsidRPr="009C3F59" w:rsidRDefault="00167A43" w:rsidP="00597DFB">
                  <w:pPr>
                    <w:widowControl w:val="0"/>
                    <w:jc w:val="both"/>
                    <w:rPr>
                      <w:rFonts w:asciiTheme="majorHAnsi" w:hAnsiTheme="majorHAnsi" w:cstheme="majorHAnsi"/>
                      <w:bCs/>
                      <w:sz w:val="14"/>
                      <w:szCs w:val="14"/>
                    </w:rPr>
                  </w:pPr>
                  <w:r w:rsidRPr="009C3F59">
                    <w:rPr>
                      <w:rFonts w:asciiTheme="majorHAnsi" w:hAnsiTheme="majorHAnsi" w:cstheme="majorHAnsi"/>
                      <w:bCs/>
                      <w:sz w:val="14"/>
                      <w:szCs w:val="14"/>
                    </w:rPr>
                    <w:t>…</w:t>
                  </w:r>
                </w:p>
              </w:tc>
              <w:tc>
                <w:tcPr>
                  <w:tcW w:w="1526" w:type="pct"/>
                </w:tcPr>
                <w:p w14:paraId="7FC4872A" w14:textId="77777777" w:rsidR="00167A43" w:rsidRPr="009C3F59" w:rsidRDefault="00167A43" w:rsidP="00597DFB">
                  <w:pPr>
                    <w:widowControl w:val="0"/>
                    <w:jc w:val="both"/>
                    <w:rPr>
                      <w:rFonts w:asciiTheme="majorHAnsi" w:hAnsiTheme="majorHAnsi" w:cstheme="majorHAnsi"/>
                      <w:b/>
                      <w:strike/>
                      <w:snapToGrid w:val="0"/>
                      <w:sz w:val="14"/>
                      <w:szCs w:val="14"/>
                    </w:rPr>
                  </w:pPr>
                  <w:r w:rsidRPr="009C3F59">
                    <w:rPr>
                      <w:rFonts w:asciiTheme="majorHAnsi" w:hAnsiTheme="majorHAnsi" w:cstheme="majorHAnsi"/>
                      <w:b/>
                      <w:sz w:val="14"/>
                      <w:szCs w:val="14"/>
                    </w:rPr>
                    <w:t>…</w:t>
                  </w:r>
                </w:p>
              </w:tc>
            </w:tr>
            <w:tr w:rsidR="00167A43" w:rsidRPr="009C3F59" w14:paraId="15460F8C" w14:textId="77777777" w:rsidTr="00597DFB">
              <w:trPr>
                <w:cantSplit/>
                <w:trHeight w:val="2862"/>
                <w:jc w:val="center"/>
              </w:trPr>
              <w:tc>
                <w:tcPr>
                  <w:tcW w:w="1406" w:type="pct"/>
                </w:tcPr>
                <w:p w14:paraId="71471282" w14:textId="77777777" w:rsidR="00167A43" w:rsidRPr="009C3F59" w:rsidRDefault="00167A43" w:rsidP="00597DFB">
                  <w:pPr>
                    <w:widowControl w:val="0"/>
                    <w:jc w:val="both"/>
                    <w:rPr>
                      <w:rFonts w:asciiTheme="majorHAnsi" w:hAnsiTheme="majorHAnsi" w:cstheme="majorHAnsi"/>
                      <w:b/>
                      <w:color w:val="00B0F0"/>
                      <w:sz w:val="14"/>
                      <w:szCs w:val="14"/>
                    </w:rPr>
                  </w:pPr>
                  <w:r w:rsidRPr="009C3F59">
                    <w:rPr>
                      <w:rFonts w:asciiTheme="majorHAnsi" w:hAnsiTheme="majorHAnsi" w:cstheme="majorHAnsi"/>
                      <w:b/>
                      <w:color w:val="00B0F0"/>
                      <w:sz w:val="14"/>
                      <w:szCs w:val="14"/>
                    </w:rPr>
                    <w:t>Modelo 22 SSS:  Siniestralidad del Seguro Obligatorio de Vehículos Automotores</w:t>
                  </w:r>
                </w:p>
              </w:tc>
              <w:tc>
                <w:tcPr>
                  <w:tcW w:w="985" w:type="pct"/>
                </w:tcPr>
                <w:p w14:paraId="4E9E055A" w14:textId="77777777" w:rsidR="00167A43" w:rsidRPr="009C3F59" w:rsidRDefault="00167A43" w:rsidP="00597DFB">
                  <w:pPr>
                    <w:widowControl w:val="0"/>
                    <w:jc w:val="both"/>
                    <w:rPr>
                      <w:rFonts w:asciiTheme="majorHAnsi" w:hAnsiTheme="majorHAnsi" w:cstheme="majorHAnsi"/>
                      <w:color w:val="00B0F0"/>
                      <w:sz w:val="14"/>
                      <w:szCs w:val="14"/>
                    </w:rPr>
                  </w:pPr>
                  <w:r w:rsidRPr="009C3F59">
                    <w:rPr>
                      <w:rFonts w:asciiTheme="majorHAnsi" w:hAnsiTheme="majorHAnsi" w:cstheme="majorHAnsi"/>
                      <w:color w:val="00B0F0"/>
                      <w:sz w:val="14"/>
                      <w:szCs w:val="14"/>
                    </w:rPr>
                    <w:t>Mensual</w:t>
                  </w:r>
                </w:p>
              </w:tc>
              <w:tc>
                <w:tcPr>
                  <w:tcW w:w="1082" w:type="pct"/>
                </w:tcPr>
                <w:p w14:paraId="1F403EEA" w14:textId="77777777" w:rsidR="00167A43" w:rsidRPr="009C3F59" w:rsidRDefault="00167A43" w:rsidP="00597DFB">
                  <w:pPr>
                    <w:widowControl w:val="0"/>
                    <w:ind w:left="53"/>
                    <w:jc w:val="both"/>
                    <w:rPr>
                      <w:rFonts w:asciiTheme="majorHAnsi" w:hAnsiTheme="majorHAnsi" w:cstheme="majorHAnsi"/>
                      <w:color w:val="00B0F0"/>
                      <w:sz w:val="14"/>
                      <w:szCs w:val="14"/>
                    </w:rPr>
                  </w:pPr>
                  <w:r w:rsidRPr="009C3F59">
                    <w:rPr>
                      <w:rFonts w:asciiTheme="majorHAnsi" w:hAnsiTheme="majorHAnsi" w:cstheme="majorHAnsi"/>
                      <w:bCs/>
                      <w:color w:val="00B0F0"/>
                      <w:sz w:val="14"/>
                      <w:szCs w:val="14"/>
                    </w:rPr>
                    <w:t>15 días hábiles después del cierre mensual, según corresponda</w:t>
                  </w:r>
                </w:p>
              </w:tc>
              <w:tc>
                <w:tcPr>
                  <w:tcW w:w="1526" w:type="pct"/>
                </w:tcPr>
                <w:p w14:paraId="183DC89E" w14:textId="7BB8C555" w:rsidR="00167A43" w:rsidRPr="009C3F59" w:rsidRDefault="00167A43" w:rsidP="00597DFB">
                  <w:pPr>
                    <w:widowControl w:val="0"/>
                    <w:jc w:val="both"/>
                    <w:rPr>
                      <w:rFonts w:asciiTheme="majorHAnsi" w:hAnsiTheme="majorHAnsi" w:cstheme="majorHAnsi"/>
                      <w:snapToGrid w:val="0"/>
                      <w:color w:val="00B0F0"/>
                      <w:sz w:val="14"/>
                      <w:szCs w:val="14"/>
                    </w:rPr>
                  </w:pPr>
                  <w:r w:rsidRPr="009C3F59">
                    <w:rPr>
                      <w:rFonts w:asciiTheme="majorHAnsi" w:hAnsiTheme="majorHAnsi" w:cstheme="majorHAnsi"/>
                      <w:snapToGrid w:val="0"/>
                      <w:color w:val="00B0F0"/>
                      <w:sz w:val="14"/>
                      <w:szCs w:val="14"/>
                    </w:rPr>
                    <w:t>Web Service, a través de archivos *.xml, de conformidad con Estándar de Negocio para Entidades de Seguros, incluido en el Anexo 5.</w:t>
                  </w:r>
                </w:p>
              </w:tc>
            </w:tr>
            <w:tr w:rsidR="00167A43" w:rsidRPr="009C3F59" w14:paraId="1183EF0E" w14:textId="77777777" w:rsidTr="00597DFB">
              <w:trPr>
                <w:cantSplit/>
                <w:trHeight w:val="235"/>
                <w:jc w:val="center"/>
              </w:trPr>
              <w:tc>
                <w:tcPr>
                  <w:tcW w:w="1406" w:type="pct"/>
                </w:tcPr>
                <w:p w14:paraId="3BCF1F8A" w14:textId="77777777" w:rsidR="00167A43" w:rsidRPr="009C3F59" w:rsidRDefault="00167A43" w:rsidP="00597DFB">
                  <w:pPr>
                    <w:widowControl w:val="0"/>
                    <w:jc w:val="both"/>
                    <w:rPr>
                      <w:rFonts w:asciiTheme="majorHAnsi" w:hAnsiTheme="majorHAnsi" w:cstheme="majorHAnsi"/>
                      <w:b/>
                      <w:color w:val="00B0F0"/>
                      <w:sz w:val="14"/>
                      <w:szCs w:val="14"/>
                    </w:rPr>
                  </w:pPr>
                  <w:r w:rsidRPr="009C3F59">
                    <w:rPr>
                      <w:rFonts w:asciiTheme="majorHAnsi" w:hAnsiTheme="majorHAnsi" w:cstheme="majorHAnsi"/>
                      <w:b/>
                      <w:sz w:val="14"/>
                      <w:szCs w:val="14"/>
                    </w:rPr>
                    <w:t>…</w:t>
                  </w:r>
                </w:p>
              </w:tc>
              <w:tc>
                <w:tcPr>
                  <w:tcW w:w="985" w:type="pct"/>
                </w:tcPr>
                <w:p w14:paraId="13F9B505" w14:textId="77777777" w:rsidR="00167A43" w:rsidRPr="009C3F59" w:rsidRDefault="00167A43" w:rsidP="00597DFB">
                  <w:pPr>
                    <w:widowControl w:val="0"/>
                    <w:jc w:val="both"/>
                    <w:rPr>
                      <w:rFonts w:asciiTheme="majorHAnsi" w:hAnsiTheme="majorHAnsi" w:cstheme="majorHAnsi"/>
                      <w:color w:val="00B0F0"/>
                      <w:sz w:val="14"/>
                      <w:szCs w:val="14"/>
                    </w:rPr>
                  </w:pPr>
                  <w:r w:rsidRPr="009C3F59">
                    <w:rPr>
                      <w:rFonts w:asciiTheme="majorHAnsi" w:hAnsiTheme="majorHAnsi" w:cstheme="majorHAnsi"/>
                      <w:b/>
                      <w:sz w:val="14"/>
                      <w:szCs w:val="14"/>
                    </w:rPr>
                    <w:t>…</w:t>
                  </w:r>
                </w:p>
              </w:tc>
              <w:tc>
                <w:tcPr>
                  <w:tcW w:w="1082" w:type="pct"/>
                </w:tcPr>
                <w:p w14:paraId="6DA24A05" w14:textId="77777777" w:rsidR="00167A43" w:rsidRPr="009C3F59" w:rsidRDefault="00167A43" w:rsidP="00597DFB">
                  <w:pPr>
                    <w:widowControl w:val="0"/>
                    <w:ind w:left="53"/>
                    <w:jc w:val="both"/>
                    <w:rPr>
                      <w:rFonts w:asciiTheme="majorHAnsi" w:hAnsiTheme="majorHAnsi" w:cstheme="majorHAnsi"/>
                      <w:bCs/>
                      <w:color w:val="00B0F0"/>
                      <w:sz w:val="14"/>
                      <w:szCs w:val="14"/>
                    </w:rPr>
                  </w:pPr>
                  <w:r w:rsidRPr="009C3F59">
                    <w:rPr>
                      <w:rFonts w:asciiTheme="majorHAnsi" w:hAnsiTheme="majorHAnsi" w:cstheme="majorHAnsi"/>
                      <w:bCs/>
                      <w:sz w:val="14"/>
                      <w:szCs w:val="14"/>
                    </w:rPr>
                    <w:t>…</w:t>
                  </w:r>
                </w:p>
              </w:tc>
              <w:tc>
                <w:tcPr>
                  <w:tcW w:w="1526" w:type="pct"/>
                </w:tcPr>
                <w:p w14:paraId="05FE8D6B" w14:textId="77777777" w:rsidR="00167A43" w:rsidRPr="009C3F59" w:rsidRDefault="00167A43" w:rsidP="00597DFB">
                  <w:pPr>
                    <w:widowControl w:val="0"/>
                    <w:jc w:val="both"/>
                    <w:rPr>
                      <w:rFonts w:asciiTheme="majorHAnsi" w:hAnsiTheme="majorHAnsi" w:cstheme="majorHAnsi"/>
                      <w:snapToGrid w:val="0"/>
                      <w:color w:val="00B0F0"/>
                      <w:sz w:val="14"/>
                      <w:szCs w:val="14"/>
                    </w:rPr>
                  </w:pPr>
                  <w:r w:rsidRPr="009C3F59">
                    <w:rPr>
                      <w:rFonts w:asciiTheme="majorHAnsi" w:hAnsiTheme="majorHAnsi" w:cstheme="majorHAnsi"/>
                      <w:b/>
                      <w:sz w:val="14"/>
                      <w:szCs w:val="14"/>
                    </w:rPr>
                    <w:t>…</w:t>
                  </w:r>
                </w:p>
              </w:tc>
            </w:tr>
          </w:tbl>
          <w:p w14:paraId="0D76B3DF" w14:textId="77777777" w:rsidR="00167A43" w:rsidRPr="00597DFB" w:rsidRDefault="00167A43" w:rsidP="00597DFB">
            <w:pPr>
              <w:jc w:val="both"/>
              <w:rPr>
                <w:rFonts w:asciiTheme="majorHAnsi" w:hAnsiTheme="majorHAnsi" w:cstheme="majorHAnsi"/>
                <w:color w:val="000000"/>
                <w:sz w:val="20"/>
                <w:szCs w:val="20"/>
              </w:rPr>
            </w:pPr>
          </w:p>
          <w:p w14:paraId="1DDF25F0" w14:textId="77777777" w:rsidR="00167A43" w:rsidRPr="00597DFB" w:rsidRDefault="00167A43" w:rsidP="00597DFB">
            <w:pPr>
              <w:jc w:val="both"/>
              <w:rPr>
                <w:rFonts w:asciiTheme="majorHAnsi" w:hAnsiTheme="majorHAnsi" w:cstheme="majorHAnsi"/>
                <w:color w:val="000000"/>
                <w:sz w:val="20"/>
                <w:szCs w:val="20"/>
              </w:rPr>
            </w:pPr>
          </w:p>
          <w:p w14:paraId="14BF3D4F" w14:textId="77777777" w:rsidR="00167A43" w:rsidRPr="00597DFB" w:rsidRDefault="00167A43" w:rsidP="00597DFB">
            <w:pPr>
              <w:jc w:val="both"/>
              <w:rPr>
                <w:rFonts w:asciiTheme="majorHAnsi" w:hAnsiTheme="majorHAnsi" w:cstheme="majorHAnsi"/>
                <w:sz w:val="20"/>
                <w:szCs w:val="20"/>
              </w:rPr>
            </w:pPr>
            <w:r w:rsidRPr="00597DFB">
              <w:rPr>
                <w:rFonts w:asciiTheme="majorHAnsi" w:hAnsiTheme="majorHAnsi" w:cstheme="majorHAnsi"/>
                <w:sz w:val="20"/>
                <w:szCs w:val="20"/>
              </w:rPr>
              <w:t>La remisión de los estados financieros intermedios por parte de las aseguradoras y reaseguradoras se tiene por cumplido mediante el envío de los modelos de estados financieros 1, 2 y 4 señalados en este artículo.</w:t>
            </w:r>
          </w:p>
          <w:p w14:paraId="079FC05E" w14:textId="77777777" w:rsidR="00167A43" w:rsidRPr="00597DFB" w:rsidRDefault="00167A43" w:rsidP="00597DFB">
            <w:pPr>
              <w:jc w:val="both"/>
              <w:rPr>
                <w:rFonts w:asciiTheme="majorHAnsi" w:hAnsiTheme="majorHAnsi" w:cstheme="majorHAnsi"/>
                <w:sz w:val="20"/>
                <w:szCs w:val="20"/>
              </w:rPr>
            </w:pPr>
          </w:p>
          <w:p w14:paraId="16A38043" w14:textId="77777777" w:rsidR="00167A43" w:rsidRPr="00597DFB" w:rsidRDefault="00167A43" w:rsidP="00597DFB">
            <w:pPr>
              <w:jc w:val="both"/>
              <w:rPr>
                <w:rFonts w:asciiTheme="majorHAnsi" w:hAnsiTheme="majorHAnsi" w:cstheme="majorHAnsi"/>
                <w:color w:val="000000" w:themeColor="text1"/>
                <w:sz w:val="20"/>
                <w:szCs w:val="20"/>
              </w:rPr>
            </w:pPr>
          </w:p>
          <w:p w14:paraId="197C40F7" w14:textId="77777777" w:rsidR="00167A43" w:rsidRPr="00597DFB" w:rsidRDefault="00167A43" w:rsidP="00597DFB">
            <w:pPr>
              <w:jc w:val="both"/>
              <w:rPr>
                <w:rFonts w:asciiTheme="majorHAnsi" w:hAnsiTheme="majorHAnsi" w:cstheme="majorHAnsi"/>
                <w:color w:val="000000" w:themeColor="text1"/>
                <w:sz w:val="20"/>
                <w:szCs w:val="20"/>
              </w:rPr>
            </w:pPr>
            <w:r w:rsidRPr="00597DFB">
              <w:rPr>
                <w:rFonts w:asciiTheme="majorHAnsi" w:hAnsiTheme="majorHAnsi" w:cstheme="majorHAnsi"/>
                <w:color w:val="000000" w:themeColor="text1"/>
                <w:sz w:val="20"/>
                <w:szCs w:val="20"/>
              </w:rPr>
              <w:t xml:space="preserve">La certificación de ingresos brutos deberá presentarse en la misma fecha en que se remita el informe que contiene la opinión de razonabilidad de los estados financieros auditados, pero deberán ser documentos independientes entre sí. </w:t>
            </w:r>
          </w:p>
          <w:p w14:paraId="4ED5072A" w14:textId="77777777" w:rsidR="00167A43" w:rsidRPr="00597DFB" w:rsidRDefault="00167A43" w:rsidP="00597DFB">
            <w:pPr>
              <w:jc w:val="both"/>
              <w:rPr>
                <w:rFonts w:asciiTheme="majorHAnsi" w:hAnsiTheme="majorHAnsi" w:cstheme="majorHAnsi"/>
                <w:sz w:val="20"/>
                <w:szCs w:val="20"/>
              </w:rPr>
            </w:pPr>
          </w:p>
          <w:p w14:paraId="6CCE83AF" w14:textId="5D80C261" w:rsidR="00167A43" w:rsidRPr="00597DFB" w:rsidRDefault="00167A43" w:rsidP="00597DFB">
            <w:pPr>
              <w:jc w:val="both"/>
              <w:rPr>
                <w:rFonts w:asciiTheme="majorHAnsi" w:hAnsiTheme="majorHAnsi" w:cstheme="majorHAnsi"/>
                <w:b/>
                <w:bCs/>
                <w:color w:val="000000"/>
                <w:sz w:val="20"/>
                <w:szCs w:val="20"/>
              </w:rPr>
            </w:pPr>
            <w:r w:rsidRPr="00597DFB">
              <w:rPr>
                <w:rFonts w:asciiTheme="majorHAnsi" w:hAnsiTheme="majorHAnsi" w:cstheme="majorHAnsi"/>
                <w:sz w:val="20"/>
                <w:szCs w:val="20"/>
              </w:rPr>
              <w:t xml:space="preserve">La falta de presentación de esta documentación, la presentación fuera de plazo, la remisión incompleta, la presentación en formatos diferentes al establecido, la falta de veracidad de esta o la formulación de estados </w:t>
            </w:r>
            <w:r w:rsidRPr="00597DFB">
              <w:rPr>
                <w:rFonts w:asciiTheme="majorHAnsi" w:hAnsiTheme="majorHAnsi" w:cstheme="majorHAnsi"/>
                <w:sz w:val="20"/>
                <w:szCs w:val="20"/>
              </w:rPr>
              <w:lastRenderedPageBreak/>
              <w:t>que no reflejen la imagen</w:t>
            </w:r>
            <w:r w:rsidRPr="00597DFB">
              <w:rPr>
                <w:rFonts w:asciiTheme="majorHAnsi" w:eastAsia="Calibri" w:hAnsiTheme="majorHAnsi" w:cstheme="majorHAnsi"/>
                <w:sz w:val="20"/>
                <w:szCs w:val="20"/>
              </w:rPr>
              <w:t xml:space="preserve"> </w:t>
            </w:r>
            <w:r w:rsidRPr="00597DFB">
              <w:rPr>
                <w:rFonts w:asciiTheme="majorHAnsi" w:hAnsiTheme="majorHAnsi" w:cstheme="majorHAnsi"/>
                <w:sz w:val="20"/>
                <w:szCs w:val="20"/>
              </w:rPr>
              <w:t>fiel de la entidad al término del ejercicio de referencia, constituyen infracciones a la normativa vigente, y pueden dar lugar a las correspondientes sanciones en los términos previstos en la Ley Reguladora del Mercado de Seguros.</w:t>
            </w:r>
          </w:p>
        </w:tc>
        <w:tc>
          <w:tcPr>
            <w:tcW w:w="869" w:type="pct"/>
            <w:shd w:val="clear" w:color="auto" w:fill="FFFFFF" w:themeFill="background1"/>
          </w:tcPr>
          <w:p w14:paraId="499EB0B5" w14:textId="669B060F"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67EDEB64" w14:textId="50FF20D2" w:rsidR="00167A43" w:rsidRPr="00597DFB" w:rsidRDefault="00167A43" w:rsidP="00597DFB">
            <w:pPr>
              <w:jc w:val="both"/>
              <w:rPr>
                <w:rFonts w:asciiTheme="majorHAnsi" w:hAnsiTheme="majorHAnsi" w:cstheme="majorHAnsi"/>
                <w:b/>
                <w:bCs/>
                <w:iCs/>
                <w:sz w:val="20"/>
                <w:szCs w:val="20"/>
              </w:rPr>
            </w:pPr>
          </w:p>
        </w:tc>
        <w:tc>
          <w:tcPr>
            <w:tcW w:w="1784" w:type="pct"/>
          </w:tcPr>
          <w:p w14:paraId="0D516DA9" w14:textId="77777777" w:rsidR="00167A43" w:rsidRPr="00597DFB" w:rsidRDefault="00167A43" w:rsidP="00597DFB">
            <w:pPr>
              <w:rPr>
                <w:rFonts w:asciiTheme="majorHAnsi" w:hAnsiTheme="majorHAnsi" w:cstheme="majorHAnsi"/>
                <w:b/>
                <w:sz w:val="20"/>
                <w:szCs w:val="20"/>
              </w:rPr>
            </w:pPr>
            <w:r w:rsidRPr="00597DFB">
              <w:rPr>
                <w:rFonts w:asciiTheme="majorHAnsi" w:hAnsiTheme="majorHAnsi" w:cstheme="majorHAnsi"/>
                <w:b/>
                <w:sz w:val="20"/>
                <w:szCs w:val="20"/>
              </w:rPr>
              <w:t xml:space="preserve">Artículo 2. Información que deben Enviar las Entidades de Seguros, Periodicidad, Plazo y Medio de Remisión </w:t>
            </w:r>
          </w:p>
          <w:p w14:paraId="07E8B53B" w14:textId="77777777" w:rsidR="00167A43" w:rsidRPr="00597DFB" w:rsidRDefault="00167A43" w:rsidP="009C3F59">
            <w:pPr>
              <w:jc w:val="both"/>
              <w:rPr>
                <w:rFonts w:asciiTheme="majorHAnsi" w:hAnsiTheme="majorHAnsi" w:cstheme="majorHAnsi"/>
                <w:sz w:val="20"/>
                <w:szCs w:val="20"/>
              </w:rPr>
            </w:pPr>
            <w:r w:rsidRPr="00597DFB">
              <w:rPr>
                <w:rFonts w:asciiTheme="majorHAnsi" w:hAnsiTheme="majorHAnsi" w:cstheme="majorHAnsi"/>
                <w:sz w:val="20"/>
                <w:szCs w:val="20"/>
              </w:rPr>
              <w:t>Las entidades de seguros supervisadas deben remitir a la Superintendencia la siguiente información, en las condiciones que se indican a continuación:</w:t>
            </w:r>
          </w:p>
          <w:p w14:paraId="057D3AD4" w14:textId="77777777" w:rsidR="00167A43" w:rsidRPr="00597DFB" w:rsidRDefault="00167A43" w:rsidP="00597DFB">
            <w:pPr>
              <w:rPr>
                <w:rFonts w:asciiTheme="majorHAnsi" w:hAnsiTheme="majorHAnsi" w:cstheme="majorHAnsi"/>
                <w:color w:val="000000"/>
                <w:sz w:val="20"/>
                <w:szCs w:val="20"/>
              </w:rPr>
            </w:pPr>
          </w:p>
          <w:tbl>
            <w:tblPr>
              <w:tblStyle w:val="Tablaconcuadrcula"/>
              <w:tblW w:w="3349" w:type="dxa"/>
              <w:jc w:val="center"/>
              <w:tblLayout w:type="fixed"/>
              <w:tblLook w:val="04A0" w:firstRow="1" w:lastRow="0" w:firstColumn="1" w:lastColumn="0" w:noHBand="0" w:noVBand="1"/>
            </w:tblPr>
            <w:tblGrid>
              <w:gridCol w:w="942"/>
              <w:gridCol w:w="660"/>
              <w:gridCol w:w="725"/>
              <w:gridCol w:w="1022"/>
            </w:tblGrid>
            <w:tr w:rsidR="00167A43" w:rsidRPr="009C3F59" w14:paraId="3C64C10B" w14:textId="77777777" w:rsidTr="00597DFB">
              <w:trPr>
                <w:cantSplit/>
                <w:trHeight w:val="426"/>
                <w:tblHeader/>
                <w:jc w:val="center"/>
              </w:trPr>
              <w:tc>
                <w:tcPr>
                  <w:tcW w:w="1406" w:type="pct"/>
                  <w:shd w:val="clear" w:color="auto" w:fill="A6A6A6" w:themeFill="background1" w:themeFillShade="A6"/>
                  <w:vAlign w:val="center"/>
                </w:tcPr>
                <w:p w14:paraId="304698CE" w14:textId="77777777" w:rsidR="00167A43" w:rsidRPr="009C3F59" w:rsidRDefault="00167A43" w:rsidP="00597DFB">
                  <w:pPr>
                    <w:widowControl w:val="0"/>
                    <w:rPr>
                      <w:rFonts w:asciiTheme="majorHAnsi" w:hAnsiTheme="majorHAnsi" w:cstheme="majorHAnsi"/>
                      <w:b/>
                      <w:i/>
                      <w:snapToGrid w:val="0"/>
                      <w:sz w:val="14"/>
                      <w:szCs w:val="14"/>
                    </w:rPr>
                  </w:pPr>
                  <w:r w:rsidRPr="009C3F59">
                    <w:rPr>
                      <w:rFonts w:asciiTheme="majorHAnsi" w:hAnsiTheme="majorHAnsi" w:cstheme="majorHAnsi"/>
                      <w:b/>
                      <w:i/>
                      <w:snapToGrid w:val="0"/>
                      <w:sz w:val="14"/>
                      <w:szCs w:val="14"/>
                    </w:rPr>
                    <w:lastRenderedPageBreak/>
                    <w:t>Información</w:t>
                  </w:r>
                </w:p>
              </w:tc>
              <w:tc>
                <w:tcPr>
                  <w:tcW w:w="985" w:type="pct"/>
                  <w:shd w:val="clear" w:color="auto" w:fill="A6A6A6" w:themeFill="background1" w:themeFillShade="A6"/>
                  <w:vAlign w:val="center"/>
                </w:tcPr>
                <w:p w14:paraId="1F60DCBF" w14:textId="77777777" w:rsidR="00167A43" w:rsidRPr="009C3F59" w:rsidRDefault="00167A43" w:rsidP="00597DFB">
                  <w:pPr>
                    <w:pStyle w:val="Ttulo5"/>
                    <w:jc w:val="left"/>
                    <w:outlineLvl w:val="4"/>
                    <w:rPr>
                      <w:rFonts w:asciiTheme="majorHAnsi" w:hAnsiTheme="majorHAnsi" w:cstheme="majorHAnsi"/>
                      <w:b w:val="0"/>
                      <w:sz w:val="14"/>
                      <w:szCs w:val="14"/>
                    </w:rPr>
                  </w:pPr>
                  <w:r w:rsidRPr="009C3F59">
                    <w:rPr>
                      <w:rFonts w:asciiTheme="majorHAnsi" w:hAnsiTheme="majorHAnsi" w:cstheme="majorHAnsi"/>
                      <w:sz w:val="14"/>
                      <w:szCs w:val="14"/>
                    </w:rPr>
                    <w:t>Periodicidad</w:t>
                  </w:r>
                </w:p>
              </w:tc>
              <w:tc>
                <w:tcPr>
                  <w:tcW w:w="1082" w:type="pct"/>
                  <w:shd w:val="clear" w:color="auto" w:fill="A6A6A6" w:themeFill="background1" w:themeFillShade="A6"/>
                  <w:vAlign w:val="center"/>
                </w:tcPr>
                <w:p w14:paraId="620150EB" w14:textId="77777777" w:rsidR="00167A43" w:rsidRPr="009C3F59" w:rsidRDefault="00167A43" w:rsidP="00597DFB">
                  <w:pPr>
                    <w:widowControl w:val="0"/>
                    <w:rPr>
                      <w:rFonts w:asciiTheme="majorHAnsi" w:hAnsiTheme="majorHAnsi" w:cstheme="majorHAnsi"/>
                      <w:b/>
                      <w:i/>
                      <w:snapToGrid w:val="0"/>
                      <w:sz w:val="14"/>
                      <w:szCs w:val="14"/>
                    </w:rPr>
                  </w:pPr>
                  <w:r w:rsidRPr="009C3F59">
                    <w:rPr>
                      <w:rFonts w:asciiTheme="majorHAnsi" w:hAnsiTheme="majorHAnsi" w:cstheme="majorHAnsi"/>
                      <w:b/>
                      <w:i/>
                      <w:snapToGrid w:val="0"/>
                      <w:sz w:val="14"/>
                      <w:szCs w:val="14"/>
                    </w:rPr>
                    <w:t>Plazo de entrega</w:t>
                  </w:r>
                </w:p>
              </w:tc>
              <w:tc>
                <w:tcPr>
                  <w:tcW w:w="1526" w:type="pct"/>
                  <w:shd w:val="clear" w:color="auto" w:fill="A6A6A6" w:themeFill="background1" w:themeFillShade="A6"/>
                  <w:vAlign w:val="center"/>
                </w:tcPr>
                <w:p w14:paraId="678A36CA" w14:textId="77777777" w:rsidR="00167A43" w:rsidRPr="009C3F59" w:rsidRDefault="00167A43" w:rsidP="00597DFB">
                  <w:pPr>
                    <w:widowControl w:val="0"/>
                    <w:rPr>
                      <w:rFonts w:asciiTheme="majorHAnsi" w:hAnsiTheme="majorHAnsi" w:cstheme="majorHAnsi"/>
                      <w:b/>
                      <w:i/>
                      <w:snapToGrid w:val="0"/>
                      <w:sz w:val="14"/>
                      <w:szCs w:val="14"/>
                    </w:rPr>
                  </w:pPr>
                  <w:r w:rsidRPr="009C3F59">
                    <w:rPr>
                      <w:rFonts w:asciiTheme="majorHAnsi" w:hAnsiTheme="majorHAnsi" w:cstheme="majorHAnsi"/>
                      <w:b/>
                      <w:i/>
                      <w:snapToGrid w:val="0"/>
                      <w:sz w:val="14"/>
                      <w:szCs w:val="14"/>
                    </w:rPr>
                    <w:t>Medio</w:t>
                  </w:r>
                </w:p>
              </w:tc>
            </w:tr>
            <w:tr w:rsidR="00167A43" w:rsidRPr="009C3F59" w14:paraId="45DA3A2D" w14:textId="77777777" w:rsidTr="00597DFB">
              <w:trPr>
                <w:cantSplit/>
                <w:trHeight w:val="235"/>
                <w:jc w:val="center"/>
              </w:trPr>
              <w:tc>
                <w:tcPr>
                  <w:tcW w:w="1406" w:type="pct"/>
                </w:tcPr>
                <w:p w14:paraId="004E9ECA" w14:textId="77777777" w:rsidR="00167A43" w:rsidRPr="009C3F59" w:rsidRDefault="00167A43" w:rsidP="00597DFB">
                  <w:pPr>
                    <w:widowControl w:val="0"/>
                    <w:rPr>
                      <w:rFonts w:asciiTheme="majorHAnsi" w:hAnsiTheme="majorHAnsi" w:cstheme="majorHAnsi"/>
                      <w:b/>
                      <w:sz w:val="14"/>
                      <w:szCs w:val="14"/>
                    </w:rPr>
                  </w:pPr>
                  <w:r w:rsidRPr="009C3F59">
                    <w:rPr>
                      <w:rFonts w:asciiTheme="majorHAnsi" w:hAnsiTheme="majorHAnsi" w:cstheme="majorHAnsi"/>
                      <w:b/>
                      <w:sz w:val="14"/>
                      <w:szCs w:val="14"/>
                    </w:rPr>
                    <w:t>…</w:t>
                  </w:r>
                </w:p>
              </w:tc>
              <w:tc>
                <w:tcPr>
                  <w:tcW w:w="985" w:type="pct"/>
                </w:tcPr>
                <w:p w14:paraId="632E4C0D" w14:textId="77777777" w:rsidR="00167A43" w:rsidRPr="009C3F59" w:rsidRDefault="00167A43" w:rsidP="00597DFB">
                  <w:pPr>
                    <w:widowControl w:val="0"/>
                    <w:rPr>
                      <w:rFonts w:asciiTheme="majorHAnsi" w:hAnsiTheme="majorHAnsi" w:cstheme="majorHAnsi"/>
                      <w:b/>
                      <w:strike/>
                      <w:snapToGrid w:val="0"/>
                      <w:sz w:val="14"/>
                      <w:szCs w:val="14"/>
                    </w:rPr>
                  </w:pPr>
                  <w:r w:rsidRPr="009C3F59">
                    <w:rPr>
                      <w:rFonts w:asciiTheme="majorHAnsi" w:hAnsiTheme="majorHAnsi" w:cstheme="majorHAnsi"/>
                      <w:b/>
                      <w:sz w:val="14"/>
                      <w:szCs w:val="14"/>
                    </w:rPr>
                    <w:t>…</w:t>
                  </w:r>
                </w:p>
              </w:tc>
              <w:tc>
                <w:tcPr>
                  <w:tcW w:w="1082" w:type="pct"/>
                </w:tcPr>
                <w:p w14:paraId="0228700F" w14:textId="77777777" w:rsidR="00167A43" w:rsidRPr="009C3F59" w:rsidRDefault="00167A43" w:rsidP="00597DFB">
                  <w:pPr>
                    <w:widowControl w:val="0"/>
                    <w:rPr>
                      <w:rFonts w:asciiTheme="majorHAnsi" w:hAnsiTheme="majorHAnsi" w:cstheme="majorHAnsi"/>
                      <w:bCs/>
                      <w:sz w:val="14"/>
                      <w:szCs w:val="14"/>
                    </w:rPr>
                  </w:pPr>
                  <w:r w:rsidRPr="009C3F59">
                    <w:rPr>
                      <w:rFonts w:asciiTheme="majorHAnsi" w:hAnsiTheme="majorHAnsi" w:cstheme="majorHAnsi"/>
                      <w:bCs/>
                      <w:sz w:val="14"/>
                      <w:szCs w:val="14"/>
                    </w:rPr>
                    <w:t>…</w:t>
                  </w:r>
                </w:p>
              </w:tc>
              <w:tc>
                <w:tcPr>
                  <w:tcW w:w="1526" w:type="pct"/>
                </w:tcPr>
                <w:p w14:paraId="645FAF70" w14:textId="77777777" w:rsidR="00167A43" w:rsidRPr="009C3F59" w:rsidRDefault="00167A43" w:rsidP="00597DFB">
                  <w:pPr>
                    <w:widowControl w:val="0"/>
                    <w:rPr>
                      <w:rFonts w:asciiTheme="majorHAnsi" w:hAnsiTheme="majorHAnsi" w:cstheme="majorHAnsi"/>
                      <w:b/>
                      <w:strike/>
                      <w:snapToGrid w:val="0"/>
                      <w:sz w:val="14"/>
                      <w:szCs w:val="14"/>
                    </w:rPr>
                  </w:pPr>
                  <w:r w:rsidRPr="009C3F59">
                    <w:rPr>
                      <w:rFonts w:asciiTheme="majorHAnsi" w:hAnsiTheme="majorHAnsi" w:cstheme="majorHAnsi"/>
                      <w:b/>
                      <w:sz w:val="14"/>
                      <w:szCs w:val="14"/>
                    </w:rPr>
                    <w:t>…</w:t>
                  </w:r>
                </w:p>
              </w:tc>
            </w:tr>
            <w:tr w:rsidR="00167A43" w:rsidRPr="009C3F59" w14:paraId="6C172177" w14:textId="77777777" w:rsidTr="00597DFB">
              <w:trPr>
                <w:cantSplit/>
                <w:trHeight w:val="2862"/>
                <w:jc w:val="center"/>
              </w:trPr>
              <w:tc>
                <w:tcPr>
                  <w:tcW w:w="1406" w:type="pct"/>
                </w:tcPr>
                <w:p w14:paraId="5FF69CB3" w14:textId="77777777" w:rsidR="00167A43" w:rsidRPr="009C3F59" w:rsidRDefault="00167A43" w:rsidP="00597DFB">
                  <w:pPr>
                    <w:widowControl w:val="0"/>
                    <w:rPr>
                      <w:rFonts w:asciiTheme="majorHAnsi" w:hAnsiTheme="majorHAnsi" w:cstheme="majorHAnsi"/>
                      <w:b/>
                      <w:color w:val="000000" w:themeColor="text1"/>
                      <w:sz w:val="14"/>
                      <w:szCs w:val="14"/>
                    </w:rPr>
                  </w:pPr>
                  <w:r w:rsidRPr="009C3F59">
                    <w:rPr>
                      <w:rFonts w:asciiTheme="majorHAnsi" w:hAnsiTheme="majorHAnsi" w:cstheme="majorHAnsi"/>
                      <w:b/>
                      <w:color w:val="000000" w:themeColor="text1"/>
                      <w:sz w:val="14"/>
                      <w:szCs w:val="14"/>
                    </w:rPr>
                    <w:t>Modelo 22 SSS:  Siniestralidad del Seguro Obligatorio de Vehículos Automotores</w:t>
                  </w:r>
                </w:p>
              </w:tc>
              <w:tc>
                <w:tcPr>
                  <w:tcW w:w="985" w:type="pct"/>
                </w:tcPr>
                <w:p w14:paraId="12E65C64" w14:textId="77777777" w:rsidR="00167A43" w:rsidRPr="009C3F59" w:rsidRDefault="00167A43" w:rsidP="00597DFB">
                  <w:pPr>
                    <w:widowControl w:val="0"/>
                    <w:rPr>
                      <w:rFonts w:asciiTheme="majorHAnsi" w:hAnsiTheme="majorHAnsi" w:cstheme="majorHAnsi"/>
                      <w:color w:val="000000" w:themeColor="text1"/>
                      <w:sz w:val="14"/>
                      <w:szCs w:val="14"/>
                    </w:rPr>
                  </w:pPr>
                  <w:r w:rsidRPr="009C3F59">
                    <w:rPr>
                      <w:rFonts w:asciiTheme="majorHAnsi" w:hAnsiTheme="majorHAnsi" w:cstheme="majorHAnsi"/>
                      <w:color w:val="000000" w:themeColor="text1"/>
                      <w:sz w:val="14"/>
                      <w:szCs w:val="14"/>
                    </w:rPr>
                    <w:t>Mensual</w:t>
                  </w:r>
                </w:p>
              </w:tc>
              <w:tc>
                <w:tcPr>
                  <w:tcW w:w="1082" w:type="pct"/>
                </w:tcPr>
                <w:p w14:paraId="2A73283E" w14:textId="77777777" w:rsidR="00167A43" w:rsidRPr="009C3F59" w:rsidRDefault="00167A43" w:rsidP="00597DFB">
                  <w:pPr>
                    <w:widowControl w:val="0"/>
                    <w:ind w:left="53"/>
                    <w:rPr>
                      <w:rFonts w:asciiTheme="majorHAnsi" w:hAnsiTheme="majorHAnsi" w:cstheme="majorHAnsi"/>
                      <w:color w:val="000000" w:themeColor="text1"/>
                      <w:sz w:val="14"/>
                      <w:szCs w:val="14"/>
                    </w:rPr>
                  </w:pPr>
                  <w:r w:rsidRPr="009C3F59">
                    <w:rPr>
                      <w:rFonts w:asciiTheme="majorHAnsi" w:hAnsiTheme="majorHAnsi" w:cstheme="majorHAnsi"/>
                      <w:bCs/>
                      <w:color w:val="000000" w:themeColor="text1"/>
                      <w:sz w:val="14"/>
                      <w:szCs w:val="14"/>
                    </w:rPr>
                    <w:t>15 días hábiles después del cierre mensual, según corresponda</w:t>
                  </w:r>
                </w:p>
              </w:tc>
              <w:tc>
                <w:tcPr>
                  <w:tcW w:w="1526" w:type="pct"/>
                </w:tcPr>
                <w:p w14:paraId="1EDBAA0B" w14:textId="77777777" w:rsidR="00167A43" w:rsidRPr="009C3F59" w:rsidRDefault="00167A43" w:rsidP="00597DFB">
                  <w:pPr>
                    <w:widowControl w:val="0"/>
                    <w:rPr>
                      <w:rFonts w:asciiTheme="majorHAnsi" w:hAnsiTheme="majorHAnsi" w:cstheme="majorHAnsi"/>
                      <w:snapToGrid w:val="0"/>
                      <w:color w:val="000000" w:themeColor="text1"/>
                      <w:sz w:val="14"/>
                      <w:szCs w:val="14"/>
                    </w:rPr>
                  </w:pPr>
                  <w:r w:rsidRPr="009C3F59">
                    <w:rPr>
                      <w:rFonts w:asciiTheme="majorHAnsi" w:hAnsiTheme="majorHAnsi" w:cstheme="majorHAnsi"/>
                      <w:snapToGrid w:val="0"/>
                      <w:color w:val="000000" w:themeColor="text1"/>
                      <w:sz w:val="14"/>
                      <w:szCs w:val="14"/>
                    </w:rPr>
                    <w:t>Web Service, a través de archivos *.xml, de conformidad con Estándar de Negocio para Entidades de Seguros, incluido en el Anexo 5.</w:t>
                  </w:r>
                </w:p>
              </w:tc>
            </w:tr>
            <w:tr w:rsidR="00167A43" w:rsidRPr="009C3F59" w14:paraId="72B8C8F1" w14:textId="77777777" w:rsidTr="00597DFB">
              <w:trPr>
                <w:cantSplit/>
                <w:trHeight w:val="235"/>
                <w:jc w:val="center"/>
              </w:trPr>
              <w:tc>
                <w:tcPr>
                  <w:tcW w:w="1406" w:type="pct"/>
                </w:tcPr>
                <w:p w14:paraId="4E6BB848" w14:textId="77777777" w:rsidR="00167A43" w:rsidRPr="009C3F59" w:rsidRDefault="00167A43" w:rsidP="00597DFB">
                  <w:pPr>
                    <w:widowControl w:val="0"/>
                    <w:rPr>
                      <w:rFonts w:asciiTheme="majorHAnsi" w:hAnsiTheme="majorHAnsi" w:cstheme="majorHAnsi"/>
                      <w:b/>
                      <w:color w:val="00B0F0"/>
                      <w:sz w:val="14"/>
                      <w:szCs w:val="14"/>
                    </w:rPr>
                  </w:pPr>
                  <w:r w:rsidRPr="009C3F59">
                    <w:rPr>
                      <w:rFonts w:asciiTheme="majorHAnsi" w:hAnsiTheme="majorHAnsi" w:cstheme="majorHAnsi"/>
                      <w:b/>
                      <w:sz w:val="14"/>
                      <w:szCs w:val="14"/>
                    </w:rPr>
                    <w:t>…</w:t>
                  </w:r>
                </w:p>
              </w:tc>
              <w:tc>
                <w:tcPr>
                  <w:tcW w:w="985" w:type="pct"/>
                </w:tcPr>
                <w:p w14:paraId="15898B49" w14:textId="77777777" w:rsidR="00167A43" w:rsidRPr="009C3F59" w:rsidRDefault="00167A43" w:rsidP="00597DFB">
                  <w:pPr>
                    <w:widowControl w:val="0"/>
                    <w:rPr>
                      <w:rFonts w:asciiTheme="majorHAnsi" w:hAnsiTheme="majorHAnsi" w:cstheme="majorHAnsi"/>
                      <w:color w:val="00B0F0"/>
                      <w:sz w:val="14"/>
                      <w:szCs w:val="14"/>
                    </w:rPr>
                  </w:pPr>
                  <w:r w:rsidRPr="009C3F59">
                    <w:rPr>
                      <w:rFonts w:asciiTheme="majorHAnsi" w:hAnsiTheme="majorHAnsi" w:cstheme="majorHAnsi"/>
                      <w:b/>
                      <w:sz w:val="14"/>
                      <w:szCs w:val="14"/>
                    </w:rPr>
                    <w:t>…</w:t>
                  </w:r>
                </w:p>
              </w:tc>
              <w:tc>
                <w:tcPr>
                  <w:tcW w:w="1082" w:type="pct"/>
                </w:tcPr>
                <w:p w14:paraId="58B11CED" w14:textId="77777777" w:rsidR="00167A43" w:rsidRPr="009C3F59" w:rsidRDefault="00167A43" w:rsidP="00597DFB">
                  <w:pPr>
                    <w:widowControl w:val="0"/>
                    <w:ind w:left="53"/>
                    <w:rPr>
                      <w:rFonts w:asciiTheme="majorHAnsi" w:hAnsiTheme="majorHAnsi" w:cstheme="majorHAnsi"/>
                      <w:bCs/>
                      <w:color w:val="00B0F0"/>
                      <w:sz w:val="14"/>
                      <w:szCs w:val="14"/>
                    </w:rPr>
                  </w:pPr>
                  <w:r w:rsidRPr="009C3F59">
                    <w:rPr>
                      <w:rFonts w:asciiTheme="majorHAnsi" w:hAnsiTheme="majorHAnsi" w:cstheme="majorHAnsi"/>
                      <w:bCs/>
                      <w:sz w:val="14"/>
                      <w:szCs w:val="14"/>
                    </w:rPr>
                    <w:t>…</w:t>
                  </w:r>
                </w:p>
              </w:tc>
              <w:tc>
                <w:tcPr>
                  <w:tcW w:w="1526" w:type="pct"/>
                </w:tcPr>
                <w:p w14:paraId="1DAF8CC9" w14:textId="77777777" w:rsidR="00167A43" w:rsidRPr="009C3F59" w:rsidRDefault="00167A43" w:rsidP="00597DFB">
                  <w:pPr>
                    <w:widowControl w:val="0"/>
                    <w:rPr>
                      <w:rFonts w:asciiTheme="majorHAnsi" w:hAnsiTheme="majorHAnsi" w:cstheme="majorHAnsi"/>
                      <w:snapToGrid w:val="0"/>
                      <w:color w:val="00B0F0"/>
                      <w:sz w:val="14"/>
                      <w:szCs w:val="14"/>
                    </w:rPr>
                  </w:pPr>
                  <w:r w:rsidRPr="009C3F59">
                    <w:rPr>
                      <w:rFonts w:asciiTheme="majorHAnsi" w:hAnsiTheme="majorHAnsi" w:cstheme="majorHAnsi"/>
                      <w:b/>
                      <w:sz w:val="14"/>
                      <w:szCs w:val="14"/>
                    </w:rPr>
                    <w:t>…</w:t>
                  </w:r>
                </w:p>
              </w:tc>
            </w:tr>
          </w:tbl>
          <w:p w14:paraId="3601C228" w14:textId="77777777" w:rsidR="00167A43" w:rsidRPr="00597DFB" w:rsidRDefault="00167A43" w:rsidP="00597DFB">
            <w:pPr>
              <w:rPr>
                <w:rFonts w:asciiTheme="majorHAnsi" w:hAnsiTheme="majorHAnsi" w:cstheme="majorHAnsi"/>
                <w:color w:val="000000"/>
                <w:sz w:val="20"/>
                <w:szCs w:val="20"/>
              </w:rPr>
            </w:pPr>
          </w:p>
          <w:p w14:paraId="7C825510" w14:textId="77777777" w:rsidR="00167A43" w:rsidRPr="00597DFB" w:rsidRDefault="00167A43" w:rsidP="00597DFB">
            <w:pPr>
              <w:rPr>
                <w:rFonts w:asciiTheme="majorHAnsi" w:hAnsiTheme="majorHAnsi" w:cstheme="majorHAnsi"/>
                <w:color w:val="000000"/>
                <w:sz w:val="20"/>
                <w:szCs w:val="20"/>
              </w:rPr>
            </w:pPr>
          </w:p>
          <w:p w14:paraId="2F065387" w14:textId="77777777" w:rsidR="00167A43" w:rsidRPr="00597DFB" w:rsidRDefault="00167A43" w:rsidP="009C3F59">
            <w:pPr>
              <w:jc w:val="both"/>
              <w:rPr>
                <w:rFonts w:asciiTheme="majorHAnsi" w:hAnsiTheme="majorHAnsi" w:cstheme="majorHAnsi"/>
                <w:sz w:val="20"/>
                <w:szCs w:val="20"/>
              </w:rPr>
            </w:pPr>
            <w:r w:rsidRPr="00597DFB">
              <w:rPr>
                <w:rFonts w:asciiTheme="majorHAnsi" w:hAnsiTheme="majorHAnsi" w:cstheme="majorHAnsi"/>
                <w:sz w:val="20"/>
                <w:szCs w:val="20"/>
              </w:rPr>
              <w:t>La remisión de los estados financieros intermedios por parte de las aseguradoras y reaseguradoras se tiene por cumplido mediante el envío de los modelos de estados financieros 1, 2 y 4 señalados en este artículo.</w:t>
            </w:r>
          </w:p>
          <w:p w14:paraId="20BF40AE" w14:textId="77777777" w:rsidR="00167A43" w:rsidRPr="00597DFB" w:rsidRDefault="00167A43" w:rsidP="009C3F59">
            <w:pPr>
              <w:jc w:val="both"/>
              <w:rPr>
                <w:rFonts w:asciiTheme="majorHAnsi" w:hAnsiTheme="majorHAnsi" w:cstheme="majorHAnsi"/>
                <w:sz w:val="20"/>
                <w:szCs w:val="20"/>
              </w:rPr>
            </w:pPr>
          </w:p>
          <w:p w14:paraId="6421167F" w14:textId="77777777" w:rsidR="00167A43" w:rsidRPr="00597DFB" w:rsidRDefault="00167A43" w:rsidP="009C3F59">
            <w:pPr>
              <w:jc w:val="both"/>
              <w:rPr>
                <w:rFonts w:asciiTheme="majorHAnsi" w:hAnsiTheme="majorHAnsi" w:cstheme="majorHAnsi"/>
                <w:color w:val="000000" w:themeColor="text1"/>
                <w:sz w:val="20"/>
                <w:szCs w:val="20"/>
              </w:rPr>
            </w:pPr>
          </w:p>
          <w:p w14:paraId="6468E452" w14:textId="77777777" w:rsidR="00167A43" w:rsidRPr="00597DFB" w:rsidRDefault="00167A43" w:rsidP="009C3F59">
            <w:pPr>
              <w:jc w:val="both"/>
              <w:rPr>
                <w:rFonts w:asciiTheme="majorHAnsi" w:hAnsiTheme="majorHAnsi" w:cstheme="majorHAnsi"/>
                <w:color w:val="000000" w:themeColor="text1"/>
                <w:sz w:val="20"/>
                <w:szCs w:val="20"/>
              </w:rPr>
            </w:pPr>
            <w:r w:rsidRPr="00597DFB">
              <w:rPr>
                <w:rFonts w:asciiTheme="majorHAnsi" w:hAnsiTheme="majorHAnsi" w:cstheme="majorHAnsi"/>
                <w:color w:val="000000" w:themeColor="text1"/>
                <w:sz w:val="20"/>
                <w:szCs w:val="20"/>
              </w:rPr>
              <w:t xml:space="preserve">La certificación de ingresos brutos deberá presentarse en la misma fecha en que se remita el informe que contiene la opinión de razonabilidad de los estados financieros auditados, pero deberán ser documentos independientes entre sí. </w:t>
            </w:r>
          </w:p>
          <w:p w14:paraId="270C03FE" w14:textId="77777777" w:rsidR="00167A43" w:rsidRPr="00597DFB" w:rsidRDefault="00167A43" w:rsidP="00597DFB">
            <w:pPr>
              <w:rPr>
                <w:rFonts w:asciiTheme="majorHAnsi" w:hAnsiTheme="majorHAnsi" w:cstheme="majorHAnsi"/>
                <w:sz w:val="20"/>
                <w:szCs w:val="20"/>
              </w:rPr>
            </w:pPr>
          </w:p>
          <w:p w14:paraId="2D6C3ACA" w14:textId="1301F7D3" w:rsidR="00167A43" w:rsidRPr="00597DFB" w:rsidRDefault="00167A43" w:rsidP="009C3F59">
            <w:pPr>
              <w:jc w:val="both"/>
              <w:rPr>
                <w:rFonts w:asciiTheme="majorHAnsi" w:hAnsiTheme="majorHAnsi" w:cstheme="majorHAnsi"/>
                <w:b/>
                <w:bCs/>
                <w:iCs/>
                <w:sz w:val="20"/>
                <w:szCs w:val="20"/>
              </w:rPr>
            </w:pPr>
            <w:r w:rsidRPr="00597DFB">
              <w:rPr>
                <w:rFonts w:asciiTheme="majorHAnsi" w:hAnsiTheme="majorHAnsi" w:cstheme="majorHAnsi"/>
                <w:sz w:val="20"/>
                <w:szCs w:val="20"/>
              </w:rPr>
              <w:t xml:space="preserve">La falta de presentación de esta documentación, la presentación fuera de plazo, la remisión incompleta, la presentación en formatos diferentes al establecido, la falta de veracidad de esta o la formulación de estados </w:t>
            </w:r>
            <w:r w:rsidRPr="00597DFB">
              <w:rPr>
                <w:rFonts w:asciiTheme="majorHAnsi" w:hAnsiTheme="majorHAnsi" w:cstheme="majorHAnsi"/>
                <w:sz w:val="20"/>
                <w:szCs w:val="20"/>
              </w:rPr>
              <w:lastRenderedPageBreak/>
              <w:t>que no reflejen la imagen</w:t>
            </w:r>
            <w:r w:rsidRPr="00597DFB">
              <w:rPr>
                <w:rFonts w:asciiTheme="majorHAnsi" w:eastAsia="Calibri" w:hAnsiTheme="majorHAnsi" w:cstheme="majorHAnsi"/>
                <w:sz w:val="20"/>
                <w:szCs w:val="20"/>
              </w:rPr>
              <w:t xml:space="preserve"> </w:t>
            </w:r>
            <w:r w:rsidRPr="00597DFB">
              <w:rPr>
                <w:rFonts w:asciiTheme="majorHAnsi" w:hAnsiTheme="majorHAnsi" w:cstheme="majorHAnsi"/>
                <w:sz w:val="20"/>
                <w:szCs w:val="20"/>
              </w:rPr>
              <w:t>fiel de la entidad al término del ejercicio de referencia, constituyen infracciones a la normativa vigente, y pueden dar lugar a las correspondientes sanciones en los términos previstos en la Ley Reguladora del Mercado de Seguros.</w:t>
            </w:r>
          </w:p>
        </w:tc>
      </w:tr>
      <w:tr w:rsidR="00597DFB" w:rsidRPr="00597DFB" w14:paraId="511CFB21" w14:textId="77777777" w:rsidTr="00597DFB">
        <w:tc>
          <w:tcPr>
            <w:tcW w:w="1798" w:type="pct"/>
          </w:tcPr>
          <w:p w14:paraId="54E2BADC" w14:textId="6B9B659C" w:rsidR="00167A43" w:rsidRPr="00597DFB" w:rsidRDefault="00167A43" w:rsidP="00597DFB">
            <w:pPr>
              <w:jc w:val="both"/>
              <w:rPr>
                <w:rFonts w:asciiTheme="majorHAnsi" w:hAnsiTheme="majorHAnsi" w:cstheme="majorHAnsi"/>
                <w:b/>
                <w:i/>
                <w:iCs/>
                <w:sz w:val="20"/>
                <w:szCs w:val="20"/>
              </w:rPr>
            </w:pPr>
            <w:r w:rsidRPr="00597DFB">
              <w:rPr>
                <w:rFonts w:asciiTheme="majorHAnsi" w:eastAsia="Times New Roman" w:hAnsiTheme="majorHAnsi" w:cstheme="majorHAnsi"/>
                <w:b/>
                <w:bCs/>
                <w:sz w:val="20"/>
                <w:szCs w:val="20"/>
                <w:lang w:eastAsia="es-ES"/>
              </w:rPr>
              <w:lastRenderedPageBreak/>
              <w:t>Segundo</w:t>
            </w:r>
            <w:r w:rsidRPr="00597DFB">
              <w:rPr>
                <w:rFonts w:asciiTheme="majorHAnsi" w:eastAsia="Times New Roman" w:hAnsiTheme="majorHAnsi" w:cstheme="majorHAnsi"/>
                <w:sz w:val="20"/>
                <w:szCs w:val="20"/>
                <w:lang w:eastAsia="es-ES"/>
              </w:rPr>
              <w:t xml:space="preserve">: Sustituir el Estándar de Negocio para Entidades de Seguros que se presenta en el Anexo 5 del Acuerdo SGS-DES-A-021-2013 por el siguiente, para incorporar el apartado F en la sección II correspondiente a la Cumplimentación de Modelos:     </w:t>
            </w:r>
          </w:p>
        </w:tc>
        <w:tc>
          <w:tcPr>
            <w:tcW w:w="869" w:type="pct"/>
            <w:shd w:val="clear" w:color="auto" w:fill="FFFFFF" w:themeFill="background1"/>
          </w:tcPr>
          <w:p w14:paraId="1927773F" w14:textId="77777777" w:rsidR="00167A43" w:rsidRPr="00597DFB" w:rsidRDefault="00167A43" w:rsidP="00597DFB">
            <w:pPr>
              <w:jc w:val="both"/>
              <w:rPr>
                <w:rFonts w:asciiTheme="majorHAnsi" w:hAnsiTheme="majorHAnsi" w:cstheme="majorHAnsi"/>
                <w:b/>
                <w:bCs/>
                <w:iCs/>
                <w:sz w:val="20"/>
                <w:szCs w:val="20"/>
              </w:rPr>
            </w:pPr>
          </w:p>
        </w:tc>
        <w:tc>
          <w:tcPr>
            <w:tcW w:w="549" w:type="pct"/>
            <w:shd w:val="clear" w:color="auto" w:fill="FFFFFF" w:themeFill="background1"/>
          </w:tcPr>
          <w:p w14:paraId="1A165FE4" w14:textId="77777777" w:rsidR="00167A43" w:rsidRPr="00597DFB" w:rsidRDefault="00167A43" w:rsidP="00597DFB">
            <w:pPr>
              <w:jc w:val="both"/>
              <w:rPr>
                <w:rFonts w:asciiTheme="majorHAnsi" w:hAnsiTheme="majorHAnsi" w:cstheme="majorHAnsi"/>
                <w:b/>
                <w:bCs/>
                <w:iCs/>
                <w:sz w:val="20"/>
                <w:szCs w:val="20"/>
              </w:rPr>
            </w:pPr>
          </w:p>
        </w:tc>
        <w:tc>
          <w:tcPr>
            <w:tcW w:w="1784" w:type="pct"/>
          </w:tcPr>
          <w:p w14:paraId="6769638D" w14:textId="4D8D173E" w:rsidR="00167A43" w:rsidRPr="00597DFB" w:rsidRDefault="00167A43" w:rsidP="000D4FF4">
            <w:pPr>
              <w:jc w:val="both"/>
              <w:rPr>
                <w:rFonts w:asciiTheme="majorHAnsi" w:hAnsiTheme="majorHAnsi" w:cstheme="majorHAnsi"/>
                <w:b/>
                <w:bCs/>
                <w:iCs/>
                <w:sz w:val="20"/>
                <w:szCs w:val="20"/>
              </w:rPr>
            </w:pPr>
            <w:r w:rsidRPr="00597DFB">
              <w:rPr>
                <w:rFonts w:asciiTheme="majorHAnsi" w:eastAsia="Times New Roman" w:hAnsiTheme="majorHAnsi" w:cstheme="majorHAnsi"/>
                <w:b/>
                <w:bCs/>
                <w:sz w:val="20"/>
                <w:szCs w:val="20"/>
                <w:lang w:eastAsia="es-ES"/>
              </w:rPr>
              <w:t>Segundo</w:t>
            </w:r>
            <w:r w:rsidRPr="00597DFB">
              <w:rPr>
                <w:rFonts w:asciiTheme="majorHAnsi" w:eastAsia="Times New Roman" w:hAnsiTheme="majorHAnsi" w:cstheme="majorHAnsi"/>
                <w:sz w:val="20"/>
                <w:szCs w:val="20"/>
                <w:lang w:eastAsia="es-ES"/>
              </w:rPr>
              <w:t xml:space="preserve">: Sustituir el Estándar de Negocio para Entidades de Seguros que se presenta en el Anexo 5 del Acuerdo SGS-DES-A-021-2013 por el siguiente, para incorporar el apartado F en la sección II correspondiente a la Cumplimentación de Modelos:     </w:t>
            </w:r>
          </w:p>
        </w:tc>
      </w:tr>
      <w:tr w:rsidR="00597DFB" w:rsidRPr="00597DFB" w14:paraId="4721954C" w14:textId="77777777" w:rsidTr="00597DFB">
        <w:tc>
          <w:tcPr>
            <w:tcW w:w="1798" w:type="pct"/>
          </w:tcPr>
          <w:p w14:paraId="6D1668B1" w14:textId="77777777" w:rsidR="00167A43" w:rsidRPr="00597DFB" w:rsidRDefault="00167A43" w:rsidP="00597DFB">
            <w:pPr>
              <w:pStyle w:val="Textoindependiente3"/>
              <w:tabs>
                <w:tab w:val="left" w:pos="857"/>
                <w:tab w:val="left" w:pos="1168"/>
              </w:tabs>
              <w:spacing w:after="0" w:line="240" w:lineRule="auto"/>
              <w:ind w:left="241"/>
              <w:jc w:val="center"/>
              <w:rPr>
                <w:rFonts w:asciiTheme="majorHAnsi" w:hAnsiTheme="majorHAnsi" w:cstheme="majorHAnsi"/>
                <w:b/>
                <w:bCs/>
                <w:sz w:val="20"/>
                <w:szCs w:val="20"/>
              </w:rPr>
            </w:pPr>
            <w:r w:rsidRPr="00597DFB">
              <w:rPr>
                <w:rFonts w:asciiTheme="majorHAnsi" w:hAnsiTheme="majorHAnsi" w:cstheme="majorHAnsi"/>
                <w:b/>
                <w:bCs/>
                <w:sz w:val="20"/>
                <w:szCs w:val="20"/>
              </w:rPr>
              <w:t>ANEXO 5.</w:t>
            </w:r>
          </w:p>
          <w:p w14:paraId="0FBB3E66" w14:textId="77777777" w:rsidR="00167A43" w:rsidRPr="00597DFB" w:rsidRDefault="00167A43" w:rsidP="00597DFB">
            <w:pPr>
              <w:pStyle w:val="Textoindependiente3"/>
              <w:tabs>
                <w:tab w:val="left" w:pos="857"/>
                <w:tab w:val="left" w:pos="1168"/>
              </w:tabs>
              <w:spacing w:after="0" w:line="240" w:lineRule="auto"/>
              <w:jc w:val="center"/>
              <w:rPr>
                <w:rFonts w:asciiTheme="majorHAnsi" w:hAnsiTheme="majorHAnsi" w:cstheme="majorHAnsi"/>
                <w:b/>
                <w:bCs/>
                <w:sz w:val="20"/>
                <w:szCs w:val="20"/>
              </w:rPr>
            </w:pPr>
            <w:r w:rsidRPr="00597DFB">
              <w:rPr>
                <w:rFonts w:asciiTheme="majorHAnsi" w:hAnsiTheme="majorHAnsi" w:cstheme="majorHAnsi"/>
                <w:b/>
                <w:bCs/>
                <w:sz w:val="20"/>
                <w:szCs w:val="20"/>
              </w:rPr>
              <w:t>Estándar de Negocio para Entidades de Seguros</w:t>
            </w:r>
          </w:p>
          <w:p w14:paraId="1D557858" w14:textId="77777777" w:rsidR="00167A43" w:rsidRPr="00597DFB" w:rsidRDefault="00167A43" w:rsidP="00597DFB">
            <w:pPr>
              <w:pStyle w:val="Textoindependiente3"/>
              <w:tabs>
                <w:tab w:val="left" w:pos="857"/>
                <w:tab w:val="left" w:pos="1168"/>
              </w:tabs>
              <w:spacing w:after="0" w:line="240" w:lineRule="auto"/>
              <w:rPr>
                <w:rFonts w:asciiTheme="majorHAnsi" w:hAnsiTheme="majorHAnsi" w:cstheme="majorHAnsi"/>
                <w:b/>
                <w:bCs/>
                <w:sz w:val="20"/>
                <w:szCs w:val="20"/>
              </w:rPr>
            </w:pPr>
          </w:p>
          <w:bookmarkStart w:id="0" w:name="_MON_1748678225"/>
          <w:bookmarkEnd w:id="0"/>
          <w:p w14:paraId="39B8E864" w14:textId="72F67EAA" w:rsidR="00167A43" w:rsidRPr="00597DFB" w:rsidRDefault="00167A43" w:rsidP="00597DFB">
            <w:pPr>
              <w:jc w:val="center"/>
              <w:rPr>
                <w:rFonts w:asciiTheme="majorHAnsi" w:hAnsiTheme="majorHAnsi" w:cstheme="majorHAnsi"/>
                <w:b/>
                <w:bCs/>
                <w:sz w:val="20"/>
                <w:szCs w:val="20"/>
              </w:rPr>
            </w:pPr>
            <w:r w:rsidRPr="00597DFB">
              <w:rPr>
                <w:rFonts w:asciiTheme="majorHAnsi" w:hAnsiTheme="majorHAnsi" w:cstheme="majorHAnsi"/>
                <w:sz w:val="20"/>
                <w:szCs w:val="20"/>
              </w:rPr>
              <w:object w:dxaOrig="1508" w:dyaOrig="983" w14:anchorId="43960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1" o:title=""/>
                </v:shape>
                <o:OLEObject Type="Embed" ProgID="Word.Document.12" ShapeID="_x0000_i1025" DrawAspect="Icon" ObjectID="_1752049961" r:id="rId12">
                  <o:FieldCodes>\s</o:FieldCodes>
                </o:OLEObject>
              </w:object>
            </w:r>
          </w:p>
        </w:tc>
        <w:tc>
          <w:tcPr>
            <w:tcW w:w="869" w:type="pct"/>
            <w:shd w:val="clear" w:color="auto" w:fill="FFFFFF" w:themeFill="background1"/>
          </w:tcPr>
          <w:p w14:paraId="041F8864" w14:textId="196D44A0" w:rsidR="00167A43" w:rsidRPr="00597DFB" w:rsidRDefault="0093515A" w:rsidP="00597DFB">
            <w:pPr>
              <w:pStyle w:val="Textoindependiente3"/>
              <w:numPr>
                <w:ilvl w:val="0"/>
                <w:numId w:val="15"/>
              </w:numPr>
              <w:tabs>
                <w:tab w:val="left" w:pos="857"/>
                <w:tab w:val="left" w:pos="1168"/>
              </w:tabs>
              <w:spacing w:after="0" w:line="240" w:lineRule="auto"/>
              <w:jc w:val="both"/>
              <w:rPr>
                <w:rFonts w:asciiTheme="majorHAnsi" w:hAnsiTheme="majorHAnsi" w:cstheme="majorHAnsi"/>
                <w:i/>
                <w:iCs/>
                <w:color w:val="212529"/>
                <w:sz w:val="20"/>
                <w:szCs w:val="20"/>
                <w:shd w:val="clear" w:color="auto" w:fill="FFFFFF"/>
              </w:rPr>
            </w:pPr>
            <w:r w:rsidRPr="00597DFB">
              <w:rPr>
                <w:rFonts w:asciiTheme="majorHAnsi" w:hAnsiTheme="majorHAnsi" w:cstheme="majorHAnsi"/>
                <w:b/>
                <w:bCs/>
                <w:i/>
                <w:iCs/>
                <w:color w:val="212529"/>
                <w:sz w:val="20"/>
                <w:szCs w:val="20"/>
                <w:shd w:val="clear" w:color="auto" w:fill="FFFFFF"/>
              </w:rPr>
              <w:t>INS</w:t>
            </w:r>
            <w:r w:rsidRPr="00597DFB">
              <w:rPr>
                <w:rFonts w:asciiTheme="majorHAnsi" w:hAnsiTheme="majorHAnsi" w:cstheme="majorHAnsi"/>
                <w:i/>
                <w:iCs/>
                <w:color w:val="212529"/>
                <w:sz w:val="20"/>
                <w:szCs w:val="20"/>
                <w:shd w:val="clear" w:color="auto" w:fill="FFFFFF"/>
              </w:rPr>
              <w:t xml:space="preserve">. </w:t>
            </w:r>
            <w:r w:rsidR="00167A43" w:rsidRPr="00597DFB">
              <w:rPr>
                <w:rFonts w:asciiTheme="majorHAnsi" w:hAnsiTheme="majorHAnsi" w:cstheme="majorHAnsi"/>
                <w:i/>
                <w:iCs/>
                <w:color w:val="212529"/>
                <w:sz w:val="20"/>
                <w:szCs w:val="20"/>
                <w:shd w:val="clear" w:color="auto" w:fill="FFFFFF"/>
              </w:rPr>
              <w:t>En las notas 2 y 4 del cuadro 1. Modelo 22: Siniestralidad del SOA, se propone incluir la palabra destacada en color:</w:t>
            </w:r>
          </w:p>
          <w:p w14:paraId="48C01961" w14:textId="77777777" w:rsidR="00167A43" w:rsidRPr="00597DFB" w:rsidRDefault="00167A43" w:rsidP="00597DFB">
            <w:pPr>
              <w:pStyle w:val="NormalWeb"/>
              <w:shd w:val="clear" w:color="auto" w:fill="FFFFFF"/>
              <w:spacing w:before="0" w:beforeAutospacing="0" w:after="0" w:afterAutospacing="0"/>
              <w:ind w:left="106"/>
              <w:jc w:val="both"/>
              <w:rPr>
                <w:rFonts w:asciiTheme="majorHAnsi" w:hAnsiTheme="majorHAnsi" w:cstheme="majorHAnsi"/>
                <w:color w:val="212529"/>
                <w:sz w:val="20"/>
                <w:szCs w:val="20"/>
              </w:rPr>
            </w:pPr>
            <w:r w:rsidRPr="00597DFB">
              <w:rPr>
                <w:rFonts w:asciiTheme="majorHAnsi" w:hAnsiTheme="majorHAnsi" w:cstheme="majorHAnsi"/>
                <w:color w:val="212529"/>
                <w:sz w:val="20"/>
                <w:szCs w:val="20"/>
                <w:vertAlign w:val="superscript"/>
              </w:rPr>
              <w:t>2/</w:t>
            </w:r>
            <w:r w:rsidRPr="00597DFB">
              <w:rPr>
                <w:rFonts w:asciiTheme="majorHAnsi" w:hAnsiTheme="majorHAnsi" w:cstheme="majorHAnsi"/>
                <w:color w:val="212529"/>
                <w:sz w:val="20"/>
                <w:szCs w:val="20"/>
              </w:rPr>
              <w:t>Número de accidentes de tránsito cubiertos por SOA: Se entiende por accidente de tránsito la acción culposa cometida por los conductores de los vehículos, sus pasajeros o los peatones, al transitar por las vías públicas terrestres. En el accidente de tránsito cubierto por el SOA debe estar involucrado al menos un vehículo </w:t>
            </w:r>
            <w:r w:rsidRPr="00597DFB">
              <w:rPr>
                <w:rFonts w:asciiTheme="majorHAnsi" w:hAnsiTheme="majorHAnsi" w:cstheme="majorHAnsi"/>
                <w:b/>
                <w:bCs/>
                <w:color w:val="0070C0"/>
                <w:sz w:val="20"/>
                <w:szCs w:val="20"/>
              </w:rPr>
              <w:t>automotor</w:t>
            </w:r>
            <w:r w:rsidRPr="00597DFB">
              <w:rPr>
                <w:rFonts w:asciiTheme="majorHAnsi" w:hAnsiTheme="majorHAnsi" w:cstheme="majorHAnsi"/>
                <w:color w:val="212529"/>
                <w:sz w:val="20"/>
                <w:szCs w:val="20"/>
              </w:rPr>
              <w:t xml:space="preserve"> y </w:t>
            </w:r>
            <w:r w:rsidRPr="00597DFB">
              <w:rPr>
                <w:rFonts w:asciiTheme="majorHAnsi" w:hAnsiTheme="majorHAnsi" w:cstheme="majorHAnsi"/>
                <w:color w:val="212529"/>
                <w:sz w:val="20"/>
                <w:szCs w:val="20"/>
              </w:rPr>
              <w:lastRenderedPageBreak/>
              <w:t>producirse muerte o lesiones de personas, las cuales generan a la entidad aseguradora la obligación de satisfacer al asegurado o a sus beneficiarios las prestaciones médicas o económicas garantizadas por el Seguro.</w:t>
            </w:r>
          </w:p>
          <w:p w14:paraId="05B8049F" w14:textId="77777777" w:rsidR="00167A43" w:rsidRPr="00597DFB" w:rsidRDefault="00167A43" w:rsidP="00597DFB">
            <w:pPr>
              <w:ind w:firstLine="15"/>
              <w:jc w:val="both"/>
              <w:rPr>
                <w:rFonts w:asciiTheme="majorHAnsi" w:hAnsiTheme="majorHAnsi" w:cstheme="majorHAnsi"/>
                <w:b/>
                <w:bCs/>
                <w:iCs/>
                <w:sz w:val="20"/>
                <w:szCs w:val="20"/>
              </w:rPr>
            </w:pPr>
          </w:p>
        </w:tc>
        <w:tc>
          <w:tcPr>
            <w:tcW w:w="549" w:type="pct"/>
            <w:shd w:val="clear" w:color="auto" w:fill="FFFFFF" w:themeFill="background1"/>
          </w:tcPr>
          <w:p w14:paraId="7F95F564" w14:textId="7AA8DFAB" w:rsidR="00167A43" w:rsidRPr="00597DFB" w:rsidRDefault="00BD644B" w:rsidP="00597DFB">
            <w:pPr>
              <w:jc w:val="both"/>
              <w:rPr>
                <w:rFonts w:asciiTheme="majorHAnsi" w:hAnsiTheme="majorHAnsi" w:cstheme="majorHAnsi"/>
                <w:iCs/>
                <w:sz w:val="20"/>
                <w:szCs w:val="20"/>
              </w:rPr>
            </w:pPr>
            <w:r w:rsidRPr="00597DFB">
              <w:rPr>
                <w:rFonts w:asciiTheme="majorHAnsi" w:hAnsiTheme="majorHAnsi" w:cstheme="majorHAnsi"/>
                <w:b/>
                <w:bCs/>
                <w:iCs/>
                <w:sz w:val="20"/>
                <w:szCs w:val="20"/>
              </w:rPr>
              <w:lastRenderedPageBreak/>
              <w:t>2. SUGESE- SE ACEPTA</w:t>
            </w:r>
          </w:p>
        </w:tc>
        <w:tc>
          <w:tcPr>
            <w:tcW w:w="1784" w:type="pct"/>
          </w:tcPr>
          <w:p w14:paraId="74061005" w14:textId="77777777" w:rsidR="00167A43" w:rsidRPr="00597DFB" w:rsidRDefault="00167A43" w:rsidP="00597DFB">
            <w:pPr>
              <w:pStyle w:val="Textoindependiente3"/>
              <w:tabs>
                <w:tab w:val="left" w:pos="857"/>
                <w:tab w:val="left" w:pos="1168"/>
              </w:tabs>
              <w:spacing w:after="0" w:line="240" w:lineRule="auto"/>
              <w:ind w:left="241"/>
              <w:jc w:val="center"/>
              <w:rPr>
                <w:rFonts w:asciiTheme="majorHAnsi" w:hAnsiTheme="majorHAnsi" w:cstheme="majorHAnsi"/>
                <w:b/>
                <w:bCs/>
                <w:sz w:val="20"/>
                <w:szCs w:val="20"/>
              </w:rPr>
            </w:pPr>
            <w:r w:rsidRPr="00597DFB">
              <w:rPr>
                <w:rFonts w:asciiTheme="majorHAnsi" w:hAnsiTheme="majorHAnsi" w:cstheme="majorHAnsi"/>
                <w:b/>
                <w:bCs/>
                <w:sz w:val="20"/>
                <w:szCs w:val="20"/>
              </w:rPr>
              <w:t>ANEXO 5.</w:t>
            </w:r>
          </w:p>
          <w:p w14:paraId="27A1909F" w14:textId="77777777" w:rsidR="00167A43" w:rsidRPr="00597DFB" w:rsidRDefault="00167A43" w:rsidP="00597DFB">
            <w:pPr>
              <w:pStyle w:val="Textoindependiente3"/>
              <w:tabs>
                <w:tab w:val="left" w:pos="857"/>
                <w:tab w:val="left" w:pos="1168"/>
              </w:tabs>
              <w:spacing w:after="0" w:line="240" w:lineRule="auto"/>
              <w:jc w:val="center"/>
              <w:rPr>
                <w:rFonts w:asciiTheme="majorHAnsi" w:hAnsiTheme="majorHAnsi" w:cstheme="majorHAnsi"/>
                <w:b/>
                <w:bCs/>
                <w:sz w:val="20"/>
                <w:szCs w:val="20"/>
              </w:rPr>
            </w:pPr>
            <w:r w:rsidRPr="00597DFB">
              <w:rPr>
                <w:rFonts w:asciiTheme="majorHAnsi" w:hAnsiTheme="majorHAnsi" w:cstheme="majorHAnsi"/>
                <w:b/>
                <w:bCs/>
                <w:sz w:val="20"/>
                <w:szCs w:val="20"/>
              </w:rPr>
              <w:t>Estándar de Negocio para Entidades de Seguros</w:t>
            </w:r>
          </w:p>
          <w:p w14:paraId="7C35E086" w14:textId="77777777" w:rsidR="00167A43" w:rsidRPr="00597DFB" w:rsidRDefault="00167A43" w:rsidP="00597DFB">
            <w:pPr>
              <w:pStyle w:val="Textoindependiente3"/>
              <w:tabs>
                <w:tab w:val="left" w:pos="857"/>
                <w:tab w:val="left" w:pos="1168"/>
              </w:tabs>
              <w:spacing w:after="0" w:line="240" w:lineRule="auto"/>
              <w:rPr>
                <w:rFonts w:asciiTheme="majorHAnsi" w:hAnsiTheme="majorHAnsi" w:cstheme="majorHAnsi"/>
                <w:b/>
                <w:bCs/>
                <w:sz w:val="20"/>
                <w:szCs w:val="20"/>
              </w:rPr>
            </w:pPr>
          </w:p>
          <w:bookmarkStart w:id="1" w:name="_MON_1751260503"/>
          <w:bookmarkEnd w:id="1"/>
          <w:p w14:paraId="36F3EEEC" w14:textId="00055788" w:rsidR="00167A43" w:rsidRPr="00597DFB" w:rsidRDefault="008C5604" w:rsidP="00597DFB">
            <w:pPr>
              <w:jc w:val="center"/>
              <w:rPr>
                <w:rFonts w:asciiTheme="majorHAnsi" w:hAnsiTheme="majorHAnsi" w:cstheme="majorHAnsi"/>
                <w:b/>
                <w:bCs/>
                <w:iCs/>
                <w:sz w:val="20"/>
                <w:szCs w:val="20"/>
              </w:rPr>
            </w:pPr>
            <w:r w:rsidRPr="00597DFB">
              <w:rPr>
                <w:rFonts w:asciiTheme="majorHAnsi" w:hAnsiTheme="majorHAnsi" w:cstheme="majorHAnsi"/>
                <w:b/>
                <w:bCs/>
                <w:iCs/>
                <w:sz w:val="20"/>
                <w:szCs w:val="20"/>
              </w:rPr>
              <w:object w:dxaOrig="1543" w:dyaOrig="998" w14:anchorId="67FBB37A">
                <v:shape id="_x0000_i1026" type="#_x0000_t75" style="width:77pt;height:50pt" o:ole="">
                  <v:imagedata r:id="rId13" o:title=""/>
                </v:shape>
                <o:OLEObject Type="Embed" ProgID="Word.Document.12" ShapeID="_x0000_i1026" DrawAspect="Icon" ObjectID="_1752049962" r:id="rId14">
                  <o:FieldCodes>\s</o:FieldCodes>
                </o:OLEObject>
              </w:object>
            </w:r>
          </w:p>
        </w:tc>
      </w:tr>
      <w:tr w:rsidR="00597DFB" w:rsidRPr="00597DFB" w14:paraId="7A3E6258" w14:textId="77777777" w:rsidTr="00597DFB">
        <w:tc>
          <w:tcPr>
            <w:tcW w:w="1798" w:type="pct"/>
          </w:tcPr>
          <w:p w14:paraId="2BD0EE58" w14:textId="75663086" w:rsidR="00167A43" w:rsidRPr="00597DFB" w:rsidRDefault="00167A43" w:rsidP="00597DFB">
            <w:pPr>
              <w:jc w:val="both"/>
              <w:rPr>
                <w:rFonts w:asciiTheme="majorHAnsi" w:hAnsiTheme="majorHAnsi" w:cstheme="majorHAnsi"/>
                <w:b/>
                <w:bCs/>
                <w:sz w:val="20"/>
                <w:szCs w:val="20"/>
              </w:rPr>
            </w:pPr>
            <w:r w:rsidRPr="00597DFB">
              <w:rPr>
                <w:rFonts w:asciiTheme="majorHAnsi" w:hAnsiTheme="majorHAnsi" w:cstheme="majorHAnsi"/>
                <w:b/>
                <w:bCs/>
                <w:sz w:val="20"/>
                <w:szCs w:val="20"/>
              </w:rPr>
              <w:t>Tercero</w:t>
            </w:r>
            <w:r w:rsidRPr="00597DFB">
              <w:rPr>
                <w:rFonts w:asciiTheme="majorHAnsi" w:hAnsiTheme="majorHAnsi" w:cstheme="majorHAnsi"/>
                <w:sz w:val="20"/>
                <w:szCs w:val="20"/>
              </w:rPr>
              <w:t>: Eliminar el Anexo 10 del Acuerdo SGS-DES-A-021-2013.</w:t>
            </w:r>
          </w:p>
        </w:tc>
        <w:tc>
          <w:tcPr>
            <w:tcW w:w="869" w:type="pct"/>
            <w:shd w:val="clear" w:color="auto" w:fill="FFFFFF" w:themeFill="background1"/>
          </w:tcPr>
          <w:p w14:paraId="09546224" w14:textId="77777777" w:rsidR="00167A43" w:rsidRPr="00597DFB" w:rsidRDefault="00167A43" w:rsidP="00597DFB">
            <w:pPr>
              <w:ind w:firstLine="15"/>
              <w:jc w:val="both"/>
              <w:rPr>
                <w:rFonts w:asciiTheme="majorHAnsi" w:hAnsiTheme="majorHAnsi" w:cstheme="majorHAnsi"/>
                <w:b/>
                <w:bCs/>
                <w:iCs/>
                <w:sz w:val="20"/>
                <w:szCs w:val="20"/>
              </w:rPr>
            </w:pPr>
          </w:p>
        </w:tc>
        <w:tc>
          <w:tcPr>
            <w:tcW w:w="549" w:type="pct"/>
            <w:shd w:val="clear" w:color="auto" w:fill="FFFFFF" w:themeFill="background1"/>
          </w:tcPr>
          <w:p w14:paraId="0545AD17" w14:textId="77777777" w:rsidR="00167A43" w:rsidRPr="00597DFB" w:rsidRDefault="00167A43" w:rsidP="00597DFB">
            <w:pPr>
              <w:jc w:val="both"/>
              <w:rPr>
                <w:rFonts w:asciiTheme="majorHAnsi" w:hAnsiTheme="majorHAnsi" w:cstheme="majorHAnsi"/>
                <w:iCs/>
                <w:sz w:val="20"/>
                <w:szCs w:val="20"/>
              </w:rPr>
            </w:pPr>
          </w:p>
        </w:tc>
        <w:tc>
          <w:tcPr>
            <w:tcW w:w="1784" w:type="pct"/>
          </w:tcPr>
          <w:p w14:paraId="5D0DECB2" w14:textId="4DA0DF5C" w:rsidR="00167A43" w:rsidRPr="00597DFB" w:rsidRDefault="00167A43" w:rsidP="000D4FF4">
            <w:pPr>
              <w:jc w:val="both"/>
              <w:rPr>
                <w:rFonts w:asciiTheme="majorHAnsi" w:hAnsiTheme="majorHAnsi" w:cstheme="majorHAnsi"/>
                <w:b/>
                <w:bCs/>
                <w:iCs/>
                <w:sz w:val="20"/>
                <w:szCs w:val="20"/>
              </w:rPr>
            </w:pPr>
            <w:r w:rsidRPr="00597DFB">
              <w:rPr>
                <w:rFonts w:asciiTheme="majorHAnsi" w:hAnsiTheme="majorHAnsi" w:cstheme="majorHAnsi"/>
                <w:b/>
                <w:bCs/>
                <w:sz w:val="20"/>
                <w:szCs w:val="20"/>
              </w:rPr>
              <w:t>Tercero</w:t>
            </w:r>
            <w:r w:rsidRPr="00597DFB">
              <w:rPr>
                <w:rFonts w:asciiTheme="majorHAnsi" w:hAnsiTheme="majorHAnsi" w:cstheme="majorHAnsi"/>
                <w:sz w:val="20"/>
                <w:szCs w:val="20"/>
              </w:rPr>
              <w:t>: Eliminar el Anexo 10 del Acuerdo SGS-DES-A-021-2013.</w:t>
            </w:r>
          </w:p>
        </w:tc>
      </w:tr>
      <w:tr w:rsidR="00597DFB" w:rsidRPr="00597DFB" w14:paraId="7BF62942" w14:textId="77777777" w:rsidTr="00597DFB">
        <w:tc>
          <w:tcPr>
            <w:tcW w:w="1798" w:type="pct"/>
          </w:tcPr>
          <w:p w14:paraId="6C606CC1" w14:textId="77777777" w:rsidR="00167A43" w:rsidRPr="00597DFB" w:rsidRDefault="00167A43" w:rsidP="00597DFB">
            <w:pPr>
              <w:autoSpaceDE w:val="0"/>
              <w:autoSpaceDN w:val="0"/>
              <w:adjustRightInd w:val="0"/>
              <w:jc w:val="center"/>
              <w:rPr>
                <w:rFonts w:asciiTheme="majorHAnsi" w:hAnsiTheme="majorHAnsi" w:cstheme="majorHAnsi"/>
                <w:b/>
                <w:bCs/>
                <w:iCs/>
                <w:color w:val="00B0F0"/>
                <w:sz w:val="20"/>
                <w:szCs w:val="20"/>
              </w:rPr>
            </w:pPr>
          </w:p>
          <w:p w14:paraId="4A390D7E" w14:textId="77777777" w:rsidR="00167A43" w:rsidRPr="00597DFB" w:rsidRDefault="00167A43" w:rsidP="00597DFB">
            <w:pPr>
              <w:autoSpaceDE w:val="0"/>
              <w:autoSpaceDN w:val="0"/>
              <w:adjustRightInd w:val="0"/>
              <w:rPr>
                <w:rFonts w:asciiTheme="majorHAnsi" w:hAnsiTheme="majorHAnsi" w:cstheme="majorHAnsi"/>
                <w:b/>
                <w:bCs/>
                <w:iCs/>
                <w:color w:val="00B0F0"/>
                <w:sz w:val="20"/>
                <w:szCs w:val="20"/>
              </w:rPr>
            </w:pPr>
            <w:r w:rsidRPr="00597DFB">
              <w:rPr>
                <w:rFonts w:asciiTheme="majorHAnsi" w:hAnsiTheme="majorHAnsi" w:cstheme="majorHAnsi"/>
                <w:b/>
                <w:bCs/>
                <w:iCs/>
                <w:color w:val="00B0F0"/>
                <w:sz w:val="20"/>
                <w:szCs w:val="20"/>
              </w:rPr>
              <w:t>ANEXO 10. Asegurados y Siniestralidad del Seguro Obligatorio para los Vehículos Automotores (SOA) (ELIMINADO)</w:t>
            </w:r>
          </w:p>
          <w:p w14:paraId="09C76B7A" w14:textId="77777777" w:rsidR="00167A43" w:rsidRPr="00597DFB" w:rsidRDefault="00167A43" w:rsidP="00597DFB">
            <w:pPr>
              <w:pStyle w:val="Textoindependiente3"/>
              <w:tabs>
                <w:tab w:val="left" w:pos="857"/>
                <w:tab w:val="left" w:pos="1168"/>
              </w:tabs>
              <w:spacing w:after="0" w:line="240" w:lineRule="auto"/>
              <w:jc w:val="center"/>
              <w:rPr>
                <w:rFonts w:asciiTheme="majorHAnsi" w:hAnsiTheme="majorHAnsi" w:cstheme="majorHAnsi"/>
                <w:b/>
                <w:bCs/>
                <w:sz w:val="20"/>
                <w:szCs w:val="20"/>
                <w:lang w:val="es-ES"/>
              </w:rPr>
            </w:pPr>
          </w:p>
          <w:p w14:paraId="4272CC7C" w14:textId="77777777" w:rsidR="00167A43" w:rsidRPr="00597DFB" w:rsidRDefault="00167A43" w:rsidP="00597DFB">
            <w:pPr>
              <w:pStyle w:val="Textoindependiente3"/>
              <w:tabs>
                <w:tab w:val="left" w:pos="857"/>
                <w:tab w:val="left" w:pos="1168"/>
              </w:tabs>
              <w:spacing w:after="0" w:line="240" w:lineRule="auto"/>
              <w:jc w:val="center"/>
              <w:rPr>
                <w:rFonts w:asciiTheme="majorHAnsi" w:hAnsiTheme="majorHAnsi" w:cstheme="majorHAnsi"/>
                <w:b/>
                <w:bCs/>
                <w:sz w:val="20"/>
                <w:szCs w:val="20"/>
              </w:rPr>
            </w:pPr>
          </w:p>
          <w:p w14:paraId="1CA3F098" w14:textId="77777777" w:rsidR="00167A43" w:rsidRPr="00597DFB" w:rsidRDefault="00167A43" w:rsidP="00597DFB">
            <w:pPr>
              <w:jc w:val="both"/>
              <w:rPr>
                <w:rFonts w:asciiTheme="majorHAnsi" w:hAnsiTheme="majorHAnsi" w:cstheme="majorHAnsi"/>
                <w:b/>
                <w:bCs/>
                <w:sz w:val="20"/>
                <w:szCs w:val="20"/>
              </w:rPr>
            </w:pPr>
          </w:p>
        </w:tc>
        <w:tc>
          <w:tcPr>
            <w:tcW w:w="869" w:type="pct"/>
            <w:shd w:val="clear" w:color="auto" w:fill="FFFFFF" w:themeFill="background1"/>
          </w:tcPr>
          <w:p w14:paraId="5851C55E" w14:textId="77777777" w:rsidR="00167A43" w:rsidRPr="00597DFB" w:rsidRDefault="00167A43" w:rsidP="00597DFB">
            <w:pPr>
              <w:ind w:firstLine="15"/>
              <w:jc w:val="both"/>
              <w:rPr>
                <w:rFonts w:asciiTheme="majorHAnsi" w:hAnsiTheme="majorHAnsi" w:cstheme="majorHAnsi"/>
                <w:b/>
                <w:bCs/>
                <w:iCs/>
                <w:sz w:val="20"/>
                <w:szCs w:val="20"/>
              </w:rPr>
            </w:pPr>
          </w:p>
        </w:tc>
        <w:tc>
          <w:tcPr>
            <w:tcW w:w="549" w:type="pct"/>
            <w:shd w:val="clear" w:color="auto" w:fill="FFFFFF" w:themeFill="background1"/>
          </w:tcPr>
          <w:p w14:paraId="540D924C" w14:textId="77777777" w:rsidR="00167A43" w:rsidRPr="00597DFB" w:rsidRDefault="00167A43" w:rsidP="00597DFB">
            <w:pPr>
              <w:jc w:val="both"/>
              <w:rPr>
                <w:rFonts w:asciiTheme="majorHAnsi" w:hAnsiTheme="majorHAnsi" w:cstheme="majorHAnsi"/>
                <w:iCs/>
                <w:sz w:val="20"/>
                <w:szCs w:val="20"/>
              </w:rPr>
            </w:pPr>
          </w:p>
        </w:tc>
        <w:tc>
          <w:tcPr>
            <w:tcW w:w="1784" w:type="pct"/>
          </w:tcPr>
          <w:p w14:paraId="2FA5B0AD" w14:textId="77777777" w:rsidR="00167A43" w:rsidRPr="00597DFB" w:rsidRDefault="00167A43" w:rsidP="000D4FF4">
            <w:pPr>
              <w:autoSpaceDE w:val="0"/>
              <w:autoSpaceDN w:val="0"/>
              <w:adjustRightInd w:val="0"/>
              <w:jc w:val="both"/>
              <w:rPr>
                <w:rFonts w:asciiTheme="majorHAnsi" w:hAnsiTheme="majorHAnsi" w:cstheme="majorHAnsi"/>
                <w:b/>
                <w:bCs/>
                <w:iCs/>
                <w:color w:val="00B0F0"/>
                <w:sz w:val="20"/>
                <w:szCs w:val="20"/>
              </w:rPr>
            </w:pPr>
          </w:p>
          <w:p w14:paraId="0277B80A" w14:textId="77777777" w:rsidR="00167A43" w:rsidRPr="00597DFB" w:rsidRDefault="00167A43" w:rsidP="000D4FF4">
            <w:pPr>
              <w:autoSpaceDE w:val="0"/>
              <w:autoSpaceDN w:val="0"/>
              <w:adjustRightInd w:val="0"/>
              <w:jc w:val="both"/>
              <w:rPr>
                <w:rFonts w:asciiTheme="majorHAnsi" w:hAnsiTheme="majorHAnsi" w:cstheme="majorHAnsi"/>
                <w:b/>
                <w:bCs/>
                <w:iCs/>
                <w:color w:val="000000" w:themeColor="text1"/>
                <w:sz w:val="20"/>
                <w:szCs w:val="20"/>
              </w:rPr>
            </w:pPr>
            <w:r w:rsidRPr="00597DFB">
              <w:rPr>
                <w:rFonts w:asciiTheme="majorHAnsi" w:hAnsiTheme="majorHAnsi" w:cstheme="majorHAnsi"/>
                <w:b/>
                <w:bCs/>
                <w:iCs/>
                <w:color w:val="000000" w:themeColor="text1"/>
                <w:sz w:val="20"/>
                <w:szCs w:val="20"/>
              </w:rPr>
              <w:t>ANEXO 10. Asegurados y Siniestralidad del Seguro Obligatorio para los Vehículos Automotores (SOA) (ELIMINADO)</w:t>
            </w:r>
          </w:p>
          <w:p w14:paraId="45DC0D48" w14:textId="77777777" w:rsidR="00167A43" w:rsidRPr="00597DFB" w:rsidRDefault="00167A43" w:rsidP="000D4FF4">
            <w:pPr>
              <w:pStyle w:val="Textoindependiente3"/>
              <w:tabs>
                <w:tab w:val="left" w:pos="857"/>
                <w:tab w:val="left" w:pos="1168"/>
              </w:tabs>
              <w:spacing w:after="0" w:line="240" w:lineRule="auto"/>
              <w:jc w:val="both"/>
              <w:rPr>
                <w:rFonts w:asciiTheme="majorHAnsi" w:hAnsiTheme="majorHAnsi" w:cstheme="majorHAnsi"/>
                <w:b/>
                <w:bCs/>
                <w:sz w:val="20"/>
                <w:szCs w:val="20"/>
                <w:lang w:val="es-ES"/>
              </w:rPr>
            </w:pPr>
          </w:p>
          <w:p w14:paraId="25F65F19" w14:textId="77777777" w:rsidR="00167A43" w:rsidRPr="00597DFB" w:rsidRDefault="00167A43" w:rsidP="000D4FF4">
            <w:pPr>
              <w:pStyle w:val="Textoindependiente3"/>
              <w:tabs>
                <w:tab w:val="left" w:pos="857"/>
                <w:tab w:val="left" w:pos="1168"/>
              </w:tabs>
              <w:spacing w:after="0" w:line="240" w:lineRule="auto"/>
              <w:jc w:val="both"/>
              <w:rPr>
                <w:rFonts w:asciiTheme="majorHAnsi" w:hAnsiTheme="majorHAnsi" w:cstheme="majorHAnsi"/>
                <w:b/>
                <w:bCs/>
                <w:sz w:val="20"/>
                <w:szCs w:val="20"/>
              </w:rPr>
            </w:pPr>
          </w:p>
          <w:p w14:paraId="27B23DB6" w14:textId="77777777" w:rsidR="00167A43" w:rsidRPr="00597DFB" w:rsidRDefault="00167A43" w:rsidP="000D4FF4">
            <w:pPr>
              <w:jc w:val="both"/>
              <w:rPr>
                <w:rFonts w:asciiTheme="majorHAnsi" w:hAnsiTheme="majorHAnsi" w:cstheme="majorHAnsi"/>
                <w:b/>
                <w:bCs/>
                <w:iCs/>
                <w:sz w:val="20"/>
                <w:szCs w:val="20"/>
              </w:rPr>
            </w:pPr>
          </w:p>
        </w:tc>
      </w:tr>
      <w:tr w:rsidR="00597DFB" w:rsidRPr="00597DFB" w14:paraId="610F6222" w14:textId="77777777" w:rsidTr="00597DFB">
        <w:tc>
          <w:tcPr>
            <w:tcW w:w="1798" w:type="pct"/>
          </w:tcPr>
          <w:p w14:paraId="5126C4EC" w14:textId="491B8E7B" w:rsidR="00167A43" w:rsidRPr="00597DFB" w:rsidRDefault="00167A43" w:rsidP="00597DFB">
            <w:pPr>
              <w:jc w:val="both"/>
              <w:rPr>
                <w:rFonts w:asciiTheme="majorHAnsi" w:hAnsiTheme="majorHAnsi" w:cstheme="majorHAnsi"/>
                <w:b/>
                <w:bCs/>
                <w:sz w:val="20"/>
                <w:szCs w:val="20"/>
              </w:rPr>
            </w:pPr>
            <w:r w:rsidRPr="00597DFB">
              <w:rPr>
                <w:rFonts w:asciiTheme="majorHAnsi" w:hAnsiTheme="majorHAnsi" w:cstheme="majorHAnsi"/>
                <w:b/>
                <w:bCs/>
                <w:sz w:val="20"/>
                <w:szCs w:val="20"/>
              </w:rPr>
              <w:t>Cuarto:</w:t>
            </w:r>
            <w:r w:rsidRPr="00597DFB">
              <w:rPr>
                <w:rFonts w:asciiTheme="majorHAnsi" w:hAnsiTheme="majorHAnsi" w:cstheme="majorHAnsi"/>
                <w:sz w:val="20"/>
                <w:szCs w:val="20"/>
              </w:rPr>
              <w:t xml:space="preserve"> Actualizar la versión publicada del Acuerdo SGS-DES-A-021-2013 y su versión NIIF 17, para incluir las modificaciones señaladas en este acuerdo.</w:t>
            </w:r>
          </w:p>
        </w:tc>
        <w:tc>
          <w:tcPr>
            <w:tcW w:w="869" w:type="pct"/>
            <w:shd w:val="clear" w:color="auto" w:fill="FFFFFF" w:themeFill="background1"/>
          </w:tcPr>
          <w:p w14:paraId="575D6D4C" w14:textId="77777777" w:rsidR="00167A43" w:rsidRPr="00597DFB" w:rsidRDefault="00167A43" w:rsidP="00597DFB">
            <w:pPr>
              <w:ind w:firstLine="15"/>
              <w:jc w:val="both"/>
              <w:rPr>
                <w:rFonts w:asciiTheme="majorHAnsi" w:hAnsiTheme="majorHAnsi" w:cstheme="majorHAnsi"/>
                <w:b/>
                <w:bCs/>
                <w:iCs/>
                <w:sz w:val="20"/>
                <w:szCs w:val="20"/>
              </w:rPr>
            </w:pPr>
          </w:p>
        </w:tc>
        <w:tc>
          <w:tcPr>
            <w:tcW w:w="549" w:type="pct"/>
            <w:shd w:val="clear" w:color="auto" w:fill="FFFFFF" w:themeFill="background1"/>
          </w:tcPr>
          <w:p w14:paraId="3636D51A" w14:textId="77777777" w:rsidR="00167A43" w:rsidRPr="00597DFB" w:rsidRDefault="00167A43" w:rsidP="00597DFB">
            <w:pPr>
              <w:jc w:val="both"/>
              <w:rPr>
                <w:rFonts w:asciiTheme="majorHAnsi" w:hAnsiTheme="majorHAnsi" w:cstheme="majorHAnsi"/>
                <w:iCs/>
                <w:sz w:val="20"/>
                <w:szCs w:val="20"/>
              </w:rPr>
            </w:pPr>
          </w:p>
        </w:tc>
        <w:tc>
          <w:tcPr>
            <w:tcW w:w="1784" w:type="pct"/>
          </w:tcPr>
          <w:p w14:paraId="709A0DC6" w14:textId="77AB07B0" w:rsidR="00167A43" w:rsidRPr="00597DFB" w:rsidRDefault="00167A43" w:rsidP="000D4FF4">
            <w:pPr>
              <w:jc w:val="both"/>
              <w:rPr>
                <w:rFonts w:asciiTheme="majorHAnsi" w:hAnsiTheme="majorHAnsi" w:cstheme="majorHAnsi"/>
                <w:b/>
                <w:bCs/>
                <w:iCs/>
                <w:sz w:val="20"/>
                <w:szCs w:val="20"/>
              </w:rPr>
            </w:pPr>
            <w:r w:rsidRPr="00597DFB">
              <w:rPr>
                <w:rFonts w:asciiTheme="majorHAnsi" w:hAnsiTheme="majorHAnsi" w:cstheme="majorHAnsi"/>
                <w:b/>
                <w:bCs/>
                <w:sz w:val="20"/>
                <w:szCs w:val="20"/>
              </w:rPr>
              <w:t>Cuarto:</w:t>
            </w:r>
            <w:r w:rsidRPr="00597DFB">
              <w:rPr>
                <w:rFonts w:asciiTheme="majorHAnsi" w:hAnsiTheme="majorHAnsi" w:cstheme="majorHAnsi"/>
                <w:sz w:val="20"/>
                <w:szCs w:val="20"/>
              </w:rPr>
              <w:t xml:space="preserve"> Actualizar la versión publicada del Acuerdo SGS-DES-A-021-2013 y su versión NIIF 17, para incluir las modificaciones señaladas en este acuerdo.</w:t>
            </w:r>
          </w:p>
        </w:tc>
      </w:tr>
      <w:tr w:rsidR="00597DFB" w:rsidRPr="00597DFB" w14:paraId="2B213397" w14:textId="77777777" w:rsidTr="00597DFB">
        <w:tc>
          <w:tcPr>
            <w:tcW w:w="1798" w:type="pct"/>
          </w:tcPr>
          <w:p w14:paraId="37D1303C" w14:textId="4135F1EE" w:rsidR="00167A43" w:rsidRPr="00597DFB" w:rsidRDefault="00167A43" w:rsidP="00597DFB">
            <w:pPr>
              <w:jc w:val="both"/>
              <w:rPr>
                <w:rFonts w:asciiTheme="majorHAnsi" w:hAnsiTheme="majorHAnsi" w:cstheme="majorHAnsi"/>
                <w:b/>
                <w:bCs/>
                <w:sz w:val="20"/>
                <w:szCs w:val="20"/>
              </w:rPr>
            </w:pPr>
            <w:r w:rsidRPr="00597DFB">
              <w:rPr>
                <w:rFonts w:asciiTheme="majorHAnsi" w:hAnsiTheme="majorHAnsi" w:cstheme="majorHAnsi"/>
                <w:sz w:val="20"/>
                <w:szCs w:val="20"/>
              </w:rPr>
              <w:t>Rige: A partir de la entrega de información correspondiente al mes de Agosto 2023.</w:t>
            </w:r>
          </w:p>
        </w:tc>
        <w:tc>
          <w:tcPr>
            <w:tcW w:w="869" w:type="pct"/>
            <w:shd w:val="clear" w:color="auto" w:fill="FFFFFF" w:themeFill="background1"/>
          </w:tcPr>
          <w:p w14:paraId="6F344B4E" w14:textId="77777777" w:rsidR="00167A43" w:rsidRPr="00597DFB" w:rsidRDefault="00167A43" w:rsidP="00597DFB">
            <w:pPr>
              <w:ind w:firstLine="15"/>
              <w:jc w:val="both"/>
              <w:rPr>
                <w:rFonts w:asciiTheme="majorHAnsi" w:hAnsiTheme="majorHAnsi" w:cstheme="majorHAnsi"/>
                <w:b/>
                <w:bCs/>
                <w:iCs/>
                <w:sz w:val="20"/>
                <w:szCs w:val="20"/>
              </w:rPr>
            </w:pPr>
          </w:p>
        </w:tc>
        <w:tc>
          <w:tcPr>
            <w:tcW w:w="549" w:type="pct"/>
            <w:shd w:val="clear" w:color="auto" w:fill="FFFFFF" w:themeFill="background1"/>
          </w:tcPr>
          <w:p w14:paraId="4439E38D" w14:textId="77777777" w:rsidR="00167A43" w:rsidRPr="00597DFB" w:rsidRDefault="00167A43" w:rsidP="00597DFB">
            <w:pPr>
              <w:jc w:val="both"/>
              <w:rPr>
                <w:rFonts w:asciiTheme="majorHAnsi" w:hAnsiTheme="majorHAnsi" w:cstheme="majorHAnsi"/>
                <w:iCs/>
                <w:sz w:val="20"/>
                <w:szCs w:val="20"/>
              </w:rPr>
            </w:pPr>
          </w:p>
        </w:tc>
        <w:tc>
          <w:tcPr>
            <w:tcW w:w="1784" w:type="pct"/>
          </w:tcPr>
          <w:p w14:paraId="7BDB6792" w14:textId="7752E152" w:rsidR="00167A43" w:rsidRPr="00597DFB" w:rsidRDefault="00167A43" w:rsidP="000D4FF4">
            <w:pPr>
              <w:jc w:val="both"/>
              <w:rPr>
                <w:rFonts w:asciiTheme="majorHAnsi" w:hAnsiTheme="majorHAnsi" w:cstheme="majorHAnsi"/>
                <w:b/>
                <w:bCs/>
                <w:iCs/>
                <w:sz w:val="20"/>
                <w:szCs w:val="20"/>
              </w:rPr>
            </w:pPr>
            <w:r w:rsidRPr="00597DFB">
              <w:rPr>
                <w:rFonts w:asciiTheme="majorHAnsi" w:hAnsiTheme="majorHAnsi" w:cstheme="majorHAnsi"/>
                <w:sz w:val="20"/>
                <w:szCs w:val="20"/>
              </w:rPr>
              <w:t>Rige: A partir de la entrega de información correspondiente al mes de Agosto 2023.</w:t>
            </w:r>
          </w:p>
        </w:tc>
      </w:tr>
      <w:tr w:rsidR="00597DFB" w:rsidRPr="00597DFB" w14:paraId="612B8332" w14:textId="77777777" w:rsidTr="00597DFB">
        <w:tc>
          <w:tcPr>
            <w:tcW w:w="1798" w:type="pct"/>
          </w:tcPr>
          <w:p w14:paraId="29B7A190" w14:textId="77777777" w:rsidR="00167A43" w:rsidRPr="00597DFB" w:rsidRDefault="00167A43" w:rsidP="00597DFB">
            <w:pPr>
              <w:jc w:val="both"/>
              <w:rPr>
                <w:rFonts w:asciiTheme="majorHAnsi" w:hAnsiTheme="majorHAnsi" w:cstheme="majorHAnsi"/>
                <w:b/>
                <w:bCs/>
                <w:sz w:val="20"/>
                <w:szCs w:val="20"/>
              </w:rPr>
            </w:pPr>
          </w:p>
        </w:tc>
        <w:tc>
          <w:tcPr>
            <w:tcW w:w="869" w:type="pct"/>
            <w:shd w:val="clear" w:color="auto" w:fill="FFFFFF" w:themeFill="background1"/>
          </w:tcPr>
          <w:p w14:paraId="04BDD666" w14:textId="77777777" w:rsidR="00167A43" w:rsidRPr="00597DFB" w:rsidRDefault="00167A43" w:rsidP="00597DFB">
            <w:pPr>
              <w:ind w:firstLine="15"/>
              <w:jc w:val="both"/>
              <w:rPr>
                <w:rFonts w:asciiTheme="majorHAnsi" w:hAnsiTheme="majorHAnsi" w:cstheme="majorHAnsi"/>
                <w:b/>
                <w:bCs/>
                <w:iCs/>
                <w:sz w:val="20"/>
                <w:szCs w:val="20"/>
              </w:rPr>
            </w:pPr>
          </w:p>
        </w:tc>
        <w:tc>
          <w:tcPr>
            <w:tcW w:w="549" w:type="pct"/>
            <w:shd w:val="clear" w:color="auto" w:fill="FFFFFF" w:themeFill="background1"/>
          </w:tcPr>
          <w:p w14:paraId="01D6CCAB" w14:textId="77777777" w:rsidR="00167A43" w:rsidRPr="00597DFB" w:rsidRDefault="00167A43" w:rsidP="00597DFB">
            <w:pPr>
              <w:jc w:val="both"/>
              <w:rPr>
                <w:rFonts w:asciiTheme="majorHAnsi" w:hAnsiTheme="majorHAnsi" w:cstheme="majorHAnsi"/>
                <w:iCs/>
                <w:sz w:val="20"/>
                <w:szCs w:val="20"/>
              </w:rPr>
            </w:pPr>
          </w:p>
        </w:tc>
        <w:tc>
          <w:tcPr>
            <w:tcW w:w="1784" w:type="pct"/>
          </w:tcPr>
          <w:p w14:paraId="287665C8" w14:textId="77777777" w:rsidR="00167A43" w:rsidRPr="00597DFB" w:rsidRDefault="00167A43" w:rsidP="00597DFB">
            <w:pPr>
              <w:rPr>
                <w:rFonts w:asciiTheme="majorHAnsi" w:hAnsiTheme="majorHAnsi" w:cstheme="majorHAnsi"/>
                <w:b/>
                <w:bCs/>
                <w:iCs/>
                <w:sz w:val="20"/>
                <w:szCs w:val="20"/>
              </w:rPr>
            </w:pPr>
          </w:p>
        </w:tc>
      </w:tr>
      <w:tr w:rsidR="00A83369" w:rsidRPr="00597DFB" w14:paraId="79B3455F" w14:textId="77777777" w:rsidTr="00597DFB">
        <w:tc>
          <w:tcPr>
            <w:tcW w:w="5000" w:type="pct"/>
            <w:gridSpan w:val="4"/>
          </w:tcPr>
          <w:p w14:paraId="1AE5B73C" w14:textId="5FA024EE" w:rsidR="00A83369" w:rsidRPr="00597DFB" w:rsidRDefault="00A83369" w:rsidP="00597DFB">
            <w:pPr>
              <w:rPr>
                <w:rFonts w:asciiTheme="majorHAnsi" w:hAnsiTheme="majorHAnsi" w:cstheme="majorHAnsi"/>
                <w:b/>
                <w:bCs/>
                <w:iCs/>
                <w:sz w:val="20"/>
                <w:szCs w:val="20"/>
              </w:rPr>
            </w:pPr>
            <w:r w:rsidRPr="00597DFB">
              <w:rPr>
                <w:rFonts w:asciiTheme="majorHAnsi" w:hAnsiTheme="majorHAnsi" w:cstheme="majorHAnsi"/>
                <w:sz w:val="20"/>
                <w:szCs w:val="20"/>
              </w:rPr>
              <w:t xml:space="preserve">Lo que sigue no forma parte del acuerdo, pero tiene cambios que deben ser comunicados por medio de oficio </w:t>
            </w:r>
            <w:r w:rsidRPr="007C7AB0">
              <w:rPr>
                <w:rFonts w:asciiTheme="majorHAnsi" w:hAnsiTheme="majorHAnsi" w:cstheme="majorHAnsi"/>
                <w:sz w:val="20"/>
                <w:szCs w:val="20"/>
              </w:rPr>
              <w:t>(Se envía por separado)</w:t>
            </w:r>
          </w:p>
        </w:tc>
      </w:tr>
      <w:tr w:rsidR="00597DFB" w:rsidRPr="00597DFB" w14:paraId="79DD53D9" w14:textId="77777777" w:rsidTr="00597DFB">
        <w:tc>
          <w:tcPr>
            <w:tcW w:w="1798" w:type="pct"/>
          </w:tcPr>
          <w:p w14:paraId="38BA68BC" w14:textId="77777777" w:rsidR="00167A43" w:rsidRPr="00597DFB" w:rsidRDefault="00167A43" w:rsidP="00597DFB">
            <w:pPr>
              <w:autoSpaceDE w:val="0"/>
              <w:autoSpaceDN w:val="0"/>
              <w:adjustRightInd w:val="0"/>
              <w:rPr>
                <w:rFonts w:asciiTheme="majorHAnsi" w:hAnsiTheme="majorHAnsi" w:cstheme="majorHAnsi"/>
                <w:b/>
                <w:bCs/>
                <w:sz w:val="20"/>
                <w:szCs w:val="20"/>
              </w:rPr>
            </w:pPr>
            <w:r w:rsidRPr="00597DFB">
              <w:rPr>
                <w:rFonts w:asciiTheme="majorHAnsi" w:hAnsiTheme="majorHAnsi" w:cstheme="majorHAnsi"/>
                <w:b/>
                <w:bCs/>
                <w:sz w:val="20"/>
                <w:szCs w:val="20"/>
              </w:rPr>
              <w:t>CAMBIO AL ESTÁNDAR ELECTRÓNICO</w:t>
            </w:r>
          </w:p>
          <w:p w14:paraId="6250C8AA" w14:textId="77777777" w:rsidR="00167A43" w:rsidRPr="00597DFB" w:rsidRDefault="00167A43" w:rsidP="00597DFB">
            <w:pPr>
              <w:jc w:val="both"/>
              <w:rPr>
                <w:rFonts w:asciiTheme="majorHAnsi" w:hAnsiTheme="majorHAnsi" w:cstheme="majorHAnsi"/>
                <w:bCs/>
                <w:iCs/>
                <w:sz w:val="20"/>
                <w:szCs w:val="20"/>
              </w:rPr>
            </w:pPr>
          </w:p>
          <w:p w14:paraId="502F0FD4" w14:textId="77777777" w:rsidR="00167A43" w:rsidRPr="00597DFB" w:rsidRDefault="00167A43" w:rsidP="00597DFB">
            <w:pPr>
              <w:jc w:val="both"/>
              <w:rPr>
                <w:rFonts w:asciiTheme="majorHAnsi" w:hAnsiTheme="majorHAnsi" w:cstheme="majorHAnsi"/>
                <w:bCs/>
                <w:iCs/>
                <w:sz w:val="20"/>
                <w:szCs w:val="20"/>
              </w:rPr>
            </w:pPr>
            <w:r w:rsidRPr="00597DFB">
              <w:rPr>
                <w:rFonts w:asciiTheme="majorHAnsi" w:hAnsiTheme="majorHAnsi" w:cstheme="majorHAnsi"/>
                <w:bCs/>
                <w:iCs/>
                <w:sz w:val="20"/>
                <w:szCs w:val="20"/>
              </w:rPr>
              <w:t>En la carta de remisión a consulta se debe indicar que se va a sustituir el Estándar Electrónico por el siguiente:</w:t>
            </w:r>
          </w:p>
          <w:p w14:paraId="387F0B56" w14:textId="77777777" w:rsidR="00167A43" w:rsidRPr="00597DFB" w:rsidRDefault="00167A43" w:rsidP="00597DFB">
            <w:pPr>
              <w:jc w:val="both"/>
              <w:rPr>
                <w:rFonts w:asciiTheme="majorHAnsi" w:hAnsiTheme="majorHAnsi" w:cstheme="majorHAnsi"/>
                <w:bCs/>
                <w:iCs/>
                <w:sz w:val="20"/>
                <w:szCs w:val="20"/>
              </w:rPr>
            </w:pPr>
          </w:p>
          <w:bookmarkStart w:id="2" w:name="_MON_1748416203"/>
          <w:bookmarkEnd w:id="2"/>
          <w:p w14:paraId="7CE2BB7A" w14:textId="77777777" w:rsidR="00167A43" w:rsidRPr="00597DFB" w:rsidRDefault="00167A43" w:rsidP="00597DFB">
            <w:pPr>
              <w:autoSpaceDE w:val="0"/>
              <w:autoSpaceDN w:val="0"/>
              <w:adjustRightInd w:val="0"/>
              <w:jc w:val="center"/>
              <w:rPr>
                <w:rFonts w:asciiTheme="majorHAnsi" w:hAnsiTheme="majorHAnsi" w:cstheme="majorHAnsi"/>
                <w:sz w:val="20"/>
                <w:szCs w:val="20"/>
              </w:rPr>
            </w:pPr>
            <w:r w:rsidRPr="00597DFB">
              <w:rPr>
                <w:rFonts w:asciiTheme="majorHAnsi" w:hAnsiTheme="majorHAnsi" w:cstheme="majorHAnsi"/>
                <w:sz w:val="20"/>
                <w:szCs w:val="20"/>
              </w:rPr>
              <w:object w:dxaOrig="1508" w:dyaOrig="983" w14:anchorId="03A053C5">
                <v:shape id="_x0000_i1027" type="#_x0000_t75" style="width:76pt;height:49pt" o:ole="">
                  <v:imagedata r:id="rId15" o:title=""/>
                </v:shape>
                <o:OLEObject Type="Embed" ProgID="Word.Document.12" ShapeID="_x0000_i1027" DrawAspect="Icon" ObjectID="_1752049963" r:id="rId16">
                  <o:FieldCodes>\s</o:FieldCodes>
                </o:OLEObject>
              </w:object>
            </w:r>
          </w:p>
          <w:p w14:paraId="1324A73D" w14:textId="77777777" w:rsidR="00167A43" w:rsidRPr="00597DFB" w:rsidRDefault="00167A43" w:rsidP="00597DFB">
            <w:pPr>
              <w:jc w:val="both"/>
              <w:rPr>
                <w:rFonts w:asciiTheme="majorHAnsi" w:hAnsiTheme="majorHAnsi" w:cstheme="majorHAnsi"/>
                <w:b/>
                <w:bCs/>
                <w:sz w:val="20"/>
                <w:szCs w:val="20"/>
              </w:rPr>
            </w:pPr>
          </w:p>
        </w:tc>
        <w:tc>
          <w:tcPr>
            <w:tcW w:w="869" w:type="pct"/>
            <w:shd w:val="clear" w:color="auto" w:fill="FFFFFF" w:themeFill="background1"/>
          </w:tcPr>
          <w:p w14:paraId="003098EE" w14:textId="3244BAAE" w:rsidR="00167A43" w:rsidRPr="00597DFB" w:rsidRDefault="0093515A" w:rsidP="00597DFB">
            <w:pPr>
              <w:pStyle w:val="Prrafodelista"/>
              <w:numPr>
                <w:ilvl w:val="0"/>
                <w:numId w:val="15"/>
              </w:numPr>
              <w:jc w:val="both"/>
              <w:rPr>
                <w:rFonts w:asciiTheme="majorHAnsi" w:hAnsiTheme="majorHAnsi" w:cstheme="majorHAnsi"/>
                <w:b/>
                <w:bCs/>
                <w:iCs/>
                <w:sz w:val="20"/>
                <w:szCs w:val="20"/>
              </w:rPr>
            </w:pPr>
            <w:r w:rsidRPr="00597DFB">
              <w:rPr>
                <w:rFonts w:asciiTheme="majorHAnsi" w:hAnsiTheme="majorHAnsi" w:cstheme="majorHAnsi"/>
                <w:b/>
                <w:bCs/>
                <w:color w:val="212529"/>
                <w:sz w:val="20"/>
                <w:szCs w:val="20"/>
                <w:shd w:val="clear" w:color="auto" w:fill="FFFFFF"/>
              </w:rPr>
              <w:lastRenderedPageBreak/>
              <w:t>INS.</w:t>
            </w:r>
            <w:r w:rsidRPr="00597DFB">
              <w:rPr>
                <w:rFonts w:asciiTheme="majorHAnsi" w:hAnsiTheme="majorHAnsi" w:cstheme="majorHAnsi"/>
                <w:color w:val="212529"/>
                <w:sz w:val="20"/>
                <w:szCs w:val="20"/>
                <w:shd w:val="clear" w:color="auto" w:fill="FFFFFF"/>
              </w:rPr>
              <w:t xml:space="preserve"> </w:t>
            </w:r>
            <w:r w:rsidR="00167A43" w:rsidRPr="00597DFB">
              <w:rPr>
                <w:rFonts w:asciiTheme="majorHAnsi" w:hAnsiTheme="majorHAnsi" w:cstheme="majorHAnsi"/>
                <w:color w:val="212529"/>
                <w:sz w:val="20"/>
                <w:szCs w:val="20"/>
                <w:shd w:val="clear" w:color="auto" w:fill="FFFFFF"/>
              </w:rPr>
              <w:t xml:space="preserve">En el nodo 5.5.1 Nodo Siniestralidad SOA en la descripción para todos los </w:t>
            </w:r>
            <w:r w:rsidR="00167A43" w:rsidRPr="00597DFB">
              <w:rPr>
                <w:rFonts w:asciiTheme="majorHAnsi" w:hAnsiTheme="majorHAnsi" w:cstheme="majorHAnsi"/>
                <w:color w:val="212529"/>
                <w:sz w:val="20"/>
                <w:szCs w:val="20"/>
                <w:shd w:val="clear" w:color="auto" w:fill="FFFFFF"/>
              </w:rPr>
              <w:lastRenderedPageBreak/>
              <w:t>ítems se propone sustituir Seguro Obligatorio Automotor por </w:t>
            </w:r>
            <w:r w:rsidR="00167A43" w:rsidRPr="00597DFB">
              <w:rPr>
                <w:rFonts w:asciiTheme="majorHAnsi" w:hAnsiTheme="majorHAnsi" w:cstheme="majorHAnsi"/>
                <w:color w:val="4472C4"/>
                <w:sz w:val="20"/>
                <w:szCs w:val="20"/>
                <w:shd w:val="clear" w:color="auto" w:fill="FFFFFF"/>
              </w:rPr>
              <w:t>Seguro Obligatorio para Vehículos Automotores.</w:t>
            </w:r>
          </w:p>
        </w:tc>
        <w:tc>
          <w:tcPr>
            <w:tcW w:w="549" w:type="pct"/>
            <w:shd w:val="clear" w:color="auto" w:fill="FFFFFF" w:themeFill="background1"/>
          </w:tcPr>
          <w:p w14:paraId="63678E4B" w14:textId="483B5D19" w:rsidR="00167A43" w:rsidRPr="00597DFB" w:rsidRDefault="008A0879" w:rsidP="00597DFB">
            <w:pPr>
              <w:jc w:val="both"/>
              <w:rPr>
                <w:rFonts w:asciiTheme="majorHAnsi" w:hAnsiTheme="majorHAnsi" w:cstheme="majorHAnsi"/>
                <w:iCs/>
                <w:sz w:val="20"/>
                <w:szCs w:val="20"/>
              </w:rPr>
            </w:pPr>
            <w:r w:rsidRPr="00597DFB">
              <w:rPr>
                <w:rFonts w:asciiTheme="majorHAnsi" w:hAnsiTheme="majorHAnsi" w:cstheme="majorHAnsi"/>
                <w:b/>
                <w:bCs/>
                <w:iCs/>
                <w:sz w:val="20"/>
                <w:szCs w:val="20"/>
              </w:rPr>
              <w:lastRenderedPageBreak/>
              <w:t>3. SUGESE- SE ACEPTA</w:t>
            </w:r>
          </w:p>
        </w:tc>
        <w:tc>
          <w:tcPr>
            <w:tcW w:w="1784" w:type="pct"/>
          </w:tcPr>
          <w:p w14:paraId="4121C89D" w14:textId="77777777" w:rsidR="00167A43" w:rsidRPr="00597DFB" w:rsidRDefault="00167A43" w:rsidP="00597DFB">
            <w:pPr>
              <w:autoSpaceDE w:val="0"/>
              <w:autoSpaceDN w:val="0"/>
              <w:adjustRightInd w:val="0"/>
              <w:rPr>
                <w:rFonts w:asciiTheme="majorHAnsi" w:hAnsiTheme="majorHAnsi" w:cstheme="majorHAnsi"/>
                <w:b/>
                <w:bCs/>
                <w:sz w:val="20"/>
                <w:szCs w:val="20"/>
              </w:rPr>
            </w:pPr>
            <w:r w:rsidRPr="00597DFB">
              <w:rPr>
                <w:rFonts w:asciiTheme="majorHAnsi" w:hAnsiTheme="majorHAnsi" w:cstheme="majorHAnsi"/>
                <w:b/>
                <w:bCs/>
                <w:sz w:val="20"/>
                <w:szCs w:val="20"/>
              </w:rPr>
              <w:t>CAMBIO AL ESTÁNDAR ELECTRÓNICO</w:t>
            </w:r>
          </w:p>
          <w:p w14:paraId="4819F7CA" w14:textId="77777777" w:rsidR="00167A43" w:rsidRPr="00597DFB" w:rsidRDefault="00167A43" w:rsidP="00597DFB">
            <w:pPr>
              <w:rPr>
                <w:rFonts w:asciiTheme="majorHAnsi" w:hAnsiTheme="majorHAnsi" w:cstheme="majorHAnsi"/>
                <w:bCs/>
                <w:iCs/>
                <w:sz w:val="20"/>
                <w:szCs w:val="20"/>
              </w:rPr>
            </w:pPr>
          </w:p>
          <w:p w14:paraId="2743E889" w14:textId="77777777" w:rsidR="00167A43" w:rsidRPr="00597DFB" w:rsidRDefault="00167A43" w:rsidP="000D4FF4">
            <w:pPr>
              <w:jc w:val="both"/>
              <w:rPr>
                <w:rFonts w:asciiTheme="majorHAnsi" w:hAnsiTheme="majorHAnsi" w:cstheme="majorHAnsi"/>
                <w:bCs/>
                <w:iCs/>
                <w:sz w:val="20"/>
                <w:szCs w:val="20"/>
              </w:rPr>
            </w:pPr>
            <w:r w:rsidRPr="00597DFB">
              <w:rPr>
                <w:rFonts w:asciiTheme="majorHAnsi" w:hAnsiTheme="majorHAnsi" w:cstheme="majorHAnsi"/>
                <w:bCs/>
                <w:iCs/>
                <w:sz w:val="20"/>
                <w:szCs w:val="20"/>
              </w:rPr>
              <w:t>En la carta de remisión a consulta se debe indicar que se va a sustituir el Estándar Electrónico por el siguiente:</w:t>
            </w:r>
          </w:p>
          <w:p w14:paraId="733C95AD" w14:textId="77777777" w:rsidR="00167A43" w:rsidRPr="00597DFB" w:rsidRDefault="00167A43" w:rsidP="00597DFB">
            <w:pPr>
              <w:rPr>
                <w:rFonts w:asciiTheme="majorHAnsi" w:hAnsiTheme="majorHAnsi" w:cstheme="majorHAnsi"/>
                <w:bCs/>
                <w:iCs/>
                <w:sz w:val="20"/>
                <w:szCs w:val="20"/>
              </w:rPr>
            </w:pPr>
          </w:p>
          <w:bookmarkStart w:id="3" w:name="_MON_1751261758"/>
          <w:bookmarkEnd w:id="3"/>
          <w:p w14:paraId="7646F9BE" w14:textId="053D2877" w:rsidR="00167A43" w:rsidRPr="00597DFB" w:rsidRDefault="003615E1" w:rsidP="00597DFB">
            <w:pPr>
              <w:autoSpaceDE w:val="0"/>
              <w:autoSpaceDN w:val="0"/>
              <w:adjustRightInd w:val="0"/>
              <w:jc w:val="center"/>
              <w:rPr>
                <w:rFonts w:asciiTheme="majorHAnsi" w:hAnsiTheme="majorHAnsi" w:cstheme="majorHAnsi"/>
                <w:sz w:val="20"/>
                <w:szCs w:val="20"/>
              </w:rPr>
            </w:pPr>
            <w:r w:rsidRPr="00597DFB">
              <w:rPr>
                <w:rFonts w:asciiTheme="majorHAnsi" w:hAnsiTheme="majorHAnsi" w:cstheme="majorHAnsi"/>
                <w:sz w:val="20"/>
                <w:szCs w:val="20"/>
              </w:rPr>
              <w:object w:dxaOrig="1543" w:dyaOrig="998" w14:anchorId="16460279">
                <v:shape id="_x0000_i1028" type="#_x0000_t75" style="width:77pt;height:50pt" o:ole="">
                  <v:imagedata r:id="rId17" o:title=""/>
                </v:shape>
                <o:OLEObject Type="Embed" ProgID="Word.Document.12" ShapeID="_x0000_i1028" DrawAspect="Icon" ObjectID="_1752049964" r:id="rId18">
                  <o:FieldCodes>\s</o:FieldCodes>
                </o:OLEObject>
              </w:object>
            </w:r>
          </w:p>
          <w:p w14:paraId="16CAB70E" w14:textId="77777777" w:rsidR="00167A43" w:rsidRPr="00597DFB" w:rsidRDefault="00167A43" w:rsidP="00597DFB">
            <w:pPr>
              <w:rPr>
                <w:rFonts w:asciiTheme="majorHAnsi" w:hAnsiTheme="majorHAnsi" w:cstheme="majorHAnsi"/>
                <w:b/>
                <w:bCs/>
                <w:iCs/>
                <w:sz w:val="20"/>
                <w:szCs w:val="20"/>
              </w:rPr>
            </w:pPr>
          </w:p>
        </w:tc>
      </w:tr>
    </w:tbl>
    <w:p w14:paraId="70D31378" w14:textId="77777777" w:rsidR="00C966DF" w:rsidRPr="00C966DF" w:rsidRDefault="00C966DF" w:rsidP="00143030">
      <w:pPr>
        <w:rPr>
          <w:rFonts w:ascii="Cambria" w:hAnsi="Cambria" w:cstheme="minorBidi"/>
          <w:lang w:eastAsia="en-US"/>
        </w:rPr>
      </w:pPr>
    </w:p>
    <w:sectPr w:rsidR="00C966DF" w:rsidRPr="00C966DF" w:rsidSect="00871CF1">
      <w:footerReference w:type="default" r:id="rId1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42F7" w14:textId="77777777" w:rsidR="002110FC" w:rsidRDefault="002110FC" w:rsidP="00287CCE">
      <w:r>
        <w:separator/>
      </w:r>
    </w:p>
  </w:endnote>
  <w:endnote w:type="continuationSeparator" w:id="0">
    <w:p w14:paraId="6A0FB82B" w14:textId="77777777" w:rsidR="002110FC" w:rsidRDefault="002110FC" w:rsidP="0028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2E73" w14:textId="23B97059" w:rsidR="00287CCE" w:rsidRDefault="00871CF1">
    <w:pPr>
      <w:pStyle w:val="Piedepgina"/>
    </w:pPr>
    <w:r>
      <w:rPr>
        <w:noProof/>
        <w14:ligatures w14:val="standardContextual"/>
      </w:rPr>
      <mc:AlternateContent>
        <mc:Choice Requires="wps">
          <w:drawing>
            <wp:anchor distT="0" distB="0" distL="114300" distR="114300" simplePos="0" relativeHeight="251659264" behindDoc="0" locked="0" layoutInCell="0" allowOverlap="1" wp14:anchorId="1C17CBF1" wp14:editId="1757A73A">
              <wp:simplePos x="0" y="0"/>
              <wp:positionH relativeFrom="page">
                <wp:posOffset>0</wp:posOffset>
              </wp:positionH>
              <wp:positionV relativeFrom="page">
                <wp:posOffset>7308215</wp:posOffset>
              </wp:positionV>
              <wp:extent cx="10058400" cy="273050"/>
              <wp:effectExtent l="0" t="0" r="0" b="12700"/>
              <wp:wrapNone/>
              <wp:docPr id="2" name="MSIPCMbade4bcb935740ee7a9dbef3" descr="{&quot;HashCode&quot;:1186230005,&quot;Height&quot;:612.0,&quot;Width&quot;:79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A45CF1" w14:textId="4FF341E0" w:rsidR="00871CF1" w:rsidRPr="00871CF1" w:rsidRDefault="00871CF1" w:rsidP="00871CF1">
                          <w:pPr>
                            <w:jc w:val="center"/>
                            <w:rPr>
                              <w:color w:val="000000"/>
                              <w:sz w:val="20"/>
                            </w:rPr>
                          </w:pPr>
                          <w:r w:rsidRPr="00871CF1">
                            <w:rPr>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17CBF1" id="_x0000_t202" coordsize="21600,21600" o:spt="202" path="m,l,21600r21600,l21600,xe">
              <v:stroke joinstyle="miter"/>
              <v:path gradientshapeok="t" o:connecttype="rect"/>
            </v:shapetype>
            <v:shape id="MSIPCMbade4bcb935740ee7a9dbef3" o:spid="_x0000_s1026" type="#_x0000_t202" alt="{&quot;HashCode&quot;:1186230005,&quot;Height&quot;:612.0,&quot;Width&quot;:792.0,&quot;Placement&quot;:&quot;Footer&quot;,&quot;Index&quot;:&quot;Primary&quot;,&quot;Section&quot;:1,&quot;Top&quot;:0.0,&quot;Left&quot;:0.0}" style="position:absolute;margin-left:0;margin-top:575.45pt;width:11in;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" o:allowincell="f" filled="f" stroked="f" strokeweight=".5pt">
              <v:textbox inset=",0,,0">
                <w:txbxContent>
                  <w:p w14:paraId="53A45CF1" w14:textId="4FF341E0" w:rsidR="00871CF1" w:rsidRPr="00871CF1" w:rsidRDefault="00871CF1" w:rsidP="00871CF1">
                    <w:pPr>
                      <w:jc w:val="center"/>
                      <w:rPr>
                        <w:color w:val="000000"/>
                        <w:sz w:val="20"/>
                      </w:rPr>
                    </w:pPr>
                    <w:r w:rsidRPr="00871CF1">
                      <w:rPr>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C02C" w14:textId="77777777" w:rsidR="002110FC" w:rsidRDefault="002110FC" w:rsidP="00287CCE">
      <w:r>
        <w:separator/>
      </w:r>
    </w:p>
  </w:footnote>
  <w:footnote w:type="continuationSeparator" w:id="0">
    <w:p w14:paraId="3BC42DC0" w14:textId="77777777" w:rsidR="002110FC" w:rsidRDefault="002110FC" w:rsidP="00287CCE">
      <w:r>
        <w:continuationSeparator/>
      </w:r>
    </w:p>
  </w:footnote>
  <w:footnote w:id="1">
    <w:p w14:paraId="5829E8F0" w14:textId="0D6FB275" w:rsidR="00C966DF" w:rsidRPr="009A0CF3" w:rsidRDefault="00C966DF" w:rsidP="00C966DF">
      <w:pPr>
        <w:pStyle w:val="Textonotapie"/>
        <w:rPr>
          <w:rFonts w:ascii="Arial Narrow" w:hAnsi="Arial Narrow"/>
          <w:i/>
          <w:lang w:val="es-CR"/>
        </w:rPr>
      </w:pPr>
      <w:r w:rsidRPr="009A0CF3">
        <w:rPr>
          <w:rStyle w:val="Refdenotaalpie"/>
          <w:rFonts w:ascii="Arial Narrow" w:eastAsiaTheme="majorEastAsia" w:hAnsi="Arial Narrow"/>
        </w:rPr>
        <w:footnoteRef/>
      </w:r>
      <w:r w:rsidRPr="009A0CF3">
        <w:rPr>
          <w:rFonts w:ascii="Arial Narrow" w:hAnsi="Arial Narrow"/>
          <w:i/>
        </w:rPr>
        <w:t xml:space="preserve"> </w:t>
      </w:r>
      <w:r>
        <w:rPr>
          <w:rFonts w:ascii="Arial Narrow" w:hAnsi="Arial Narrow"/>
          <w:i/>
        </w:rPr>
        <w:t>Consulta enviada a la industria</w:t>
      </w:r>
      <w:r w:rsidRPr="009A0CF3">
        <w:rPr>
          <w:rFonts w:ascii="Arial Narrow" w:hAnsi="Arial Narrow"/>
          <w:i/>
        </w:rPr>
        <w:t xml:space="preserve"> mediant</w:t>
      </w:r>
      <w:r>
        <w:rPr>
          <w:rFonts w:ascii="Arial Narrow" w:hAnsi="Arial Narrow"/>
          <w:i/>
        </w:rPr>
        <w:t>e oficio</w:t>
      </w:r>
      <w:r w:rsidR="0054318C">
        <w:rPr>
          <w:rFonts w:ascii="Arial Narrow" w:hAnsi="Arial Narrow"/>
          <w:i/>
        </w:rPr>
        <w:t xml:space="preserve"> </w:t>
      </w:r>
      <w:hyperlink r:id="rId1" w:history="1">
        <w:r w:rsidR="0054318C" w:rsidRPr="0054318C">
          <w:rPr>
            <w:rStyle w:val="Hipervnculo"/>
            <w:rFonts w:ascii="Arial Narrow" w:hAnsi="Arial Narrow"/>
            <w:i/>
          </w:rPr>
          <w:t>SGS-0</w:t>
        </w:r>
        <w:r w:rsidR="00FA1B40">
          <w:rPr>
            <w:rStyle w:val="Hipervnculo"/>
            <w:rFonts w:ascii="Arial Narrow" w:hAnsi="Arial Narrow"/>
            <w:i/>
          </w:rPr>
          <w:t>711</w:t>
        </w:r>
        <w:r w:rsidR="0054318C" w:rsidRPr="0054318C">
          <w:rPr>
            <w:rStyle w:val="Hipervnculo"/>
            <w:rFonts w:ascii="Arial Narrow" w:hAnsi="Arial Narrow"/>
            <w:i/>
          </w:rPr>
          <w:t>-2023</w:t>
        </w:r>
      </w:hyperlink>
      <w:r w:rsidRPr="009A0CF3">
        <w:rPr>
          <w:rFonts w:ascii="Arial Narrow" w:hAnsi="Arial Narrow"/>
          <w:i/>
        </w:rPr>
        <w:t>, por un plazo de diez días hábiles.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519E"/>
    <w:multiLevelType w:val="hybridMultilevel"/>
    <w:tmpl w:val="4252B668"/>
    <w:lvl w:ilvl="0" w:tplc="3FCE25DE">
      <w:start w:val="1"/>
      <w:numFmt w:val="decimal"/>
      <w:lvlText w:val="%1."/>
      <w:lvlJc w:val="left"/>
      <w:pPr>
        <w:ind w:left="720" w:hanging="360"/>
      </w:pPr>
      <w:rPr>
        <w:rFonts w:asciiTheme="majorHAnsi" w:hAnsiTheme="majorHAnsi" w:cs="Arial" w:hint="default"/>
        <w:b w:val="0"/>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D5940B7"/>
    <w:multiLevelType w:val="hybridMultilevel"/>
    <w:tmpl w:val="D2AA4A2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E3F5465"/>
    <w:multiLevelType w:val="hybridMultilevel"/>
    <w:tmpl w:val="E4D8F616"/>
    <w:lvl w:ilvl="0" w:tplc="8C1CA9D2">
      <w:start w:val="4"/>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713084D"/>
    <w:multiLevelType w:val="hybridMultilevel"/>
    <w:tmpl w:val="B674FBCC"/>
    <w:lvl w:ilvl="0" w:tplc="41106958">
      <w:start w:val="1"/>
      <w:numFmt w:val="decimal"/>
      <w:lvlText w:val="%1."/>
      <w:lvlJc w:val="left"/>
      <w:pPr>
        <w:ind w:left="720" w:hanging="360"/>
      </w:pPr>
      <w:rPr>
        <w:rFonts w:asciiTheme="majorHAnsi" w:hAnsiTheme="majorHAnsi" w:cs="Arial" w:hint="default"/>
        <w:b w:val="0"/>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8420423"/>
    <w:multiLevelType w:val="hybridMultilevel"/>
    <w:tmpl w:val="A2FAE37C"/>
    <w:lvl w:ilvl="0" w:tplc="9CA26FE2">
      <w:start w:val="1"/>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29D32BD"/>
    <w:multiLevelType w:val="hybridMultilevel"/>
    <w:tmpl w:val="818C4516"/>
    <w:lvl w:ilvl="0" w:tplc="C8108F78">
      <w:start w:val="3"/>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4B62FD7"/>
    <w:multiLevelType w:val="hybridMultilevel"/>
    <w:tmpl w:val="77904384"/>
    <w:lvl w:ilvl="0" w:tplc="6EF4F3D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AA579C"/>
    <w:multiLevelType w:val="hybridMultilevel"/>
    <w:tmpl w:val="757EFD9C"/>
    <w:lvl w:ilvl="0" w:tplc="172C3F80">
      <w:start w:val="2"/>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BC04DBF"/>
    <w:multiLevelType w:val="hybridMultilevel"/>
    <w:tmpl w:val="4E14B0B2"/>
    <w:lvl w:ilvl="0" w:tplc="18224954">
      <w:start w:val="1"/>
      <w:numFmt w:val="decimal"/>
      <w:lvlText w:val="%1."/>
      <w:lvlJc w:val="left"/>
      <w:pPr>
        <w:ind w:left="466" w:hanging="360"/>
      </w:pPr>
      <w:rPr>
        <w:rFonts w:hint="default"/>
        <w:b/>
        <w:bCs/>
      </w:rPr>
    </w:lvl>
    <w:lvl w:ilvl="1" w:tplc="140A0019" w:tentative="1">
      <w:start w:val="1"/>
      <w:numFmt w:val="lowerLetter"/>
      <w:lvlText w:val="%2."/>
      <w:lvlJc w:val="left"/>
      <w:pPr>
        <w:ind w:left="1186" w:hanging="360"/>
      </w:pPr>
    </w:lvl>
    <w:lvl w:ilvl="2" w:tplc="140A001B" w:tentative="1">
      <w:start w:val="1"/>
      <w:numFmt w:val="lowerRoman"/>
      <w:lvlText w:val="%3."/>
      <w:lvlJc w:val="right"/>
      <w:pPr>
        <w:ind w:left="1906" w:hanging="180"/>
      </w:pPr>
    </w:lvl>
    <w:lvl w:ilvl="3" w:tplc="140A000F" w:tentative="1">
      <w:start w:val="1"/>
      <w:numFmt w:val="decimal"/>
      <w:lvlText w:val="%4."/>
      <w:lvlJc w:val="left"/>
      <w:pPr>
        <w:ind w:left="2626" w:hanging="360"/>
      </w:pPr>
    </w:lvl>
    <w:lvl w:ilvl="4" w:tplc="140A0019" w:tentative="1">
      <w:start w:val="1"/>
      <w:numFmt w:val="lowerLetter"/>
      <w:lvlText w:val="%5."/>
      <w:lvlJc w:val="left"/>
      <w:pPr>
        <w:ind w:left="3346" w:hanging="360"/>
      </w:pPr>
    </w:lvl>
    <w:lvl w:ilvl="5" w:tplc="140A001B" w:tentative="1">
      <w:start w:val="1"/>
      <w:numFmt w:val="lowerRoman"/>
      <w:lvlText w:val="%6."/>
      <w:lvlJc w:val="right"/>
      <w:pPr>
        <w:ind w:left="4066" w:hanging="180"/>
      </w:pPr>
    </w:lvl>
    <w:lvl w:ilvl="6" w:tplc="140A000F" w:tentative="1">
      <w:start w:val="1"/>
      <w:numFmt w:val="decimal"/>
      <w:lvlText w:val="%7."/>
      <w:lvlJc w:val="left"/>
      <w:pPr>
        <w:ind w:left="4786" w:hanging="360"/>
      </w:pPr>
    </w:lvl>
    <w:lvl w:ilvl="7" w:tplc="140A0019" w:tentative="1">
      <w:start w:val="1"/>
      <w:numFmt w:val="lowerLetter"/>
      <w:lvlText w:val="%8."/>
      <w:lvlJc w:val="left"/>
      <w:pPr>
        <w:ind w:left="5506" w:hanging="360"/>
      </w:pPr>
    </w:lvl>
    <w:lvl w:ilvl="8" w:tplc="140A001B" w:tentative="1">
      <w:start w:val="1"/>
      <w:numFmt w:val="lowerRoman"/>
      <w:lvlText w:val="%9."/>
      <w:lvlJc w:val="right"/>
      <w:pPr>
        <w:ind w:left="6226" w:hanging="180"/>
      </w:pPr>
    </w:lvl>
  </w:abstractNum>
  <w:abstractNum w:abstractNumId="10" w15:restartNumberingAfterBreak="0">
    <w:nsid w:val="5617095D"/>
    <w:multiLevelType w:val="hybridMultilevel"/>
    <w:tmpl w:val="3CC6F890"/>
    <w:lvl w:ilvl="0" w:tplc="3822EE80">
      <w:start w:val="6"/>
      <w:numFmt w:val="decimal"/>
      <w:lvlText w:val="%1."/>
      <w:lvlJc w:val="left"/>
      <w:pPr>
        <w:ind w:left="720" w:hanging="360"/>
      </w:pPr>
      <w:rPr>
        <w:rFonts w:ascii="Cambria" w:hAnsi="Cambria" w:hint="default"/>
        <w:b w:val="0"/>
        <w:color w:val="0000FF"/>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97A7915"/>
    <w:multiLevelType w:val="hybridMultilevel"/>
    <w:tmpl w:val="B4189D50"/>
    <w:lvl w:ilvl="0" w:tplc="140A000F">
      <w:start w:val="1"/>
      <w:numFmt w:val="decimal"/>
      <w:lvlText w:val="%1."/>
      <w:lvlJc w:val="left"/>
      <w:pPr>
        <w:ind w:left="961" w:hanging="360"/>
      </w:pPr>
    </w:lvl>
    <w:lvl w:ilvl="1" w:tplc="140A0019" w:tentative="1">
      <w:start w:val="1"/>
      <w:numFmt w:val="lowerLetter"/>
      <w:lvlText w:val="%2."/>
      <w:lvlJc w:val="left"/>
      <w:pPr>
        <w:ind w:left="1681" w:hanging="360"/>
      </w:pPr>
    </w:lvl>
    <w:lvl w:ilvl="2" w:tplc="140A001B" w:tentative="1">
      <w:start w:val="1"/>
      <w:numFmt w:val="lowerRoman"/>
      <w:lvlText w:val="%3."/>
      <w:lvlJc w:val="right"/>
      <w:pPr>
        <w:ind w:left="2401" w:hanging="180"/>
      </w:pPr>
    </w:lvl>
    <w:lvl w:ilvl="3" w:tplc="140A000F" w:tentative="1">
      <w:start w:val="1"/>
      <w:numFmt w:val="decimal"/>
      <w:lvlText w:val="%4."/>
      <w:lvlJc w:val="left"/>
      <w:pPr>
        <w:ind w:left="3121" w:hanging="360"/>
      </w:pPr>
    </w:lvl>
    <w:lvl w:ilvl="4" w:tplc="140A0019" w:tentative="1">
      <w:start w:val="1"/>
      <w:numFmt w:val="lowerLetter"/>
      <w:lvlText w:val="%5."/>
      <w:lvlJc w:val="left"/>
      <w:pPr>
        <w:ind w:left="3841" w:hanging="360"/>
      </w:pPr>
    </w:lvl>
    <w:lvl w:ilvl="5" w:tplc="140A001B" w:tentative="1">
      <w:start w:val="1"/>
      <w:numFmt w:val="lowerRoman"/>
      <w:lvlText w:val="%6."/>
      <w:lvlJc w:val="right"/>
      <w:pPr>
        <w:ind w:left="4561" w:hanging="180"/>
      </w:pPr>
    </w:lvl>
    <w:lvl w:ilvl="6" w:tplc="140A000F" w:tentative="1">
      <w:start w:val="1"/>
      <w:numFmt w:val="decimal"/>
      <w:lvlText w:val="%7."/>
      <w:lvlJc w:val="left"/>
      <w:pPr>
        <w:ind w:left="5281" w:hanging="360"/>
      </w:pPr>
    </w:lvl>
    <w:lvl w:ilvl="7" w:tplc="140A0019" w:tentative="1">
      <w:start w:val="1"/>
      <w:numFmt w:val="lowerLetter"/>
      <w:lvlText w:val="%8."/>
      <w:lvlJc w:val="left"/>
      <w:pPr>
        <w:ind w:left="6001" w:hanging="360"/>
      </w:pPr>
    </w:lvl>
    <w:lvl w:ilvl="8" w:tplc="140A001B" w:tentative="1">
      <w:start w:val="1"/>
      <w:numFmt w:val="lowerRoman"/>
      <w:lvlText w:val="%9."/>
      <w:lvlJc w:val="right"/>
      <w:pPr>
        <w:ind w:left="6721" w:hanging="180"/>
      </w:pPr>
    </w:lvl>
  </w:abstractNum>
  <w:abstractNum w:abstractNumId="12" w15:restartNumberingAfterBreak="0">
    <w:nsid w:val="68363F5E"/>
    <w:multiLevelType w:val="hybridMultilevel"/>
    <w:tmpl w:val="A2FAE37C"/>
    <w:lvl w:ilvl="0" w:tplc="FFFFFFFF">
      <w:start w:val="1"/>
      <w:numFmt w:val="decimal"/>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D847F5"/>
    <w:multiLevelType w:val="hybridMultilevel"/>
    <w:tmpl w:val="9B12B056"/>
    <w:lvl w:ilvl="0" w:tplc="C2C81592">
      <w:start w:val="5"/>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1A52345"/>
    <w:multiLevelType w:val="hybridMultilevel"/>
    <w:tmpl w:val="E89E80A8"/>
    <w:lvl w:ilvl="0" w:tplc="DA72FD2A">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9424339">
    <w:abstractNumId w:val="7"/>
  </w:num>
  <w:num w:numId="2" w16cid:durableId="1625499271">
    <w:abstractNumId w:val="11"/>
  </w:num>
  <w:num w:numId="3" w16cid:durableId="2078086575">
    <w:abstractNumId w:val="14"/>
  </w:num>
  <w:num w:numId="4" w16cid:durableId="583221639">
    <w:abstractNumId w:val="2"/>
  </w:num>
  <w:num w:numId="5" w16cid:durableId="276328526">
    <w:abstractNumId w:val="5"/>
  </w:num>
  <w:num w:numId="6" w16cid:durableId="1368946589">
    <w:abstractNumId w:val="12"/>
  </w:num>
  <w:num w:numId="7" w16cid:durableId="1337734612">
    <w:abstractNumId w:val="8"/>
  </w:num>
  <w:num w:numId="8" w16cid:durableId="768047441">
    <w:abstractNumId w:val="6"/>
  </w:num>
  <w:num w:numId="9" w16cid:durableId="633412384">
    <w:abstractNumId w:val="3"/>
  </w:num>
  <w:num w:numId="10" w16cid:durableId="646275828">
    <w:abstractNumId w:val="13"/>
  </w:num>
  <w:num w:numId="11" w16cid:durableId="270674361">
    <w:abstractNumId w:val="10"/>
  </w:num>
  <w:num w:numId="12" w16cid:durableId="1763798979">
    <w:abstractNumId w:val="1"/>
  </w:num>
  <w:num w:numId="13" w16cid:durableId="1141776393">
    <w:abstractNumId w:val="0"/>
  </w:num>
  <w:num w:numId="14" w16cid:durableId="1902248760">
    <w:abstractNumId w:val="4"/>
  </w:num>
  <w:num w:numId="15" w16cid:durableId="12023239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030"/>
    <w:rsid w:val="00034F80"/>
    <w:rsid w:val="00034F92"/>
    <w:rsid w:val="0004345D"/>
    <w:rsid w:val="00044549"/>
    <w:rsid w:val="000713BC"/>
    <w:rsid w:val="000847CF"/>
    <w:rsid w:val="00096C55"/>
    <w:rsid w:val="000A057F"/>
    <w:rsid w:val="000A4B03"/>
    <w:rsid w:val="000B7CD6"/>
    <w:rsid w:val="000C1D5E"/>
    <w:rsid w:val="000C57E7"/>
    <w:rsid w:val="000D1725"/>
    <w:rsid w:val="000D4FF4"/>
    <w:rsid w:val="00104E0E"/>
    <w:rsid w:val="00121E84"/>
    <w:rsid w:val="00143030"/>
    <w:rsid w:val="00157634"/>
    <w:rsid w:val="00167A43"/>
    <w:rsid w:val="001A2C60"/>
    <w:rsid w:val="001D382C"/>
    <w:rsid w:val="001D3CDD"/>
    <w:rsid w:val="002110FC"/>
    <w:rsid w:val="0021596A"/>
    <w:rsid w:val="00223758"/>
    <w:rsid w:val="0022413D"/>
    <w:rsid w:val="00232B8C"/>
    <w:rsid w:val="002338B3"/>
    <w:rsid w:val="00237EB8"/>
    <w:rsid w:val="00280030"/>
    <w:rsid w:val="00287CCE"/>
    <w:rsid w:val="002904CE"/>
    <w:rsid w:val="002A6C50"/>
    <w:rsid w:val="002D010B"/>
    <w:rsid w:val="002D1608"/>
    <w:rsid w:val="00305529"/>
    <w:rsid w:val="003056FF"/>
    <w:rsid w:val="00320D32"/>
    <w:rsid w:val="00323DC3"/>
    <w:rsid w:val="003615E1"/>
    <w:rsid w:val="00370884"/>
    <w:rsid w:val="00392466"/>
    <w:rsid w:val="003A5F2B"/>
    <w:rsid w:val="003C1F8E"/>
    <w:rsid w:val="003C715F"/>
    <w:rsid w:val="003F0461"/>
    <w:rsid w:val="00432B70"/>
    <w:rsid w:val="00435175"/>
    <w:rsid w:val="0044495D"/>
    <w:rsid w:val="00462049"/>
    <w:rsid w:val="00470C94"/>
    <w:rsid w:val="00472154"/>
    <w:rsid w:val="004722DA"/>
    <w:rsid w:val="004821DC"/>
    <w:rsid w:val="004875A9"/>
    <w:rsid w:val="00495BB0"/>
    <w:rsid w:val="004F13A3"/>
    <w:rsid w:val="004F25B2"/>
    <w:rsid w:val="00536016"/>
    <w:rsid w:val="005418ED"/>
    <w:rsid w:val="0054318C"/>
    <w:rsid w:val="0057743D"/>
    <w:rsid w:val="00597DFB"/>
    <w:rsid w:val="005A4073"/>
    <w:rsid w:val="005D00A1"/>
    <w:rsid w:val="005E2007"/>
    <w:rsid w:val="006245EE"/>
    <w:rsid w:val="00624A2C"/>
    <w:rsid w:val="00635775"/>
    <w:rsid w:val="00660F54"/>
    <w:rsid w:val="006D3A64"/>
    <w:rsid w:val="006E7AB4"/>
    <w:rsid w:val="0071249E"/>
    <w:rsid w:val="007274A5"/>
    <w:rsid w:val="0074672D"/>
    <w:rsid w:val="00757341"/>
    <w:rsid w:val="00772A26"/>
    <w:rsid w:val="00774AFE"/>
    <w:rsid w:val="007B0EA5"/>
    <w:rsid w:val="007C7AB0"/>
    <w:rsid w:val="007E004D"/>
    <w:rsid w:val="007E192E"/>
    <w:rsid w:val="00814ED5"/>
    <w:rsid w:val="008168CE"/>
    <w:rsid w:val="008365FF"/>
    <w:rsid w:val="00871CF1"/>
    <w:rsid w:val="0088636C"/>
    <w:rsid w:val="008A0879"/>
    <w:rsid w:val="008C5604"/>
    <w:rsid w:val="008D5F88"/>
    <w:rsid w:val="008E5436"/>
    <w:rsid w:val="008F3D84"/>
    <w:rsid w:val="00901876"/>
    <w:rsid w:val="00916F2D"/>
    <w:rsid w:val="0093515A"/>
    <w:rsid w:val="00955CEA"/>
    <w:rsid w:val="0096491E"/>
    <w:rsid w:val="00991C41"/>
    <w:rsid w:val="009B1362"/>
    <w:rsid w:val="009B2A94"/>
    <w:rsid w:val="009C3F59"/>
    <w:rsid w:val="009C5131"/>
    <w:rsid w:val="00A0189F"/>
    <w:rsid w:val="00A107BC"/>
    <w:rsid w:val="00A3046A"/>
    <w:rsid w:val="00A32025"/>
    <w:rsid w:val="00A34AE1"/>
    <w:rsid w:val="00A35AE2"/>
    <w:rsid w:val="00A7485F"/>
    <w:rsid w:val="00A83369"/>
    <w:rsid w:val="00AC3432"/>
    <w:rsid w:val="00AD1CEE"/>
    <w:rsid w:val="00AE693E"/>
    <w:rsid w:val="00AF2B27"/>
    <w:rsid w:val="00B5180D"/>
    <w:rsid w:val="00BA34C7"/>
    <w:rsid w:val="00BD644B"/>
    <w:rsid w:val="00BE11CC"/>
    <w:rsid w:val="00BF0153"/>
    <w:rsid w:val="00C00462"/>
    <w:rsid w:val="00C247BF"/>
    <w:rsid w:val="00C359CD"/>
    <w:rsid w:val="00C53432"/>
    <w:rsid w:val="00C54693"/>
    <w:rsid w:val="00C61A06"/>
    <w:rsid w:val="00C9136F"/>
    <w:rsid w:val="00C966DF"/>
    <w:rsid w:val="00CB6052"/>
    <w:rsid w:val="00CB6704"/>
    <w:rsid w:val="00CE7B30"/>
    <w:rsid w:val="00CF1692"/>
    <w:rsid w:val="00D01CC2"/>
    <w:rsid w:val="00D139E2"/>
    <w:rsid w:val="00D350EC"/>
    <w:rsid w:val="00D765F8"/>
    <w:rsid w:val="00DB190D"/>
    <w:rsid w:val="00DB544C"/>
    <w:rsid w:val="00DB6DE5"/>
    <w:rsid w:val="00DC1A3A"/>
    <w:rsid w:val="00DD583C"/>
    <w:rsid w:val="00DF69B6"/>
    <w:rsid w:val="00E230DA"/>
    <w:rsid w:val="00E718FF"/>
    <w:rsid w:val="00ED024B"/>
    <w:rsid w:val="00EE3580"/>
    <w:rsid w:val="00EF37B1"/>
    <w:rsid w:val="00F07099"/>
    <w:rsid w:val="00F112E0"/>
    <w:rsid w:val="00F47897"/>
    <w:rsid w:val="00F66B36"/>
    <w:rsid w:val="00F74408"/>
    <w:rsid w:val="00F9715D"/>
    <w:rsid w:val="00FA1B40"/>
    <w:rsid w:val="00FB21B1"/>
    <w:rsid w:val="00FF4F0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A44E4B0"/>
  <w15:chartTrackingRefBased/>
  <w15:docId w15:val="{4B80825F-5FBB-499C-8F5A-5CA294C7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030"/>
    <w:pPr>
      <w:spacing w:after="0" w:line="240" w:lineRule="auto"/>
    </w:pPr>
    <w:rPr>
      <w:rFonts w:ascii="Calibri" w:hAnsi="Calibri" w:cs="Calibri"/>
      <w:kern w:val="0"/>
      <w:lang w:eastAsia="es-CR"/>
      <w14:ligatures w14:val="none"/>
    </w:rPr>
  </w:style>
  <w:style w:type="paragraph" w:styleId="Ttulo5">
    <w:name w:val="heading 5"/>
    <w:basedOn w:val="Normal"/>
    <w:next w:val="Normal"/>
    <w:link w:val="Ttulo5Car"/>
    <w:uiPriority w:val="9"/>
    <w:qFormat/>
    <w:rsid w:val="00143030"/>
    <w:pPr>
      <w:keepNext/>
      <w:widowControl w:val="0"/>
      <w:jc w:val="center"/>
      <w:outlineLvl w:val="4"/>
    </w:pPr>
    <w:rPr>
      <w:rFonts w:ascii="Times New Roman" w:eastAsia="Times New Roman" w:hAnsi="Times New Roman" w:cs="Times New Roman"/>
      <w:b/>
      <w:i/>
      <w:snapToGrid w:val="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143030"/>
    <w:rPr>
      <w:rFonts w:ascii="Times New Roman" w:eastAsia="Times New Roman" w:hAnsi="Times New Roman" w:cs="Times New Roman"/>
      <w:b/>
      <w:i/>
      <w:snapToGrid w:val="0"/>
      <w:kern w:val="0"/>
      <w:szCs w:val="24"/>
      <w:lang w:eastAsia="es-CR"/>
      <w14:ligatures w14:val="none"/>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143030"/>
    <w:pPr>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locked/>
    <w:rsid w:val="00143030"/>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1430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nhideWhenUsed/>
    <w:rsid w:val="00143030"/>
    <w:pPr>
      <w:spacing w:after="120" w:line="276" w:lineRule="auto"/>
    </w:pPr>
    <w:rPr>
      <w:rFonts w:asciiTheme="minorHAnsi" w:eastAsiaTheme="minorEastAsia" w:hAnsiTheme="minorHAnsi" w:cstheme="minorBidi"/>
      <w:sz w:val="16"/>
      <w:szCs w:val="16"/>
    </w:rPr>
  </w:style>
  <w:style w:type="character" w:customStyle="1" w:styleId="Textoindependiente3Car">
    <w:name w:val="Texto independiente 3 Car"/>
    <w:basedOn w:val="Fuentedeprrafopredeter"/>
    <w:link w:val="Textoindependiente3"/>
    <w:rsid w:val="00143030"/>
    <w:rPr>
      <w:rFonts w:eastAsiaTheme="minorEastAsia"/>
      <w:kern w:val="0"/>
      <w:sz w:val="16"/>
      <w:szCs w:val="16"/>
      <w:lang w:eastAsia="es-CR"/>
      <w14:ligatures w14:val="none"/>
    </w:rPr>
  </w:style>
  <w:style w:type="paragraph" w:styleId="Encabezado">
    <w:name w:val="header"/>
    <w:basedOn w:val="Normal"/>
    <w:link w:val="EncabezadoCar"/>
    <w:uiPriority w:val="99"/>
    <w:unhideWhenUsed/>
    <w:rsid w:val="00287CCE"/>
    <w:pPr>
      <w:tabs>
        <w:tab w:val="center" w:pos="4419"/>
        <w:tab w:val="right" w:pos="8838"/>
      </w:tabs>
    </w:pPr>
  </w:style>
  <w:style w:type="character" w:customStyle="1" w:styleId="EncabezadoCar">
    <w:name w:val="Encabezado Car"/>
    <w:basedOn w:val="Fuentedeprrafopredeter"/>
    <w:link w:val="Encabezado"/>
    <w:uiPriority w:val="99"/>
    <w:rsid w:val="00287CCE"/>
    <w:rPr>
      <w:rFonts w:ascii="Calibri" w:hAnsi="Calibri" w:cs="Calibri"/>
      <w:kern w:val="0"/>
      <w:lang w:eastAsia="es-CR"/>
      <w14:ligatures w14:val="none"/>
    </w:rPr>
  </w:style>
  <w:style w:type="paragraph" w:styleId="Piedepgina">
    <w:name w:val="footer"/>
    <w:basedOn w:val="Normal"/>
    <w:link w:val="PiedepginaCar"/>
    <w:uiPriority w:val="99"/>
    <w:unhideWhenUsed/>
    <w:rsid w:val="00287CCE"/>
    <w:pPr>
      <w:tabs>
        <w:tab w:val="center" w:pos="4419"/>
        <w:tab w:val="right" w:pos="8838"/>
      </w:tabs>
    </w:pPr>
  </w:style>
  <w:style w:type="character" w:customStyle="1" w:styleId="PiedepginaCar">
    <w:name w:val="Pie de página Car"/>
    <w:basedOn w:val="Fuentedeprrafopredeter"/>
    <w:link w:val="Piedepgina"/>
    <w:uiPriority w:val="99"/>
    <w:rsid w:val="00287CCE"/>
    <w:rPr>
      <w:rFonts w:ascii="Calibri" w:hAnsi="Calibri" w:cs="Calibri"/>
      <w:kern w:val="0"/>
      <w:lang w:eastAsia="es-CR"/>
      <w14:ligatures w14:val="none"/>
    </w:rPr>
  </w:style>
  <w:style w:type="character" w:styleId="Hipervnculo">
    <w:name w:val="Hyperlink"/>
    <w:basedOn w:val="Fuentedeprrafopredeter"/>
    <w:uiPriority w:val="99"/>
    <w:rsid w:val="00C966DF"/>
    <w:rPr>
      <w:color w:val="0000FF"/>
      <w:u w:val="single"/>
    </w:rPr>
  </w:style>
  <w:style w:type="paragraph" w:styleId="Textonotapie">
    <w:name w:val="footnote text"/>
    <w:basedOn w:val="Normal"/>
    <w:link w:val="TextonotapieCar"/>
    <w:uiPriority w:val="99"/>
    <w:semiHidden/>
    <w:unhideWhenUsed/>
    <w:rsid w:val="00C966DF"/>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C966DF"/>
    <w:rPr>
      <w:rFonts w:ascii="Times New Roman" w:eastAsia="Times New Roman" w:hAnsi="Times New Roman" w:cs="Times New Roman"/>
      <w:kern w:val="0"/>
      <w:sz w:val="20"/>
      <w:szCs w:val="20"/>
      <w:lang w:val="es-ES" w:eastAsia="es-ES"/>
      <w14:ligatures w14:val="none"/>
    </w:rPr>
  </w:style>
  <w:style w:type="character" w:styleId="Refdenotaalpie">
    <w:name w:val="footnote reference"/>
    <w:basedOn w:val="Fuentedeprrafopredeter"/>
    <w:uiPriority w:val="99"/>
    <w:semiHidden/>
    <w:unhideWhenUsed/>
    <w:rsid w:val="00C966DF"/>
    <w:rPr>
      <w:vertAlign w:val="superscript"/>
    </w:rPr>
  </w:style>
  <w:style w:type="character" w:styleId="Refdecomentario">
    <w:name w:val="annotation reference"/>
    <w:basedOn w:val="Fuentedeprrafopredeter"/>
    <w:uiPriority w:val="99"/>
    <w:semiHidden/>
    <w:unhideWhenUsed/>
    <w:rsid w:val="00C966DF"/>
    <w:rPr>
      <w:sz w:val="16"/>
      <w:szCs w:val="16"/>
    </w:rPr>
  </w:style>
  <w:style w:type="paragraph" w:styleId="Textocomentario">
    <w:name w:val="annotation text"/>
    <w:basedOn w:val="Normal"/>
    <w:link w:val="TextocomentarioCar"/>
    <w:uiPriority w:val="99"/>
    <w:semiHidden/>
    <w:unhideWhenUsed/>
    <w:rsid w:val="00C966DF"/>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C966DF"/>
    <w:rPr>
      <w:rFonts w:ascii="Times New Roman" w:eastAsia="Times New Roman" w:hAnsi="Times New Roman" w:cs="Times New Roman"/>
      <w:kern w:val="0"/>
      <w:sz w:val="20"/>
      <w:szCs w:val="20"/>
      <w:lang w:val="es-ES" w:eastAsia="es-ES"/>
      <w14:ligatures w14:val="none"/>
    </w:rPr>
  </w:style>
  <w:style w:type="character" w:styleId="Mencinsinresolver">
    <w:name w:val="Unresolved Mention"/>
    <w:basedOn w:val="Fuentedeprrafopredeter"/>
    <w:uiPriority w:val="99"/>
    <w:semiHidden/>
    <w:unhideWhenUsed/>
    <w:rsid w:val="0054318C"/>
    <w:rPr>
      <w:color w:val="605E5C"/>
      <w:shd w:val="clear" w:color="auto" w:fill="E1DFDD"/>
    </w:rPr>
  </w:style>
  <w:style w:type="character" w:styleId="Hipervnculovisitado">
    <w:name w:val="FollowedHyperlink"/>
    <w:basedOn w:val="Fuentedeprrafopredeter"/>
    <w:uiPriority w:val="99"/>
    <w:semiHidden/>
    <w:unhideWhenUsed/>
    <w:rsid w:val="00320D32"/>
    <w:rPr>
      <w:color w:val="954F72" w:themeColor="followedHyperlink"/>
      <w:u w:val="single"/>
    </w:rPr>
  </w:style>
  <w:style w:type="paragraph" w:styleId="Textoindependiente">
    <w:name w:val="Body Text"/>
    <w:basedOn w:val="Normal"/>
    <w:link w:val="TextoindependienteCar"/>
    <w:unhideWhenUsed/>
    <w:rsid w:val="008F3D84"/>
    <w:pPr>
      <w:spacing w:after="120" w:line="276" w:lineRule="auto"/>
    </w:pPr>
    <w:rPr>
      <w:rFonts w:asciiTheme="minorHAnsi" w:eastAsiaTheme="minorEastAsia" w:hAnsiTheme="minorHAnsi" w:cstheme="minorBidi"/>
    </w:rPr>
  </w:style>
  <w:style w:type="character" w:customStyle="1" w:styleId="TextoindependienteCar">
    <w:name w:val="Texto independiente Car"/>
    <w:basedOn w:val="Fuentedeprrafopredeter"/>
    <w:link w:val="Textoindependiente"/>
    <w:rsid w:val="008F3D84"/>
    <w:rPr>
      <w:rFonts w:eastAsiaTheme="minorEastAsia"/>
      <w:kern w:val="0"/>
      <w:lang w:eastAsia="es-CR"/>
      <w14:ligatures w14:val="none"/>
    </w:rPr>
  </w:style>
  <w:style w:type="paragraph" w:styleId="NormalWeb">
    <w:name w:val="Normal (Web)"/>
    <w:basedOn w:val="Normal"/>
    <w:uiPriority w:val="99"/>
    <w:semiHidden/>
    <w:unhideWhenUsed/>
    <w:rsid w:val="000C57E7"/>
    <w:pPr>
      <w:spacing w:before="100" w:beforeAutospacing="1" w:after="100" w:afterAutospacing="1"/>
    </w:pPr>
    <w:rPr>
      <w:rFonts w:ascii="Times New Roman" w:eastAsia="Times New Roman" w:hAnsi="Times New Roman" w:cs="Times New Roman"/>
      <w:sz w:val="24"/>
      <w:szCs w:val="24"/>
    </w:rPr>
  </w:style>
  <w:style w:type="paragraph" w:styleId="Asuntodelcomentario">
    <w:name w:val="annotation subject"/>
    <w:basedOn w:val="Textocomentario"/>
    <w:next w:val="Textocomentario"/>
    <w:link w:val="AsuntodelcomentarioCar"/>
    <w:uiPriority w:val="99"/>
    <w:semiHidden/>
    <w:unhideWhenUsed/>
    <w:rsid w:val="000D4FF4"/>
    <w:rPr>
      <w:rFonts w:ascii="Calibri" w:eastAsiaTheme="minorHAnsi" w:hAnsi="Calibri" w:cs="Calibri"/>
      <w:b/>
      <w:bCs/>
      <w:lang w:val="es-CR" w:eastAsia="es-CR"/>
    </w:rPr>
  </w:style>
  <w:style w:type="character" w:customStyle="1" w:styleId="AsuntodelcomentarioCar">
    <w:name w:val="Asunto del comentario Car"/>
    <w:basedOn w:val="TextocomentarioCar"/>
    <w:link w:val="Asuntodelcomentario"/>
    <w:uiPriority w:val="99"/>
    <w:semiHidden/>
    <w:rsid w:val="000D4FF4"/>
    <w:rPr>
      <w:rFonts w:ascii="Calibri" w:eastAsia="Times New Roman" w:hAnsi="Calibri" w:cs="Calibri"/>
      <w:b/>
      <w:bCs/>
      <w:kern w:val="0"/>
      <w:sz w:val="20"/>
      <w:szCs w:val="20"/>
      <w:lang w:val="es-ES"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52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3.doc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Word_Document2.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_rels/footnotes.xml.rels><?xml version="1.0" encoding="UTF-8" standalone="yes"?>
<Relationships xmlns="http://schemas.openxmlformats.org/package/2006/relationships"><Relationship Id="rId1" Type="http://schemas.openxmlformats.org/officeDocument/2006/relationships/hyperlink" Target="https://intrabccr/sites/gec2020/SalienteSUGESE/SGS-0711-2023.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DF67F-DC58-4819-9916-A40D8A540A6D}">
  <ds:schemaRefs>
    <ds:schemaRef ds:uri="http://schemas.microsoft.com/sharepoint/v3/contenttype/forms"/>
  </ds:schemaRefs>
</ds:datastoreItem>
</file>

<file path=customXml/itemProps2.xml><?xml version="1.0" encoding="utf-8"?>
<ds:datastoreItem xmlns:ds="http://schemas.openxmlformats.org/officeDocument/2006/customXml" ds:itemID="{4AEF3B66-9427-4DCB-B855-5FDF34578071}"/>
</file>

<file path=customXml/itemProps3.xml><?xml version="1.0" encoding="utf-8"?>
<ds:datastoreItem xmlns:ds="http://schemas.openxmlformats.org/officeDocument/2006/customXml" ds:itemID="{2ED8847D-BB30-47BA-9071-72526B765709}">
  <ds:schemaRef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 ds:uri="http://purl.org/dc/elements/1.1/"/>
    <ds:schemaRef ds:uri="23c06918-25d6-4b26-baeb-7b8536dba18e"/>
    <ds:schemaRef ds:uri="http://www.w3.org/XML/1998/namespace"/>
    <ds:schemaRef ds:uri="http://schemas.microsoft.com/office/infopath/2007/PartnerControls"/>
    <ds:schemaRef ds:uri="4f4ead7c-4846-46a9-b3e4-66d3d6970886"/>
  </ds:schemaRefs>
</ds:datastoreItem>
</file>

<file path=customXml/itemProps4.xml><?xml version="1.0" encoding="utf-8"?>
<ds:datastoreItem xmlns:ds="http://schemas.openxmlformats.org/officeDocument/2006/customXml" ds:itemID="{16605C3E-D016-47BB-8FAB-5B142EF4D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2888</Words>
  <Characters>15888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NA</vt:lpstr>
    </vt:vector>
  </TitlesOfParts>
  <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 a las modificaciones al acuerdo SGS-A-021-2013, para normar la remisión del modelo de siniestralidad del seguro obligatorio para vehículos automotores (SOA) mediante el Sistema de Supervisión de Seguros</dc:title>
  <dc:subject/>
  <dc:creator>Ana Eugenia Quesada Chaves</dc:creator>
  <cp:keywords/>
  <dc:description/>
  <cp:lastModifiedBy>RODRIGUEZ SOLIS ALEJANDRO DAVID</cp:lastModifiedBy>
  <cp:revision>2</cp:revision>
  <dcterms:created xsi:type="dcterms:W3CDTF">2023-07-28T17:45:00Z</dcterms:created>
  <dcterms:modified xsi:type="dcterms:W3CDTF">2023-07-28T17:45:00Z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MSIP_Label_b8b4be34-365a-4a68-b9fb-75c1b6874315_Enabled">
    <vt:lpwstr>true</vt:lpwstr>
  </property>
  <property fmtid="{D5CDD505-2E9C-101B-9397-08002B2CF9AE}" pid="4" name="MSIP_Label_b8b4be34-365a-4a68-b9fb-75c1b6874315_SetDate">
    <vt:lpwstr>2023-07-28T17:45:40Z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32f409f1-6dd2-427e-8653-173562fe9197</vt:lpwstr>
  </property>
  <property fmtid="{D5CDD505-2E9C-101B-9397-08002B2CF9AE}" pid="9" name="MSIP_Label_b8b4be34-365a-4a68-b9fb-75c1b6874315_ContentBits">
    <vt:lpwstr>2</vt:lpwstr>
  </property>
  <property fmtid="{D5CDD505-2E9C-101B-9397-08002B2CF9AE}" pid="10" name="Order">
    <vt:r8>466900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