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8A1" w:rsidRPr="00FF2307" w:rsidRDefault="002218A1" w:rsidP="00FF2307">
      <w:pPr>
        <w:ind w:left="-567"/>
        <w:jc w:val="both"/>
        <w:rPr>
          <w:rFonts w:asciiTheme="majorHAnsi" w:hAnsiTheme="majorHAnsi"/>
          <w:i/>
          <w:color w:val="000000"/>
        </w:rPr>
      </w:pPr>
      <w:r w:rsidRPr="00FF2307">
        <w:rPr>
          <w:rFonts w:asciiTheme="majorHAnsi" w:hAnsiTheme="majorHAnsi"/>
          <w:i/>
          <w:color w:val="000000"/>
        </w:rPr>
        <w:t>Tomás Soley Pérez</w:t>
      </w:r>
    </w:p>
    <w:p w:rsidR="002218A1" w:rsidRPr="00FF2307" w:rsidRDefault="002218A1" w:rsidP="00FF2307">
      <w:pPr>
        <w:ind w:left="-567"/>
        <w:jc w:val="both"/>
        <w:rPr>
          <w:rFonts w:asciiTheme="majorHAnsi" w:hAnsiTheme="majorHAnsi"/>
          <w:i/>
          <w:color w:val="000000"/>
        </w:rPr>
      </w:pPr>
      <w:r w:rsidRPr="00FF2307">
        <w:rPr>
          <w:rFonts w:asciiTheme="majorHAnsi" w:hAnsiTheme="majorHAnsi"/>
          <w:i/>
          <w:color w:val="000000"/>
        </w:rPr>
        <w:t>Superintendente de Seguros</w:t>
      </w:r>
    </w:p>
    <w:p w:rsidR="0013370B" w:rsidRPr="00FF2307" w:rsidRDefault="0013370B" w:rsidP="00FF2307">
      <w:pPr>
        <w:jc w:val="both"/>
        <w:rPr>
          <w:rFonts w:asciiTheme="majorHAnsi" w:hAnsiTheme="majorHAnsi"/>
          <w:color w:val="000000"/>
        </w:rPr>
      </w:pPr>
    </w:p>
    <w:p w:rsidR="002218A1" w:rsidRDefault="002218A1" w:rsidP="00FF2307">
      <w:pPr>
        <w:jc w:val="both"/>
        <w:rPr>
          <w:rFonts w:asciiTheme="majorHAnsi" w:hAnsiTheme="majorHAnsi"/>
          <w:color w:val="000000"/>
        </w:rPr>
      </w:pPr>
    </w:p>
    <w:p w:rsidR="00FF2307" w:rsidRPr="00FF2307" w:rsidRDefault="00FF2307" w:rsidP="00FF2307">
      <w:pPr>
        <w:jc w:val="both"/>
        <w:rPr>
          <w:rFonts w:asciiTheme="majorHAnsi" w:hAnsiTheme="majorHAnsi"/>
          <w:color w:val="000000"/>
        </w:rPr>
      </w:pPr>
    </w:p>
    <w:p w:rsidR="00DE4B63" w:rsidRPr="00FF2307" w:rsidRDefault="00DE4B63" w:rsidP="00FF2307">
      <w:pPr>
        <w:jc w:val="center"/>
        <w:rPr>
          <w:rFonts w:asciiTheme="majorHAnsi" w:hAnsiTheme="majorHAnsi"/>
          <w:b/>
          <w:bCs/>
          <w:sz w:val="28"/>
          <w:szCs w:val="28"/>
        </w:rPr>
      </w:pPr>
      <w:r w:rsidRPr="00FF2307">
        <w:rPr>
          <w:rFonts w:asciiTheme="majorHAnsi" w:hAnsiTheme="majorHAnsi"/>
          <w:b/>
          <w:bCs/>
          <w:sz w:val="28"/>
          <w:szCs w:val="28"/>
        </w:rPr>
        <w:t>ACUERDO DE SUPERINTENDENTE</w:t>
      </w:r>
    </w:p>
    <w:p w:rsidR="00DE4B63" w:rsidRPr="00FF2307" w:rsidRDefault="00DE4B63" w:rsidP="00FF2307">
      <w:pPr>
        <w:jc w:val="center"/>
        <w:rPr>
          <w:rFonts w:asciiTheme="majorHAnsi" w:hAnsiTheme="majorHAnsi"/>
          <w:b/>
          <w:bCs/>
          <w:sz w:val="28"/>
          <w:szCs w:val="28"/>
        </w:rPr>
      </w:pPr>
      <w:r w:rsidRPr="00FF2307">
        <w:rPr>
          <w:rFonts w:asciiTheme="majorHAnsi" w:hAnsiTheme="majorHAnsi"/>
          <w:b/>
          <w:bCs/>
          <w:sz w:val="28"/>
          <w:szCs w:val="28"/>
        </w:rPr>
        <w:t>SGS-DES-A-</w:t>
      </w:r>
      <w:r w:rsidR="001E6649">
        <w:rPr>
          <w:rFonts w:asciiTheme="majorHAnsi" w:hAnsiTheme="majorHAnsi"/>
          <w:b/>
          <w:bCs/>
          <w:sz w:val="28"/>
          <w:szCs w:val="28"/>
        </w:rPr>
        <w:t>051</w:t>
      </w:r>
      <w:r w:rsidRPr="00FF2307">
        <w:rPr>
          <w:rFonts w:asciiTheme="majorHAnsi" w:hAnsiTheme="majorHAnsi"/>
          <w:b/>
          <w:bCs/>
          <w:sz w:val="28"/>
          <w:szCs w:val="28"/>
        </w:rPr>
        <w:t>-2016</w:t>
      </w:r>
    </w:p>
    <w:p w:rsidR="00DE4B63" w:rsidRPr="00FF2307" w:rsidRDefault="00DE4B63" w:rsidP="00FF2307">
      <w:pPr>
        <w:jc w:val="both"/>
        <w:rPr>
          <w:rFonts w:asciiTheme="majorHAnsi" w:hAnsiTheme="majorHAnsi"/>
          <w:color w:val="000000"/>
        </w:rPr>
      </w:pPr>
    </w:p>
    <w:p w:rsidR="00DE4B63" w:rsidRPr="00FF2307" w:rsidRDefault="00DE4B63" w:rsidP="00FF2307">
      <w:pPr>
        <w:ind w:left="189"/>
        <w:jc w:val="both"/>
        <w:rPr>
          <w:rFonts w:asciiTheme="majorHAnsi" w:hAnsiTheme="majorHAnsi"/>
          <w:b/>
        </w:rPr>
      </w:pPr>
      <w:r w:rsidRPr="00FF2307">
        <w:rPr>
          <w:rFonts w:asciiTheme="majorHAnsi" w:hAnsiTheme="majorHAnsi"/>
          <w:b/>
        </w:rPr>
        <w:t xml:space="preserve">Modificación al acuerdo SGS-DES-A-021-2013 </w:t>
      </w:r>
      <w:r w:rsidRPr="00FF2307">
        <w:rPr>
          <w:rFonts w:asciiTheme="majorHAnsi" w:hAnsiTheme="majorHAnsi"/>
          <w:b/>
          <w:i/>
        </w:rPr>
        <w:t>“Disposiciones para la Remisión de la Información Contable y Estadística a la Superintendencia General de Seguros por parte de las Entidades Supervisadas”</w:t>
      </w:r>
      <w:r w:rsidRPr="00FF2307">
        <w:rPr>
          <w:rFonts w:asciiTheme="majorHAnsi" w:hAnsiTheme="majorHAnsi"/>
          <w:b/>
        </w:rPr>
        <w:t>, a efectos de incorporar el envío anual de las estadísticas del Seguro Obligatorio de Riesgos del Trabajo</w:t>
      </w:r>
    </w:p>
    <w:p w:rsidR="00DE4B63" w:rsidRPr="00FF2307" w:rsidRDefault="00DE4B63" w:rsidP="00FF2307">
      <w:pPr>
        <w:jc w:val="both"/>
        <w:rPr>
          <w:rFonts w:asciiTheme="majorHAnsi" w:hAnsiTheme="majorHAnsi"/>
          <w:color w:val="000000"/>
        </w:rPr>
      </w:pPr>
    </w:p>
    <w:p w:rsidR="00DE4B63" w:rsidRPr="00FF2307" w:rsidRDefault="00DE4B63" w:rsidP="00FF2307">
      <w:pPr>
        <w:jc w:val="both"/>
        <w:rPr>
          <w:rFonts w:asciiTheme="majorHAnsi" w:hAnsiTheme="majorHAnsi"/>
          <w:color w:val="000000"/>
        </w:rPr>
      </w:pPr>
    </w:p>
    <w:p w:rsidR="00056B1D" w:rsidRPr="00FF2307" w:rsidRDefault="00056B1D" w:rsidP="00FF2307">
      <w:pPr>
        <w:jc w:val="both"/>
        <w:rPr>
          <w:rFonts w:asciiTheme="majorHAnsi" w:hAnsiTheme="majorHAnsi"/>
          <w:color w:val="000000"/>
        </w:rPr>
      </w:pPr>
      <w:r w:rsidRPr="00FF2307">
        <w:rPr>
          <w:rFonts w:asciiTheme="majorHAnsi" w:hAnsiTheme="majorHAnsi"/>
          <w:color w:val="000000"/>
        </w:rPr>
        <w:t xml:space="preserve">El Superintendente General de Seguros, a las </w:t>
      </w:r>
      <w:r w:rsidR="00FF2307">
        <w:rPr>
          <w:rFonts w:asciiTheme="majorHAnsi" w:hAnsiTheme="majorHAnsi"/>
          <w:color w:val="000000"/>
        </w:rPr>
        <w:t>dieciséis</w:t>
      </w:r>
      <w:r w:rsidRPr="00FF2307">
        <w:rPr>
          <w:rFonts w:asciiTheme="majorHAnsi" w:hAnsiTheme="majorHAnsi"/>
          <w:color w:val="000000"/>
        </w:rPr>
        <w:t xml:space="preserve"> horas del </w:t>
      </w:r>
      <w:r w:rsidR="00FF2307">
        <w:rPr>
          <w:rFonts w:asciiTheme="majorHAnsi" w:hAnsiTheme="majorHAnsi"/>
          <w:color w:val="000000"/>
        </w:rPr>
        <w:t>catorce</w:t>
      </w:r>
      <w:r w:rsidRPr="00FF2307">
        <w:rPr>
          <w:rFonts w:asciiTheme="majorHAnsi" w:hAnsiTheme="majorHAnsi"/>
          <w:color w:val="000000"/>
        </w:rPr>
        <w:t xml:space="preserve"> de </w:t>
      </w:r>
      <w:r w:rsidR="00FF2307">
        <w:rPr>
          <w:rFonts w:asciiTheme="majorHAnsi" w:hAnsiTheme="majorHAnsi"/>
          <w:color w:val="000000"/>
        </w:rPr>
        <w:t>abril</w:t>
      </w:r>
      <w:r w:rsidRPr="00FF2307">
        <w:rPr>
          <w:rFonts w:asciiTheme="majorHAnsi" w:hAnsiTheme="majorHAnsi"/>
          <w:color w:val="000000"/>
        </w:rPr>
        <w:t xml:space="preserve"> de dos mil dieciséis.</w:t>
      </w:r>
    </w:p>
    <w:p w:rsidR="00056B1D" w:rsidRPr="00FF2307" w:rsidRDefault="00056B1D" w:rsidP="00FF2307">
      <w:pPr>
        <w:jc w:val="both"/>
        <w:rPr>
          <w:rFonts w:asciiTheme="majorHAnsi" w:hAnsiTheme="majorHAnsi"/>
          <w:color w:val="000000"/>
        </w:rPr>
      </w:pPr>
    </w:p>
    <w:p w:rsidR="00056B1D" w:rsidRPr="00FF2307" w:rsidRDefault="00056B1D" w:rsidP="00FF2307">
      <w:pPr>
        <w:jc w:val="center"/>
        <w:rPr>
          <w:rFonts w:asciiTheme="majorHAnsi" w:hAnsiTheme="majorHAnsi"/>
          <w:b/>
          <w:color w:val="000000"/>
          <w:sz w:val="28"/>
          <w:szCs w:val="28"/>
        </w:rPr>
      </w:pPr>
      <w:r w:rsidRPr="00FF2307">
        <w:rPr>
          <w:rFonts w:asciiTheme="majorHAnsi" w:hAnsiTheme="majorHAnsi"/>
          <w:b/>
          <w:color w:val="000000"/>
          <w:sz w:val="28"/>
          <w:szCs w:val="28"/>
        </w:rPr>
        <w:t>Considerando que:</w:t>
      </w:r>
    </w:p>
    <w:p w:rsidR="005A1442" w:rsidRPr="00FF2307" w:rsidRDefault="005A1442" w:rsidP="00FF2307">
      <w:pPr>
        <w:jc w:val="both"/>
        <w:rPr>
          <w:rFonts w:asciiTheme="majorHAnsi" w:hAnsiTheme="majorHAnsi"/>
          <w:color w:val="000000"/>
        </w:rPr>
      </w:pPr>
    </w:p>
    <w:p w:rsidR="00056B1D" w:rsidRPr="00FF2307" w:rsidRDefault="00056B1D" w:rsidP="00FF2307">
      <w:pPr>
        <w:jc w:val="both"/>
        <w:rPr>
          <w:rFonts w:asciiTheme="majorHAnsi" w:hAnsiTheme="majorHAnsi"/>
          <w:bCs/>
        </w:rPr>
      </w:pPr>
      <w:r w:rsidRPr="00FF2307">
        <w:rPr>
          <w:rFonts w:asciiTheme="majorHAnsi" w:hAnsiTheme="majorHAnsi"/>
          <w:bCs/>
        </w:rPr>
        <w:fldChar w:fldCharType="begin"/>
      </w:r>
      <w:r w:rsidRPr="00FF2307">
        <w:rPr>
          <w:rFonts w:asciiTheme="majorHAnsi" w:hAnsiTheme="majorHAnsi"/>
          <w:bCs/>
        </w:rPr>
        <w:instrText xml:space="preserve"> AUTONUM  \* Arabic \s .- </w:instrText>
      </w:r>
      <w:r w:rsidRPr="00FF2307">
        <w:rPr>
          <w:rFonts w:asciiTheme="majorHAnsi" w:hAnsiTheme="majorHAnsi"/>
          <w:bCs/>
        </w:rPr>
        <w:fldChar w:fldCharType="end"/>
      </w:r>
      <w:r w:rsidRPr="00FF2307">
        <w:rPr>
          <w:rFonts w:asciiTheme="majorHAnsi" w:hAnsiTheme="majorHAnsi"/>
          <w:bCs/>
        </w:rPr>
        <w:t xml:space="preserve">- </w:t>
      </w:r>
      <w:r w:rsidRPr="00FF2307">
        <w:rPr>
          <w:rFonts w:asciiTheme="majorHAnsi" w:hAnsiTheme="majorHAnsi"/>
          <w:bCs/>
          <w:lang w:val="es-ES_tradnl"/>
        </w:rPr>
        <w:t>La</w:t>
      </w:r>
      <w:r w:rsidRPr="00FF2307">
        <w:rPr>
          <w:rFonts w:asciiTheme="majorHAnsi" w:hAnsiTheme="majorHAnsi"/>
          <w:bCs/>
        </w:rPr>
        <w:t xml:space="preserve"> Superintendencia General de Seguros (</w:t>
      </w:r>
      <w:r w:rsidRPr="00FF2307">
        <w:rPr>
          <w:rFonts w:asciiTheme="majorHAnsi" w:hAnsiTheme="majorHAnsi"/>
          <w:bCs/>
          <w:i/>
        </w:rPr>
        <w:t>en adelante Sugese</w:t>
      </w:r>
      <w:r w:rsidRPr="00FF2307">
        <w:rPr>
          <w:rFonts w:asciiTheme="majorHAnsi" w:hAnsiTheme="majorHAnsi"/>
          <w:bCs/>
        </w:rPr>
        <w:t xml:space="preserve">) debe disponer de información, en los plazos, formatos y medios que le permita cumplir con el objetivo definido en </w:t>
      </w:r>
      <w:r w:rsidRPr="00FF2307">
        <w:rPr>
          <w:rFonts w:asciiTheme="majorHAnsi" w:hAnsiTheme="majorHAnsi"/>
          <w:bCs/>
          <w:lang w:val="es-ES_tradnl"/>
        </w:rPr>
        <w:t>el</w:t>
      </w:r>
      <w:r w:rsidRPr="00FF2307">
        <w:rPr>
          <w:rFonts w:asciiTheme="majorHAnsi" w:hAnsiTheme="majorHAnsi"/>
          <w:bCs/>
        </w:rPr>
        <w:t xml:space="preserve"> artículo 29, de la </w:t>
      </w:r>
      <w:r w:rsidRPr="00FF2307">
        <w:rPr>
          <w:rFonts w:asciiTheme="majorHAnsi" w:hAnsiTheme="majorHAnsi"/>
          <w:bCs/>
          <w:i/>
        </w:rPr>
        <w:t>Ley Reguladora del Mercado de Seguros</w:t>
      </w:r>
      <w:r w:rsidRPr="00FF2307">
        <w:rPr>
          <w:rFonts w:asciiTheme="majorHAnsi" w:hAnsiTheme="majorHAnsi"/>
          <w:bCs/>
        </w:rPr>
        <w:t xml:space="preserve">, Ley N° 8653, de </w:t>
      </w:r>
      <w:r w:rsidRPr="00FF2307">
        <w:rPr>
          <w:rFonts w:asciiTheme="majorHAnsi" w:hAnsiTheme="majorHAnsi"/>
          <w:bCs/>
          <w:i/>
        </w:rPr>
        <w:t>“velar por la estabilidad y el eficiente funcionamiento del mercado de seguros, así como entregar la más amplia información a los asegurados”</w:t>
      </w:r>
      <w:r w:rsidRPr="00FF2307">
        <w:rPr>
          <w:rFonts w:asciiTheme="majorHAnsi" w:hAnsiTheme="majorHAnsi"/>
          <w:bCs/>
        </w:rPr>
        <w:t>.</w:t>
      </w:r>
    </w:p>
    <w:p w:rsidR="00056B1D" w:rsidRPr="00FF2307" w:rsidRDefault="00056B1D" w:rsidP="00FF2307">
      <w:pPr>
        <w:jc w:val="both"/>
        <w:rPr>
          <w:rFonts w:asciiTheme="majorHAnsi" w:hAnsiTheme="majorHAnsi"/>
          <w:bCs/>
        </w:rPr>
      </w:pPr>
    </w:p>
    <w:p w:rsidR="00056B1D" w:rsidRPr="00FF2307" w:rsidRDefault="00056B1D" w:rsidP="00FF2307">
      <w:pPr>
        <w:jc w:val="both"/>
        <w:rPr>
          <w:rFonts w:asciiTheme="majorHAnsi" w:hAnsiTheme="majorHAnsi"/>
          <w:i/>
          <w:color w:val="000000"/>
        </w:rPr>
      </w:pPr>
      <w:r w:rsidRPr="00FF2307">
        <w:rPr>
          <w:rFonts w:asciiTheme="majorHAnsi" w:hAnsiTheme="majorHAnsi"/>
          <w:bCs/>
        </w:rPr>
        <w:fldChar w:fldCharType="begin"/>
      </w:r>
      <w:r w:rsidRPr="00FF2307">
        <w:rPr>
          <w:rFonts w:asciiTheme="majorHAnsi" w:hAnsiTheme="majorHAnsi"/>
          <w:bCs/>
        </w:rPr>
        <w:instrText xml:space="preserve"> AUTONUM  \* Arabic \s .- </w:instrText>
      </w:r>
      <w:r w:rsidRPr="00FF2307">
        <w:rPr>
          <w:rFonts w:asciiTheme="majorHAnsi" w:hAnsiTheme="majorHAnsi"/>
          <w:bCs/>
        </w:rPr>
        <w:fldChar w:fldCharType="end"/>
      </w:r>
      <w:r w:rsidRPr="00FF2307">
        <w:rPr>
          <w:rFonts w:asciiTheme="majorHAnsi" w:hAnsiTheme="majorHAnsi"/>
          <w:bCs/>
        </w:rPr>
        <w:t xml:space="preserve">- </w:t>
      </w:r>
      <w:r w:rsidRPr="00FF2307">
        <w:rPr>
          <w:rFonts w:asciiTheme="majorHAnsi" w:hAnsiTheme="majorHAnsi"/>
          <w:color w:val="000000"/>
        </w:rPr>
        <w:t xml:space="preserve">De conformidad con el artículo 25 incisos c), r) y t) de la Ley N° 8653, las entidades aseguradoras y reaseguradoras están obligados a proporcionar a la Superintendencia la información correcta y completa. Adicionalmente el último párrafo del artículo mencionado establece que </w:t>
      </w:r>
      <w:r w:rsidRPr="00FF2307">
        <w:rPr>
          <w:rFonts w:asciiTheme="majorHAnsi" w:hAnsiTheme="majorHAnsi"/>
          <w:i/>
          <w:color w:val="000000"/>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rsidR="00056B1D" w:rsidRPr="00FF2307" w:rsidRDefault="00056B1D" w:rsidP="00FF2307">
      <w:pPr>
        <w:jc w:val="both"/>
        <w:rPr>
          <w:rFonts w:asciiTheme="majorHAnsi" w:hAnsiTheme="majorHAnsi"/>
          <w:color w:val="000000"/>
        </w:rPr>
      </w:pPr>
    </w:p>
    <w:p w:rsidR="00056B1D" w:rsidRPr="00FF2307" w:rsidRDefault="00056B1D" w:rsidP="00FF2307">
      <w:pPr>
        <w:jc w:val="both"/>
        <w:rPr>
          <w:rFonts w:asciiTheme="majorHAnsi" w:eastAsia="Calibri" w:hAnsiTheme="majorHAnsi"/>
          <w:color w:val="000000"/>
          <w:lang w:eastAsia="en-US"/>
        </w:rPr>
      </w:pPr>
      <w:r w:rsidRPr="00FF2307">
        <w:rPr>
          <w:rFonts w:asciiTheme="majorHAnsi" w:hAnsiTheme="majorHAnsi"/>
          <w:bCs/>
        </w:rPr>
        <w:fldChar w:fldCharType="begin"/>
      </w:r>
      <w:r w:rsidRPr="00FF2307">
        <w:rPr>
          <w:rFonts w:asciiTheme="majorHAnsi" w:hAnsiTheme="majorHAnsi"/>
          <w:bCs/>
        </w:rPr>
        <w:instrText xml:space="preserve"> AUTONUM  \* Arabic \s .- </w:instrText>
      </w:r>
      <w:r w:rsidRPr="00FF2307">
        <w:rPr>
          <w:rFonts w:asciiTheme="majorHAnsi" w:hAnsiTheme="majorHAnsi"/>
          <w:bCs/>
        </w:rPr>
        <w:fldChar w:fldCharType="end"/>
      </w:r>
      <w:r w:rsidRPr="00FF2307">
        <w:rPr>
          <w:rFonts w:asciiTheme="majorHAnsi" w:hAnsiTheme="majorHAnsi"/>
          <w:bCs/>
        </w:rPr>
        <w:t xml:space="preserve">- </w:t>
      </w:r>
      <w:r w:rsidRPr="00FF2307">
        <w:rPr>
          <w:rFonts w:asciiTheme="majorHAnsi" w:eastAsia="Calibri" w:hAnsiTheme="majorHAnsi"/>
          <w:color w:val="000000"/>
          <w:lang w:eastAsia="en-US"/>
        </w:rPr>
        <w:t>La remisión de información de manera periódica, constituye una herramienta fundamental para las labores de supervisión y control desarrolladas por la Superintendencia en cumplimiento de lo requerido por el ordenamiento jurídico.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mismo principio se indican como prácticas adecuadas las siguientes: establecer requisitos para la presentación de información financiera y estadística, en forma regular, sistemática e integral para la totalidad de las entidades participantes; definir el alcance, contenido y frecuencia de la referida información y establecer procedimientos y pautas escritas para la realización de informes entregados al supervisor.</w:t>
      </w:r>
    </w:p>
    <w:p w:rsidR="00056B1D" w:rsidRPr="00FF2307" w:rsidRDefault="00056B1D" w:rsidP="00FF2307">
      <w:pPr>
        <w:jc w:val="both"/>
        <w:rPr>
          <w:rFonts w:asciiTheme="majorHAnsi" w:hAnsiTheme="majorHAnsi"/>
          <w:color w:val="000000"/>
        </w:rPr>
      </w:pPr>
    </w:p>
    <w:p w:rsidR="00056B1D" w:rsidRPr="00FF2307" w:rsidRDefault="00056B1D" w:rsidP="00FF2307">
      <w:pPr>
        <w:jc w:val="both"/>
        <w:rPr>
          <w:rFonts w:asciiTheme="majorHAnsi" w:hAnsiTheme="majorHAnsi"/>
          <w:color w:val="000000"/>
        </w:rPr>
      </w:pPr>
      <w:r w:rsidRPr="00FF2307">
        <w:rPr>
          <w:rFonts w:asciiTheme="majorHAnsi" w:hAnsiTheme="majorHAnsi"/>
          <w:bCs/>
        </w:rPr>
        <w:fldChar w:fldCharType="begin"/>
      </w:r>
      <w:r w:rsidRPr="00FF2307">
        <w:rPr>
          <w:rFonts w:asciiTheme="majorHAnsi" w:hAnsiTheme="majorHAnsi"/>
          <w:bCs/>
        </w:rPr>
        <w:instrText xml:space="preserve"> AUTONUM  \* Arabic \s .- </w:instrText>
      </w:r>
      <w:r w:rsidRPr="00FF2307">
        <w:rPr>
          <w:rFonts w:asciiTheme="majorHAnsi" w:hAnsiTheme="majorHAnsi"/>
          <w:bCs/>
        </w:rPr>
        <w:fldChar w:fldCharType="end"/>
      </w:r>
      <w:r w:rsidRPr="00FF2307">
        <w:rPr>
          <w:rFonts w:asciiTheme="majorHAnsi" w:hAnsiTheme="majorHAnsi"/>
          <w:bCs/>
        </w:rPr>
        <w:t xml:space="preserve">- </w:t>
      </w:r>
      <w:r w:rsidRPr="00FF2307">
        <w:rPr>
          <w:rFonts w:asciiTheme="majorHAnsi" w:hAnsiTheme="majorHAnsi"/>
          <w:color w:val="000000"/>
        </w:rPr>
        <w:t xml:space="preserve">Según el artículo 29 de la Ley N° 8653, al Superintendente le será aplicable el artículo 180 de la </w:t>
      </w:r>
      <w:r w:rsidRPr="00FF2307">
        <w:rPr>
          <w:rFonts w:asciiTheme="majorHAnsi" w:hAnsiTheme="majorHAnsi"/>
          <w:i/>
          <w:color w:val="000000"/>
        </w:rPr>
        <w:t>Ley Reguladora del Mercado de Valores</w:t>
      </w:r>
      <w:r w:rsidRPr="00FF2307">
        <w:rPr>
          <w:rFonts w:asciiTheme="majorHAnsi" w:hAnsiTheme="majorHAnsi"/>
          <w:color w:val="000000"/>
        </w:rPr>
        <w:t>, el cual dispone a la Superintendencia General de Seguros poder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p w:rsidR="00056B1D" w:rsidRPr="00FF2307" w:rsidRDefault="00056B1D" w:rsidP="00FF2307">
      <w:pPr>
        <w:jc w:val="both"/>
        <w:rPr>
          <w:rFonts w:asciiTheme="majorHAnsi" w:hAnsiTheme="majorHAnsi"/>
        </w:rPr>
      </w:pPr>
    </w:p>
    <w:p w:rsidR="00056B1D" w:rsidRPr="00FF2307" w:rsidRDefault="00056B1D" w:rsidP="00FF2307">
      <w:pPr>
        <w:jc w:val="both"/>
        <w:rPr>
          <w:rFonts w:asciiTheme="majorHAnsi" w:hAnsiTheme="majorHAnsi" w:cs="Calibri"/>
        </w:rPr>
      </w:pPr>
      <w:r w:rsidRPr="00FF2307">
        <w:rPr>
          <w:rFonts w:asciiTheme="majorHAnsi" w:hAnsiTheme="majorHAnsi"/>
          <w:bCs/>
        </w:rPr>
        <w:fldChar w:fldCharType="begin"/>
      </w:r>
      <w:r w:rsidRPr="00FF2307">
        <w:rPr>
          <w:rFonts w:asciiTheme="majorHAnsi" w:hAnsiTheme="majorHAnsi"/>
          <w:bCs/>
        </w:rPr>
        <w:instrText xml:space="preserve"> AUTONUM  \* Arabic \s .- </w:instrText>
      </w:r>
      <w:r w:rsidRPr="00FF2307">
        <w:rPr>
          <w:rFonts w:asciiTheme="majorHAnsi" w:hAnsiTheme="majorHAnsi"/>
          <w:bCs/>
        </w:rPr>
        <w:fldChar w:fldCharType="end"/>
      </w:r>
      <w:r w:rsidRPr="00FF2307">
        <w:rPr>
          <w:rFonts w:asciiTheme="majorHAnsi" w:hAnsiTheme="majorHAnsi"/>
          <w:bCs/>
        </w:rPr>
        <w:t>-</w:t>
      </w:r>
      <w:r w:rsidRPr="00FF2307">
        <w:rPr>
          <w:rFonts w:asciiTheme="majorHAnsi" w:hAnsiTheme="majorHAnsi"/>
        </w:rPr>
        <w:t xml:space="preserve"> </w:t>
      </w:r>
      <w:r w:rsidRPr="00FF2307">
        <w:rPr>
          <w:rFonts w:asciiTheme="majorHAnsi" w:hAnsiTheme="majorHAnsi" w:cs="Calibri"/>
        </w:rPr>
        <w:t xml:space="preserve">Las estadísticas de Riesgos del Trabajo deben ser producidas conforme lo establece la </w:t>
      </w:r>
      <w:r w:rsidRPr="00FF2307">
        <w:rPr>
          <w:rFonts w:asciiTheme="majorHAnsi" w:hAnsiTheme="majorHAnsi" w:cs="Calibri"/>
          <w:i/>
        </w:rPr>
        <w:t>Ley 7839 Sistema de Estadística Nacional</w:t>
      </w:r>
      <w:r w:rsidRPr="00FF2307">
        <w:rPr>
          <w:rFonts w:asciiTheme="majorHAnsi" w:hAnsiTheme="majorHAnsi" w:cs="Calibri"/>
        </w:rPr>
        <w:t xml:space="preserve"> y su Reglamento y el </w:t>
      </w:r>
      <w:r w:rsidRPr="00FF2307">
        <w:rPr>
          <w:rFonts w:asciiTheme="majorHAnsi" w:hAnsiTheme="majorHAnsi" w:cs="Calibri"/>
          <w:i/>
        </w:rPr>
        <w:t>Código de Buenas Prácticas Estadísticas</w:t>
      </w:r>
      <w:r w:rsidRPr="00FF2307">
        <w:rPr>
          <w:rFonts w:asciiTheme="majorHAnsi" w:hAnsiTheme="majorHAnsi" w:cs="Calibri"/>
        </w:rPr>
        <w:t>, Decreto N°38698-PLAN. Adicionalmente, se debe acatar lo establecido en el Decreto N° 38715 en relación al uso de clasificaciones estadísticas para la ocupación y rama de actividad económica, y demás que el Instituto Nacional de Estadísticas y Censos como rector del Sistema de Estadística Nacional emita.</w:t>
      </w:r>
    </w:p>
    <w:p w:rsidR="00056B1D" w:rsidRPr="00FF2307" w:rsidRDefault="00056B1D" w:rsidP="00FF2307">
      <w:pPr>
        <w:jc w:val="both"/>
        <w:rPr>
          <w:rFonts w:asciiTheme="majorHAnsi" w:hAnsiTheme="majorHAnsi"/>
        </w:rPr>
      </w:pPr>
    </w:p>
    <w:p w:rsidR="00056B1D" w:rsidRPr="00FF2307" w:rsidRDefault="00056B1D" w:rsidP="00FF2307">
      <w:pPr>
        <w:jc w:val="both"/>
        <w:rPr>
          <w:rFonts w:asciiTheme="majorHAnsi" w:hAnsiTheme="majorHAnsi"/>
          <w:color w:val="000000"/>
        </w:rPr>
      </w:pPr>
      <w:r w:rsidRPr="00FF2307">
        <w:rPr>
          <w:rFonts w:asciiTheme="majorHAnsi" w:hAnsiTheme="majorHAnsi"/>
          <w:bCs/>
        </w:rPr>
        <w:fldChar w:fldCharType="begin"/>
      </w:r>
      <w:r w:rsidRPr="00FF2307">
        <w:rPr>
          <w:rFonts w:asciiTheme="majorHAnsi" w:hAnsiTheme="majorHAnsi"/>
          <w:bCs/>
        </w:rPr>
        <w:instrText xml:space="preserve"> AUTONUM  \* Arabic \s .- </w:instrText>
      </w:r>
      <w:r w:rsidRPr="00FF2307">
        <w:rPr>
          <w:rFonts w:asciiTheme="majorHAnsi" w:hAnsiTheme="majorHAnsi"/>
          <w:bCs/>
        </w:rPr>
        <w:fldChar w:fldCharType="end"/>
      </w:r>
      <w:r w:rsidRPr="00FF2307">
        <w:rPr>
          <w:rFonts w:asciiTheme="majorHAnsi" w:hAnsiTheme="majorHAnsi"/>
          <w:bCs/>
        </w:rPr>
        <w:t xml:space="preserve">- </w:t>
      </w:r>
      <w:r w:rsidRPr="00FF2307">
        <w:rPr>
          <w:rFonts w:asciiTheme="majorHAnsi" w:hAnsiTheme="majorHAnsi"/>
          <w:color w:val="000000"/>
        </w:rPr>
        <w:t xml:space="preserve">El Superintendente de Seguros, mediante acuerdo SGS-DES-A-021-2013, de diecisiete horas del veintitrés de mayo de dos mil trece, emitió las </w:t>
      </w:r>
      <w:r w:rsidRPr="00FF2307">
        <w:rPr>
          <w:rFonts w:asciiTheme="majorHAnsi" w:hAnsiTheme="majorHAnsi"/>
          <w:i/>
          <w:color w:val="000000"/>
        </w:rPr>
        <w:t>Disposiciones para la Remisión de la Información Contable y Estadística a la Superintendencia General de Seguros por parte de las Entidades Supervisadas</w:t>
      </w:r>
      <w:r w:rsidRPr="00FF2307">
        <w:rPr>
          <w:rFonts w:asciiTheme="majorHAnsi" w:hAnsiTheme="majorHAnsi"/>
          <w:color w:val="000000"/>
        </w:rPr>
        <w:t>, cuyo alcance se refiere a la remisión de información contable y estadística y es aplicable a las entidades de seguros y a los intermediarios de seguros supervisados por la Superintendencia General de Seguros.</w:t>
      </w:r>
    </w:p>
    <w:p w:rsidR="00056B1D" w:rsidRPr="00FF2307" w:rsidRDefault="00056B1D" w:rsidP="00FF2307">
      <w:pPr>
        <w:jc w:val="both"/>
        <w:rPr>
          <w:rFonts w:asciiTheme="majorHAnsi" w:hAnsiTheme="majorHAnsi"/>
          <w:color w:val="000000"/>
        </w:rPr>
      </w:pPr>
    </w:p>
    <w:p w:rsidR="00056B1D" w:rsidRPr="00FF2307" w:rsidRDefault="00056B1D" w:rsidP="00FF2307">
      <w:pPr>
        <w:jc w:val="both"/>
        <w:rPr>
          <w:rFonts w:asciiTheme="majorHAnsi" w:hAnsiTheme="majorHAnsi"/>
        </w:rPr>
      </w:pPr>
      <w:r w:rsidRPr="00FF2307">
        <w:rPr>
          <w:rFonts w:asciiTheme="majorHAnsi" w:hAnsiTheme="majorHAnsi"/>
          <w:bCs/>
        </w:rPr>
        <w:fldChar w:fldCharType="begin"/>
      </w:r>
      <w:r w:rsidRPr="00FF2307">
        <w:rPr>
          <w:rFonts w:asciiTheme="majorHAnsi" w:hAnsiTheme="majorHAnsi"/>
          <w:bCs/>
        </w:rPr>
        <w:instrText xml:space="preserve"> AUTONUM  \* Arabic \s .- </w:instrText>
      </w:r>
      <w:r w:rsidRPr="00FF2307">
        <w:rPr>
          <w:rFonts w:asciiTheme="majorHAnsi" w:hAnsiTheme="majorHAnsi"/>
          <w:bCs/>
        </w:rPr>
        <w:fldChar w:fldCharType="end"/>
      </w:r>
      <w:r w:rsidRPr="00FF2307">
        <w:rPr>
          <w:rFonts w:asciiTheme="majorHAnsi" w:hAnsiTheme="majorHAnsi"/>
          <w:bCs/>
        </w:rPr>
        <w:t>- L</w:t>
      </w:r>
      <w:r w:rsidRPr="00FF2307">
        <w:rPr>
          <w:rFonts w:asciiTheme="majorHAnsi" w:hAnsiTheme="majorHAnsi"/>
        </w:rPr>
        <w:t xml:space="preserve">os Convenios Internacionales relacionados con la materia de Riesgos del Trabajo que ha suscrito el país, particularmente el </w:t>
      </w:r>
      <w:r w:rsidRPr="00FF2307">
        <w:rPr>
          <w:rFonts w:asciiTheme="majorHAnsi" w:hAnsiTheme="majorHAnsi"/>
          <w:i/>
        </w:rPr>
        <w:t>Convenio sobre Estadísticas del Trabajo</w:t>
      </w:r>
      <w:r w:rsidRPr="00FF2307">
        <w:rPr>
          <w:rFonts w:asciiTheme="majorHAnsi" w:hAnsiTheme="majorHAnsi"/>
        </w:rPr>
        <w:t xml:space="preserve">, 1985 (núm.160) de la Organización Internacional del Trabajo (OIT), establece en su artículo 14, la obligación de los países miembros de compilar </w:t>
      </w:r>
      <w:r w:rsidRPr="00FF2307">
        <w:rPr>
          <w:rFonts w:asciiTheme="majorHAnsi" w:hAnsiTheme="majorHAnsi"/>
          <w:i/>
        </w:rPr>
        <w:t>estadísticas de lesiones profesionales de manera que representen al conjunto del país</w:t>
      </w:r>
      <w:r w:rsidRPr="00FF2307">
        <w:rPr>
          <w:rFonts w:asciiTheme="majorHAnsi" w:hAnsiTheme="majorHAnsi"/>
        </w:rPr>
        <w:t>, y en la medida de lo posible, las estadísticas de enfermedades profesionales.</w:t>
      </w:r>
    </w:p>
    <w:p w:rsidR="00B14ABB" w:rsidRPr="00FF2307" w:rsidRDefault="00B14ABB" w:rsidP="00FF2307">
      <w:pPr>
        <w:jc w:val="both"/>
        <w:rPr>
          <w:rFonts w:asciiTheme="majorHAnsi" w:hAnsiTheme="majorHAnsi"/>
        </w:rPr>
      </w:pPr>
    </w:p>
    <w:p w:rsidR="00056B1D" w:rsidRPr="00FF2307" w:rsidRDefault="00056B1D" w:rsidP="00FF2307">
      <w:pPr>
        <w:jc w:val="both"/>
        <w:rPr>
          <w:rFonts w:asciiTheme="majorHAnsi" w:hAnsiTheme="majorHAnsi" w:cs="Helvetica"/>
        </w:rPr>
      </w:pPr>
      <w:r w:rsidRPr="00FF2307">
        <w:rPr>
          <w:rFonts w:asciiTheme="majorHAnsi" w:hAnsiTheme="majorHAnsi"/>
        </w:rPr>
        <w:t xml:space="preserve">Por su parte, estas estadísticas son de interés de diferentes instancias en el país, pues  constituyen un </w:t>
      </w:r>
      <w:r w:rsidRPr="00FF2307">
        <w:rPr>
          <w:rFonts w:asciiTheme="majorHAnsi" w:hAnsiTheme="majorHAnsi" w:cs="Helvetica"/>
        </w:rPr>
        <w:t xml:space="preserve">insumo para el análisis de las situaciones que requieren una mejor regulación jurídica, la adopción de nuevas políticas y programas que brinden protección a los trabajadores, determinación de labores u ocupaciones que representan un mayor riesgo, garantizándoles una actividad remunerada digna a su condición de seres humanos, la prevención de las lesiones, accidentes, muerte y enfermedades laborales, entre otros. </w:t>
      </w:r>
    </w:p>
    <w:p w:rsidR="00054E03" w:rsidRPr="00FF2307" w:rsidRDefault="00054E03" w:rsidP="00FF2307">
      <w:pPr>
        <w:jc w:val="both"/>
        <w:rPr>
          <w:rFonts w:asciiTheme="majorHAnsi" w:hAnsiTheme="majorHAnsi" w:cs="Helvetica"/>
        </w:rPr>
      </w:pPr>
    </w:p>
    <w:p w:rsidR="005A1442" w:rsidRPr="00FF2307" w:rsidRDefault="00056B1D" w:rsidP="00FF2307">
      <w:pPr>
        <w:jc w:val="both"/>
        <w:rPr>
          <w:rFonts w:asciiTheme="majorHAnsi" w:hAnsiTheme="majorHAnsi" w:cs="Helvetica"/>
        </w:rPr>
      </w:pPr>
      <w:r w:rsidRPr="00FF2307">
        <w:rPr>
          <w:rFonts w:asciiTheme="majorHAnsi" w:hAnsiTheme="majorHAnsi" w:cs="Helvetica"/>
        </w:rPr>
        <w:t>Adicionalmente, esta información brindará elementos para la supervisión del seguro de riesgos del trabajo en cuanto a la siniestralidad y su relación con las tarifas autorizadas.</w:t>
      </w:r>
    </w:p>
    <w:p w:rsidR="00056B1D" w:rsidRPr="00FF2307" w:rsidRDefault="00056B1D" w:rsidP="00FF2307">
      <w:pPr>
        <w:jc w:val="both"/>
        <w:rPr>
          <w:rFonts w:asciiTheme="majorHAnsi" w:hAnsiTheme="majorHAnsi"/>
          <w:color w:val="000000"/>
        </w:rPr>
      </w:pPr>
    </w:p>
    <w:p w:rsidR="00056B1D" w:rsidRPr="00FF2307" w:rsidRDefault="00056B1D" w:rsidP="00FF2307">
      <w:pPr>
        <w:jc w:val="both"/>
        <w:rPr>
          <w:rFonts w:asciiTheme="majorHAnsi" w:hAnsiTheme="majorHAnsi"/>
        </w:rPr>
      </w:pPr>
      <w:r w:rsidRPr="00FF2307">
        <w:rPr>
          <w:rFonts w:asciiTheme="majorHAnsi" w:hAnsiTheme="majorHAnsi"/>
          <w:bCs/>
        </w:rPr>
        <w:fldChar w:fldCharType="begin"/>
      </w:r>
      <w:r w:rsidRPr="00FF2307">
        <w:rPr>
          <w:rFonts w:asciiTheme="majorHAnsi" w:hAnsiTheme="majorHAnsi"/>
          <w:bCs/>
        </w:rPr>
        <w:instrText xml:space="preserve"> AUTONUM  \* Arabic \s .- </w:instrText>
      </w:r>
      <w:r w:rsidRPr="00FF2307">
        <w:rPr>
          <w:rFonts w:asciiTheme="majorHAnsi" w:hAnsiTheme="majorHAnsi"/>
          <w:bCs/>
        </w:rPr>
        <w:fldChar w:fldCharType="end"/>
      </w:r>
      <w:r w:rsidRPr="00FF2307">
        <w:rPr>
          <w:rFonts w:asciiTheme="majorHAnsi" w:hAnsiTheme="majorHAnsi"/>
          <w:bCs/>
        </w:rPr>
        <w:t>-</w:t>
      </w:r>
      <w:r w:rsidRPr="00FF2307">
        <w:rPr>
          <w:rFonts w:asciiTheme="majorHAnsi" w:hAnsiTheme="majorHAnsi"/>
        </w:rPr>
        <w:t xml:space="preserve"> En el Dictamen de la División de Asesoría Jurídica, </w:t>
      </w:r>
      <w:r w:rsidRPr="00FF2307">
        <w:rPr>
          <w:rFonts w:asciiTheme="majorHAnsi" w:hAnsiTheme="majorHAnsi"/>
          <w:color w:val="000000"/>
          <w:lang w:val="es-CR"/>
        </w:rPr>
        <w:t xml:space="preserve">PJD-SGS-009-2015 de 07 de setiembre de 2015, en relación con la posibilidad de requerir a la entidad de seguros  de información agregada sobre siniestralidad riesgo del trabajo y ponerla a disposición del público </w:t>
      </w:r>
      <w:r w:rsidRPr="00FF2307">
        <w:rPr>
          <w:rFonts w:asciiTheme="majorHAnsi" w:hAnsiTheme="majorHAnsi"/>
        </w:rPr>
        <w:t>indica: “</w:t>
      </w:r>
      <w:r w:rsidRPr="00FF2307">
        <w:rPr>
          <w:rFonts w:asciiTheme="majorHAnsi" w:hAnsiTheme="majorHAnsi"/>
          <w:i/>
        </w:rPr>
        <w:t>La información estadística requerida por el CSO</w:t>
      </w:r>
      <w:r w:rsidRPr="00FF2307">
        <w:rPr>
          <w:rStyle w:val="Refdenotaalpie"/>
          <w:rFonts w:asciiTheme="majorHAnsi" w:hAnsiTheme="majorHAnsi"/>
          <w:i/>
        </w:rPr>
        <w:footnoteReference w:id="1"/>
      </w:r>
      <w:r w:rsidRPr="00FF2307">
        <w:rPr>
          <w:rFonts w:asciiTheme="majorHAnsi" w:hAnsiTheme="majorHAnsi"/>
          <w:i/>
        </w:rPr>
        <w:t xml:space="preserve"> sobre la materia de riesgos del trabajo, no es de carácter sensible, ni confidencial en lo que respecta a los parámetros e índices empleados para su medición y adicionalmente encuentra pleno respaldo jurídico pues constituye información de interés público e igualmente tiene por objetivo un fin público, distinto a cualquier actividad comercial o lucrativa y se sostiene en su adquisición en principios de respeto a la confidencialidad e intimidad</w:t>
      </w:r>
      <w:r w:rsidRPr="00FF2307">
        <w:rPr>
          <w:rFonts w:asciiTheme="majorHAnsi" w:hAnsiTheme="majorHAnsi"/>
        </w:rPr>
        <w:t>.”</w:t>
      </w:r>
    </w:p>
    <w:p w:rsidR="00054E03" w:rsidRPr="00FF2307" w:rsidRDefault="00054E03" w:rsidP="00FF2307">
      <w:pPr>
        <w:jc w:val="both"/>
        <w:rPr>
          <w:rFonts w:asciiTheme="majorHAnsi" w:hAnsiTheme="majorHAnsi"/>
        </w:rPr>
      </w:pPr>
    </w:p>
    <w:p w:rsidR="005A1442" w:rsidRPr="00FF2307" w:rsidRDefault="00056B1D" w:rsidP="00FF2307">
      <w:pPr>
        <w:jc w:val="both"/>
        <w:rPr>
          <w:rFonts w:asciiTheme="majorHAnsi" w:hAnsiTheme="majorHAnsi"/>
          <w:bCs/>
        </w:rPr>
      </w:pPr>
      <w:r w:rsidRPr="00FF2307">
        <w:rPr>
          <w:rFonts w:asciiTheme="majorHAnsi" w:hAnsiTheme="majorHAnsi"/>
        </w:rPr>
        <w:t>Por otra parte, este dictamen establece que “</w:t>
      </w:r>
      <w:r w:rsidRPr="00FF2307">
        <w:rPr>
          <w:rFonts w:asciiTheme="majorHAnsi" w:hAnsiTheme="majorHAnsi"/>
          <w:i/>
        </w:rPr>
        <w:t xml:space="preserve">La jurisprudencia nacional ha sido congruente en sus votos al establecer que la información empleada con fines netamente estadísticos y sin irrespetar la privacidad e intimidad de los consumidores puede ser información pública…”. </w:t>
      </w:r>
      <w:r w:rsidRPr="00FF2307">
        <w:rPr>
          <w:rFonts w:asciiTheme="majorHAnsi" w:hAnsiTheme="majorHAnsi"/>
        </w:rPr>
        <w:t>Por lo tanto, de conformidad con lo que establece el artículo IV del Convenio de la OIT, debe prevalecer el respeto a la confidencialidad de los datos personales dentro el proceso de recopilación de información en materia de riesgos del trabajo.</w:t>
      </w:r>
    </w:p>
    <w:p w:rsidR="00056B1D" w:rsidRPr="00FF2307" w:rsidRDefault="00056B1D" w:rsidP="00FF2307">
      <w:pPr>
        <w:jc w:val="both"/>
        <w:rPr>
          <w:rFonts w:asciiTheme="majorHAnsi" w:hAnsiTheme="majorHAnsi"/>
          <w:bCs/>
        </w:rPr>
      </w:pPr>
    </w:p>
    <w:p w:rsidR="00056B1D" w:rsidRPr="00FF2307" w:rsidRDefault="00056B1D" w:rsidP="00FF2307">
      <w:pPr>
        <w:jc w:val="both"/>
        <w:rPr>
          <w:rFonts w:asciiTheme="majorHAnsi" w:hAnsiTheme="majorHAnsi"/>
        </w:rPr>
      </w:pPr>
      <w:r w:rsidRPr="00FF2307">
        <w:rPr>
          <w:rFonts w:asciiTheme="majorHAnsi" w:hAnsiTheme="majorHAnsi"/>
          <w:bCs/>
        </w:rPr>
        <w:fldChar w:fldCharType="begin"/>
      </w:r>
      <w:r w:rsidRPr="00FF2307">
        <w:rPr>
          <w:rFonts w:asciiTheme="majorHAnsi" w:hAnsiTheme="majorHAnsi"/>
          <w:bCs/>
        </w:rPr>
        <w:instrText xml:space="preserve"> AUTONUM  \* Arabic \s .- </w:instrText>
      </w:r>
      <w:r w:rsidRPr="00FF2307">
        <w:rPr>
          <w:rFonts w:asciiTheme="majorHAnsi" w:hAnsiTheme="majorHAnsi"/>
          <w:bCs/>
        </w:rPr>
        <w:fldChar w:fldCharType="end"/>
      </w:r>
      <w:r w:rsidRPr="00FF2307">
        <w:rPr>
          <w:rFonts w:asciiTheme="majorHAnsi" w:hAnsiTheme="majorHAnsi"/>
          <w:bCs/>
        </w:rPr>
        <w:t>-</w:t>
      </w:r>
      <w:r w:rsidRPr="00FF2307">
        <w:rPr>
          <w:rFonts w:asciiTheme="majorHAnsi" w:hAnsiTheme="majorHAnsi"/>
        </w:rPr>
        <w:t xml:space="preserve"> De conformidad con lo que establece el artículo 2) del artículo 361 de la </w:t>
      </w:r>
      <w:r w:rsidRPr="00FF2307">
        <w:rPr>
          <w:rFonts w:asciiTheme="majorHAnsi" w:hAnsiTheme="majorHAnsi"/>
          <w:i/>
        </w:rPr>
        <w:t>Ley General de la Administración Pública,</w:t>
      </w:r>
      <w:r w:rsidRPr="00FF2307">
        <w:rPr>
          <w:rFonts w:asciiTheme="majorHAnsi" w:hAnsiTheme="majorHAnsi"/>
        </w:rPr>
        <w:t xml:space="preserve"> la reforma del acuerdo SGS-DES-O-021-2013 fue enviada en consulta a las compañías aseguradoras, la Caja Costarricense de Seguro Social, el Consejo de Salud Ocupacional, el Instituto Nacional de Estadísticas y Censos, el Ministerio de Salud, la UCAEP, el Consejo Nacional de Salarios, la Asociación de Aseguradoras Privadas de Costa Rica y el Banco Central de Costa Rica y  también fue publicada en La Gaceta N°22 del 02 de febrero de 2016.</w:t>
      </w:r>
    </w:p>
    <w:p w:rsidR="00056B1D" w:rsidRPr="00FF2307" w:rsidRDefault="00056B1D" w:rsidP="00FF2307">
      <w:pPr>
        <w:jc w:val="both"/>
        <w:rPr>
          <w:rFonts w:asciiTheme="majorHAnsi" w:hAnsiTheme="majorHAnsi"/>
        </w:rPr>
      </w:pPr>
    </w:p>
    <w:p w:rsidR="00056B1D" w:rsidRPr="00FF2307" w:rsidRDefault="00056B1D" w:rsidP="00FF2307">
      <w:pPr>
        <w:jc w:val="both"/>
        <w:rPr>
          <w:rFonts w:asciiTheme="majorHAnsi" w:hAnsiTheme="majorHAnsi"/>
        </w:rPr>
      </w:pPr>
      <w:r w:rsidRPr="00FF2307">
        <w:rPr>
          <w:rFonts w:asciiTheme="majorHAnsi" w:hAnsiTheme="majorHAnsi"/>
        </w:rPr>
        <w:t>10- La Superintendencia recibió y analizó las observaciones realizadas por parte las entidades consultadas y, si correspondía, fueron incorporados los cambios en una nueva versión de la modificación, por lo que procede la emisión en firme del acuerdo de modificación del acuerdo SGS-DES-O-021-2013.</w:t>
      </w:r>
    </w:p>
    <w:p w:rsidR="00056B1D" w:rsidRPr="00FF2307" w:rsidRDefault="00056B1D" w:rsidP="00FF2307">
      <w:pPr>
        <w:jc w:val="both"/>
        <w:rPr>
          <w:rFonts w:asciiTheme="majorHAnsi" w:hAnsiTheme="majorHAnsi"/>
          <w:color w:val="000000"/>
        </w:rPr>
      </w:pPr>
    </w:p>
    <w:p w:rsidR="00056B1D" w:rsidRPr="00FF2307" w:rsidRDefault="00056B1D" w:rsidP="00FF2307">
      <w:pPr>
        <w:jc w:val="center"/>
        <w:rPr>
          <w:rFonts w:asciiTheme="majorHAnsi" w:hAnsiTheme="majorHAnsi"/>
          <w:b/>
          <w:color w:val="000000"/>
          <w:sz w:val="28"/>
          <w:szCs w:val="28"/>
        </w:rPr>
      </w:pPr>
      <w:r w:rsidRPr="00FF2307">
        <w:rPr>
          <w:rFonts w:asciiTheme="majorHAnsi" w:hAnsiTheme="majorHAnsi"/>
          <w:b/>
          <w:color w:val="000000"/>
          <w:sz w:val="28"/>
          <w:szCs w:val="28"/>
        </w:rPr>
        <w:t>Dispone:</w:t>
      </w:r>
    </w:p>
    <w:p w:rsidR="00056B1D" w:rsidRPr="00FF2307" w:rsidRDefault="00056B1D" w:rsidP="00FF2307">
      <w:pPr>
        <w:jc w:val="both"/>
        <w:rPr>
          <w:rFonts w:asciiTheme="majorHAnsi" w:hAnsiTheme="majorHAnsi"/>
          <w:color w:val="000000"/>
        </w:rPr>
      </w:pPr>
    </w:p>
    <w:p w:rsidR="00056B1D" w:rsidRPr="00FF2307" w:rsidRDefault="00056B1D" w:rsidP="00FF2307">
      <w:pPr>
        <w:jc w:val="both"/>
        <w:rPr>
          <w:rFonts w:asciiTheme="majorHAnsi" w:hAnsiTheme="majorHAnsi"/>
          <w:bCs/>
          <w:lang w:val="es-MX"/>
        </w:rPr>
      </w:pPr>
      <w:r w:rsidRPr="00FF2307">
        <w:rPr>
          <w:rFonts w:asciiTheme="majorHAnsi" w:hAnsiTheme="majorHAnsi"/>
          <w:b/>
          <w:lang w:val="es-ES_tradnl"/>
        </w:rPr>
        <w:t>Primero:</w:t>
      </w:r>
      <w:r w:rsidRPr="00FF2307">
        <w:rPr>
          <w:rFonts w:asciiTheme="majorHAnsi" w:hAnsiTheme="majorHAnsi"/>
          <w:lang w:val="es-ES_tradnl"/>
        </w:rPr>
        <w:t xml:space="preserve"> Agregar al cuadro dispuesto en el artículo 2 del acuerdo SGS-DES-A-021-2013 denominado </w:t>
      </w:r>
      <w:r w:rsidRPr="00FF2307">
        <w:rPr>
          <w:rFonts w:asciiTheme="majorHAnsi" w:hAnsiTheme="majorHAnsi"/>
          <w:bCs/>
          <w:i/>
          <w:lang w:val="es-ES_tradnl"/>
        </w:rPr>
        <w:t xml:space="preserve">Disposiciones para la Remisión de la Información Contable y Estadística a la Superintendencia General de Seguros por parte de las Entidades Supervisadas, </w:t>
      </w:r>
      <w:r w:rsidRPr="00FF2307">
        <w:rPr>
          <w:rFonts w:asciiTheme="majorHAnsi" w:hAnsiTheme="majorHAnsi"/>
          <w:bCs/>
          <w:lang w:val="es-MX"/>
        </w:rPr>
        <w:t>la línea que se presenta a continuación:</w:t>
      </w:r>
    </w:p>
    <w:p w:rsidR="0013370B" w:rsidRPr="00FF2307" w:rsidRDefault="0013370B" w:rsidP="00FF2307">
      <w:pPr>
        <w:jc w:val="center"/>
        <w:rPr>
          <w:rFonts w:asciiTheme="majorHAnsi" w:hAnsiTheme="majorHAnsi"/>
          <w:bCs/>
          <w:lang w:val="es-MX"/>
        </w:rPr>
      </w:pPr>
    </w:p>
    <w:tbl>
      <w:tblPr>
        <w:tblStyle w:val="Tablaconcuadrcula"/>
        <w:tblpPr w:leftFromText="141" w:rightFromText="141" w:vertAnchor="text" w:tblpXSpec="center" w:tblpY="1"/>
        <w:tblOverlap w:val="never"/>
        <w:tblW w:w="8926" w:type="dxa"/>
        <w:jc w:val="center"/>
        <w:tblLayout w:type="fixed"/>
        <w:tblLook w:val="04A0" w:firstRow="1" w:lastRow="0" w:firstColumn="1" w:lastColumn="0" w:noHBand="0" w:noVBand="1"/>
      </w:tblPr>
      <w:tblGrid>
        <w:gridCol w:w="2263"/>
        <w:gridCol w:w="1843"/>
        <w:gridCol w:w="1984"/>
        <w:gridCol w:w="2836"/>
      </w:tblGrid>
      <w:tr w:rsidR="00056B1D" w:rsidRPr="00FF2307" w:rsidTr="00FF2307">
        <w:trPr>
          <w:jc w:val="center"/>
        </w:trPr>
        <w:tc>
          <w:tcPr>
            <w:tcW w:w="2263" w:type="dxa"/>
            <w:shd w:val="clear" w:color="auto" w:fill="95B3D7" w:themeFill="accent1" w:themeFillTint="99"/>
          </w:tcPr>
          <w:p w:rsidR="00056B1D" w:rsidRPr="00FF2307" w:rsidRDefault="00056B1D" w:rsidP="00FF2307">
            <w:pPr>
              <w:jc w:val="center"/>
              <w:rPr>
                <w:rFonts w:asciiTheme="majorHAnsi" w:hAnsiTheme="majorHAnsi"/>
                <w:b/>
                <w:bCs/>
                <w:i/>
                <w:lang w:val="es-MX"/>
              </w:rPr>
            </w:pPr>
            <w:r w:rsidRPr="00FF2307">
              <w:rPr>
                <w:rFonts w:asciiTheme="majorHAnsi" w:hAnsiTheme="majorHAnsi"/>
                <w:b/>
                <w:bCs/>
                <w:i/>
                <w:lang w:val="es-MX"/>
              </w:rPr>
              <w:t>Información</w:t>
            </w:r>
          </w:p>
        </w:tc>
        <w:tc>
          <w:tcPr>
            <w:tcW w:w="1843" w:type="dxa"/>
            <w:shd w:val="clear" w:color="auto" w:fill="95B3D7" w:themeFill="accent1" w:themeFillTint="99"/>
          </w:tcPr>
          <w:p w:rsidR="00056B1D" w:rsidRPr="00FF2307" w:rsidRDefault="00056B1D" w:rsidP="00FF2307">
            <w:pPr>
              <w:jc w:val="center"/>
              <w:rPr>
                <w:rFonts w:asciiTheme="majorHAnsi" w:hAnsiTheme="majorHAnsi"/>
                <w:b/>
                <w:bCs/>
                <w:i/>
                <w:lang w:val="es-MX"/>
              </w:rPr>
            </w:pPr>
            <w:r w:rsidRPr="00FF2307">
              <w:rPr>
                <w:rFonts w:asciiTheme="majorHAnsi" w:hAnsiTheme="majorHAnsi"/>
                <w:b/>
                <w:bCs/>
                <w:i/>
                <w:lang w:val="es-MX"/>
              </w:rPr>
              <w:t>Periodicidad</w:t>
            </w:r>
          </w:p>
        </w:tc>
        <w:tc>
          <w:tcPr>
            <w:tcW w:w="1984" w:type="dxa"/>
            <w:shd w:val="clear" w:color="auto" w:fill="95B3D7" w:themeFill="accent1" w:themeFillTint="99"/>
          </w:tcPr>
          <w:p w:rsidR="00056B1D" w:rsidRPr="00FF2307" w:rsidRDefault="00056B1D" w:rsidP="00FF2307">
            <w:pPr>
              <w:jc w:val="center"/>
              <w:rPr>
                <w:rFonts w:asciiTheme="majorHAnsi" w:hAnsiTheme="majorHAnsi"/>
                <w:b/>
                <w:bCs/>
                <w:i/>
                <w:lang w:val="es-MX"/>
              </w:rPr>
            </w:pPr>
            <w:r w:rsidRPr="00FF2307">
              <w:rPr>
                <w:rFonts w:asciiTheme="majorHAnsi" w:hAnsiTheme="majorHAnsi"/>
                <w:b/>
                <w:bCs/>
                <w:i/>
                <w:lang w:val="es-MX"/>
              </w:rPr>
              <w:t>Plazo de entrega</w:t>
            </w:r>
          </w:p>
        </w:tc>
        <w:tc>
          <w:tcPr>
            <w:tcW w:w="2836" w:type="dxa"/>
            <w:shd w:val="clear" w:color="auto" w:fill="95B3D7" w:themeFill="accent1" w:themeFillTint="99"/>
          </w:tcPr>
          <w:p w:rsidR="00056B1D" w:rsidRPr="00FF2307" w:rsidRDefault="00056B1D" w:rsidP="00FF2307">
            <w:pPr>
              <w:jc w:val="center"/>
              <w:rPr>
                <w:rFonts w:asciiTheme="majorHAnsi" w:hAnsiTheme="majorHAnsi"/>
                <w:b/>
                <w:bCs/>
                <w:i/>
                <w:lang w:val="es-MX"/>
              </w:rPr>
            </w:pPr>
            <w:r w:rsidRPr="00FF2307">
              <w:rPr>
                <w:rFonts w:asciiTheme="majorHAnsi" w:hAnsiTheme="majorHAnsi"/>
                <w:b/>
                <w:bCs/>
                <w:i/>
                <w:lang w:val="es-MX"/>
              </w:rPr>
              <w:t>Medio</w:t>
            </w:r>
          </w:p>
        </w:tc>
      </w:tr>
      <w:tr w:rsidR="00056B1D" w:rsidRPr="00FF2307" w:rsidTr="00FF2307">
        <w:trPr>
          <w:jc w:val="center"/>
        </w:trPr>
        <w:tc>
          <w:tcPr>
            <w:tcW w:w="2263" w:type="dxa"/>
          </w:tcPr>
          <w:p w:rsidR="00056B1D" w:rsidRPr="00FF2307" w:rsidRDefault="00056B1D" w:rsidP="00FF2307">
            <w:pPr>
              <w:jc w:val="both"/>
              <w:rPr>
                <w:rFonts w:asciiTheme="majorHAnsi" w:hAnsiTheme="majorHAnsi"/>
                <w:bCs/>
                <w:lang w:val="es-MX"/>
              </w:rPr>
            </w:pPr>
            <w:r w:rsidRPr="00FF2307">
              <w:rPr>
                <w:rFonts w:asciiTheme="majorHAnsi" w:hAnsiTheme="majorHAnsi"/>
                <w:bCs/>
                <w:lang w:val="es-CR"/>
              </w:rPr>
              <w:t>Estadísticas Seguro Obligatorio de Riesgos del Trabajo</w:t>
            </w:r>
          </w:p>
        </w:tc>
        <w:tc>
          <w:tcPr>
            <w:tcW w:w="1843" w:type="dxa"/>
          </w:tcPr>
          <w:p w:rsidR="00056B1D" w:rsidRPr="00FF2307" w:rsidRDefault="00056B1D" w:rsidP="00FF2307">
            <w:pPr>
              <w:jc w:val="both"/>
              <w:rPr>
                <w:rFonts w:asciiTheme="majorHAnsi" w:hAnsiTheme="majorHAnsi"/>
                <w:bCs/>
                <w:i/>
                <w:lang w:val="es-MX"/>
              </w:rPr>
            </w:pPr>
            <w:r w:rsidRPr="00FF2307">
              <w:rPr>
                <w:rFonts w:asciiTheme="majorHAnsi" w:hAnsiTheme="majorHAnsi"/>
                <w:bCs/>
                <w:i/>
                <w:lang w:val="es-MX"/>
              </w:rPr>
              <w:t>Anual</w:t>
            </w:r>
          </w:p>
        </w:tc>
        <w:tc>
          <w:tcPr>
            <w:tcW w:w="1984" w:type="dxa"/>
          </w:tcPr>
          <w:p w:rsidR="00056B1D" w:rsidRPr="00FF2307" w:rsidRDefault="00056B1D" w:rsidP="00FF2307">
            <w:pPr>
              <w:jc w:val="both"/>
              <w:rPr>
                <w:rFonts w:asciiTheme="majorHAnsi" w:hAnsiTheme="majorHAnsi"/>
                <w:bCs/>
                <w:lang w:val="es-MX"/>
              </w:rPr>
            </w:pPr>
            <w:r w:rsidRPr="00FF2307">
              <w:rPr>
                <w:rFonts w:asciiTheme="majorHAnsi" w:hAnsiTheme="majorHAnsi"/>
                <w:bCs/>
                <w:i/>
              </w:rPr>
              <w:t>3 meses después del cierre del año.</w:t>
            </w:r>
          </w:p>
        </w:tc>
        <w:tc>
          <w:tcPr>
            <w:tcW w:w="2836" w:type="dxa"/>
          </w:tcPr>
          <w:p w:rsidR="00056B1D" w:rsidRPr="00FF2307" w:rsidRDefault="00056B1D" w:rsidP="00FF2307">
            <w:pPr>
              <w:jc w:val="both"/>
              <w:rPr>
                <w:rFonts w:asciiTheme="majorHAnsi" w:hAnsiTheme="majorHAnsi"/>
                <w:bCs/>
                <w:lang w:val="es-MX"/>
              </w:rPr>
            </w:pPr>
            <w:r w:rsidRPr="00FF2307">
              <w:rPr>
                <w:rFonts w:asciiTheme="majorHAnsi" w:hAnsiTheme="majorHAnsi"/>
              </w:rPr>
              <w:t xml:space="preserve">En hoja electrónica (Excel), por correo electrónico, según formato establecido en el </w:t>
            </w:r>
            <w:r w:rsidRPr="00FF2307">
              <w:rPr>
                <w:rFonts w:asciiTheme="majorHAnsi" w:hAnsiTheme="majorHAnsi"/>
                <w:b/>
              </w:rPr>
              <w:t xml:space="preserve">Anexo </w:t>
            </w:r>
            <w:r w:rsidR="0058191E" w:rsidRPr="00FF2307">
              <w:rPr>
                <w:rFonts w:asciiTheme="majorHAnsi" w:hAnsiTheme="majorHAnsi"/>
                <w:b/>
              </w:rPr>
              <w:t>12</w:t>
            </w:r>
            <w:r w:rsidR="00054E03" w:rsidRPr="00FF2307">
              <w:rPr>
                <w:rFonts w:asciiTheme="majorHAnsi" w:hAnsiTheme="majorHAnsi"/>
                <w:b/>
                <w:i/>
              </w:rPr>
              <w:t>.</w:t>
            </w:r>
          </w:p>
        </w:tc>
      </w:tr>
    </w:tbl>
    <w:p w:rsidR="00FF2307" w:rsidRDefault="00FF2307" w:rsidP="00FF2307">
      <w:pPr>
        <w:jc w:val="both"/>
        <w:rPr>
          <w:rFonts w:asciiTheme="majorHAnsi" w:hAnsiTheme="majorHAnsi"/>
          <w:b/>
          <w:iCs/>
          <w:lang w:val="es-ES_tradnl"/>
        </w:rPr>
      </w:pPr>
    </w:p>
    <w:p w:rsidR="005A1442" w:rsidRPr="00FF2307" w:rsidRDefault="00056B1D" w:rsidP="00FF2307">
      <w:pPr>
        <w:jc w:val="both"/>
        <w:rPr>
          <w:rFonts w:asciiTheme="majorHAnsi" w:hAnsiTheme="majorHAnsi"/>
          <w:bCs/>
          <w:iCs/>
          <w:lang w:val="es-ES_tradnl"/>
        </w:rPr>
      </w:pPr>
      <w:r w:rsidRPr="00FF2307">
        <w:rPr>
          <w:rFonts w:asciiTheme="majorHAnsi" w:hAnsiTheme="majorHAnsi"/>
          <w:b/>
          <w:iCs/>
          <w:lang w:val="es-ES_tradnl"/>
        </w:rPr>
        <w:t>Segundo:</w:t>
      </w:r>
      <w:r w:rsidRPr="00FF2307">
        <w:rPr>
          <w:rFonts w:asciiTheme="majorHAnsi" w:hAnsiTheme="majorHAnsi"/>
          <w:iCs/>
          <w:lang w:val="es-ES_tradnl"/>
        </w:rPr>
        <w:t xml:space="preserve"> Adicionar el Anexo </w:t>
      </w:r>
      <w:r w:rsidR="00A96645" w:rsidRPr="00FF2307">
        <w:rPr>
          <w:rFonts w:asciiTheme="majorHAnsi" w:hAnsiTheme="majorHAnsi"/>
          <w:iCs/>
          <w:lang w:val="es-ES_tradnl"/>
        </w:rPr>
        <w:t>12</w:t>
      </w:r>
      <w:r w:rsidRPr="00FF2307">
        <w:rPr>
          <w:rFonts w:asciiTheme="majorHAnsi" w:hAnsiTheme="majorHAnsi"/>
          <w:iCs/>
          <w:lang w:val="es-ES_tradnl"/>
        </w:rPr>
        <w:t xml:space="preserve"> al acuerdo SGS-DES-A-021-2013 denominado </w:t>
      </w:r>
      <w:r w:rsidRPr="00FF2307">
        <w:rPr>
          <w:rFonts w:asciiTheme="majorHAnsi" w:hAnsiTheme="majorHAnsi"/>
          <w:i/>
          <w:iCs/>
          <w:lang w:val="es-ES_tradnl"/>
        </w:rPr>
        <w:t>“</w:t>
      </w:r>
      <w:r w:rsidRPr="00FF2307">
        <w:rPr>
          <w:rFonts w:asciiTheme="majorHAnsi" w:hAnsiTheme="majorHAnsi"/>
          <w:bCs/>
          <w:i/>
          <w:iCs/>
          <w:lang w:val="es-ES_tradnl"/>
        </w:rPr>
        <w:t>Disposiciones para la Remisión de la Información Contable y Estadística a la Superintendencia General de Seguros por parte de las Entidades Supervisadas”,</w:t>
      </w:r>
      <w:r w:rsidRPr="00FF2307">
        <w:rPr>
          <w:rFonts w:asciiTheme="majorHAnsi" w:hAnsiTheme="majorHAnsi"/>
          <w:b/>
          <w:bCs/>
          <w:i/>
          <w:iCs/>
          <w:lang w:val="es-ES_tradnl"/>
        </w:rPr>
        <w:t xml:space="preserve"> </w:t>
      </w:r>
      <w:r w:rsidRPr="00FF2307">
        <w:rPr>
          <w:rFonts w:asciiTheme="majorHAnsi" w:hAnsiTheme="majorHAnsi"/>
          <w:bCs/>
          <w:iCs/>
          <w:lang w:val="es-ES_tradnl"/>
        </w:rPr>
        <w:t>de la siguiente manera:</w:t>
      </w:r>
    </w:p>
    <w:p w:rsidR="00056B1D" w:rsidRPr="00FF2307" w:rsidRDefault="00056B1D" w:rsidP="00FF2307">
      <w:pPr>
        <w:jc w:val="both"/>
        <w:rPr>
          <w:rFonts w:asciiTheme="majorHAnsi" w:hAnsiTheme="majorHAnsi"/>
          <w:bCs/>
          <w:iCs/>
          <w:lang w:val="es-ES_tradnl"/>
        </w:rPr>
      </w:pPr>
    </w:p>
    <w:p w:rsidR="00056B1D" w:rsidRPr="00FF2307" w:rsidRDefault="00056B1D" w:rsidP="00FF2307">
      <w:pPr>
        <w:pStyle w:val="Textoindependiente3"/>
        <w:rPr>
          <w:rFonts w:asciiTheme="majorHAnsi" w:hAnsiTheme="majorHAnsi"/>
          <w:b/>
          <w:iCs/>
          <w:sz w:val="24"/>
          <w:szCs w:val="24"/>
          <w:lang w:val="es-CR"/>
        </w:rPr>
      </w:pPr>
      <w:r w:rsidRPr="00FF2307">
        <w:rPr>
          <w:rFonts w:asciiTheme="majorHAnsi" w:hAnsiTheme="majorHAnsi"/>
          <w:b/>
          <w:iCs/>
          <w:sz w:val="24"/>
          <w:szCs w:val="24"/>
          <w:lang w:val="es-CR"/>
        </w:rPr>
        <w:t xml:space="preserve">ANEXO </w:t>
      </w:r>
      <w:r w:rsidR="00A96645" w:rsidRPr="00FF2307">
        <w:rPr>
          <w:rFonts w:asciiTheme="majorHAnsi" w:hAnsiTheme="majorHAnsi"/>
          <w:b/>
          <w:iCs/>
          <w:sz w:val="24"/>
          <w:szCs w:val="24"/>
          <w:lang w:val="es-CR"/>
        </w:rPr>
        <w:t>12</w:t>
      </w:r>
      <w:r w:rsidRPr="00FF2307">
        <w:rPr>
          <w:rFonts w:asciiTheme="majorHAnsi" w:hAnsiTheme="majorHAnsi"/>
          <w:b/>
          <w:iCs/>
          <w:sz w:val="24"/>
          <w:szCs w:val="24"/>
          <w:lang w:val="es-CR"/>
        </w:rPr>
        <w:t>.</w:t>
      </w:r>
    </w:p>
    <w:p w:rsidR="00FF2307" w:rsidRDefault="00FF2307" w:rsidP="00FF2307">
      <w:pPr>
        <w:jc w:val="both"/>
        <w:rPr>
          <w:rFonts w:asciiTheme="majorHAnsi" w:hAnsiTheme="majorHAnsi"/>
          <w:b/>
          <w:iCs/>
          <w:lang w:val="es-CR"/>
        </w:rPr>
      </w:pPr>
    </w:p>
    <w:p w:rsidR="00056B1D" w:rsidRPr="00FF2307" w:rsidRDefault="00056B1D" w:rsidP="00FF2307">
      <w:pPr>
        <w:jc w:val="both"/>
        <w:rPr>
          <w:rFonts w:asciiTheme="majorHAnsi" w:hAnsiTheme="majorHAnsi"/>
          <w:b/>
          <w:iCs/>
          <w:lang w:val="es-CR"/>
        </w:rPr>
      </w:pPr>
      <w:r w:rsidRPr="00FF2307">
        <w:rPr>
          <w:rFonts w:asciiTheme="majorHAnsi" w:hAnsiTheme="majorHAnsi"/>
          <w:b/>
          <w:iCs/>
          <w:lang w:val="es-CR"/>
        </w:rPr>
        <w:t>Remisión de Información Seguro Obligatorio de Riesgos del Trabajo</w:t>
      </w:r>
    </w:p>
    <w:p w:rsidR="00056B1D" w:rsidRPr="00FF2307" w:rsidRDefault="00056B1D" w:rsidP="00FF2307">
      <w:pPr>
        <w:jc w:val="both"/>
        <w:rPr>
          <w:rFonts w:asciiTheme="majorHAnsi" w:hAnsiTheme="majorHAnsi"/>
          <w:b/>
          <w:iCs/>
          <w:lang w:val="es-CR"/>
        </w:rPr>
      </w:pPr>
    </w:p>
    <w:bookmarkStart w:id="0" w:name="_MON_1522127700"/>
    <w:bookmarkEnd w:id="0"/>
    <w:p w:rsidR="00056B1D" w:rsidRPr="00FF2307" w:rsidRDefault="0057678D" w:rsidP="00FF2307">
      <w:pPr>
        <w:jc w:val="both"/>
        <w:rPr>
          <w:rFonts w:asciiTheme="majorHAnsi" w:hAnsiTheme="majorHAnsi"/>
          <w:b/>
          <w:iCs/>
          <w:lang w:val="es-CR"/>
        </w:rPr>
      </w:pPr>
      <w:r w:rsidRPr="00FF2307">
        <w:rPr>
          <w:rFonts w:asciiTheme="majorHAnsi" w:hAnsiTheme="majorHAnsi"/>
          <w:b/>
          <w:iCs/>
          <w:lang w:val="es-CR"/>
        </w:rPr>
        <w:object w:dxaOrig="1550" w:dyaOrig="991" w14:anchorId="744ED0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50.4pt" o:ole="">
            <v:imagedata r:id="rId9" o:title=""/>
          </v:shape>
          <o:OLEObject Type="Embed" ProgID="Excel.Sheet.12" ShapeID="_x0000_i1025" DrawAspect="Icon" ObjectID="_1522823172" r:id="rId10"/>
        </w:object>
      </w:r>
    </w:p>
    <w:p w:rsidR="00056B1D" w:rsidRPr="00FF2307" w:rsidRDefault="00056B1D" w:rsidP="00FF2307">
      <w:pPr>
        <w:jc w:val="both"/>
        <w:rPr>
          <w:rFonts w:asciiTheme="majorHAnsi" w:hAnsiTheme="majorHAnsi"/>
          <w:b/>
          <w:iCs/>
          <w:lang w:val="es-CR"/>
        </w:rPr>
      </w:pPr>
    </w:p>
    <w:p w:rsidR="00056B1D" w:rsidRPr="00FF2307" w:rsidRDefault="00056B1D" w:rsidP="00FF2307">
      <w:pPr>
        <w:jc w:val="both"/>
        <w:rPr>
          <w:rFonts w:asciiTheme="majorHAnsi" w:hAnsiTheme="majorHAnsi"/>
          <w:bCs/>
          <w:lang w:val="es-MX"/>
        </w:rPr>
      </w:pPr>
      <w:r w:rsidRPr="00FF2307">
        <w:rPr>
          <w:rFonts w:asciiTheme="majorHAnsi" w:hAnsiTheme="majorHAnsi"/>
          <w:b/>
          <w:iCs/>
          <w:lang w:val="es-ES_tradnl"/>
        </w:rPr>
        <w:t>Tercero:</w:t>
      </w:r>
      <w:r w:rsidRPr="00FF2307">
        <w:rPr>
          <w:rFonts w:asciiTheme="majorHAnsi" w:hAnsiTheme="majorHAnsi"/>
          <w:iCs/>
          <w:lang w:val="es-ES_tradnl"/>
        </w:rPr>
        <w:t xml:space="preserve"> Adicionar al acuerdo </w:t>
      </w:r>
      <w:r w:rsidRPr="00FF2307">
        <w:rPr>
          <w:rFonts w:asciiTheme="majorHAnsi" w:hAnsiTheme="majorHAnsi"/>
          <w:lang w:val="es-ES_tradnl"/>
        </w:rPr>
        <w:t xml:space="preserve">SGS-DES-A-021-2013 denominado </w:t>
      </w:r>
      <w:r w:rsidRPr="00FF2307">
        <w:rPr>
          <w:rFonts w:asciiTheme="majorHAnsi" w:hAnsiTheme="majorHAnsi"/>
          <w:bCs/>
          <w:i/>
          <w:lang w:val="es-ES_tradnl"/>
        </w:rPr>
        <w:t xml:space="preserve">Disposiciones para la Remisión de la Información Contable y Estadística a la Superintendencia General de Seguros por parte de las Entidades Supervisadas, </w:t>
      </w:r>
      <w:r w:rsidRPr="00FF2307">
        <w:rPr>
          <w:rFonts w:asciiTheme="majorHAnsi" w:hAnsiTheme="majorHAnsi"/>
          <w:bCs/>
          <w:lang w:val="es-ES_tradnl"/>
        </w:rPr>
        <w:t>la siguiente disposición transitoria</w:t>
      </w:r>
      <w:r w:rsidRPr="00FF2307">
        <w:rPr>
          <w:rFonts w:asciiTheme="majorHAnsi" w:hAnsiTheme="majorHAnsi"/>
          <w:bCs/>
          <w:lang w:val="es-MX"/>
        </w:rPr>
        <w:t>:</w:t>
      </w:r>
    </w:p>
    <w:p w:rsidR="00056B1D" w:rsidRPr="00FF2307" w:rsidRDefault="00056B1D" w:rsidP="00FF2307">
      <w:pPr>
        <w:jc w:val="both"/>
        <w:rPr>
          <w:rFonts w:asciiTheme="majorHAnsi" w:hAnsiTheme="majorHAnsi"/>
          <w:bCs/>
          <w:iCs/>
          <w:lang w:val="es-ES_tradnl"/>
        </w:rPr>
      </w:pPr>
    </w:p>
    <w:p w:rsidR="00056B1D" w:rsidRPr="00FF2307" w:rsidRDefault="00056B1D" w:rsidP="00FF2307">
      <w:pPr>
        <w:ind w:left="284" w:right="333"/>
        <w:jc w:val="both"/>
        <w:rPr>
          <w:rFonts w:asciiTheme="majorHAnsi" w:hAnsiTheme="majorHAnsi"/>
          <w:bCs/>
          <w:i/>
        </w:rPr>
      </w:pPr>
      <w:r w:rsidRPr="00FF2307">
        <w:rPr>
          <w:rFonts w:asciiTheme="majorHAnsi" w:hAnsiTheme="majorHAnsi"/>
          <w:b/>
          <w:i/>
        </w:rPr>
        <w:t xml:space="preserve">“Transitorio </w:t>
      </w:r>
      <w:r w:rsidR="0010669B" w:rsidRPr="00FF2307">
        <w:rPr>
          <w:rFonts w:asciiTheme="majorHAnsi" w:hAnsiTheme="majorHAnsi"/>
          <w:b/>
          <w:i/>
        </w:rPr>
        <w:t>VI</w:t>
      </w:r>
      <w:r w:rsidRPr="00FF2307">
        <w:rPr>
          <w:rFonts w:asciiTheme="majorHAnsi" w:hAnsiTheme="majorHAnsi"/>
          <w:b/>
          <w:i/>
        </w:rPr>
        <w:t>:</w:t>
      </w:r>
      <w:r w:rsidRPr="00FF2307">
        <w:rPr>
          <w:rFonts w:asciiTheme="majorHAnsi" w:hAnsiTheme="majorHAnsi"/>
          <w:i/>
        </w:rPr>
        <w:t xml:space="preserve"> El Instituto Nacional de Seguros debe entregar a la Superintendencia la información del Seguro de Riesgos del Trabajo correspondientes al cierre de 2015 y de 2016, en archivo de Excel y utilizando el formato en el que la entidad entregó la información del periodo 2008-2014, a más tardar el </w:t>
      </w:r>
      <w:r w:rsidRPr="00FF2307">
        <w:rPr>
          <w:rFonts w:asciiTheme="majorHAnsi" w:hAnsiTheme="majorHAnsi"/>
          <w:i/>
          <w:color w:val="FF0000"/>
        </w:rPr>
        <w:t xml:space="preserve"> </w:t>
      </w:r>
      <w:r w:rsidRPr="00FF2307">
        <w:rPr>
          <w:rFonts w:asciiTheme="majorHAnsi" w:hAnsiTheme="majorHAnsi"/>
          <w:i/>
        </w:rPr>
        <w:t xml:space="preserve"> 31 de mayo de 2016 y el 31 de marzo de 2017, respectivamente. P</w:t>
      </w:r>
      <w:r w:rsidRPr="00FF2307">
        <w:rPr>
          <w:rFonts w:asciiTheme="majorHAnsi" w:hAnsiTheme="majorHAnsi"/>
          <w:bCs/>
          <w:i/>
        </w:rPr>
        <w:t>osterior a esa fecha se remitirán las estadísticas de riesgos de trabajo según lo dispuesto en el artículo 2 de este acuerdo.</w:t>
      </w:r>
    </w:p>
    <w:p w:rsidR="00056B1D" w:rsidRPr="00FF2307" w:rsidRDefault="00056B1D" w:rsidP="00FF2307">
      <w:pPr>
        <w:jc w:val="both"/>
        <w:rPr>
          <w:rFonts w:asciiTheme="majorHAnsi" w:hAnsiTheme="majorHAnsi"/>
          <w:bCs/>
          <w:iCs/>
          <w:lang w:val="es-ES_tradnl"/>
        </w:rPr>
      </w:pPr>
    </w:p>
    <w:p w:rsidR="00056B1D" w:rsidRPr="00FF2307" w:rsidRDefault="00056B1D" w:rsidP="00FF2307">
      <w:pPr>
        <w:jc w:val="both"/>
        <w:rPr>
          <w:rFonts w:asciiTheme="majorHAnsi" w:hAnsiTheme="majorHAnsi"/>
          <w:iCs/>
          <w:lang w:val="es-ES_tradnl"/>
        </w:rPr>
      </w:pPr>
      <w:r w:rsidRPr="00FF2307">
        <w:rPr>
          <w:rFonts w:asciiTheme="majorHAnsi" w:hAnsiTheme="majorHAnsi"/>
          <w:b/>
          <w:iCs/>
          <w:lang w:val="es-ES_tradnl"/>
        </w:rPr>
        <w:t xml:space="preserve">Cuarto: </w:t>
      </w:r>
      <w:r w:rsidRPr="00FF2307">
        <w:rPr>
          <w:rFonts w:asciiTheme="majorHAnsi" w:hAnsiTheme="majorHAnsi"/>
          <w:iCs/>
          <w:lang w:val="es-ES_tradnl"/>
        </w:rPr>
        <w:t>Actualizar la versión publicada del Acuerdo SGS-DES-A-021-2013 para incluir las modificaciones señaladas en este acuerdo</w:t>
      </w:r>
      <w:r w:rsidR="00532BD4" w:rsidRPr="00FF2307">
        <w:rPr>
          <w:rFonts w:asciiTheme="majorHAnsi" w:hAnsiTheme="majorHAnsi"/>
          <w:iCs/>
          <w:lang w:val="es-ES_tradnl"/>
        </w:rPr>
        <w:t>.</w:t>
      </w:r>
    </w:p>
    <w:p w:rsidR="00056B1D" w:rsidRPr="00FF2307" w:rsidRDefault="00056B1D" w:rsidP="00FF2307">
      <w:pPr>
        <w:jc w:val="both"/>
        <w:rPr>
          <w:rFonts w:asciiTheme="majorHAnsi" w:hAnsiTheme="majorHAnsi"/>
          <w:lang w:val="es-CR"/>
        </w:rPr>
      </w:pPr>
    </w:p>
    <w:p w:rsidR="00056B1D" w:rsidRPr="00FF2307" w:rsidRDefault="00056B1D" w:rsidP="00FF2307">
      <w:pPr>
        <w:jc w:val="both"/>
        <w:rPr>
          <w:rFonts w:asciiTheme="majorHAnsi" w:hAnsiTheme="majorHAnsi"/>
          <w:iCs/>
          <w:lang w:val="es-ES_tradnl"/>
        </w:rPr>
      </w:pPr>
      <w:r w:rsidRPr="00FF2307">
        <w:rPr>
          <w:rFonts w:asciiTheme="majorHAnsi" w:hAnsiTheme="majorHAnsi"/>
          <w:iCs/>
          <w:lang w:val="es-ES_tradnl"/>
        </w:rPr>
        <w:t>Rige a partir de su publicación en el Diario Oficial “La Gaceta”.</w:t>
      </w:r>
    </w:p>
    <w:p w:rsidR="00056B1D" w:rsidRPr="00FF2307" w:rsidRDefault="00056B1D" w:rsidP="00FF2307">
      <w:pPr>
        <w:jc w:val="both"/>
        <w:rPr>
          <w:rFonts w:asciiTheme="majorHAnsi" w:hAnsiTheme="majorHAnsi"/>
          <w:iCs/>
          <w:lang w:val="es-ES_tradnl"/>
        </w:rPr>
      </w:pPr>
    </w:p>
    <w:p w:rsidR="00056B1D" w:rsidRDefault="00056B1D" w:rsidP="00FF2307">
      <w:pPr>
        <w:jc w:val="both"/>
        <w:rPr>
          <w:rFonts w:asciiTheme="majorHAnsi" w:hAnsiTheme="majorHAnsi"/>
          <w:lang w:val="es-CR"/>
        </w:rPr>
      </w:pPr>
    </w:p>
    <w:p w:rsidR="00FF2307" w:rsidRPr="00FF2307" w:rsidRDefault="00FF2307" w:rsidP="00FF2307">
      <w:pPr>
        <w:jc w:val="both"/>
        <w:rPr>
          <w:rFonts w:asciiTheme="majorHAnsi" w:hAnsiTheme="majorHAnsi"/>
          <w:lang w:val="es-CR"/>
        </w:rPr>
      </w:pPr>
    </w:p>
    <w:p w:rsidR="005A1442" w:rsidRPr="00FF2307" w:rsidRDefault="005A1442" w:rsidP="00FF2307">
      <w:pPr>
        <w:jc w:val="both"/>
        <w:rPr>
          <w:rFonts w:asciiTheme="majorHAnsi" w:hAnsiTheme="majorHAnsi"/>
        </w:rPr>
      </w:pPr>
      <w:r w:rsidRPr="00FF2307">
        <w:rPr>
          <w:rFonts w:asciiTheme="majorHAnsi" w:hAnsiTheme="majorHAnsi"/>
          <w:noProof/>
          <w:lang w:val="es-CR" w:eastAsia="es-CR"/>
        </w:rPr>
        <w:drawing>
          <wp:inline distT="0" distB="0" distL="0" distR="0" wp14:anchorId="2F9DA19F" wp14:editId="4D4E22CF">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5A1442" w:rsidRPr="00FF2307" w:rsidSect="0038157B">
      <w:headerReference w:type="default" r:id="rId12"/>
      <w:footerReference w:type="default" r:id="rId13"/>
      <w:headerReference w:type="first" r:id="rId14"/>
      <w:footerReference w:type="first" r:id="rId15"/>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435" w:rsidRDefault="00860435" w:rsidP="005A1442">
      <w:r>
        <w:separator/>
      </w:r>
    </w:p>
  </w:endnote>
  <w:endnote w:type="continuationSeparator" w:id="0">
    <w:p w:rsidR="00860435" w:rsidRDefault="00860435"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442" w:rsidRDefault="005A1442" w:rsidP="005A1442">
    <w:pPr>
      <w:pStyle w:val="Piedepgina"/>
      <w:pBdr>
        <w:top w:val="single" w:sz="4" w:space="1" w:color="auto"/>
      </w:pBdr>
      <w:rPr>
        <w:sz w:val="16"/>
        <w:szCs w:val="16"/>
      </w:rPr>
    </w:pPr>
  </w:p>
  <w:p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rsidR="005A1442" w:rsidRPr="005A1442" w:rsidRDefault="00860435" w:rsidP="005A1442">
    <w:pPr>
      <w:pStyle w:val="Piedepgina"/>
      <w:tabs>
        <w:tab w:val="clear" w:pos="8838"/>
      </w:tabs>
      <w:jc w:val="right"/>
      <w:rPr>
        <w:rFonts w:ascii="Baskerville Old Face" w:hAnsi="Baskerville Old Face"/>
        <w:sz w:val="18"/>
        <w:szCs w:val="18"/>
      </w:rPr>
    </w:pPr>
    <w:hyperlink r:id="rId1" w:history="1">
      <w:r w:rsidR="005A1442"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57B" w:rsidRDefault="0038157B" w:rsidP="0038157B">
    <w:pPr>
      <w:pStyle w:val="Piedepgina"/>
      <w:pBdr>
        <w:top w:val="single" w:sz="4" w:space="1" w:color="auto"/>
      </w:pBdr>
      <w:rPr>
        <w:sz w:val="16"/>
        <w:szCs w:val="16"/>
      </w:rPr>
    </w:pPr>
  </w:p>
  <w:p w:rsidR="0038157B" w:rsidRDefault="0038157B" w:rsidP="0038157B">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rsidR="0038157B" w:rsidRDefault="0038157B" w:rsidP="0038157B">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rsidR="0038157B" w:rsidRPr="0038157B" w:rsidRDefault="00860435" w:rsidP="0038157B">
    <w:pPr>
      <w:pStyle w:val="Piedepgina"/>
      <w:tabs>
        <w:tab w:val="clear" w:pos="8838"/>
      </w:tabs>
      <w:jc w:val="right"/>
      <w:rPr>
        <w:rFonts w:ascii="Baskerville Old Face" w:hAnsi="Baskerville Old Face"/>
        <w:sz w:val="18"/>
        <w:szCs w:val="18"/>
      </w:rPr>
    </w:pPr>
    <w:hyperlink r:id="rId1" w:history="1">
      <w:r w:rsidR="0038157B"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435" w:rsidRDefault="00860435" w:rsidP="005A1442">
      <w:r>
        <w:separator/>
      </w:r>
    </w:p>
  </w:footnote>
  <w:footnote w:type="continuationSeparator" w:id="0">
    <w:p w:rsidR="00860435" w:rsidRDefault="00860435" w:rsidP="005A1442">
      <w:r>
        <w:continuationSeparator/>
      </w:r>
    </w:p>
  </w:footnote>
  <w:footnote w:id="1">
    <w:p w:rsidR="00056B1D" w:rsidRPr="00B521C8" w:rsidRDefault="00056B1D" w:rsidP="00056B1D">
      <w:pPr>
        <w:pStyle w:val="Textonotapie"/>
      </w:pPr>
      <w:r>
        <w:rPr>
          <w:rStyle w:val="Refdenotaalpie"/>
        </w:rPr>
        <w:footnoteRef/>
      </w:r>
      <w:r>
        <w:t xml:space="preserve"> CSO: Consejo de Salud Ocupacional.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307" w:rsidRPr="00FF2307" w:rsidRDefault="00FF2307" w:rsidP="00FF2307">
    <w:pPr>
      <w:pStyle w:val="Encabezado"/>
      <w:jc w:val="both"/>
      <w:rPr>
        <w:rFonts w:asciiTheme="majorHAnsi" w:hAnsiTheme="majorHAnsi"/>
        <w:sz w:val="24"/>
        <w:szCs w:val="24"/>
      </w:rPr>
    </w:pPr>
    <w:r w:rsidRPr="00FF2307">
      <w:rPr>
        <w:rFonts w:asciiTheme="majorHAnsi" w:hAnsiTheme="majorHAnsi"/>
        <w:noProof/>
        <w:sz w:val="24"/>
        <w:szCs w:val="24"/>
        <w:lang w:eastAsia="es-CR"/>
      </w:rPr>
      <mc:AlternateContent>
        <mc:Choice Requires="wps">
          <w:drawing>
            <wp:anchor distT="0" distB="0" distL="114300" distR="114300" simplePos="0" relativeHeight="251662848" behindDoc="0" locked="0" layoutInCell="1" allowOverlap="1" wp14:anchorId="5CF2466A" wp14:editId="55844A1E">
              <wp:simplePos x="0" y="0"/>
              <wp:positionH relativeFrom="margin">
                <wp:align>right</wp:align>
              </wp:positionH>
              <wp:positionV relativeFrom="paragraph">
                <wp:posOffset>-216535</wp:posOffset>
              </wp:positionV>
              <wp:extent cx="1230341" cy="1303193"/>
              <wp:effectExtent l="0" t="0" r="8255"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rsidR="00FF2307" w:rsidRDefault="00FF2307" w:rsidP="00FF2307">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5176C319" wp14:editId="542785CD">
                                <wp:extent cx="460020" cy="810491"/>
                                <wp:effectExtent l="0" t="0" r="0" b="889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rsidR="00FF2307" w:rsidRPr="00374377" w:rsidRDefault="00FF2307" w:rsidP="00FF2307">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00FF2307" w:rsidRPr="00374377" w:rsidRDefault="00FF2307" w:rsidP="00FF2307">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F2466A" id="_x0000_t202" coordsize="21600,21600" o:spt="202" path="m,l,21600r21600,l21600,xe">
              <v:stroke joinstyle="miter"/>
              <v:path gradientshapeok="t" o:connecttype="rect"/>
            </v:shapetype>
            <v:shape id="Cuadro de texto 2" o:spid="_x0000_s1026" type="#_x0000_t202" style="position:absolute;left:0;text-align:left;margin-left:45.7pt;margin-top:-17.05pt;width:96.9pt;height:102.6pt;z-index:251662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" stroked="f">
              <v:textbox>
                <w:txbxContent>
                  <w:p w:rsidR="00FF2307" w:rsidRDefault="00FF2307" w:rsidP="00FF2307">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5176C319" wp14:editId="542785CD">
                          <wp:extent cx="460020" cy="810491"/>
                          <wp:effectExtent l="0" t="0" r="0" b="889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rsidR="00FF2307" w:rsidRPr="00374377" w:rsidRDefault="00FF2307" w:rsidP="00FF2307">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00FF2307" w:rsidRPr="00374377" w:rsidRDefault="00FF2307" w:rsidP="00FF2307">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w10:wrap anchorx="margin"/>
            </v:shape>
          </w:pict>
        </mc:Fallback>
      </mc:AlternateContent>
    </w:r>
    <w:r w:rsidRPr="00FF2307">
      <w:rPr>
        <w:rFonts w:asciiTheme="majorHAnsi" w:hAnsiTheme="majorHAnsi"/>
        <w:noProof/>
        <w:sz w:val="24"/>
        <w:szCs w:val="24"/>
        <w:lang w:eastAsia="es-CR"/>
      </w:rPr>
      <w:drawing>
        <wp:inline distT="0" distB="0" distL="0" distR="0" wp14:anchorId="4F1C332B" wp14:editId="07E3E366">
          <wp:extent cx="1209580" cy="971550"/>
          <wp:effectExtent l="19050" t="0" r="0" b="0"/>
          <wp:docPr id="8"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2"/>
                  <a:stretch>
                    <a:fillRect/>
                  </a:stretch>
                </pic:blipFill>
                <pic:spPr>
                  <a:xfrm>
                    <a:off x="0" y="0"/>
                    <a:ext cx="1209580" cy="971550"/>
                  </a:xfrm>
                  <a:prstGeom prst="rect">
                    <a:avLst/>
                  </a:prstGeom>
                </pic:spPr>
              </pic:pic>
            </a:graphicData>
          </a:graphic>
        </wp:inline>
      </w:drawing>
    </w:r>
  </w:p>
  <w:p w:rsidR="00FF2307" w:rsidRPr="00FF2307" w:rsidRDefault="00FF2307" w:rsidP="00FF2307">
    <w:pPr>
      <w:pStyle w:val="Encabezado"/>
      <w:jc w:val="right"/>
      <w:rPr>
        <w:rFonts w:asciiTheme="majorHAnsi" w:hAnsiTheme="majorHAnsi"/>
        <w:sz w:val="16"/>
        <w:szCs w:val="16"/>
      </w:rPr>
    </w:pPr>
  </w:p>
  <w:p w:rsidR="0038157B" w:rsidRPr="00FF2307" w:rsidRDefault="0038157B" w:rsidP="00FF2307">
    <w:pPr>
      <w:pStyle w:val="Encabezado"/>
      <w:jc w:val="both"/>
      <w:rPr>
        <w:rFonts w:asciiTheme="majorHAnsi" w:hAnsiTheme="majorHAnsi"/>
        <w:b/>
        <w:i/>
        <w:sz w:val="24"/>
        <w:szCs w:val="24"/>
        <w:lang w:val="es-MX"/>
      </w:rPr>
    </w:pPr>
    <w:r w:rsidRPr="00FF2307">
      <w:rPr>
        <w:rFonts w:asciiTheme="majorHAnsi" w:hAnsiTheme="majorHAnsi"/>
        <w:b/>
        <w:i/>
        <w:sz w:val="24"/>
        <w:szCs w:val="24"/>
        <w:lang w:val="es-MX"/>
      </w:rPr>
      <w:t>SGS-DES-</w:t>
    </w:r>
    <w:r w:rsidR="00FF2307">
      <w:rPr>
        <w:rFonts w:asciiTheme="majorHAnsi" w:hAnsiTheme="majorHAnsi"/>
        <w:b/>
        <w:i/>
        <w:sz w:val="24"/>
        <w:szCs w:val="24"/>
        <w:lang w:val="es-MX"/>
      </w:rPr>
      <w:t>A</w:t>
    </w:r>
    <w:r w:rsidRPr="00FF2307">
      <w:rPr>
        <w:rFonts w:asciiTheme="majorHAnsi" w:hAnsiTheme="majorHAnsi"/>
        <w:b/>
        <w:i/>
        <w:sz w:val="24"/>
        <w:szCs w:val="24"/>
        <w:lang w:val="es-MX"/>
      </w:rPr>
      <w:t>-</w:t>
    </w:r>
    <w:r w:rsidR="001E6649">
      <w:rPr>
        <w:rFonts w:asciiTheme="majorHAnsi" w:hAnsiTheme="majorHAnsi"/>
        <w:b/>
        <w:i/>
        <w:sz w:val="24"/>
        <w:szCs w:val="24"/>
        <w:lang w:val="es-MX"/>
      </w:rPr>
      <w:t>051</w:t>
    </w:r>
    <w:r w:rsidRPr="00FF2307">
      <w:rPr>
        <w:rFonts w:asciiTheme="majorHAnsi" w:hAnsiTheme="majorHAnsi"/>
        <w:b/>
        <w:i/>
        <w:sz w:val="24"/>
        <w:szCs w:val="24"/>
        <w:lang w:val="es-MX"/>
      </w:rPr>
      <w:t>-201</w:t>
    </w:r>
    <w:r w:rsidR="00056B1D" w:rsidRPr="00FF2307">
      <w:rPr>
        <w:rFonts w:asciiTheme="majorHAnsi" w:hAnsiTheme="majorHAnsi"/>
        <w:b/>
        <w:i/>
        <w:sz w:val="24"/>
        <w:szCs w:val="24"/>
        <w:lang w:val="es-MX"/>
      </w:rPr>
      <w:t>6</w:t>
    </w:r>
  </w:p>
  <w:p w:rsidR="0038157B" w:rsidRPr="00FF2307" w:rsidRDefault="0038157B" w:rsidP="00FF2307">
    <w:pPr>
      <w:pStyle w:val="Encabezado"/>
      <w:jc w:val="both"/>
      <w:rPr>
        <w:rFonts w:asciiTheme="majorHAnsi" w:hAnsiTheme="majorHAnsi"/>
        <w:sz w:val="24"/>
        <w:szCs w:val="24"/>
        <w:lang w:val="es-MX"/>
      </w:rPr>
    </w:pPr>
    <w:r w:rsidRPr="00FF2307">
      <w:rPr>
        <w:rFonts w:asciiTheme="majorHAnsi" w:hAnsiTheme="majorHAnsi"/>
        <w:sz w:val="24"/>
        <w:szCs w:val="24"/>
        <w:lang w:val="es-MX"/>
      </w:rPr>
      <w:t xml:space="preserve">Página </w:t>
    </w:r>
    <w:r w:rsidRPr="00FF2307">
      <w:rPr>
        <w:rFonts w:asciiTheme="majorHAnsi" w:hAnsiTheme="majorHAnsi"/>
        <w:sz w:val="24"/>
        <w:szCs w:val="24"/>
        <w:lang w:val="es-MX"/>
      </w:rPr>
      <w:fldChar w:fldCharType="begin"/>
    </w:r>
    <w:r w:rsidRPr="00FF2307">
      <w:rPr>
        <w:rFonts w:asciiTheme="majorHAnsi" w:hAnsiTheme="majorHAnsi"/>
        <w:sz w:val="24"/>
        <w:szCs w:val="24"/>
        <w:lang w:val="es-MX"/>
      </w:rPr>
      <w:instrText xml:space="preserve"> PAGE   \* MERGEFORMAT </w:instrText>
    </w:r>
    <w:r w:rsidRPr="00FF2307">
      <w:rPr>
        <w:rFonts w:asciiTheme="majorHAnsi" w:hAnsiTheme="majorHAnsi"/>
        <w:sz w:val="24"/>
        <w:szCs w:val="24"/>
        <w:lang w:val="es-MX"/>
      </w:rPr>
      <w:fldChar w:fldCharType="separate"/>
    </w:r>
    <w:r w:rsidR="007B7209">
      <w:rPr>
        <w:rFonts w:asciiTheme="majorHAnsi" w:hAnsiTheme="majorHAnsi"/>
        <w:noProof/>
        <w:sz w:val="24"/>
        <w:szCs w:val="24"/>
        <w:lang w:val="es-MX"/>
      </w:rPr>
      <w:t>5</w:t>
    </w:r>
    <w:r w:rsidRPr="00FF2307">
      <w:rPr>
        <w:rFonts w:asciiTheme="majorHAnsi" w:hAnsiTheme="majorHAnsi"/>
        <w:sz w:val="24"/>
        <w:szCs w:val="24"/>
        <w:lang w:val="es-MX"/>
      </w:rPr>
      <w:fldChar w:fldCharType="end"/>
    </w:r>
  </w:p>
  <w:p w:rsidR="0038157B" w:rsidRPr="00FF2307" w:rsidRDefault="0038157B" w:rsidP="00FF2307">
    <w:pPr>
      <w:pStyle w:val="Encabezado"/>
      <w:jc w:val="both"/>
      <w:rPr>
        <w:rFonts w:asciiTheme="majorHAnsi" w:hAnsiTheme="majorHAnsi"/>
        <w:sz w:val="24"/>
        <w:szCs w:val="24"/>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57B" w:rsidRPr="00FF2307" w:rsidRDefault="0038157B" w:rsidP="00FF2307">
    <w:pPr>
      <w:pStyle w:val="Encabezado"/>
      <w:jc w:val="both"/>
      <w:rPr>
        <w:rFonts w:asciiTheme="majorHAnsi" w:hAnsiTheme="majorHAnsi"/>
        <w:sz w:val="24"/>
        <w:szCs w:val="24"/>
      </w:rPr>
    </w:pPr>
    <w:r w:rsidRPr="00FF2307">
      <w:rPr>
        <w:rFonts w:asciiTheme="majorHAnsi" w:hAnsiTheme="majorHAnsi"/>
        <w:noProof/>
        <w:sz w:val="24"/>
        <w:szCs w:val="24"/>
        <w:lang w:eastAsia="es-CR"/>
      </w:rPr>
      <mc:AlternateContent>
        <mc:Choice Requires="wps">
          <w:drawing>
            <wp:anchor distT="0" distB="0" distL="114300" distR="114300" simplePos="0" relativeHeight="251654656" behindDoc="0" locked="0" layoutInCell="1" allowOverlap="1" wp14:anchorId="3FDB8011" wp14:editId="0A41CEE0">
              <wp:simplePos x="0" y="0"/>
              <wp:positionH relativeFrom="margin">
                <wp:align>right</wp:align>
              </wp:positionH>
              <wp:positionV relativeFrom="paragraph">
                <wp:posOffset>-216535</wp:posOffset>
              </wp:positionV>
              <wp:extent cx="1230341" cy="1303193"/>
              <wp:effectExtent l="0" t="0" r="825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rsidR="0038157B" w:rsidRDefault="0038157B" w:rsidP="0038157B">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1E792BBB" wp14:editId="298F76D5">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rsidR="0038157B" w:rsidRPr="00374377" w:rsidRDefault="0038157B" w:rsidP="0038157B">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0038157B" w:rsidRPr="00374377" w:rsidRDefault="0038157B" w:rsidP="0038157B">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DB8011" id="_x0000_t202" coordsize="21600,21600" o:spt="202" path="m,l,21600r21600,l21600,xe">
              <v:stroke joinstyle="miter"/>
              <v:path gradientshapeok="t" o:connecttype="rect"/>
            </v:shapetype>
            <v:shape id="_x0000_s1027" type="#_x0000_t202" style="position:absolute;left:0;text-align:left;margin-left:45.7pt;margin-top:-17.05pt;width:96.9pt;height:102.6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" stroked="f">
              <v:textbox>
                <w:txbxContent>
                  <w:p w:rsidR="0038157B" w:rsidRDefault="0038157B" w:rsidP="0038157B">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1E792BBB" wp14:editId="298F76D5">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rsidR="0038157B" w:rsidRPr="00374377" w:rsidRDefault="0038157B" w:rsidP="0038157B">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0038157B" w:rsidRPr="00374377" w:rsidRDefault="0038157B" w:rsidP="0038157B">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w10:wrap anchorx="margin"/>
            </v:shape>
          </w:pict>
        </mc:Fallback>
      </mc:AlternateContent>
    </w:r>
    <w:r w:rsidRPr="00FF2307">
      <w:rPr>
        <w:rFonts w:asciiTheme="majorHAnsi" w:hAnsiTheme="majorHAnsi"/>
        <w:noProof/>
        <w:sz w:val="24"/>
        <w:szCs w:val="24"/>
        <w:lang w:eastAsia="es-CR"/>
      </w:rPr>
      <w:drawing>
        <wp:inline distT="0" distB="0" distL="0" distR="0" wp14:anchorId="691F9EF1" wp14:editId="7D217CEE">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2"/>
                  <a:stretch>
                    <a:fillRect/>
                  </a:stretch>
                </pic:blipFill>
                <pic:spPr>
                  <a:xfrm>
                    <a:off x="0" y="0"/>
                    <a:ext cx="1209580" cy="971550"/>
                  </a:xfrm>
                  <a:prstGeom prst="rect">
                    <a:avLst/>
                  </a:prstGeom>
                </pic:spPr>
              </pic:pic>
            </a:graphicData>
          </a:graphic>
        </wp:inline>
      </w:drawing>
    </w:r>
  </w:p>
  <w:p w:rsidR="0038157B" w:rsidRPr="00FF2307" w:rsidRDefault="0038157B" w:rsidP="00FF2307">
    <w:pPr>
      <w:pStyle w:val="Encabezado"/>
      <w:jc w:val="right"/>
      <w:rPr>
        <w:rFonts w:asciiTheme="majorHAnsi" w:hAnsiTheme="majorHAns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442"/>
    <w:rsid w:val="00003EEF"/>
    <w:rsid w:val="000076D1"/>
    <w:rsid w:val="000105FD"/>
    <w:rsid w:val="00015CC4"/>
    <w:rsid w:val="000230EC"/>
    <w:rsid w:val="00037F14"/>
    <w:rsid w:val="000423DA"/>
    <w:rsid w:val="00043989"/>
    <w:rsid w:val="000476C1"/>
    <w:rsid w:val="00054E03"/>
    <w:rsid w:val="00055413"/>
    <w:rsid w:val="00056B1D"/>
    <w:rsid w:val="00067CF6"/>
    <w:rsid w:val="000752F9"/>
    <w:rsid w:val="000760ED"/>
    <w:rsid w:val="00083A78"/>
    <w:rsid w:val="0008604D"/>
    <w:rsid w:val="000A2288"/>
    <w:rsid w:val="000B2E1D"/>
    <w:rsid w:val="000C7644"/>
    <w:rsid w:val="000D4883"/>
    <w:rsid w:val="000F4177"/>
    <w:rsid w:val="0010669B"/>
    <w:rsid w:val="00112325"/>
    <w:rsid w:val="0013370B"/>
    <w:rsid w:val="00133DA2"/>
    <w:rsid w:val="00135FBF"/>
    <w:rsid w:val="00140B90"/>
    <w:rsid w:val="00146B1D"/>
    <w:rsid w:val="001551CB"/>
    <w:rsid w:val="00167B6E"/>
    <w:rsid w:val="0017138C"/>
    <w:rsid w:val="0018143B"/>
    <w:rsid w:val="00183423"/>
    <w:rsid w:val="001A29D3"/>
    <w:rsid w:val="001A6FE9"/>
    <w:rsid w:val="001B3C85"/>
    <w:rsid w:val="001B6EE9"/>
    <w:rsid w:val="001C344D"/>
    <w:rsid w:val="001D2BCA"/>
    <w:rsid w:val="001E6649"/>
    <w:rsid w:val="001F362F"/>
    <w:rsid w:val="002048C0"/>
    <w:rsid w:val="002218A1"/>
    <w:rsid w:val="00221996"/>
    <w:rsid w:val="00222862"/>
    <w:rsid w:val="00234ECC"/>
    <w:rsid w:val="002440B8"/>
    <w:rsid w:val="00247E9E"/>
    <w:rsid w:val="00267429"/>
    <w:rsid w:val="0028286F"/>
    <w:rsid w:val="00286975"/>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33BA8"/>
    <w:rsid w:val="00336659"/>
    <w:rsid w:val="00343523"/>
    <w:rsid w:val="00343D0D"/>
    <w:rsid w:val="003623F7"/>
    <w:rsid w:val="0036475D"/>
    <w:rsid w:val="00366016"/>
    <w:rsid w:val="003758F1"/>
    <w:rsid w:val="00376DE7"/>
    <w:rsid w:val="0038157B"/>
    <w:rsid w:val="00391C88"/>
    <w:rsid w:val="003A39BC"/>
    <w:rsid w:val="003A53B0"/>
    <w:rsid w:val="003B043B"/>
    <w:rsid w:val="003B6304"/>
    <w:rsid w:val="003B7CC2"/>
    <w:rsid w:val="003E469F"/>
    <w:rsid w:val="003E62CB"/>
    <w:rsid w:val="003E721F"/>
    <w:rsid w:val="004263F9"/>
    <w:rsid w:val="004277B9"/>
    <w:rsid w:val="00432474"/>
    <w:rsid w:val="00454C55"/>
    <w:rsid w:val="0047219D"/>
    <w:rsid w:val="004948D8"/>
    <w:rsid w:val="00495470"/>
    <w:rsid w:val="00496C81"/>
    <w:rsid w:val="004A03B7"/>
    <w:rsid w:val="004A495A"/>
    <w:rsid w:val="004B767D"/>
    <w:rsid w:val="004C4D3C"/>
    <w:rsid w:val="004D2EB0"/>
    <w:rsid w:val="004D7196"/>
    <w:rsid w:val="004E7104"/>
    <w:rsid w:val="004F5023"/>
    <w:rsid w:val="004F6969"/>
    <w:rsid w:val="0050151B"/>
    <w:rsid w:val="0050185B"/>
    <w:rsid w:val="00501E0F"/>
    <w:rsid w:val="005078E4"/>
    <w:rsid w:val="00514940"/>
    <w:rsid w:val="005241EE"/>
    <w:rsid w:val="00524C83"/>
    <w:rsid w:val="0053290C"/>
    <w:rsid w:val="00532BD4"/>
    <w:rsid w:val="00533746"/>
    <w:rsid w:val="005442FF"/>
    <w:rsid w:val="00545CD6"/>
    <w:rsid w:val="00556620"/>
    <w:rsid w:val="0056158A"/>
    <w:rsid w:val="0056224B"/>
    <w:rsid w:val="00576230"/>
    <w:rsid w:val="0057678D"/>
    <w:rsid w:val="0058191E"/>
    <w:rsid w:val="005A1442"/>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556D"/>
    <w:rsid w:val="006655C3"/>
    <w:rsid w:val="006678C2"/>
    <w:rsid w:val="00671DEB"/>
    <w:rsid w:val="00672C4A"/>
    <w:rsid w:val="00673269"/>
    <w:rsid w:val="00674F4F"/>
    <w:rsid w:val="006772DD"/>
    <w:rsid w:val="006829C1"/>
    <w:rsid w:val="0068417D"/>
    <w:rsid w:val="006848D6"/>
    <w:rsid w:val="006943A2"/>
    <w:rsid w:val="006A1A25"/>
    <w:rsid w:val="006B4EA1"/>
    <w:rsid w:val="006C624C"/>
    <w:rsid w:val="006C76B1"/>
    <w:rsid w:val="006D0952"/>
    <w:rsid w:val="006E01DB"/>
    <w:rsid w:val="006E1EC2"/>
    <w:rsid w:val="006F4D20"/>
    <w:rsid w:val="00706543"/>
    <w:rsid w:val="00712FFB"/>
    <w:rsid w:val="00715BD0"/>
    <w:rsid w:val="007170ED"/>
    <w:rsid w:val="00725048"/>
    <w:rsid w:val="00725493"/>
    <w:rsid w:val="00726CEB"/>
    <w:rsid w:val="007272CC"/>
    <w:rsid w:val="007324F8"/>
    <w:rsid w:val="007327C9"/>
    <w:rsid w:val="0074198B"/>
    <w:rsid w:val="007437E6"/>
    <w:rsid w:val="00746E52"/>
    <w:rsid w:val="007636BD"/>
    <w:rsid w:val="00771580"/>
    <w:rsid w:val="00792726"/>
    <w:rsid w:val="007A0A2A"/>
    <w:rsid w:val="007A1E7F"/>
    <w:rsid w:val="007A22EA"/>
    <w:rsid w:val="007A2A51"/>
    <w:rsid w:val="007B04A5"/>
    <w:rsid w:val="007B7209"/>
    <w:rsid w:val="007C19A7"/>
    <w:rsid w:val="007D2DAF"/>
    <w:rsid w:val="007E41E5"/>
    <w:rsid w:val="007E46F1"/>
    <w:rsid w:val="007E66C6"/>
    <w:rsid w:val="008022A8"/>
    <w:rsid w:val="0080328F"/>
    <w:rsid w:val="00821436"/>
    <w:rsid w:val="008259A0"/>
    <w:rsid w:val="008370FF"/>
    <w:rsid w:val="0085586B"/>
    <w:rsid w:val="00857848"/>
    <w:rsid w:val="00857AD8"/>
    <w:rsid w:val="00860435"/>
    <w:rsid w:val="008605C0"/>
    <w:rsid w:val="00866B92"/>
    <w:rsid w:val="008704B7"/>
    <w:rsid w:val="008747C3"/>
    <w:rsid w:val="008778EF"/>
    <w:rsid w:val="00895D99"/>
    <w:rsid w:val="008962DC"/>
    <w:rsid w:val="00896B04"/>
    <w:rsid w:val="008974D8"/>
    <w:rsid w:val="008A3070"/>
    <w:rsid w:val="008A591C"/>
    <w:rsid w:val="008D17A9"/>
    <w:rsid w:val="008D2116"/>
    <w:rsid w:val="008D2BC8"/>
    <w:rsid w:val="00915452"/>
    <w:rsid w:val="00922C3E"/>
    <w:rsid w:val="00931297"/>
    <w:rsid w:val="00947CCD"/>
    <w:rsid w:val="0095414B"/>
    <w:rsid w:val="009565BF"/>
    <w:rsid w:val="0096079B"/>
    <w:rsid w:val="00964169"/>
    <w:rsid w:val="00975A49"/>
    <w:rsid w:val="00987B3B"/>
    <w:rsid w:val="009A2106"/>
    <w:rsid w:val="009A6A84"/>
    <w:rsid w:val="009B35A6"/>
    <w:rsid w:val="009D11AB"/>
    <w:rsid w:val="009D5FAF"/>
    <w:rsid w:val="00A07AB5"/>
    <w:rsid w:val="00A12AE9"/>
    <w:rsid w:val="00A16168"/>
    <w:rsid w:val="00A2009B"/>
    <w:rsid w:val="00A33527"/>
    <w:rsid w:val="00A37C0C"/>
    <w:rsid w:val="00A46328"/>
    <w:rsid w:val="00A57156"/>
    <w:rsid w:val="00A66E6E"/>
    <w:rsid w:val="00A8710B"/>
    <w:rsid w:val="00A96645"/>
    <w:rsid w:val="00AA35AB"/>
    <w:rsid w:val="00AB1CD0"/>
    <w:rsid w:val="00AB33C3"/>
    <w:rsid w:val="00AC0D3F"/>
    <w:rsid w:val="00AD00BB"/>
    <w:rsid w:val="00AE0313"/>
    <w:rsid w:val="00AF37F5"/>
    <w:rsid w:val="00B04011"/>
    <w:rsid w:val="00B12501"/>
    <w:rsid w:val="00B14ABB"/>
    <w:rsid w:val="00B21C1A"/>
    <w:rsid w:val="00B2475F"/>
    <w:rsid w:val="00B25C9B"/>
    <w:rsid w:val="00B273DB"/>
    <w:rsid w:val="00B300E9"/>
    <w:rsid w:val="00B32651"/>
    <w:rsid w:val="00B40526"/>
    <w:rsid w:val="00B45FD8"/>
    <w:rsid w:val="00B50514"/>
    <w:rsid w:val="00B826E2"/>
    <w:rsid w:val="00B910A3"/>
    <w:rsid w:val="00B95233"/>
    <w:rsid w:val="00B96A9E"/>
    <w:rsid w:val="00BA2A3A"/>
    <w:rsid w:val="00BA4095"/>
    <w:rsid w:val="00BA4EB8"/>
    <w:rsid w:val="00BB64F2"/>
    <w:rsid w:val="00BC2F23"/>
    <w:rsid w:val="00BD18FF"/>
    <w:rsid w:val="00BE08B6"/>
    <w:rsid w:val="00BE61CE"/>
    <w:rsid w:val="00BF28E2"/>
    <w:rsid w:val="00BF5BF7"/>
    <w:rsid w:val="00BF67A7"/>
    <w:rsid w:val="00C00485"/>
    <w:rsid w:val="00C05704"/>
    <w:rsid w:val="00C240F2"/>
    <w:rsid w:val="00C276E6"/>
    <w:rsid w:val="00C52BC9"/>
    <w:rsid w:val="00C64061"/>
    <w:rsid w:val="00C82150"/>
    <w:rsid w:val="00C846AA"/>
    <w:rsid w:val="00C85E4F"/>
    <w:rsid w:val="00CA7870"/>
    <w:rsid w:val="00CA7AE4"/>
    <w:rsid w:val="00CB0CC5"/>
    <w:rsid w:val="00CC4427"/>
    <w:rsid w:val="00CC5D7F"/>
    <w:rsid w:val="00CE3032"/>
    <w:rsid w:val="00CF181A"/>
    <w:rsid w:val="00D06152"/>
    <w:rsid w:val="00D13047"/>
    <w:rsid w:val="00D15050"/>
    <w:rsid w:val="00D15CCE"/>
    <w:rsid w:val="00D20E5C"/>
    <w:rsid w:val="00D27227"/>
    <w:rsid w:val="00D332E9"/>
    <w:rsid w:val="00D36B9F"/>
    <w:rsid w:val="00D6484A"/>
    <w:rsid w:val="00D70C14"/>
    <w:rsid w:val="00D74E1D"/>
    <w:rsid w:val="00D84595"/>
    <w:rsid w:val="00D92485"/>
    <w:rsid w:val="00D92CD1"/>
    <w:rsid w:val="00DA2D4F"/>
    <w:rsid w:val="00DA5032"/>
    <w:rsid w:val="00DB041E"/>
    <w:rsid w:val="00DB1CE2"/>
    <w:rsid w:val="00DB4D57"/>
    <w:rsid w:val="00DB63A8"/>
    <w:rsid w:val="00DC1346"/>
    <w:rsid w:val="00DC26B0"/>
    <w:rsid w:val="00DC2FD3"/>
    <w:rsid w:val="00DC7A51"/>
    <w:rsid w:val="00DD035E"/>
    <w:rsid w:val="00DD1A0E"/>
    <w:rsid w:val="00DD480F"/>
    <w:rsid w:val="00DD4EE4"/>
    <w:rsid w:val="00DE4B63"/>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E5C1F"/>
    <w:rsid w:val="00EE6EF6"/>
    <w:rsid w:val="00EF0B3D"/>
    <w:rsid w:val="00EF5858"/>
    <w:rsid w:val="00F046DF"/>
    <w:rsid w:val="00F0751F"/>
    <w:rsid w:val="00F17004"/>
    <w:rsid w:val="00F1744F"/>
    <w:rsid w:val="00F178E2"/>
    <w:rsid w:val="00F17E74"/>
    <w:rsid w:val="00F30C6B"/>
    <w:rsid w:val="00F334C9"/>
    <w:rsid w:val="00F33704"/>
    <w:rsid w:val="00F34196"/>
    <w:rsid w:val="00F36332"/>
    <w:rsid w:val="00F41D5A"/>
    <w:rsid w:val="00F46E76"/>
    <w:rsid w:val="00F47064"/>
    <w:rsid w:val="00F5139D"/>
    <w:rsid w:val="00F611D6"/>
    <w:rsid w:val="00F615EE"/>
    <w:rsid w:val="00F6508B"/>
    <w:rsid w:val="00F84235"/>
    <w:rsid w:val="00F87AC4"/>
    <w:rsid w:val="00F952FA"/>
    <w:rsid w:val="00FA56C0"/>
    <w:rsid w:val="00FB6C78"/>
    <w:rsid w:val="00FC2DDB"/>
    <w:rsid w:val="00FC5636"/>
    <w:rsid w:val="00FC7C8A"/>
    <w:rsid w:val="00FD0685"/>
    <w:rsid w:val="00FE165F"/>
    <w:rsid w:val="00FE1C22"/>
    <w:rsid w:val="00FE2232"/>
    <w:rsid w:val="00FE3A47"/>
    <w:rsid w:val="00FF04DB"/>
    <w:rsid w:val="00FF230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96BED"/>
  <w15:docId w15:val="{965CE70F-F18A-4054-B3CE-A565F154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DE4B63"/>
    <w:rPr>
      <w:sz w:val="20"/>
    </w:rPr>
  </w:style>
  <w:style w:type="character" w:customStyle="1" w:styleId="TextonotapieCar">
    <w:name w:val="Texto nota pie Car"/>
    <w:basedOn w:val="Fuentedeprrafopredeter"/>
    <w:link w:val="Textonotapie"/>
    <w:uiPriority w:val="99"/>
    <w:rsid w:val="00DE4B63"/>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DE4B63"/>
    <w:rPr>
      <w:vertAlign w:val="superscript"/>
    </w:rPr>
  </w:style>
  <w:style w:type="table" w:styleId="Tablaconcuadrcula">
    <w:name w:val="Table Grid"/>
    <w:basedOn w:val="Tablanormal"/>
    <w:uiPriority w:val="59"/>
    <w:rsid w:val="00056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1"/>
    <w:rsid w:val="00056B1D"/>
    <w:pPr>
      <w:widowControl w:val="0"/>
      <w:jc w:val="both"/>
    </w:pPr>
    <w:rPr>
      <w:sz w:val="28"/>
      <w:szCs w:val="16"/>
    </w:rPr>
  </w:style>
  <w:style w:type="character" w:customStyle="1" w:styleId="Textoindependiente3Car">
    <w:name w:val="Texto independiente 3 Car"/>
    <w:basedOn w:val="Fuentedeprrafopredeter"/>
    <w:uiPriority w:val="99"/>
    <w:semiHidden/>
    <w:rsid w:val="00056B1D"/>
    <w:rPr>
      <w:rFonts w:ascii="Times New Roman" w:eastAsia="Times New Roman" w:hAnsi="Times New Roman" w:cs="Times New Roman"/>
      <w:sz w:val="16"/>
      <w:szCs w:val="16"/>
      <w:lang w:val="es-ES" w:eastAsia="es-ES"/>
    </w:rPr>
  </w:style>
  <w:style w:type="character" w:customStyle="1" w:styleId="Textoindependiente3Car1">
    <w:name w:val="Texto independiente 3 Car1"/>
    <w:link w:val="Textoindependiente3"/>
    <w:rsid w:val="00056B1D"/>
    <w:rPr>
      <w:rFonts w:ascii="Times New Roman" w:eastAsia="Times New Roman" w:hAnsi="Times New Roman" w:cs="Times New Roman"/>
      <w:sz w:val="28"/>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package" Target="embeddings/Hoja_de_c_lculo_de_Microsoft_Excel1.xlsx"/><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722F5-C53D-4034-96AA-14974C24A96E}"/>
</file>

<file path=customXml/itemProps2.xml><?xml version="1.0" encoding="utf-8"?>
<ds:datastoreItem xmlns:ds="http://schemas.openxmlformats.org/officeDocument/2006/customXml" ds:itemID="{EF4E1602-95FC-428F-93B7-A25BBD57B9DE}"/>
</file>

<file path=customXml/itemProps3.xml><?xml version="1.0" encoding="utf-8"?>
<ds:datastoreItem xmlns:ds="http://schemas.openxmlformats.org/officeDocument/2006/customXml" ds:itemID="{1C780EBA-2FEE-485A-AC1E-E7A0BDAF3FBE}"/>
</file>

<file path=docProps/app.xml><?xml version="1.0" encoding="utf-8"?>
<Properties xmlns="http://schemas.openxmlformats.org/officeDocument/2006/extended-properties" xmlns:vt="http://schemas.openxmlformats.org/officeDocument/2006/docPropsVTypes">
  <Template>Normal.dotm</Template>
  <TotalTime>0</TotalTime>
  <Pages>1</Pages>
  <Words>1470</Words>
  <Characters>8085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Modificación al acuerdo SGS-DES-A-021-2013 Disposiciones para la Remisión de la Información Contable y Estadística</vt:lpstr>
    </vt:vector>
  </TitlesOfParts>
  <Company>Superintendencia General de Seguros</Company>
  <LinksUpToDate>false</LinksUpToDate>
  <CharactersWithSpaces>9536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SGS-A-0051-2016   </dc:title>
  <dc:creator>CASTRO CHACON ANA CECILIA</dc:creator>
  <cp:lastModifiedBy>SOLEY PEREZ TOMAS</cp:lastModifiedBy>
  <cp:revision>1</cp:revision>
  <dcterms:created xsi:type="dcterms:W3CDTF">2016-04-22T15:39:00Z</dcterms:created>
  <dcterms:modified xsi:type="dcterms:W3CDTF">2016-04-19T02:50:00Z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c79e0cab-a8ae-461b-a204-5b042ad213d1,15;e28674c5-e858-4534-b154-7195290ac34f,16;aa27aac9-e9b9-4729-8357-ded6900ebc02,4;</vt:lpwstr>
  </property>
  <property fmtid="{D5CDD505-2E9C-101B-9397-08002B2CF9AE}" pid="4" name="_MarkAsFinal">
    <vt:bool>true</vt:bool>
  </property>
  <property fmtid="{D5CDD505-2E9C-101B-9397-08002B2CF9AE}" pid="5" name="Order">
    <vt:r8>361600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DocumentSet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