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BA260" w14:textId="77777777" w:rsidR="002218A1" w:rsidRPr="00611D5A" w:rsidRDefault="002218A1" w:rsidP="00611D5A">
      <w:pPr>
        <w:ind w:left="-567"/>
        <w:jc w:val="both"/>
        <w:rPr>
          <w:rFonts w:asciiTheme="majorHAnsi" w:hAnsiTheme="majorHAnsi"/>
          <w:i/>
        </w:rPr>
      </w:pPr>
      <w:r w:rsidRPr="00611D5A">
        <w:rPr>
          <w:rFonts w:asciiTheme="majorHAnsi" w:hAnsiTheme="majorHAnsi"/>
          <w:i/>
        </w:rPr>
        <w:t xml:space="preserve">Tomás </w:t>
      </w:r>
      <w:proofErr w:type="spellStart"/>
      <w:r w:rsidRPr="00611D5A">
        <w:rPr>
          <w:rFonts w:asciiTheme="majorHAnsi" w:hAnsiTheme="majorHAnsi"/>
          <w:i/>
        </w:rPr>
        <w:t>Soley</w:t>
      </w:r>
      <w:proofErr w:type="spellEnd"/>
      <w:r w:rsidRPr="00611D5A">
        <w:rPr>
          <w:rFonts w:asciiTheme="majorHAnsi" w:hAnsiTheme="majorHAnsi"/>
          <w:i/>
        </w:rPr>
        <w:t xml:space="preserve"> Pérez</w:t>
      </w:r>
    </w:p>
    <w:p w14:paraId="4C411CA2" w14:textId="77777777" w:rsidR="002218A1" w:rsidRPr="00611D5A" w:rsidRDefault="002218A1" w:rsidP="00611D5A">
      <w:pPr>
        <w:ind w:left="-567"/>
        <w:jc w:val="both"/>
        <w:rPr>
          <w:rFonts w:asciiTheme="majorHAnsi" w:hAnsiTheme="majorHAnsi"/>
          <w:i/>
        </w:rPr>
      </w:pPr>
      <w:r w:rsidRPr="00611D5A">
        <w:rPr>
          <w:rFonts w:asciiTheme="majorHAnsi" w:hAnsiTheme="majorHAnsi"/>
          <w:i/>
        </w:rPr>
        <w:t>Superintendente de Seguros</w:t>
      </w:r>
    </w:p>
    <w:p w14:paraId="42170A0A" w14:textId="52D8CA3C" w:rsidR="00C35CB7" w:rsidRDefault="00C35CB7" w:rsidP="00611D5A">
      <w:pPr>
        <w:jc w:val="both"/>
        <w:rPr>
          <w:rFonts w:asciiTheme="majorHAnsi" w:hAnsiTheme="majorHAnsi"/>
        </w:rPr>
      </w:pPr>
    </w:p>
    <w:p w14:paraId="156CB2EA" w14:textId="77376DFE" w:rsidR="00611D5A" w:rsidRDefault="00611D5A" w:rsidP="00611D5A">
      <w:pPr>
        <w:jc w:val="both"/>
        <w:rPr>
          <w:rFonts w:asciiTheme="majorHAnsi" w:hAnsiTheme="majorHAnsi"/>
        </w:rPr>
      </w:pPr>
    </w:p>
    <w:p w14:paraId="4D209D18" w14:textId="77777777" w:rsidR="00E3124F" w:rsidRDefault="00E3124F" w:rsidP="00611D5A">
      <w:pPr>
        <w:jc w:val="both"/>
        <w:rPr>
          <w:rFonts w:asciiTheme="majorHAnsi" w:hAnsiTheme="majorHAnsi"/>
        </w:rPr>
      </w:pPr>
    </w:p>
    <w:p w14:paraId="0AE244A0" w14:textId="77777777" w:rsidR="00E3124F" w:rsidRPr="00611D5A" w:rsidRDefault="00E3124F" w:rsidP="00611D5A">
      <w:pPr>
        <w:jc w:val="both"/>
        <w:rPr>
          <w:rFonts w:asciiTheme="majorHAnsi" w:hAnsiTheme="majorHAnsi"/>
        </w:rPr>
      </w:pPr>
    </w:p>
    <w:p w14:paraId="2D77A052" w14:textId="77777777" w:rsidR="00C35CB7" w:rsidRPr="00611D5A" w:rsidRDefault="00C35CB7" w:rsidP="00611D5A">
      <w:pPr>
        <w:jc w:val="center"/>
        <w:rPr>
          <w:rFonts w:asciiTheme="majorHAnsi" w:hAnsiTheme="majorHAnsi"/>
          <w:b/>
          <w:bCs/>
          <w:sz w:val="28"/>
          <w:szCs w:val="28"/>
        </w:rPr>
      </w:pPr>
      <w:r w:rsidRPr="00611D5A">
        <w:rPr>
          <w:rFonts w:asciiTheme="majorHAnsi" w:hAnsiTheme="majorHAnsi"/>
          <w:b/>
          <w:bCs/>
          <w:sz w:val="28"/>
          <w:szCs w:val="28"/>
        </w:rPr>
        <w:t>ACUERDO DE SUPERINTENDENTE</w:t>
      </w:r>
    </w:p>
    <w:p w14:paraId="614E33AB" w14:textId="0DD47420" w:rsidR="00C35CB7" w:rsidRPr="00611D5A" w:rsidRDefault="00C35CB7" w:rsidP="00611D5A">
      <w:pPr>
        <w:jc w:val="center"/>
        <w:rPr>
          <w:rFonts w:asciiTheme="majorHAnsi" w:hAnsiTheme="majorHAnsi"/>
          <w:b/>
          <w:bCs/>
          <w:sz w:val="28"/>
          <w:szCs w:val="28"/>
        </w:rPr>
      </w:pPr>
      <w:r w:rsidRPr="00611D5A">
        <w:rPr>
          <w:rFonts w:asciiTheme="majorHAnsi" w:hAnsiTheme="majorHAnsi"/>
          <w:b/>
          <w:bCs/>
          <w:sz w:val="28"/>
          <w:szCs w:val="28"/>
        </w:rPr>
        <w:t>SGS-DES-A-</w:t>
      </w:r>
      <w:r w:rsidR="00FC72ED">
        <w:rPr>
          <w:rFonts w:asciiTheme="majorHAnsi" w:hAnsiTheme="majorHAnsi"/>
          <w:b/>
          <w:bCs/>
          <w:sz w:val="28"/>
          <w:szCs w:val="28"/>
        </w:rPr>
        <w:t>045</w:t>
      </w:r>
      <w:r w:rsidRPr="00611D5A">
        <w:rPr>
          <w:rFonts w:asciiTheme="majorHAnsi" w:hAnsiTheme="majorHAnsi"/>
          <w:b/>
          <w:bCs/>
          <w:sz w:val="28"/>
          <w:szCs w:val="28"/>
        </w:rPr>
        <w:t>-2015</w:t>
      </w:r>
    </w:p>
    <w:p w14:paraId="5A4CE422" w14:textId="77777777" w:rsidR="00C35CB7" w:rsidRDefault="00C35CB7" w:rsidP="00611D5A">
      <w:pPr>
        <w:jc w:val="both"/>
        <w:rPr>
          <w:rFonts w:asciiTheme="majorHAnsi" w:hAnsiTheme="majorHAnsi"/>
        </w:rPr>
      </w:pPr>
    </w:p>
    <w:p w14:paraId="3F946A12" w14:textId="77777777" w:rsidR="00E3124F" w:rsidRPr="00611D5A" w:rsidRDefault="00E3124F" w:rsidP="00611D5A">
      <w:pPr>
        <w:jc w:val="both"/>
        <w:rPr>
          <w:rFonts w:asciiTheme="majorHAnsi" w:hAnsiTheme="majorHAnsi"/>
        </w:rPr>
      </w:pPr>
    </w:p>
    <w:p w14:paraId="78F7C4F5" w14:textId="13510A14" w:rsidR="00E46895" w:rsidRPr="00611D5A" w:rsidRDefault="00E46895" w:rsidP="00611D5A">
      <w:pPr>
        <w:ind w:left="189"/>
        <w:jc w:val="both"/>
        <w:rPr>
          <w:rFonts w:asciiTheme="majorHAnsi" w:hAnsiTheme="majorHAnsi"/>
          <w:b/>
        </w:rPr>
      </w:pPr>
      <w:r w:rsidRPr="00611D5A">
        <w:rPr>
          <w:rFonts w:asciiTheme="majorHAnsi" w:hAnsiTheme="majorHAnsi"/>
          <w:b/>
        </w:rPr>
        <w:t xml:space="preserve">Modificación al acuerdo SGS-DES-A-021-2013 </w:t>
      </w:r>
      <w:r w:rsidRPr="00611D5A">
        <w:rPr>
          <w:rFonts w:asciiTheme="majorHAnsi" w:hAnsiTheme="majorHAnsi"/>
          <w:b/>
          <w:i/>
        </w:rPr>
        <w:t>“Disposiciones para la Remisión de la Información Contable y Estadística a la Superintendencia General de Seguros por parte de las Entidades Supervisadas”</w:t>
      </w:r>
      <w:r w:rsidRPr="00611D5A">
        <w:rPr>
          <w:rFonts w:asciiTheme="majorHAnsi" w:hAnsiTheme="majorHAnsi"/>
          <w:b/>
        </w:rPr>
        <w:t xml:space="preserve">, para la </w:t>
      </w:r>
      <w:r w:rsidR="003A42C0" w:rsidRPr="00611D5A">
        <w:rPr>
          <w:rFonts w:asciiTheme="majorHAnsi" w:hAnsiTheme="majorHAnsi"/>
          <w:b/>
        </w:rPr>
        <w:t>a</w:t>
      </w:r>
      <w:r w:rsidRPr="00611D5A">
        <w:rPr>
          <w:rFonts w:asciiTheme="majorHAnsi" w:hAnsiTheme="majorHAnsi"/>
          <w:b/>
        </w:rPr>
        <w:t xml:space="preserve">ctualización de  los Estándares Electrónicos y de Negocio de los Sistemas e inclusión de procedimiento para la sustitución de información y cambios en </w:t>
      </w:r>
      <w:r w:rsidR="00C32D07" w:rsidRPr="00611D5A">
        <w:rPr>
          <w:rFonts w:asciiTheme="majorHAnsi" w:hAnsiTheme="majorHAnsi"/>
          <w:b/>
        </w:rPr>
        <w:t>E</w:t>
      </w:r>
      <w:r w:rsidRPr="00611D5A">
        <w:rPr>
          <w:rFonts w:asciiTheme="majorHAnsi" w:hAnsiTheme="majorHAnsi"/>
          <w:b/>
        </w:rPr>
        <w:t>stándares</w:t>
      </w:r>
    </w:p>
    <w:p w14:paraId="405C64FC" w14:textId="5267CA70" w:rsidR="00E46895" w:rsidRPr="00611D5A" w:rsidRDefault="00E46895" w:rsidP="00611D5A">
      <w:pPr>
        <w:jc w:val="both"/>
        <w:rPr>
          <w:rFonts w:asciiTheme="majorHAnsi" w:hAnsiTheme="majorHAnsi"/>
        </w:rPr>
      </w:pPr>
    </w:p>
    <w:p w14:paraId="74BF321F" w14:textId="50A67E78" w:rsidR="00C35CB7" w:rsidRPr="00611D5A" w:rsidRDefault="00C35CB7" w:rsidP="00611D5A">
      <w:pPr>
        <w:jc w:val="both"/>
        <w:rPr>
          <w:rFonts w:asciiTheme="majorHAnsi" w:hAnsiTheme="majorHAnsi"/>
        </w:rPr>
      </w:pPr>
      <w:r w:rsidRPr="00611D5A">
        <w:rPr>
          <w:rFonts w:asciiTheme="majorHAnsi" w:hAnsiTheme="majorHAnsi"/>
        </w:rPr>
        <w:t xml:space="preserve">El Superintendente General de Seguros, a las </w:t>
      </w:r>
      <w:r w:rsidR="00611D5A">
        <w:rPr>
          <w:rFonts w:asciiTheme="majorHAnsi" w:hAnsiTheme="majorHAnsi"/>
        </w:rPr>
        <w:t>once</w:t>
      </w:r>
      <w:r w:rsidRPr="00611D5A">
        <w:rPr>
          <w:rFonts w:asciiTheme="majorHAnsi" w:hAnsiTheme="majorHAnsi"/>
        </w:rPr>
        <w:t xml:space="preserve"> horas del </w:t>
      </w:r>
      <w:r w:rsidR="00611D5A">
        <w:rPr>
          <w:rFonts w:asciiTheme="majorHAnsi" w:hAnsiTheme="majorHAnsi"/>
        </w:rPr>
        <w:t>uno</w:t>
      </w:r>
      <w:r w:rsidRPr="00611D5A">
        <w:rPr>
          <w:rFonts w:asciiTheme="majorHAnsi" w:hAnsiTheme="majorHAnsi"/>
        </w:rPr>
        <w:t xml:space="preserve"> de </w:t>
      </w:r>
      <w:r w:rsidR="00611D5A">
        <w:rPr>
          <w:rFonts w:asciiTheme="majorHAnsi" w:hAnsiTheme="majorHAnsi"/>
        </w:rPr>
        <w:t>julio</w:t>
      </w:r>
      <w:r w:rsidRPr="00611D5A">
        <w:rPr>
          <w:rFonts w:asciiTheme="majorHAnsi" w:hAnsiTheme="majorHAnsi"/>
        </w:rPr>
        <w:t xml:space="preserve"> de dos mil quince</w:t>
      </w:r>
      <w:r w:rsidR="00611D5A">
        <w:rPr>
          <w:rFonts w:asciiTheme="majorHAnsi" w:hAnsiTheme="majorHAnsi"/>
        </w:rPr>
        <w:t>.</w:t>
      </w:r>
    </w:p>
    <w:p w14:paraId="5A01A2B8" w14:textId="77777777" w:rsidR="00C35CB7" w:rsidRDefault="00C35CB7" w:rsidP="00611D5A">
      <w:pPr>
        <w:jc w:val="both"/>
        <w:rPr>
          <w:rFonts w:asciiTheme="majorHAnsi" w:hAnsiTheme="majorHAnsi"/>
        </w:rPr>
      </w:pPr>
    </w:p>
    <w:p w14:paraId="5DBF2E46" w14:textId="77777777" w:rsidR="00E3124F" w:rsidRPr="00611D5A" w:rsidRDefault="00E3124F" w:rsidP="00611D5A">
      <w:pPr>
        <w:jc w:val="both"/>
        <w:rPr>
          <w:rFonts w:asciiTheme="majorHAnsi" w:hAnsiTheme="majorHAnsi"/>
        </w:rPr>
      </w:pPr>
    </w:p>
    <w:p w14:paraId="7F548F5E" w14:textId="6228B936" w:rsidR="00C35CB7" w:rsidRPr="00611D5A" w:rsidRDefault="00C35CB7" w:rsidP="00611D5A">
      <w:pPr>
        <w:jc w:val="center"/>
        <w:rPr>
          <w:rFonts w:asciiTheme="majorHAnsi" w:hAnsiTheme="majorHAnsi"/>
          <w:b/>
          <w:sz w:val="28"/>
          <w:szCs w:val="28"/>
        </w:rPr>
      </w:pPr>
      <w:r w:rsidRPr="00611D5A">
        <w:rPr>
          <w:rFonts w:asciiTheme="majorHAnsi" w:hAnsiTheme="majorHAnsi"/>
          <w:b/>
          <w:sz w:val="28"/>
          <w:szCs w:val="28"/>
        </w:rPr>
        <w:t>Considerando que:</w:t>
      </w:r>
    </w:p>
    <w:p w14:paraId="3CA5FF54" w14:textId="77777777" w:rsidR="00C35CB7" w:rsidRPr="00611D5A" w:rsidRDefault="00C35CB7" w:rsidP="00611D5A">
      <w:pPr>
        <w:jc w:val="both"/>
        <w:rPr>
          <w:rFonts w:asciiTheme="majorHAnsi" w:hAnsiTheme="majorHAnsi"/>
        </w:rPr>
      </w:pPr>
    </w:p>
    <w:p w14:paraId="1B13311E" w14:textId="77777777" w:rsidR="00E46895" w:rsidRPr="00611D5A" w:rsidRDefault="00E46895" w:rsidP="00611D5A">
      <w:pPr>
        <w:pStyle w:val="Prrafodelista"/>
        <w:numPr>
          <w:ilvl w:val="0"/>
          <w:numId w:val="1"/>
        </w:numPr>
        <w:ind w:left="567" w:hanging="567"/>
        <w:jc w:val="both"/>
        <w:rPr>
          <w:rFonts w:asciiTheme="majorHAnsi" w:hAnsiTheme="majorHAnsi"/>
          <w:i/>
        </w:rPr>
      </w:pPr>
      <w:r w:rsidRPr="00611D5A">
        <w:rPr>
          <w:rFonts w:asciiTheme="majorHAnsi" w:hAnsiTheme="majorHAnsi"/>
        </w:rPr>
        <w:t xml:space="preserve">La Superintendencia General de Seguros (en adelante </w:t>
      </w:r>
      <w:proofErr w:type="spellStart"/>
      <w:r w:rsidRPr="00611D5A">
        <w:rPr>
          <w:rFonts w:asciiTheme="majorHAnsi" w:hAnsiTheme="majorHAnsi"/>
        </w:rPr>
        <w:t>Sugese</w:t>
      </w:r>
      <w:proofErr w:type="spellEnd"/>
      <w:r w:rsidRPr="00611D5A">
        <w:rPr>
          <w:rFonts w:asciiTheme="majorHAnsi" w:hAnsiTheme="majorHAnsi"/>
        </w:rPr>
        <w:t xml:space="preserve">) debe disponer de información, en los plazos, formatos y medios que le permita cumplir con el objetivo definido en el artículo 29, de la </w:t>
      </w:r>
      <w:r w:rsidRPr="00611D5A">
        <w:rPr>
          <w:rFonts w:asciiTheme="majorHAnsi" w:hAnsiTheme="majorHAnsi"/>
          <w:i/>
        </w:rPr>
        <w:t>Ley Reguladora del Mercado de Seguros</w:t>
      </w:r>
      <w:r w:rsidRPr="00611D5A">
        <w:rPr>
          <w:rFonts w:asciiTheme="majorHAnsi" w:hAnsiTheme="majorHAnsi"/>
        </w:rPr>
        <w:t xml:space="preserve">, Ley N° 8653, de </w:t>
      </w:r>
      <w:r w:rsidRPr="00611D5A">
        <w:rPr>
          <w:rFonts w:asciiTheme="majorHAnsi" w:hAnsiTheme="majorHAnsi"/>
          <w:i/>
        </w:rPr>
        <w:t>“velar por la estabilidad y el eficiente funcionamiento del mercado de seguros, así como entregar la más amplia información a los asegurados”.</w:t>
      </w:r>
    </w:p>
    <w:p w14:paraId="4A501B8C" w14:textId="77777777" w:rsidR="00E46895" w:rsidRPr="00611D5A" w:rsidRDefault="00E46895" w:rsidP="00611D5A">
      <w:pPr>
        <w:jc w:val="both"/>
        <w:rPr>
          <w:rFonts w:asciiTheme="majorHAnsi" w:hAnsiTheme="majorHAnsi"/>
        </w:rPr>
      </w:pPr>
    </w:p>
    <w:p w14:paraId="7E3DA6EB" w14:textId="77777777" w:rsidR="00E46895" w:rsidRPr="00611D5A"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t xml:space="preserve">De conformidad con el artículo 25 incisos c), r) y t) de la Ley N° 8653, las entidades aseguradoras y reaseguradoras están obligados a proporcionar a la Superintendencia la información correcta y completa. Adicionalmente el último párrafo del artículo mencionado establece que </w:t>
      </w:r>
      <w:r w:rsidRPr="00611D5A">
        <w:rPr>
          <w:rFonts w:asciiTheme="majorHAnsi" w:hAnsiTheme="majorHAnsi"/>
          <w:i/>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p>
    <w:p w14:paraId="4D3A1AA6" w14:textId="77777777" w:rsidR="00E3124F" w:rsidRDefault="00E3124F" w:rsidP="00611D5A">
      <w:pPr>
        <w:jc w:val="both"/>
        <w:rPr>
          <w:rFonts w:asciiTheme="majorHAnsi" w:hAnsiTheme="majorHAnsi"/>
        </w:rPr>
        <w:sectPr w:rsidR="00E3124F" w:rsidSect="00E3124F">
          <w:headerReference w:type="default" r:id="rId11"/>
          <w:footerReference w:type="default" r:id="rId12"/>
          <w:headerReference w:type="first" r:id="rId13"/>
          <w:footerReference w:type="first" r:id="rId14"/>
          <w:pgSz w:w="12240" w:h="15840" w:code="1"/>
          <w:pgMar w:top="1440" w:right="1440" w:bottom="1440" w:left="1440" w:header="706" w:footer="706" w:gutter="0"/>
          <w:cols w:space="708"/>
          <w:titlePg/>
          <w:docGrid w:linePitch="360"/>
        </w:sectPr>
      </w:pPr>
    </w:p>
    <w:p w14:paraId="1D7604CB" w14:textId="2ED1C66B" w:rsidR="00E46895" w:rsidRPr="00611D5A"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lastRenderedPageBreak/>
        <w:t>La remisión de  información de manera periódica, constituye una herramienta fundamental para las labores de supervisión y control desarrolladas por la Superintendencia y el objetivo de entregar la más amplia información al asegurado en cumplimiento de lo requerido por el ordenamiento jurídico.  De acuerdo con el principio 9 de IAIS, relacionado con la Revisión del supervisor, para una supervisión efectiva, la entidad supervisora debe obtener la información necesaria para llevar a cabo sus labores de supervisar y analizar a las aseguradoras y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definir el alcance, contenido y frecuencia de los referidos informes e información; solicitar información adicional de manera más frecuente y detallada según ello sea oportuno y establecer procedimientos y pautas escritas para la realización de informes entregados al supervisor.</w:t>
      </w:r>
    </w:p>
    <w:p w14:paraId="53A29EAF" w14:textId="77777777" w:rsidR="00E46895" w:rsidRPr="00611D5A" w:rsidRDefault="00E46895" w:rsidP="00611D5A">
      <w:pPr>
        <w:pStyle w:val="Prrafodelista"/>
        <w:ind w:left="567" w:hanging="567"/>
        <w:jc w:val="both"/>
        <w:rPr>
          <w:rFonts w:asciiTheme="majorHAnsi" w:hAnsiTheme="majorHAnsi"/>
        </w:rPr>
      </w:pPr>
    </w:p>
    <w:p w14:paraId="20AE8F98" w14:textId="77777777" w:rsidR="00E46895" w:rsidRPr="00611D5A"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t xml:space="preserve">Según el artículo 29 de la Ley N° 8653, al Superintendente le será aplicable el artículo 180 de </w:t>
      </w:r>
      <w:r w:rsidRPr="00611D5A">
        <w:rPr>
          <w:rFonts w:asciiTheme="majorHAnsi" w:hAnsiTheme="majorHAnsi"/>
          <w:i/>
        </w:rPr>
        <w:t>la Ley Reguladora del Mercado de Valores</w:t>
      </w:r>
      <w:r w:rsidRPr="00611D5A">
        <w:rPr>
          <w:rFonts w:asciiTheme="majorHAnsi" w:hAnsiTheme="majorHAnsi"/>
        </w:rPr>
        <w:t xml:space="preserve">, el cual dispone a la Superintendencia General de Seguros poder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 </w:t>
      </w:r>
    </w:p>
    <w:p w14:paraId="63C782E6" w14:textId="77777777" w:rsidR="00E46895" w:rsidRPr="00611D5A" w:rsidRDefault="00E46895" w:rsidP="00611D5A">
      <w:pPr>
        <w:pStyle w:val="Prrafodelista"/>
        <w:ind w:left="567" w:hanging="567"/>
        <w:jc w:val="both"/>
        <w:rPr>
          <w:rFonts w:asciiTheme="majorHAnsi" w:hAnsiTheme="majorHAnsi"/>
        </w:rPr>
      </w:pPr>
    </w:p>
    <w:p w14:paraId="77F592BC" w14:textId="77777777" w:rsidR="00E46895" w:rsidRPr="00611D5A"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t xml:space="preserve">El Superintendente de Seguros, mediante acuerdo SGS-DES-A-021-2013, de diecisiete horas del veintitrés de mayo de dos mil trece, emitió las </w:t>
      </w:r>
      <w:r w:rsidRPr="00611D5A">
        <w:rPr>
          <w:rFonts w:asciiTheme="majorHAnsi" w:hAnsiTheme="majorHAnsi"/>
          <w:i/>
        </w:rPr>
        <w:t>Disposiciones para la Remisión de la Información Contable y Estadística a la Superintendencia General de Seguros por parte de las Entidades Supervisadas</w:t>
      </w:r>
      <w:r w:rsidRPr="00611D5A">
        <w:rPr>
          <w:rFonts w:asciiTheme="majorHAnsi" w:hAnsiTheme="majorHAnsi"/>
        </w:rPr>
        <w:t>,  cuyo alcance se refiere a la remisión de información contable y estadística y es aplicable a las entidades de seguros y a los intermediarios de seguros supervisados por la Superintendencia General de Seguros.</w:t>
      </w:r>
    </w:p>
    <w:p w14:paraId="230B26B1" w14:textId="77777777" w:rsidR="00E46895" w:rsidRPr="00611D5A" w:rsidRDefault="00E46895" w:rsidP="00611D5A">
      <w:pPr>
        <w:ind w:left="567" w:hanging="567"/>
        <w:jc w:val="both"/>
        <w:rPr>
          <w:rFonts w:asciiTheme="majorHAnsi" w:hAnsiTheme="majorHAnsi"/>
        </w:rPr>
      </w:pPr>
    </w:p>
    <w:p w14:paraId="7DD81975" w14:textId="56067C0B" w:rsidR="00E46895" w:rsidRPr="00611D5A"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t xml:space="preserve">Que la Superintendencia General de Seguros, dispone en su sitio en Internet, </w:t>
      </w:r>
      <w:hyperlink r:id="rId15" w:history="1">
        <w:r w:rsidR="00611D5A" w:rsidRPr="00D937E4">
          <w:rPr>
            <w:rStyle w:val="Hipervnculo"/>
            <w:rFonts w:asciiTheme="majorHAnsi" w:hAnsiTheme="majorHAnsi"/>
          </w:rPr>
          <w:t>www.sugese.fi.cr</w:t>
        </w:r>
      </w:hyperlink>
      <w:r w:rsidRPr="00611D5A">
        <w:rPr>
          <w:rFonts w:asciiTheme="majorHAnsi" w:hAnsiTheme="majorHAnsi"/>
        </w:rPr>
        <w:t xml:space="preserve">, de un portal o plataforma de negocios, denominado </w:t>
      </w:r>
      <w:proofErr w:type="spellStart"/>
      <w:r w:rsidRPr="00611D5A">
        <w:rPr>
          <w:rFonts w:asciiTheme="majorHAnsi" w:hAnsiTheme="majorHAnsi"/>
          <w:i/>
        </w:rPr>
        <w:t>Sugese</w:t>
      </w:r>
      <w:proofErr w:type="spellEnd"/>
      <w:r w:rsidRPr="00611D5A">
        <w:rPr>
          <w:rFonts w:asciiTheme="majorHAnsi" w:hAnsiTheme="majorHAnsi"/>
          <w:i/>
        </w:rPr>
        <w:t xml:space="preserve"> en Línea</w:t>
      </w:r>
      <w:r w:rsidRPr="00611D5A">
        <w:rPr>
          <w:rFonts w:asciiTheme="majorHAnsi" w:hAnsiTheme="majorHAnsi"/>
        </w:rPr>
        <w:t>, que le permite gestionar, de forma más ágil y eficiente los trámites que hacen los supervisados o el público en general ante la Superintendencia,  así como facilitar el cumplimiento de las funciones establecidas en la Ley.</w:t>
      </w:r>
    </w:p>
    <w:p w14:paraId="66559071" w14:textId="0DF18CC1" w:rsidR="00E3124F" w:rsidRDefault="00E3124F">
      <w:pPr>
        <w:spacing w:after="200" w:line="276" w:lineRule="auto"/>
        <w:rPr>
          <w:rFonts w:asciiTheme="majorHAnsi" w:hAnsiTheme="majorHAnsi"/>
        </w:rPr>
      </w:pPr>
      <w:r>
        <w:rPr>
          <w:rFonts w:asciiTheme="majorHAnsi" w:hAnsiTheme="majorHAnsi"/>
        </w:rPr>
        <w:br w:type="page"/>
      </w:r>
    </w:p>
    <w:p w14:paraId="1FB597EA" w14:textId="4CFC4106" w:rsidR="00E46895" w:rsidRPr="00611D5A"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lastRenderedPageBreak/>
        <w:t xml:space="preserve">Que la Superintendencia ha puesto a disposición de las entidades supervisadas nuevos servicios, los cuales cuentan con un “Estándar Electrónico” para normar su funcionamiento operativo, documento que requiere ser actualizado de manera  ágil en el caso de modificaciones menores,  lo que hace necesario ampliar el alcance del artículo 8 del Acuerdo de Superintendente SGS-DES-A-021-2013, las </w:t>
      </w:r>
      <w:r w:rsidRPr="00611D5A">
        <w:rPr>
          <w:rFonts w:asciiTheme="majorHAnsi" w:hAnsiTheme="majorHAnsi"/>
          <w:i/>
        </w:rPr>
        <w:t xml:space="preserve">Disposiciones para la Remisión de la Información Contable y Estadística a la Superintendencia General de Seguros por parte de las Entidades Supervisadas, </w:t>
      </w:r>
      <w:r w:rsidRPr="00611D5A">
        <w:rPr>
          <w:rFonts w:asciiTheme="majorHAnsi" w:hAnsiTheme="majorHAnsi"/>
        </w:rPr>
        <w:t>de forma tal</w:t>
      </w:r>
      <w:r w:rsidR="00C32D07" w:rsidRPr="00611D5A">
        <w:rPr>
          <w:rFonts w:asciiTheme="majorHAnsi" w:hAnsiTheme="majorHAnsi"/>
        </w:rPr>
        <w:t xml:space="preserve"> que sea aplicable a todos los Estándar de N</w:t>
      </w:r>
      <w:r w:rsidRPr="00611D5A">
        <w:rPr>
          <w:rFonts w:asciiTheme="majorHAnsi" w:hAnsiTheme="majorHAnsi"/>
        </w:rPr>
        <w:t xml:space="preserve">egocio de los diferentes servicios disponibles en la plataforma </w:t>
      </w:r>
      <w:proofErr w:type="spellStart"/>
      <w:r w:rsidRPr="00611D5A">
        <w:rPr>
          <w:rFonts w:asciiTheme="majorHAnsi" w:hAnsiTheme="majorHAnsi"/>
          <w:i/>
        </w:rPr>
        <w:t>Sugese</w:t>
      </w:r>
      <w:proofErr w:type="spellEnd"/>
      <w:r w:rsidRPr="00611D5A">
        <w:rPr>
          <w:rFonts w:asciiTheme="majorHAnsi" w:hAnsiTheme="majorHAnsi"/>
          <w:i/>
        </w:rPr>
        <w:t xml:space="preserve"> en Línea</w:t>
      </w:r>
      <w:r w:rsidRPr="00611D5A">
        <w:rPr>
          <w:rFonts w:asciiTheme="majorHAnsi" w:hAnsiTheme="majorHAnsi"/>
        </w:rPr>
        <w:t>.</w:t>
      </w:r>
    </w:p>
    <w:p w14:paraId="1491A8B4" w14:textId="77777777" w:rsidR="00E46895" w:rsidRPr="00611D5A" w:rsidRDefault="00E46895" w:rsidP="00611D5A">
      <w:pPr>
        <w:pStyle w:val="Prrafodelista"/>
        <w:ind w:left="567" w:hanging="567"/>
        <w:jc w:val="both"/>
        <w:rPr>
          <w:rFonts w:asciiTheme="majorHAnsi" w:hAnsiTheme="majorHAnsi"/>
        </w:rPr>
      </w:pPr>
    </w:p>
    <w:p w14:paraId="3301B9D0" w14:textId="2C4633EF" w:rsidR="00E46895" w:rsidRPr="00611D5A"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t xml:space="preserve">Que las últimas versiones de los documentos denominados </w:t>
      </w:r>
      <w:r w:rsidR="00C32D07" w:rsidRPr="00611D5A">
        <w:rPr>
          <w:rFonts w:asciiTheme="majorHAnsi" w:hAnsiTheme="majorHAnsi"/>
        </w:rPr>
        <w:t>Estándar E</w:t>
      </w:r>
      <w:r w:rsidRPr="00611D5A">
        <w:rPr>
          <w:rFonts w:asciiTheme="majorHAnsi" w:hAnsiTheme="majorHAnsi"/>
        </w:rPr>
        <w:t xml:space="preserve">lectrónico de los servicios Sistema de Supervisión de Seguros y Registro Único de Personas Beneficiarias deben ser comunicados a las entidades supervisadas y actualizados en el sitio web de la </w:t>
      </w:r>
      <w:proofErr w:type="spellStart"/>
      <w:r w:rsidRPr="00611D5A">
        <w:rPr>
          <w:rFonts w:asciiTheme="majorHAnsi" w:hAnsiTheme="majorHAnsi"/>
        </w:rPr>
        <w:t>Sugese</w:t>
      </w:r>
      <w:proofErr w:type="spellEnd"/>
      <w:r w:rsidRPr="00611D5A">
        <w:rPr>
          <w:rFonts w:asciiTheme="majorHAnsi" w:hAnsiTheme="majorHAnsi"/>
        </w:rPr>
        <w:t>.  De igual forma el documento Estándar de Negocio del Sistema de Supervisión de Seguros debe ser actualizado en relación con el modelo 1, Balance General, en relación con la denominación de las cuentas de reaseguro y coaseguro.</w:t>
      </w:r>
    </w:p>
    <w:p w14:paraId="644231C8" w14:textId="77777777" w:rsidR="00E46895" w:rsidRPr="00611D5A" w:rsidRDefault="00E46895" w:rsidP="00611D5A">
      <w:pPr>
        <w:pStyle w:val="Prrafodelista"/>
        <w:ind w:left="567" w:hanging="567"/>
        <w:jc w:val="both"/>
        <w:rPr>
          <w:rFonts w:asciiTheme="majorHAnsi" w:hAnsiTheme="majorHAnsi"/>
        </w:rPr>
      </w:pPr>
    </w:p>
    <w:p w14:paraId="5A7CC1F6" w14:textId="77777777" w:rsidR="00E46895" w:rsidRPr="00611D5A"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t xml:space="preserve">Que el artículo 20 del </w:t>
      </w:r>
      <w:r w:rsidRPr="00611D5A">
        <w:rPr>
          <w:rFonts w:asciiTheme="majorHAnsi" w:hAnsiTheme="majorHAnsi"/>
          <w:i/>
        </w:rPr>
        <w:t>Reglamento Relativo a la Información Financiera de Entidades, Grupos y Conglomerados Financieros</w:t>
      </w:r>
      <w:r w:rsidRPr="00611D5A">
        <w:rPr>
          <w:rFonts w:asciiTheme="majorHAnsi" w:hAnsiTheme="majorHAnsi"/>
        </w:rPr>
        <w:t xml:space="preserve">, sobre la sustitución de información, en el último párrafo establece que </w:t>
      </w:r>
      <w:r w:rsidRPr="00611D5A">
        <w:rPr>
          <w:rFonts w:asciiTheme="majorHAnsi" w:hAnsiTheme="majorHAnsi"/>
          <w:i/>
        </w:rPr>
        <w:t>“En el caso de sustitución de información financiera remitida a otros órganos de supervisión, la comunicación de hechos relevantes se regirá por lo que cada una haya normado al respecto”,</w:t>
      </w:r>
      <w:r w:rsidRPr="00611D5A">
        <w:rPr>
          <w:rFonts w:asciiTheme="majorHAnsi" w:hAnsiTheme="majorHAnsi"/>
        </w:rPr>
        <w:t xml:space="preserve"> por lo que la normativa de </w:t>
      </w:r>
      <w:proofErr w:type="spellStart"/>
      <w:r w:rsidRPr="00611D5A">
        <w:rPr>
          <w:rFonts w:asciiTheme="majorHAnsi" w:hAnsiTheme="majorHAnsi"/>
        </w:rPr>
        <w:t>Sugese</w:t>
      </w:r>
      <w:proofErr w:type="spellEnd"/>
      <w:r w:rsidRPr="00611D5A">
        <w:rPr>
          <w:rFonts w:asciiTheme="majorHAnsi" w:hAnsiTheme="majorHAnsi"/>
        </w:rPr>
        <w:t xml:space="preserve"> debe establecer lo correspondiente; además, es necesario normar la forma en que las entidades supervisadas solicitarán a la </w:t>
      </w:r>
      <w:proofErr w:type="spellStart"/>
      <w:r w:rsidRPr="00611D5A">
        <w:rPr>
          <w:rFonts w:asciiTheme="majorHAnsi" w:hAnsiTheme="majorHAnsi"/>
        </w:rPr>
        <w:t>Sugese</w:t>
      </w:r>
      <w:proofErr w:type="spellEnd"/>
      <w:r w:rsidRPr="00611D5A">
        <w:rPr>
          <w:rFonts w:asciiTheme="majorHAnsi" w:hAnsiTheme="majorHAnsi"/>
        </w:rPr>
        <w:t xml:space="preserve"> sustituir, en caso de ser necesario, la información que previamente han remitido a la Superintendencia en cumplimiento de la normativa de remisión de información de los entidades supervisadas.</w:t>
      </w:r>
    </w:p>
    <w:p w14:paraId="7F29E151" w14:textId="77777777" w:rsidR="00E46895" w:rsidRPr="00611D5A" w:rsidRDefault="00E46895" w:rsidP="00611D5A">
      <w:pPr>
        <w:pStyle w:val="Prrafodelista"/>
        <w:ind w:left="567" w:hanging="567"/>
        <w:jc w:val="both"/>
        <w:rPr>
          <w:rFonts w:asciiTheme="majorHAnsi" w:hAnsiTheme="majorHAnsi"/>
        </w:rPr>
      </w:pPr>
    </w:p>
    <w:p w14:paraId="04B5D04C" w14:textId="786CB122" w:rsidR="00E46895" w:rsidRPr="00611D5A" w:rsidRDefault="00E46895" w:rsidP="00611D5A">
      <w:pPr>
        <w:pStyle w:val="Prrafodelista"/>
        <w:numPr>
          <w:ilvl w:val="0"/>
          <w:numId w:val="1"/>
        </w:numPr>
        <w:ind w:left="567" w:hanging="567"/>
        <w:jc w:val="both"/>
        <w:rPr>
          <w:rFonts w:asciiTheme="majorHAnsi" w:hAnsiTheme="majorHAnsi"/>
          <w:b/>
          <w:iCs/>
          <w:lang w:val="es-CR"/>
        </w:rPr>
      </w:pPr>
      <w:r w:rsidRPr="00611D5A">
        <w:rPr>
          <w:rFonts w:asciiTheme="majorHAnsi" w:hAnsiTheme="majorHAnsi"/>
        </w:rPr>
        <w:t>Que el modelo de Saldos Contables de las entidades de seguros desde el mes de enero de 2015 es remitido como un modelo del Sistema de Supervisión de Seguros, por lo que no es necesario que se continúe enviando mediante un archivo de Excel.</w:t>
      </w:r>
    </w:p>
    <w:p w14:paraId="4E04AE6D" w14:textId="77777777" w:rsidR="00E46895" w:rsidRPr="00611D5A" w:rsidRDefault="00E46895" w:rsidP="00611D5A">
      <w:pPr>
        <w:pStyle w:val="Prrafodelista"/>
        <w:ind w:left="567" w:hanging="567"/>
        <w:jc w:val="both"/>
        <w:rPr>
          <w:rFonts w:asciiTheme="majorHAnsi" w:hAnsiTheme="majorHAnsi"/>
          <w:b/>
          <w:iCs/>
          <w:lang w:val="es-CR"/>
        </w:rPr>
      </w:pPr>
    </w:p>
    <w:p w14:paraId="24A47BFE" w14:textId="6464A3B4" w:rsidR="00E3124F" w:rsidRDefault="00E46895" w:rsidP="00611D5A">
      <w:pPr>
        <w:pStyle w:val="Prrafodelista"/>
        <w:numPr>
          <w:ilvl w:val="0"/>
          <w:numId w:val="1"/>
        </w:numPr>
        <w:ind w:left="567" w:hanging="567"/>
        <w:jc w:val="both"/>
        <w:rPr>
          <w:rFonts w:asciiTheme="majorHAnsi" w:hAnsiTheme="majorHAnsi"/>
        </w:rPr>
      </w:pPr>
      <w:r w:rsidRPr="00611D5A">
        <w:rPr>
          <w:rFonts w:asciiTheme="majorHAnsi" w:hAnsiTheme="majorHAnsi"/>
        </w:rPr>
        <w:t xml:space="preserve">Que la Superintendencia, en acatamiento a lo estipulado en el artículo 361, numeral 2 de la </w:t>
      </w:r>
      <w:r w:rsidRPr="00611D5A">
        <w:rPr>
          <w:rFonts w:asciiTheme="majorHAnsi" w:hAnsiTheme="majorHAnsi"/>
          <w:i/>
        </w:rPr>
        <w:t>Ley General de Administración Pública,</w:t>
      </w:r>
      <w:r w:rsidRPr="00611D5A">
        <w:rPr>
          <w:rFonts w:asciiTheme="majorHAnsi" w:hAnsiTheme="majorHAnsi"/>
        </w:rPr>
        <w:t xml:space="preserve"> remitió a consulta el proyecto de modificaciones del acuerdo SGS-DES-A-021-2013,  mediante oficio SGS-DES-O-0402-2015, de 05 de marzo de 2015, a las entidades de seguros, y a los intermediarios mediante SGS-DES-O-0431-2015 de 9 de marzo de 2015.</w:t>
      </w:r>
    </w:p>
    <w:p w14:paraId="03E9109A" w14:textId="77777777" w:rsidR="00E3124F" w:rsidRDefault="00E3124F">
      <w:pPr>
        <w:spacing w:after="200" w:line="276" w:lineRule="auto"/>
        <w:rPr>
          <w:rFonts w:asciiTheme="majorHAnsi" w:hAnsiTheme="majorHAnsi"/>
        </w:rPr>
      </w:pPr>
      <w:r>
        <w:rPr>
          <w:rFonts w:asciiTheme="majorHAnsi" w:hAnsiTheme="majorHAnsi"/>
        </w:rPr>
        <w:br w:type="page"/>
      </w:r>
    </w:p>
    <w:p w14:paraId="0668D400" w14:textId="04F78F36" w:rsidR="00E46895" w:rsidRPr="00611D5A" w:rsidRDefault="00E46895" w:rsidP="00611D5A">
      <w:pPr>
        <w:pStyle w:val="Prrafodelista"/>
        <w:numPr>
          <w:ilvl w:val="0"/>
          <w:numId w:val="1"/>
        </w:numPr>
        <w:ind w:left="567" w:hanging="567"/>
        <w:jc w:val="both"/>
        <w:rPr>
          <w:rFonts w:asciiTheme="majorHAnsi" w:hAnsiTheme="majorHAnsi"/>
          <w:i/>
        </w:rPr>
      </w:pPr>
      <w:r w:rsidRPr="00611D5A">
        <w:rPr>
          <w:rFonts w:asciiTheme="majorHAnsi" w:hAnsiTheme="majorHAnsi"/>
          <w:iCs/>
          <w:lang w:val="es-CR"/>
        </w:rPr>
        <w:lastRenderedPageBreak/>
        <w:t xml:space="preserve">Que las observaciones al proyecto de acuerdo fueron </w:t>
      </w:r>
      <w:r w:rsidRPr="00611D5A">
        <w:rPr>
          <w:rFonts w:asciiTheme="majorHAnsi" w:hAnsiTheme="majorHAnsi"/>
        </w:rPr>
        <w:t>recibidas y analizadas por la Superintendencia, incorporando los cambios</w:t>
      </w:r>
      <w:r w:rsidR="003A42C0" w:rsidRPr="00611D5A">
        <w:rPr>
          <w:rFonts w:asciiTheme="majorHAnsi" w:hAnsiTheme="majorHAnsi"/>
        </w:rPr>
        <w:t xml:space="preserve"> </w:t>
      </w:r>
      <w:r w:rsidRPr="00611D5A">
        <w:rPr>
          <w:rFonts w:asciiTheme="majorHAnsi" w:hAnsiTheme="majorHAnsi"/>
        </w:rPr>
        <w:t xml:space="preserve">a la propuesta cuando correspondía, por lo que procede emitir en firme el acuerdo de superintendente que modifica lo normado en el SGS-DES-A-021-2013 </w:t>
      </w:r>
      <w:r w:rsidRPr="00611D5A">
        <w:rPr>
          <w:rFonts w:asciiTheme="majorHAnsi" w:hAnsiTheme="majorHAnsi"/>
          <w:i/>
        </w:rPr>
        <w:t>“Disposiciones para la Remisión de la Información Contable y Estadística a la Superintendencia General de Seguros por parte de las Entidades Supervisadas”.</w:t>
      </w:r>
    </w:p>
    <w:p w14:paraId="683DAAB7" w14:textId="77777777" w:rsidR="00E46895" w:rsidRPr="00611D5A" w:rsidRDefault="00E46895" w:rsidP="00611D5A">
      <w:pPr>
        <w:jc w:val="both"/>
        <w:rPr>
          <w:rFonts w:asciiTheme="majorHAnsi" w:hAnsiTheme="majorHAnsi"/>
        </w:rPr>
      </w:pPr>
    </w:p>
    <w:p w14:paraId="283DB028" w14:textId="77777777" w:rsidR="003A42C0" w:rsidRPr="00611D5A" w:rsidRDefault="003A42C0" w:rsidP="00611D5A">
      <w:pPr>
        <w:jc w:val="both"/>
        <w:rPr>
          <w:rFonts w:asciiTheme="majorHAnsi" w:hAnsiTheme="majorHAnsi"/>
        </w:rPr>
      </w:pPr>
    </w:p>
    <w:p w14:paraId="5DB10163" w14:textId="7E99AAE2" w:rsidR="00052B9A" w:rsidRPr="00E3124F" w:rsidRDefault="00052B9A" w:rsidP="00E3124F">
      <w:pPr>
        <w:jc w:val="center"/>
        <w:rPr>
          <w:rFonts w:asciiTheme="majorHAnsi" w:hAnsiTheme="majorHAnsi"/>
          <w:b/>
          <w:sz w:val="28"/>
          <w:szCs w:val="28"/>
        </w:rPr>
      </w:pPr>
      <w:r w:rsidRPr="00E3124F">
        <w:rPr>
          <w:rFonts w:asciiTheme="majorHAnsi" w:hAnsiTheme="majorHAnsi"/>
          <w:b/>
          <w:sz w:val="28"/>
          <w:szCs w:val="28"/>
        </w:rPr>
        <w:t>Dispone:</w:t>
      </w:r>
    </w:p>
    <w:p w14:paraId="190D3583" w14:textId="77777777" w:rsidR="00052B9A" w:rsidRPr="00611D5A" w:rsidRDefault="00052B9A" w:rsidP="00611D5A">
      <w:pPr>
        <w:jc w:val="both"/>
        <w:rPr>
          <w:rFonts w:asciiTheme="majorHAnsi" w:hAnsiTheme="majorHAnsi"/>
          <w:b/>
        </w:rPr>
      </w:pPr>
    </w:p>
    <w:p w14:paraId="5C374A5E" w14:textId="7B7A1448" w:rsidR="00052B9A" w:rsidRPr="00611D5A" w:rsidRDefault="00E46895" w:rsidP="00611D5A">
      <w:pPr>
        <w:jc w:val="both"/>
        <w:rPr>
          <w:rFonts w:asciiTheme="majorHAnsi" w:hAnsiTheme="majorHAnsi"/>
        </w:rPr>
      </w:pPr>
      <w:r w:rsidRPr="00611D5A">
        <w:rPr>
          <w:rFonts w:asciiTheme="majorHAnsi" w:hAnsiTheme="majorHAnsi"/>
          <w:b/>
        </w:rPr>
        <w:t>Primero</w:t>
      </w:r>
      <w:r w:rsidRPr="00611D5A">
        <w:rPr>
          <w:rFonts w:asciiTheme="majorHAnsi" w:hAnsiTheme="majorHAnsi"/>
        </w:rPr>
        <w:t xml:space="preserve">:   Modificar la tabla del artículo 2 del Acuerdo SGS-DES-A-021-2013, las </w:t>
      </w:r>
      <w:r w:rsidRPr="00611D5A">
        <w:rPr>
          <w:rFonts w:asciiTheme="majorHAnsi" w:hAnsiTheme="majorHAnsi"/>
          <w:i/>
        </w:rPr>
        <w:t>Disposiciones para la Remisión de la Información Contable y Estadística a la Superintendencia General de Seguros por parte de las Entidades Supervisadas,</w:t>
      </w:r>
      <w:r w:rsidRPr="00611D5A">
        <w:rPr>
          <w:rFonts w:asciiTheme="majorHAnsi" w:hAnsiTheme="majorHAnsi"/>
        </w:rPr>
        <w:t xml:space="preserve"> con el fin de: a) eliminar la línea correspondiente a la solicitud de información de saldos contables mediante un archivo en Excel,  b)modificar la redacción de la columna “medio” del Registro Único de Personas Beneficiarias y c) ordenar la columna medio de acuerdo con la numeración de los anexos, de tal forma que en adelante se lea de la siguiente forma:</w:t>
      </w:r>
    </w:p>
    <w:p w14:paraId="79BC8538" w14:textId="77777777" w:rsidR="00E46895" w:rsidRPr="00611D5A" w:rsidRDefault="00E46895" w:rsidP="00611D5A">
      <w:pPr>
        <w:jc w:val="both"/>
        <w:rPr>
          <w:rFonts w:asciiTheme="majorHAnsi" w:hAnsiTheme="majorHAnsi"/>
        </w:rPr>
      </w:pPr>
    </w:p>
    <w:tbl>
      <w:tblPr>
        <w:tblW w:w="8973" w:type="dxa"/>
        <w:jc w:val="center"/>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2384"/>
        <w:gridCol w:w="1308"/>
        <w:gridCol w:w="2200"/>
        <w:gridCol w:w="3081"/>
      </w:tblGrid>
      <w:tr w:rsidR="00E3124F" w:rsidRPr="00611D5A" w14:paraId="55DFBD92" w14:textId="77777777" w:rsidTr="00E3124F">
        <w:trPr>
          <w:trHeight w:val="43"/>
          <w:tblHeader/>
          <w:jc w:val="center"/>
        </w:trPr>
        <w:tc>
          <w:tcPr>
            <w:tcW w:w="1328" w:type="pct"/>
            <w:shd w:val="clear" w:color="auto" w:fill="8DB3E2" w:themeFill="text2" w:themeFillTint="66"/>
            <w:noWrap/>
          </w:tcPr>
          <w:p w14:paraId="341E30AD" w14:textId="77777777" w:rsidR="00E46895" w:rsidRPr="00611D5A" w:rsidRDefault="00E46895" w:rsidP="00611D5A">
            <w:pPr>
              <w:widowControl w:val="0"/>
              <w:jc w:val="center"/>
              <w:rPr>
                <w:rFonts w:asciiTheme="majorHAnsi" w:hAnsiTheme="majorHAnsi"/>
                <w:b/>
                <w:snapToGrid w:val="0"/>
                <w:sz w:val="22"/>
                <w:szCs w:val="22"/>
              </w:rPr>
            </w:pPr>
            <w:r w:rsidRPr="00611D5A">
              <w:rPr>
                <w:rFonts w:asciiTheme="majorHAnsi" w:hAnsiTheme="majorHAnsi"/>
                <w:b/>
                <w:snapToGrid w:val="0"/>
                <w:sz w:val="22"/>
                <w:szCs w:val="22"/>
              </w:rPr>
              <w:t>Información</w:t>
            </w:r>
          </w:p>
        </w:tc>
        <w:tc>
          <w:tcPr>
            <w:tcW w:w="729" w:type="pct"/>
            <w:shd w:val="clear" w:color="auto" w:fill="8DB3E2" w:themeFill="text2" w:themeFillTint="66"/>
            <w:noWrap/>
          </w:tcPr>
          <w:p w14:paraId="053E1F3D" w14:textId="77777777" w:rsidR="00E46895" w:rsidRPr="00611D5A" w:rsidRDefault="00E46895" w:rsidP="00611D5A">
            <w:pPr>
              <w:pStyle w:val="Ttulo5"/>
              <w:spacing w:before="0"/>
              <w:jc w:val="center"/>
              <w:rPr>
                <w:i/>
                <w:color w:val="auto"/>
                <w:sz w:val="22"/>
                <w:szCs w:val="22"/>
              </w:rPr>
            </w:pPr>
            <w:r w:rsidRPr="00611D5A">
              <w:rPr>
                <w:rFonts w:eastAsia="Times New Roman" w:cs="Times New Roman"/>
                <w:b/>
                <w:snapToGrid w:val="0"/>
                <w:color w:val="auto"/>
                <w:sz w:val="22"/>
                <w:szCs w:val="22"/>
              </w:rPr>
              <w:t>Periodicidad</w:t>
            </w:r>
          </w:p>
        </w:tc>
        <w:tc>
          <w:tcPr>
            <w:tcW w:w="1226" w:type="pct"/>
            <w:shd w:val="clear" w:color="auto" w:fill="8DB3E2" w:themeFill="text2" w:themeFillTint="66"/>
            <w:noWrap/>
          </w:tcPr>
          <w:p w14:paraId="3B411817" w14:textId="77777777" w:rsidR="00E46895" w:rsidRPr="00611D5A" w:rsidRDefault="00E46895" w:rsidP="00611D5A">
            <w:pPr>
              <w:widowControl w:val="0"/>
              <w:jc w:val="center"/>
              <w:rPr>
                <w:rFonts w:asciiTheme="majorHAnsi" w:hAnsiTheme="majorHAnsi"/>
                <w:b/>
                <w:snapToGrid w:val="0"/>
                <w:sz w:val="22"/>
                <w:szCs w:val="22"/>
              </w:rPr>
            </w:pPr>
            <w:r w:rsidRPr="00611D5A">
              <w:rPr>
                <w:rFonts w:asciiTheme="majorHAnsi" w:hAnsiTheme="majorHAnsi"/>
                <w:b/>
                <w:snapToGrid w:val="0"/>
                <w:sz w:val="22"/>
                <w:szCs w:val="22"/>
              </w:rPr>
              <w:t>Plazo de entrega</w:t>
            </w:r>
          </w:p>
        </w:tc>
        <w:tc>
          <w:tcPr>
            <w:tcW w:w="1717" w:type="pct"/>
            <w:shd w:val="clear" w:color="auto" w:fill="8DB3E2" w:themeFill="text2" w:themeFillTint="66"/>
            <w:noWrap/>
          </w:tcPr>
          <w:p w14:paraId="4B45F549" w14:textId="77777777" w:rsidR="00E46895" w:rsidRPr="00611D5A" w:rsidRDefault="00E46895" w:rsidP="00611D5A">
            <w:pPr>
              <w:widowControl w:val="0"/>
              <w:jc w:val="center"/>
              <w:rPr>
                <w:rFonts w:asciiTheme="majorHAnsi" w:hAnsiTheme="majorHAnsi"/>
                <w:b/>
                <w:snapToGrid w:val="0"/>
                <w:sz w:val="22"/>
                <w:szCs w:val="22"/>
              </w:rPr>
            </w:pPr>
            <w:r w:rsidRPr="00611D5A">
              <w:rPr>
                <w:rFonts w:asciiTheme="majorHAnsi" w:hAnsiTheme="majorHAnsi"/>
                <w:b/>
                <w:snapToGrid w:val="0"/>
                <w:sz w:val="22"/>
                <w:szCs w:val="22"/>
              </w:rPr>
              <w:t>Medio</w:t>
            </w:r>
          </w:p>
        </w:tc>
      </w:tr>
      <w:tr w:rsidR="00E3124F" w:rsidRPr="00611D5A" w14:paraId="41EAB264" w14:textId="77777777" w:rsidTr="00E3124F">
        <w:trPr>
          <w:trHeight w:val="43"/>
          <w:jc w:val="center"/>
        </w:trPr>
        <w:tc>
          <w:tcPr>
            <w:tcW w:w="1328" w:type="pct"/>
            <w:noWrap/>
          </w:tcPr>
          <w:p w14:paraId="037871E5" w14:textId="77777777" w:rsidR="00E46895" w:rsidRPr="00611D5A" w:rsidRDefault="00E46895" w:rsidP="00611D5A">
            <w:pPr>
              <w:widowControl w:val="0"/>
              <w:jc w:val="both"/>
              <w:rPr>
                <w:rFonts w:asciiTheme="majorHAnsi" w:hAnsiTheme="majorHAnsi" w:cstheme="minorHAnsi"/>
                <w:b/>
                <w:bCs/>
                <w:strike/>
                <w:sz w:val="22"/>
                <w:szCs w:val="22"/>
              </w:rPr>
            </w:pPr>
            <w:r w:rsidRPr="00611D5A">
              <w:rPr>
                <w:rFonts w:asciiTheme="majorHAnsi" w:hAnsiTheme="majorHAnsi"/>
                <w:b/>
                <w:sz w:val="22"/>
                <w:szCs w:val="22"/>
              </w:rPr>
              <w:t>Régimen de suficiencia de capital y solvencia</w:t>
            </w:r>
          </w:p>
        </w:tc>
        <w:tc>
          <w:tcPr>
            <w:tcW w:w="729" w:type="pct"/>
            <w:noWrap/>
          </w:tcPr>
          <w:p w14:paraId="3EB6083A" w14:textId="77777777" w:rsidR="00E46895" w:rsidRPr="00611D5A" w:rsidRDefault="00E46895" w:rsidP="00611D5A">
            <w:pPr>
              <w:widowControl w:val="0"/>
              <w:ind w:left="94"/>
              <w:jc w:val="both"/>
              <w:rPr>
                <w:rFonts w:asciiTheme="majorHAnsi" w:hAnsiTheme="majorHAnsi" w:cstheme="minorHAnsi"/>
                <w:b/>
                <w:strike/>
                <w:snapToGrid w:val="0"/>
                <w:sz w:val="22"/>
                <w:szCs w:val="22"/>
              </w:rPr>
            </w:pPr>
            <w:r w:rsidRPr="00611D5A">
              <w:rPr>
                <w:rFonts w:asciiTheme="majorHAnsi" w:hAnsiTheme="majorHAnsi"/>
                <w:bCs/>
                <w:sz w:val="22"/>
                <w:szCs w:val="22"/>
              </w:rPr>
              <w:t>Mensual</w:t>
            </w:r>
          </w:p>
        </w:tc>
        <w:tc>
          <w:tcPr>
            <w:tcW w:w="1226" w:type="pct"/>
            <w:noWrap/>
          </w:tcPr>
          <w:p w14:paraId="68666F16" w14:textId="77777777" w:rsidR="00E46895" w:rsidRPr="00611D5A" w:rsidRDefault="00E46895" w:rsidP="00611D5A">
            <w:pPr>
              <w:widowControl w:val="0"/>
              <w:jc w:val="both"/>
              <w:rPr>
                <w:rFonts w:asciiTheme="majorHAnsi" w:hAnsiTheme="majorHAnsi" w:cstheme="minorHAnsi"/>
                <w:b/>
                <w:bCs/>
                <w:strike/>
                <w:sz w:val="22"/>
                <w:szCs w:val="22"/>
              </w:rPr>
            </w:pPr>
            <w:r w:rsidRPr="00611D5A">
              <w:rPr>
                <w:rFonts w:asciiTheme="majorHAnsi" w:hAnsiTheme="majorHAnsi"/>
                <w:bCs/>
                <w:sz w:val="22"/>
                <w:szCs w:val="22"/>
              </w:rPr>
              <w:t>15 días hábiles después del cierre mensual</w:t>
            </w:r>
          </w:p>
        </w:tc>
        <w:tc>
          <w:tcPr>
            <w:tcW w:w="1717" w:type="pct"/>
            <w:noWrap/>
          </w:tcPr>
          <w:p w14:paraId="3CC08CEA" w14:textId="77777777" w:rsidR="00E46895" w:rsidRPr="00611D5A" w:rsidRDefault="00E46895" w:rsidP="00611D5A">
            <w:pPr>
              <w:widowControl w:val="0"/>
              <w:jc w:val="both"/>
              <w:rPr>
                <w:rFonts w:asciiTheme="majorHAnsi" w:hAnsiTheme="majorHAnsi" w:cstheme="minorHAnsi"/>
                <w:b/>
                <w:strike/>
                <w:snapToGrid w:val="0"/>
                <w:sz w:val="22"/>
                <w:szCs w:val="22"/>
              </w:rPr>
            </w:pPr>
            <w:r w:rsidRPr="00611D5A">
              <w:rPr>
                <w:rFonts w:asciiTheme="majorHAnsi" w:hAnsiTheme="majorHAnsi"/>
                <w:bCs/>
                <w:sz w:val="22"/>
                <w:szCs w:val="22"/>
              </w:rPr>
              <w:t xml:space="preserve">En hoja electrónica, por correo electrónico, según formato establecido en el  </w:t>
            </w:r>
            <w:r w:rsidRPr="00611D5A">
              <w:rPr>
                <w:rFonts w:asciiTheme="majorHAnsi" w:hAnsiTheme="majorHAnsi"/>
                <w:b/>
                <w:bCs/>
                <w:sz w:val="22"/>
                <w:szCs w:val="22"/>
              </w:rPr>
              <w:t>Anexo 4.</w:t>
            </w:r>
          </w:p>
        </w:tc>
      </w:tr>
      <w:tr w:rsidR="00E3124F" w:rsidRPr="00611D5A" w14:paraId="5930EE4F" w14:textId="77777777" w:rsidTr="00E3124F">
        <w:trPr>
          <w:trHeight w:val="43"/>
          <w:jc w:val="center"/>
        </w:trPr>
        <w:tc>
          <w:tcPr>
            <w:tcW w:w="1328" w:type="pct"/>
            <w:noWrap/>
          </w:tcPr>
          <w:p w14:paraId="63CA87CF"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Modelo 1 SSS: Balance General (Activo, Pasivo y Patrimonio)</w:t>
            </w:r>
          </w:p>
        </w:tc>
        <w:tc>
          <w:tcPr>
            <w:tcW w:w="729" w:type="pct"/>
            <w:noWrap/>
          </w:tcPr>
          <w:p w14:paraId="6BC8F619"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bCs/>
                <w:sz w:val="22"/>
                <w:szCs w:val="22"/>
              </w:rPr>
              <w:t>Trimestral</w:t>
            </w:r>
          </w:p>
        </w:tc>
        <w:tc>
          <w:tcPr>
            <w:tcW w:w="1226" w:type="pct"/>
            <w:noWrap/>
          </w:tcPr>
          <w:p w14:paraId="17961E7C"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15 días hábiles después del cierre de los meses de marzo, junio, setiembre y diciembre</w:t>
            </w:r>
          </w:p>
        </w:tc>
        <w:tc>
          <w:tcPr>
            <w:tcW w:w="1717" w:type="pct"/>
            <w:noWrap/>
          </w:tcPr>
          <w:p w14:paraId="751C4932"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 xml:space="preserve">Web </w:t>
            </w:r>
            <w:proofErr w:type="spellStart"/>
            <w:r w:rsidRPr="00611D5A">
              <w:rPr>
                <w:rFonts w:asciiTheme="majorHAnsi" w:hAnsiTheme="majorHAnsi"/>
                <w:bCs/>
                <w:sz w:val="22"/>
                <w:szCs w:val="22"/>
              </w:rPr>
              <w:t>Service</w:t>
            </w:r>
            <w:proofErr w:type="spellEnd"/>
            <w:r w:rsidRPr="00611D5A">
              <w:rPr>
                <w:rFonts w:asciiTheme="majorHAnsi" w:hAnsiTheme="majorHAnsi"/>
                <w:bCs/>
                <w:sz w:val="22"/>
                <w:szCs w:val="22"/>
              </w:rPr>
              <w:t>, a través de archivos *.</w:t>
            </w:r>
            <w:proofErr w:type="spellStart"/>
            <w:r w:rsidRPr="00611D5A">
              <w:rPr>
                <w:rFonts w:asciiTheme="majorHAnsi" w:hAnsiTheme="majorHAnsi"/>
                <w:bCs/>
                <w:sz w:val="22"/>
                <w:szCs w:val="22"/>
              </w:rPr>
              <w:t>xml</w:t>
            </w:r>
            <w:proofErr w:type="spellEnd"/>
            <w:r w:rsidRPr="00611D5A">
              <w:rPr>
                <w:rFonts w:asciiTheme="majorHAnsi" w:hAnsiTheme="majorHAnsi"/>
                <w:bCs/>
                <w:sz w:val="22"/>
                <w:szCs w:val="22"/>
              </w:rPr>
              <w:t xml:space="preserve">, de conformidad con </w:t>
            </w:r>
            <w:r w:rsidRPr="00611D5A">
              <w:rPr>
                <w:rFonts w:asciiTheme="majorHAnsi" w:hAnsiTheme="majorHAnsi"/>
                <w:bCs/>
                <w:i/>
                <w:sz w:val="22"/>
                <w:szCs w:val="22"/>
              </w:rPr>
              <w:t>Estándar de Negocio para Entidades de Seguros,</w:t>
            </w:r>
            <w:r w:rsidRPr="00611D5A">
              <w:rPr>
                <w:rFonts w:asciiTheme="majorHAnsi" w:hAnsiTheme="majorHAnsi"/>
                <w:bCs/>
                <w:sz w:val="22"/>
                <w:szCs w:val="22"/>
              </w:rPr>
              <w:t xml:space="preserve"> incluido en el </w:t>
            </w:r>
            <w:r w:rsidRPr="00611D5A">
              <w:rPr>
                <w:rFonts w:asciiTheme="majorHAnsi" w:hAnsiTheme="majorHAnsi"/>
                <w:b/>
                <w:bCs/>
                <w:sz w:val="22"/>
                <w:szCs w:val="22"/>
              </w:rPr>
              <w:t>Anexo 5</w:t>
            </w:r>
          </w:p>
        </w:tc>
      </w:tr>
      <w:tr w:rsidR="00E3124F" w:rsidRPr="00611D5A" w14:paraId="2B1B590F" w14:textId="77777777" w:rsidTr="00E3124F">
        <w:trPr>
          <w:trHeight w:val="43"/>
          <w:jc w:val="center"/>
        </w:trPr>
        <w:tc>
          <w:tcPr>
            <w:tcW w:w="1328" w:type="pct"/>
            <w:noWrap/>
          </w:tcPr>
          <w:p w14:paraId="45334350"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Modelo 2 SSS: Estado de Resultados y Cuenta de Resultados Técnico Financiera</w:t>
            </w:r>
          </w:p>
        </w:tc>
        <w:tc>
          <w:tcPr>
            <w:tcW w:w="729" w:type="pct"/>
            <w:noWrap/>
          </w:tcPr>
          <w:p w14:paraId="5AAA1C24"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bCs/>
                <w:sz w:val="22"/>
                <w:szCs w:val="22"/>
              </w:rPr>
              <w:t>Trimestral</w:t>
            </w:r>
          </w:p>
        </w:tc>
        <w:tc>
          <w:tcPr>
            <w:tcW w:w="1226" w:type="pct"/>
            <w:noWrap/>
          </w:tcPr>
          <w:p w14:paraId="4B06873D"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15 días hábiles después del cierre de los meses de marzo, junio, setiembre y diciembre</w:t>
            </w:r>
          </w:p>
        </w:tc>
        <w:tc>
          <w:tcPr>
            <w:tcW w:w="1717" w:type="pct"/>
            <w:noWrap/>
          </w:tcPr>
          <w:p w14:paraId="547F1A28"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 xml:space="preserve">Web </w:t>
            </w:r>
            <w:proofErr w:type="spellStart"/>
            <w:r w:rsidRPr="00611D5A">
              <w:rPr>
                <w:rFonts w:asciiTheme="majorHAnsi" w:hAnsiTheme="majorHAnsi"/>
                <w:bCs/>
                <w:sz w:val="22"/>
                <w:szCs w:val="22"/>
              </w:rPr>
              <w:t>Service</w:t>
            </w:r>
            <w:proofErr w:type="spellEnd"/>
            <w:r w:rsidRPr="00611D5A">
              <w:rPr>
                <w:rFonts w:asciiTheme="majorHAnsi" w:hAnsiTheme="majorHAnsi"/>
                <w:bCs/>
                <w:sz w:val="22"/>
                <w:szCs w:val="22"/>
              </w:rPr>
              <w:t>, a través de archivos *.</w:t>
            </w:r>
            <w:proofErr w:type="spellStart"/>
            <w:r w:rsidRPr="00611D5A">
              <w:rPr>
                <w:rFonts w:asciiTheme="majorHAnsi" w:hAnsiTheme="majorHAnsi"/>
                <w:bCs/>
                <w:sz w:val="22"/>
                <w:szCs w:val="22"/>
              </w:rPr>
              <w:t>xml</w:t>
            </w:r>
            <w:proofErr w:type="spellEnd"/>
            <w:r w:rsidRPr="00611D5A">
              <w:rPr>
                <w:rFonts w:asciiTheme="majorHAnsi" w:hAnsiTheme="majorHAnsi"/>
                <w:bCs/>
                <w:sz w:val="22"/>
                <w:szCs w:val="22"/>
              </w:rPr>
              <w:t xml:space="preserve">, de conformidad con </w:t>
            </w:r>
            <w:r w:rsidRPr="00611D5A">
              <w:rPr>
                <w:rFonts w:asciiTheme="majorHAnsi" w:hAnsiTheme="majorHAnsi"/>
                <w:bCs/>
                <w:i/>
                <w:sz w:val="22"/>
                <w:szCs w:val="22"/>
              </w:rPr>
              <w:t>Estándar de Negocio para Entidades de Seguros,</w:t>
            </w:r>
            <w:r w:rsidRPr="00611D5A">
              <w:rPr>
                <w:rFonts w:asciiTheme="majorHAnsi" w:hAnsiTheme="majorHAnsi"/>
                <w:bCs/>
                <w:sz w:val="22"/>
                <w:szCs w:val="22"/>
              </w:rPr>
              <w:t xml:space="preserve"> incluido en el </w:t>
            </w:r>
            <w:r w:rsidRPr="00611D5A">
              <w:rPr>
                <w:rFonts w:asciiTheme="majorHAnsi" w:hAnsiTheme="majorHAnsi"/>
                <w:b/>
                <w:bCs/>
                <w:sz w:val="22"/>
                <w:szCs w:val="22"/>
              </w:rPr>
              <w:t>Anexo 5</w:t>
            </w:r>
          </w:p>
        </w:tc>
      </w:tr>
      <w:tr w:rsidR="00E3124F" w:rsidRPr="00611D5A" w14:paraId="6A1ACC9D" w14:textId="77777777" w:rsidTr="00E3124F">
        <w:trPr>
          <w:trHeight w:val="43"/>
          <w:jc w:val="center"/>
        </w:trPr>
        <w:tc>
          <w:tcPr>
            <w:tcW w:w="1328" w:type="pct"/>
            <w:noWrap/>
          </w:tcPr>
          <w:p w14:paraId="533456D6"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Modelo 3 SSS: Inversiones Financieras</w:t>
            </w:r>
          </w:p>
        </w:tc>
        <w:tc>
          <w:tcPr>
            <w:tcW w:w="729" w:type="pct"/>
            <w:noWrap/>
          </w:tcPr>
          <w:p w14:paraId="19F42709"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bCs/>
                <w:sz w:val="22"/>
                <w:szCs w:val="22"/>
              </w:rPr>
              <w:t>Mensual</w:t>
            </w:r>
          </w:p>
        </w:tc>
        <w:tc>
          <w:tcPr>
            <w:tcW w:w="1226" w:type="pct"/>
            <w:noWrap/>
          </w:tcPr>
          <w:p w14:paraId="468A4F33"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5 días hábiles después del cierre de cada mes.</w:t>
            </w:r>
          </w:p>
        </w:tc>
        <w:tc>
          <w:tcPr>
            <w:tcW w:w="1717" w:type="pct"/>
            <w:noWrap/>
          </w:tcPr>
          <w:p w14:paraId="430D2394"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 xml:space="preserve">Web </w:t>
            </w:r>
            <w:proofErr w:type="spellStart"/>
            <w:r w:rsidRPr="00611D5A">
              <w:rPr>
                <w:rFonts w:asciiTheme="majorHAnsi" w:hAnsiTheme="majorHAnsi"/>
                <w:bCs/>
                <w:sz w:val="22"/>
                <w:szCs w:val="22"/>
              </w:rPr>
              <w:t>Service</w:t>
            </w:r>
            <w:proofErr w:type="spellEnd"/>
            <w:r w:rsidRPr="00611D5A">
              <w:rPr>
                <w:rFonts w:asciiTheme="majorHAnsi" w:hAnsiTheme="majorHAnsi"/>
                <w:bCs/>
                <w:sz w:val="22"/>
                <w:szCs w:val="22"/>
              </w:rPr>
              <w:t>, a través de archivos *.</w:t>
            </w:r>
            <w:proofErr w:type="spellStart"/>
            <w:r w:rsidRPr="00611D5A">
              <w:rPr>
                <w:rFonts w:asciiTheme="majorHAnsi" w:hAnsiTheme="majorHAnsi"/>
                <w:bCs/>
                <w:sz w:val="22"/>
                <w:szCs w:val="22"/>
              </w:rPr>
              <w:t>xml</w:t>
            </w:r>
            <w:proofErr w:type="spellEnd"/>
            <w:r w:rsidRPr="00611D5A">
              <w:rPr>
                <w:rFonts w:asciiTheme="majorHAnsi" w:hAnsiTheme="majorHAnsi"/>
                <w:bCs/>
                <w:sz w:val="22"/>
                <w:szCs w:val="22"/>
              </w:rPr>
              <w:t xml:space="preserve">, de conformidad con </w:t>
            </w:r>
            <w:r w:rsidRPr="00611D5A">
              <w:rPr>
                <w:rFonts w:asciiTheme="majorHAnsi" w:hAnsiTheme="majorHAnsi"/>
                <w:bCs/>
                <w:i/>
                <w:sz w:val="22"/>
                <w:szCs w:val="22"/>
              </w:rPr>
              <w:t>Estándar de Negocio para Entidades de Seguros,</w:t>
            </w:r>
            <w:r w:rsidRPr="00611D5A">
              <w:rPr>
                <w:rFonts w:asciiTheme="majorHAnsi" w:hAnsiTheme="majorHAnsi"/>
                <w:bCs/>
                <w:sz w:val="22"/>
                <w:szCs w:val="22"/>
              </w:rPr>
              <w:t xml:space="preserve"> incluido en el </w:t>
            </w:r>
            <w:r w:rsidRPr="00611D5A">
              <w:rPr>
                <w:rFonts w:asciiTheme="majorHAnsi" w:hAnsiTheme="majorHAnsi"/>
                <w:b/>
                <w:bCs/>
                <w:sz w:val="22"/>
                <w:szCs w:val="22"/>
              </w:rPr>
              <w:t>Anexo 5.</w:t>
            </w:r>
          </w:p>
        </w:tc>
      </w:tr>
      <w:tr w:rsidR="00E3124F" w:rsidRPr="00611D5A" w14:paraId="07251E02" w14:textId="77777777" w:rsidTr="00E3124F">
        <w:trPr>
          <w:trHeight w:val="43"/>
          <w:jc w:val="center"/>
        </w:trPr>
        <w:tc>
          <w:tcPr>
            <w:tcW w:w="1328" w:type="pct"/>
            <w:noWrap/>
          </w:tcPr>
          <w:p w14:paraId="212899CC"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 xml:space="preserve">Modelo 4 SSS: Estado de Cambios en el </w:t>
            </w:r>
            <w:r w:rsidRPr="00611D5A">
              <w:rPr>
                <w:rFonts w:asciiTheme="majorHAnsi" w:hAnsiTheme="majorHAnsi"/>
                <w:b/>
              </w:rPr>
              <w:lastRenderedPageBreak/>
              <w:t xml:space="preserve">Patrimonio </w:t>
            </w:r>
          </w:p>
        </w:tc>
        <w:tc>
          <w:tcPr>
            <w:tcW w:w="729" w:type="pct"/>
            <w:noWrap/>
          </w:tcPr>
          <w:p w14:paraId="2DA0FD21"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bCs/>
                <w:sz w:val="22"/>
                <w:szCs w:val="22"/>
              </w:rPr>
              <w:lastRenderedPageBreak/>
              <w:t>Trimestral</w:t>
            </w:r>
          </w:p>
        </w:tc>
        <w:tc>
          <w:tcPr>
            <w:tcW w:w="1226" w:type="pct"/>
            <w:noWrap/>
          </w:tcPr>
          <w:p w14:paraId="141BA28C" w14:textId="77777777" w:rsidR="00E46895" w:rsidRPr="00611D5A" w:rsidRDefault="00E46895" w:rsidP="00611D5A">
            <w:pPr>
              <w:widowControl w:val="0"/>
              <w:jc w:val="both"/>
              <w:rPr>
                <w:rFonts w:asciiTheme="majorHAnsi" w:hAnsiTheme="majorHAnsi"/>
                <w:bCs/>
                <w:sz w:val="22"/>
                <w:szCs w:val="22"/>
                <w:highlight w:val="yellow"/>
              </w:rPr>
            </w:pPr>
            <w:r w:rsidRPr="00611D5A">
              <w:rPr>
                <w:rFonts w:asciiTheme="majorHAnsi" w:hAnsiTheme="majorHAnsi"/>
                <w:bCs/>
                <w:sz w:val="22"/>
                <w:szCs w:val="22"/>
              </w:rPr>
              <w:t xml:space="preserve">15 días hábiles después del cierre de </w:t>
            </w:r>
            <w:r w:rsidRPr="00611D5A">
              <w:rPr>
                <w:rFonts w:asciiTheme="majorHAnsi" w:hAnsiTheme="majorHAnsi"/>
                <w:bCs/>
                <w:sz w:val="22"/>
                <w:szCs w:val="22"/>
              </w:rPr>
              <w:lastRenderedPageBreak/>
              <w:t>los meses de marzo, junio, setiembre y diciembre</w:t>
            </w:r>
          </w:p>
        </w:tc>
        <w:tc>
          <w:tcPr>
            <w:tcW w:w="1717" w:type="pct"/>
            <w:noWrap/>
          </w:tcPr>
          <w:p w14:paraId="03379A3F"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lastRenderedPageBreak/>
              <w:t xml:space="preserve">Web </w:t>
            </w:r>
            <w:proofErr w:type="spellStart"/>
            <w:r w:rsidRPr="00611D5A">
              <w:rPr>
                <w:rFonts w:asciiTheme="majorHAnsi" w:hAnsiTheme="majorHAnsi"/>
                <w:bCs/>
                <w:sz w:val="22"/>
                <w:szCs w:val="22"/>
              </w:rPr>
              <w:t>Service</w:t>
            </w:r>
            <w:proofErr w:type="spellEnd"/>
            <w:r w:rsidRPr="00611D5A">
              <w:rPr>
                <w:rFonts w:asciiTheme="majorHAnsi" w:hAnsiTheme="majorHAnsi"/>
                <w:bCs/>
                <w:sz w:val="22"/>
                <w:szCs w:val="22"/>
              </w:rPr>
              <w:t>, a través de archivos *.</w:t>
            </w:r>
            <w:proofErr w:type="spellStart"/>
            <w:r w:rsidRPr="00611D5A">
              <w:rPr>
                <w:rFonts w:asciiTheme="majorHAnsi" w:hAnsiTheme="majorHAnsi"/>
                <w:bCs/>
                <w:sz w:val="22"/>
                <w:szCs w:val="22"/>
              </w:rPr>
              <w:t>xml</w:t>
            </w:r>
            <w:proofErr w:type="spellEnd"/>
            <w:r w:rsidRPr="00611D5A">
              <w:rPr>
                <w:rFonts w:asciiTheme="majorHAnsi" w:hAnsiTheme="majorHAnsi"/>
                <w:bCs/>
                <w:sz w:val="22"/>
                <w:szCs w:val="22"/>
              </w:rPr>
              <w:t xml:space="preserve">, de conformidad </w:t>
            </w:r>
            <w:r w:rsidRPr="00611D5A">
              <w:rPr>
                <w:rFonts w:asciiTheme="majorHAnsi" w:hAnsiTheme="majorHAnsi"/>
                <w:bCs/>
                <w:sz w:val="22"/>
                <w:szCs w:val="22"/>
              </w:rPr>
              <w:lastRenderedPageBreak/>
              <w:t xml:space="preserve">con </w:t>
            </w:r>
            <w:r w:rsidRPr="00611D5A">
              <w:rPr>
                <w:rFonts w:asciiTheme="majorHAnsi" w:hAnsiTheme="majorHAnsi"/>
                <w:bCs/>
                <w:i/>
                <w:sz w:val="22"/>
                <w:szCs w:val="22"/>
              </w:rPr>
              <w:t>Estándar de Negocio para Entidades de Seguros,</w:t>
            </w:r>
            <w:r w:rsidRPr="00611D5A">
              <w:rPr>
                <w:rFonts w:asciiTheme="majorHAnsi" w:hAnsiTheme="majorHAnsi"/>
                <w:bCs/>
                <w:sz w:val="22"/>
                <w:szCs w:val="22"/>
              </w:rPr>
              <w:t xml:space="preserve"> incluido en el </w:t>
            </w:r>
            <w:r w:rsidRPr="00611D5A">
              <w:rPr>
                <w:rFonts w:asciiTheme="majorHAnsi" w:hAnsiTheme="majorHAnsi"/>
                <w:b/>
                <w:bCs/>
                <w:sz w:val="22"/>
                <w:szCs w:val="22"/>
              </w:rPr>
              <w:t>Anexo 5.</w:t>
            </w:r>
          </w:p>
        </w:tc>
      </w:tr>
      <w:tr w:rsidR="00E3124F" w:rsidRPr="00611D5A" w14:paraId="5AD2DA13" w14:textId="77777777" w:rsidTr="00E3124F">
        <w:trPr>
          <w:trHeight w:val="43"/>
          <w:jc w:val="center"/>
        </w:trPr>
        <w:tc>
          <w:tcPr>
            <w:tcW w:w="1328" w:type="pct"/>
            <w:noWrap/>
          </w:tcPr>
          <w:p w14:paraId="35FCF245"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lastRenderedPageBreak/>
              <w:t>Modelo 5 SSS: Saldos Contables</w:t>
            </w:r>
          </w:p>
        </w:tc>
        <w:tc>
          <w:tcPr>
            <w:tcW w:w="729" w:type="pct"/>
            <w:noWrap/>
          </w:tcPr>
          <w:p w14:paraId="43E70CBC"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sz w:val="22"/>
                <w:szCs w:val="22"/>
              </w:rPr>
              <w:t>Mensual</w:t>
            </w:r>
          </w:p>
        </w:tc>
        <w:tc>
          <w:tcPr>
            <w:tcW w:w="1226" w:type="pct"/>
            <w:noWrap/>
          </w:tcPr>
          <w:p w14:paraId="11E06463"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sz w:val="22"/>
                <w:szCs w:val="22"/>
              </w:rPr>
              <w:t>5 días hábiles después del cierre de cada mes.</w:t>
            </w:r>
          </w:p>
        </w:tc>
        <w:tc>
          <w:tcPr>
            <w:tcW w:w="1717" w:type="pct"/>
            <w:noWrap/>
          </w:tcPr>
          <w:p w14:paraId="6877E681"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sz w:val="22"/>
                <w:szCs w:val="22"/>
              </w:rPr>
              <w:t xml:space="preserve">Web </w:t>
            </w:r>
            <w:proofErr w:type="spellStart"/>
            <w:r w:rsidRPr="00611D5A">
              <w:rPr>
                <w:rFonts w:asciiTheme="majorHAnsi" w:hAnsiTheme="majorHAnsi"/>
                <w:sz w:val="22"/>
                <w:szCs w:val="22"/>
              </w:rPr>
              <w:t>Service</w:t>
            </w:r>
            <w:proofErr w:type="spellEnd"/>
            <w:r w:rsidRPr="00611D5A">
              <w:rPr>
                <w:rFonts w:asciiTheme="majorHAnsi" w:hAnsiTheme="majorHAnsi"/>
                <w:sz w:val="22"/>
                <w:szCs w:val="22"/>
              </w:rPr>
              <w:t>, a través de archivos *.</w:t>
            </w:r>
            <w:proofErr w:type="spellStart"/>
            <w:r w:rsidRPr="00611D5A">
              <w:rPr>
                <w:rFonts w:asciiTheme="majorHAnsi" w:hAnsiTheme="majorHAnsi"/>
                <w:sz w:val="22"/>
                <w:szCs w:val="22"/>
              </w:rPr>
              <w:t>xml</w:t>
            </w:r>
            <w:proofErr w:type="spellEnd"/>
            <w:r w:rsidRPr="00611D5A">
              <w:rPr>
                <w:rFonts w:asciiTheme="majorHAnsi" w:hAnsiTheme="majorHAnsi"/>
                <w:sz w:val="22"/>
                <w:szCs w:val="22"/>
              </w:rPr>
              <w:t xml:space="preserve">, de conformidad con Estándar de Negocio para Entidades de Seguros, incluido en el </w:t>
            </w:r>
            <w:r w:rsidRPr="00611D5A">
              <w:rPr>
                <w:rFonts w:asciiTheme="majorHAnsi" w:hAnsiTheme="majorHAnsi"/>
                <w:b/>
                <w:sz w:val="22"/>
                <w:szCs w:val="22"/>
              </w:rPr>
              <w:t>Anexo 5.</w:t>
            </w:r>
          </w:p>
        </w:tc>
      </w:tr>
      <w:tr w:rsidR="00E3124F" w:rsidRPr="00611D5A" w14:paraId="07F74AF9" w14:textId="77777777" w:rsidTr="00E3124F">
        <w:trPr>
          <w:trHeight w:val="1509"/>
          <w:jc w:val="center"/>
        </w:trPr>
        <w:tc>
          <w:tcPr>
            <w:tcW w:w="1328" w:type="pct"/>
            <w:noWrap/>
          </w:tcPr>
          <w:p w14:paraId="6604E45D"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 xml:space="preserve">Modelo 6 SSS: Aporte a Bomberos </w:t>
            </w:r>
          </w:p>
        </w:tc>
        <w:tc>
          <w:tcPr>
            <w:tcW w:w="729" w:type="pct"/>
            <w:noWrap/>
          </w:tcPr>
          <w:p w14:paraId="64B9BF57" w14:textId="77777777" w:rsidR="00E46895" w:rsidRPr="00611D5A" w:rsidRDefault="00E46895" w:rsidP="00611D5A">
            <w:pPr>
              <w:pStyle w:val="Textoindependiente"/>
              <w:spacing w:after="0" w:line="240" w:lineRule="auto"/>
              <w:jc w:val="both"/>
              <w:rPr>
                <w:rFonts w:asciiTheme="majorHAnsi" w:hAnsiTheme="majorHAnsi"/>
              </w:rPr>
            </w:pPr>
            <w:r w:rsidRPr="00611D5A">
              <w:rPr>
                <w:rFonts w:asciiTheme="majorHAnsi" w:hAnsiTheme="majorHAnsi"/>
                <w:bCs/>
              </w:rPr>
              <w:t>Mensual</w:t>
            </w:r>
          </w:p>
        </w:tc>
        <w:tc>
          <w:tcPr>
            <w:tcW w:w="1226" w:type="pct"/>
            <w:noWrap/>
          </w:tcPr>
          <w:p w14:paraId="44EE5A9A" w14:textId="77777777" w:rsidR="00E46895" w:rsidRPr="00611D5A" w:rsidRDefault="00E46895" w:rsidP="00611D5A">
            <w:pPr>
              <w:pStyle w:val="Textoindependiente"/>
              <w:spacing w:after="0" w:line="240" w:lineRule="auto"/>
              <w:jc w:val="both"/>
              <w:rPr>
                <w:rFonts w:asciiTheme="majorHAnsi" w:hAnsiTheme="majorHAnsi"/>
              </w:rPr>
            </w:pPr>
            <w:r w:rsidRPr="00611D5A">
              <w:rPr>
                <w:rFonts w:asciiTheme="majorHAnsi" w:hAnsiTheme="majorHAnsi"/>
                <w:bCs/>
              </w:rPr>
              <w:t>5 días hábiles después del cierre de cada mes.</w:t>
            </w:r>
          </w:p>
        </w:tc>
        <w:tc>
          <w:tcPr>
            <w:tcW w:w="1717" w:type="pct"/>
            <w:noWrap/>
          </w:tcPr>
          <w:p w14:paraId="0716924D" w14:textId="77777777" w:rsidR="00E46895" w:rsidRPr="00611D5A" w:rsidRDefault="00E46895" w:rsidP="00611D5A">
            <w:pPr>
              <w:pStyle w:val="Textoindependiente"/>
              <w:spacing w:after="0" w:line="240" w:lineRule="auto"/>
              <w:jc w:val="both"/>
              <w:rPr>
                <w:rFonts w:asciiTheme="majorHAnsi" w:hAnsiTheme="majorHAnsi"/>
              </w:rPr>
            </w:pPr>
            <w:r w:rsidRPr="00611D5A">
              <w:rPr>
                <w:rFonts w:asciiTheme="majorHAnsi" w:hAnsiTheme="majorHAnsi"/>
                <w:bCs/>
              </w:rPr>
              <w:t xml:space="preserve">Web </w:t>
            </w:r>
            <w:proofErr w:type="spellStart"/>
            <w:r w:rsidRPr="00611D5A">
              <w:rPr>
                <w:rFonts w:asciiTheme="majorHAnsi" w:hAnsiTheme="majorHAnsi"/>
                <w:bCs/>
              </w:rPr>
              <w:t>Service</w:t>
            </w:r>
            <w:proofErr w:type="spellEnd"/>
            <w:r w:rsidRPr="00611D5A">
              <w:rPr>
                <w:rFonts w:asciiTheme="majorHAnsi" w:hAnsiTheme="majorHAnsi"/>
                <w:bCs/>
              </w:rPr>
              <w:t>, a través de archivos *.</w:t>
            </w:r>
            <w:proofErr w:type="spellStart"/>
            <w:r w:rsidRPr="00611D5A">
              <w:rPr>
                <w:rFonts w:asciiTheme="majorHAnsi" w:hAnsiTheme="majorHAnsi"/>
                <w:bCs/>
              </w:rPr>
              <w:t>xml</w:t>
            </w:r>
            <w:proofErr w:type="spellEnd"/>
            <w:r w:rsidRPr="00611D5A">
              <w:rPr>
                <w:rFonts w:asciiTheme="majorHAnsi" w:hAnsiTheme="majorHAnsi"/>
                <w:bCs/>
              </w:rPr>
              <w:t xml:space="preserve">, de conformidad con </w:t>
            </w:r>
            <w:r w:rsidRPr="00611D5A">
              <w:rPr>
                <w:rFonts w:asciiTheme="majorHAnsi" w:hAnsiTheme="majorHAnsi"/>
                <w:bCs/>
                <w:i/>
              </w:rPr>
              <w:t>Estándar de Negocio para Entidades de Seguros,</w:t>
            </w:r>
            <w:r w:rsidRPr="00611D5A">
              <w:rPr>
                <w:rFonts w:asciiTheme="majorHAnsi" w:hAnsiTheme="majorHAnsi"/>
                <w:bCs/>
              </w:rPr>
              <w:t xml:space="preserve"> incluido en el </w:t>
            </w:r>
            <w:r w:rsidRPr="00611D5A">
              <w:rPr>
                <w:rFonts w:asciiTheme="majorHAnsi" w:hAnsiTheme="majorHAnsi"/>
                <w:b/>
                <w:bCs/>
              </w:rPr>
              <w:t>Anexo 5.</w:t>
            </w:r>
          </w:p>
        </w:tc>
      </w:tr>
      <w:tr w:rsidR="00E3124F" w:rsidRPr="00611D5A" w14:paraId="63B4B6F1" w14:textId="77777777" w:rsidTr="00E3124F">
        <w:trPr>
          <w:trHeight w:val="43"/>
          <w:jc w:val="center"/>
        </w:trPr>
        <w:tc>
          <w:tcPr>
            <w:tcW w:w="1328" w:type="pct"/>
            <w:noWrap/>
          </w:tcPr>
          <w:p w14:paraId="3503F25F"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 xml:space="preserve">Modelo 7 SSS: Canales de Comercialización </w:t>
            </w:r>
          </w:p>
        </w:tc>
        <w:tc>
          <w:tcPr>
            <w:tcW w:w="729" w:type="pct"/>
            <w:noWrap/>
          </w:tcPr>
          <w:p w14:paraId="7375FE06"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bCs/>
                <w:sz w:val="22"/>
                <w:szCs w:val="22"/>
              </w:rPr>
              <w:t>Trimestral</w:t>
            </w:r>
          </w:p>
        </w:tc>
        <w:tc>
          <w:tcPr>
            <w:tcW w:w="1226" w:type="pct"/>
            <w:noWrap/>
          </w:tcPr>
          <w:p w14:paraId="109F3261"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15 días hábiles después del cierre de los meses de marzo, junio, setiembre y diciembre</w:t>
            </w:r>
          </w:p>
        </w:tc>
        <w:tc>
          <w:tcPr>
            <w:tcW w:w="1717" w:type="pct"/>
            <w:noWrap/>
          </w:tcPr>
          <w:p w14:paraId="465C7301"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 xml:space="preserve">Web </w:t>
            </w:r>
            <w:proofErr w:type="spellStart"/>
            <w:r w:rsidRPr="00611D5A">
              <w:rPr>
                <w:rFonts w:asciiTheme="majorHAnsi" w:hAnsiTheme="majorHAnsi"/>
                <w:bCs/>
                <w:sz w:val="22"/>
                <w:szCs w:val="22"/>
              </w:rPr>
              <w:t>Service</w:t>
            </w:r>
            <w:proofErr w:type="spellEnd"/>
            <w:r w:rsidRPr="00611D5A">
              <w:rPr>
                <w:rFonts w:asciiTheme="majorHAnsi" w:hAnsiTheme="majorHAnsi"/>
                <w:bCs/>
                <w:sz w:val="22"/>
                <w:szCs w:val="22"/>
              </w:rPr>
              <w:t>, a través de archivos *.</w:t>
            </w:r>
            <w:proofErr w:type="spellStart"/>
            <w:r w:rsidRPr="00611D5A">
              <w:rPr>
                <w:rFonts w:asciiTheme="majorHAnsi" w:hAnsiTheme="majorHAnsi"/>
                <w:bCs/>
                <w:sz w:val="22"/>
                <w:szCs w:val="22"/>
              </w:rPr>
              <w:t>xml</w:t>
            </w:r>
            <w:proofErr w:type="spellEnd"/>
            <w:r w:rsidRPr="00611D5A">
              <w:rPr>
                <w:rFonts w:asciiTheme="majorHAnsi" w:hAnsiTheme="majorHAnsi"/>
                <w:bCs/>
                <w:sz w:val="22"/>
                <w:szCs w:val="22"/>
              </w:rPr>
              <w:t xml:space="preserve">, de conformidad con </w:t>
            </w:r>
            <w:r w:rsidRPr="00611D5A">
              <w:rPr>
                <w:rFonts w:asciiTheme="majorHAnsi" w:hAnsiTheme="majorHAnsi"/>
                <w:bCs/>
                <w:i/>
                <w:sz w:val="22"/>
                <w:szCs w:val="22"/>
              </w:rPr>
              <w:t>Estándar de Negocio para Entidades de Seguros,</w:t>
            </w:r>
            <w:r w:rsidRPr="00611D5A">
              <w:rPr>
                <w:rFonts w:asciiTheme="majorHAnsi" w:hAnsiTheme="majorHAnsi"/>
                <w:bCs/>
                <w:sz w:val="22"/>
                <w:szCs w:val="22"/>
              </w:rPr>
              <w:t xml:space="preserve"> incluido en el </w:t>
            </w:r>
            <w:r w:rsidRPr="00611D5A">
              <w:rPr>
                <w:rFonts w:asciiTheme="majorHAnsi" w:hAnsiTheme="majorHAnsi"/>
                <w:b/>
                <w:bCs/>
                <w:sz w:val="22"/>
                <w:szCs w:val="22"/>
              </w:rPr>
              <w:t>Anexo 5.</w:t>
            </w:r>
          </w:p>
        </w:tc>
      </w:tr>
      <w:tr w:rsidR="00E3124F" w:rsidRPr="00611D5A" w14:paraId="28ABD973" w14:textId="77777777" w:rsidTr="00E3124F">
        <w:trPr>
          <w:trHeight w:val="43"/>
          <w:jc w:val="center"/>
        </w:trPr>
        <w:tc>
          <w:tcPr>
            <w:tcW w:w="1328" w:type="pct"/>
            <w:noWrap/>
          </w:tcPr>
          <w:p w14:paraId="26DB23A1"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Modelo 8 SSS: Producción y Población Asegurada</w:t>
            </w:r>
          </w:p>
        </w:tc>
        <w:tc>
          <w:tcPr>
            <w:tcW w:w="729" w:type="pct"/>
            <w:noWrap/>
          </w:tcPr>
          <w:p w14:paraId="3FF2966E"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bCs/>
                <w:sz w:val="22"/>
                <w:szCs w:val="22"/>
              </w:rPr>
              <w:t>Trimestral</w:t>
            </w:r>
          </w:p>
        </w:tc>
        <w:tc>
          <w:tcPr>
            <w:tcW w:w="1226" w:type="pct"/>
            <w:noWrap/>
          </w:tcPr>
          <w:p w14:paraId="5881C39D"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15 días hábiles después del cierre de los meses de marzo, junio, setiembre y diciembre</w:t>
            </w:r>
          </w:p>
        </w:tc>
        <w:tc>
          <w:tcPr>
            <w:tcW w:w="1717" w:type="pct"/>
            <w:noWrap/>
          </w:tcPr>
          <w:p w14:paraId="053A4D15"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 xml:space="preserve">Web </w:t>
            </w:r>
            <w:proofErr w:type="spellStart"/>
            <w:r w:rsidRPr="00611D5A">
              <w:rPr>
                <w:rFonts w:asciiTheme="majorHAnsi" w:hAnsiTheme="majorHAnsi"/>
                <w:bCs/>
                <w:sz w:val="22"/>
                <w:szCs w:val="22"/>
              </w:rPr>
              <w:t>Service</w:t>
            </w:r>
            <w:proofErr w:type="spellEnd"/>
            <w:r w:rsidRPr="00611D5A">
              <w:rPr>
                <w:rFonts w:asciiTheme="majorHAnsi" w:hAnsiTheme="majorHAnsi"/>
                <w:bCs/>
                <w:sz w:val="22"/>
                <w:szCs w:val="22"/>
              </w:rPr>
              <w:t>, a través de archivos *.</w:t>
            </w:r>
            <w:proofErr w:type="spellStart"/>
            <w:r w:rsidRPr="00611D5A">
              <w:rPr>
                <w:rFonts w:asciiTheme="majorHAnsi" w:hAnsiTheme="majorHAnsi"/>
                <w:bCs/>
                <w:sz w:val="22"/>
                <w:szCs w:val="22"/>
              </w:rPr>
              <w:t>xml</w:t>
            </w:r>
            <w:proofErr w:type="spellEnd"/>
            <w:r w:rsidRPr="00611D5A">
              <w:rPr>
                <w:rFonts w:asciiTheme="majorHAnsi" w:hAnsiTheme="majorHAnsi"/>
                <w:bCs/>
                <w:sz w:val="22"/>
                <w:szCs w:val="22"/>
              </w:rPr>
              <w:t xml:space="preserve">, de conformidad con </w:t>
            </w:r>
            <w:r w:rsidRPr="00611D5A">
              <w:rPr>
                <w:rFonts w:asciiTheme="majorHAnsi" w:hAnsiTheme="majorHAnsi"/>
                <w:bCs/>
                <w:i/>
                <w:sz w:val="22"/>
                <w:szCs w:val="22"/>
              </w:rPr>
              <w:t>Estándar de Negocio para Entidades de Seguros,</w:t>
            </w:r>
            <w:r w:rsidRPr="00611D5A">
              <w:rPr>
                <w:rFonts w:asciiTheme="majorHAnsi" w:hAnsiTheme="majorHAnsi"/>
                <w:bCs/>
                <w:sz w:val="22"/>
                <w:szCs w:val="22"/>
              </w:rPr>
              <w:t xml:space="preserve"> incluido en el </w:t>
            </w:r>
            <w:r w:rsidRPr="00611D5A">
              <w:rPr>
                <w:rFonts w:asciiTheme="majorHAnsi" w:hAnsiTheme="majorHAnsi"/>
                <w:b/>
                <w:bCs/>
                <w:sz w:val="22"/>
                <w:szCs w:val="22"/>
              </w:rPr>
              <w:t>Anexo 5</w:t>
            </w:r>
          </w:p>
        </w:tc>
      </w:tr>
      <w:tr w:rsidR="00E3124F" w:rsidRPr="00611D5A" w14:paraId="1338E8D6" w14:textId="77777777" w:rsidTr="00E3124F">
        <w:trPr>
          <w:trHeight w:val="43"/>
          <w:jc w:val="center"/>
        </w:trPr>
        <w:tc>
          <w:tcPr>
            <w:tcW w:w="1328" w:type="pct"/>
            <w:noWrap/>
          </w:tcPr>
          <w:p w14:paraId="63C1DACE"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Modelo 9: Run Off</w:t>
            </w:r>
          </w:p>
        </w:tc>
        <w:tc>
          <w:tcPr>
            <w:tcW w:w="729" w:type="pct"/>
            <w:noWrap/>
          </w:tcPr>
          <w:p w14:paraId="1EF3FC5C"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bCs/>
                <w:sz w:val="22"/>
                <w:szCs w:val="22"/>
              </w:rPr>
              <w:t>Trimestral</w:t>
            </w:r>
          </w:p>
        </w:tc>
        <w:tc>
          <w:tcPr>
            <w:tcW w:w="1226" w:type="pct"/>
            <w:noWrap/>
          </w:tcPr>
          <w:p w14:paraId="11252200"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15 días hábiles después del cierre de los meses de marzo, junio, setiembre y diciembre</w:t>
            </w:r>
          </w:p>
        </w:tc>
        <w:tc>
          <w:tcPr>
            <w:tcW w:w="1717" w:type="pct"/>
            <w:noWrap/>
          </w:tcPr>
          <w:p w14:paraId="589625E7"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 xml:space="preserve">Web </w:t>
            </w:r>
            <w:proofErr w:type="spellStart"/>
            <w:r w:rsidRPr="00611D5A">
              <w:rPr>
                <w:rFonts w:asciiTheme="majorHAnsi" w:hAnsiTheme="majorHAnsi"/>
                <w:bCs/>
                <w:sz w:val="22"/>
                <w:szCs w:val="22"/>
              </w:rPr>
              <w:t>Service</w:t>
            </w:r>
            <w:proofErr w:type="spellEnd"/>
            <w:r w:rsidRPr="00611D5A">
              <w:rPr>
                <w:rFonts w:asciiTheme="majorHAnsi" w:hAnsiTheme="majorHAnsi"/>
                <w:bCs/>
                <w:sz w:val="22"/>
                <w:szCs w:val="22"/>
              </w:rPr>
              <w:t>, a través de archivos *.</w:t>
            </w:r>
            <w:proofErr w:type="spellStart"/>
            <w:r w:rsidRPr="00611D5A">
              <w:rPr>
                <w:rFonts w:asciiTheme="majorHAnsi" w:hAnsiTheme="majorHAnsi"/>
                <w:bCs/>
                <w:sz w:val="22"/>
                <w:szCs w:val="22"/>
              </w:rPr>
              <w:t>xml</w:t>
            </w:r>
            <w:proofErr w:type="spellEnd"/>
            <w:r w:rsidRPr="00611D5A">
              <w:rPr>
                <w:rFonts w:asciiTheme="majorHAnsi" w:hAnsiTheme="majorHAnsi"/>
                <w:bCs/>
                <w:sz w:val="22"/>
                <w:szCs w:val="22"/>
              </w:rPr>
              <w:t xml:space="preserve">, de conformidad con </w:t>
            </w:r>
            <w:r w:rsidRPr="00611D5A">
              <w:rPr>
                <w:rFonts w:asciiTheme="majorHAnsi" w:hAnsiTheme="majorHAnsi"/>
                <w:bCs/>
                <w:i/>
                <w:sz w:val="22"/>
                <w:szCs w:val="22"/>
              </w:rPr>
              <w:t>Estándar de Negocio para Entidades de Seguros,</w:t>
            </w:r>
            <w:r w:rsidRPr="00611D5A">
              <w:rPr>
                <w:rFonts w:asciiTheme="majorHAnsi" w:hAnsiTheme="majorHAnsi"/>
                <w:bCs/>
                <w:sz w:val="22"/>
                <w:szCs w:val="22"/>
              </w:rPr>
              <w:t xml:space="preserve"> incluido en el </w:t>
            </w:r>
            <w:r w:rsidRPr="00611D5A">
              <w:rPr>
                <w:rFonts w:asciiTheme="majorHAnsi" w:hAnsiTheme="majorHAnsi"/>
                <w:b/>
                <w:bCs/>
                <w:sz w:val="22"/>
                <w:szCs w:val="22"/>
              </w:rPr>
              <w:t>Anexo 5</w:t>
            </w:r>
          </w:p>
        </w:tc>
      </w:tr>
      <w:tr w:rsidR="00E3124F" w:rsidRPr="00611D5A" w14:paraId="323C2B84" w14:textId="77777777" w:rsidTr="00E3124F">
        <w:trPr>
          <w:trHeight w:val="43"/>
          <w:jc w:val="center"/>
        </w:trPr>
        <w:tc>
          <w:tcPr>
            <w:tcW w:w="1328" w:type="pct"/>
            <w:noWrap/>
          </w:tcPr>
          <w:p w14:paraId="09490C06"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Modelo 10 SSS: Seguros paritarios</w:t>
            </w:r>
          </w:p>
        </w:tc>
        <w:tc>
          <w:tcPr>
            <w:tcW w:w="729" w:type="pct"/>
            <w:noWrap/>
          </w:tcPr>
          <w:p w14:paraId="525EF116" w14:textId="77777777" w:rsidR="00E46895" w:rsidRPr="00611D5A" w:rsidRDefault="00E46895" w:rsidP="00611D5A">
            <w:pPr>
              <w:widowControl w:val="0"/>
              <w:ind w:left="94"/>
              <w:jc w:val="both"/>
              <w:rPr>
                <w:rFonts w:asciiTheme="majorHAnsi" w:hAnsiTheme="majorHAnsi"/>
                <w:bCs/>
                <w:sz w:val="22"/>
                <w:szCs w:val="22"/>
              </w:rPr>
            </w:pPr>
            <w:r w:rsidRPr="00611D5A">
              <w:rPr>
                <w:rFonts w:asciiTheme="majorHAnsi" w:hAnsiTheme="majorHAnsi"/>
                <w:bCs/>
                <w:sz w:val="22"/>
                <w:szCs w:val="22"/>
              </w:rPr>
              <w:t>Trimestral</w:t>
            </w:r>
          </w:p>
        </w:tc>
        <w:tc>
          <w:tcPr>
            <w:tcW w:w="1226" w:type="pct"/>
            <w:noWrap/>
          </w:tcPr>
          <w:p w14:paraId="1F53A798"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15 días hábiles después del cierre de los meses de marzo, junio, setiembre y diciembre</w:t>
            </w:r>
          </w:p>
        </w:tc>
        <w:tc>
          <w:tcPr>
            <w:tcW w:w="1717" w:type="pct"/>
            <w:noWrap/>
          </w:tcPr>
          <w:p w14:paraId="67513A73" w14:textId="77777777" w:rsidR="00E46895" w:rsidRPr="00611D5A" w:rsidRDefault="00E46895" w:rsidP="00611D5A">
            <w:pPr>
              <w:widowControl w:val="0"/>
              <w:jc w:val="both"/>
              <w:rPr>
                <w:rFonts w:asciiTheme="majorHAnsi" w:hAnsiTheme="majorHAnsi"/>
                <w:bCs/>
                <w:sz w:val="22"/>
                <w:szCs w:val="22"/>
              </w:rPr>
            </w:pPr>
            <w:r w:rsidRPr="00611D5A">
              <w:rPr>
                <w:rFonts w:asciiTheme="majorHAnsi" w:hAnsiTheme="majorHAnsi"/>
                <w:bCs/>
                <w:sz w:val="22"/>
                <w:szCs w:val="22"/>
              </w:rPr>
              <w:t xml:space="preserve">Web </w:t>
            </w:r>
            <w:proofErr w:type="spellStart"/>
            <w:r w:rsidRPr="00611D5A">
              <w:rPr>
                <w:rFonts w:asciiTheme="majorHAnsi" w:hAnsiTheme="majorHAnsi"/>
                <w:bCs/>
                <w:sz w:val="22"/>
                <w:szCs w:val="22"/>
              </w:rPr>
              <w:t>Service</w:t>
            </w:r>
            <w:proofErr w:type="spellEnd"/>
            <w:r w:rsidRPr="00611D5A">
              <w:rPr>
                <w:rFonts w:asciiTheme="majorHAnsi" w:hAnsiTheme="majorHAnsi"/>
                <w:bCs/>
                <w:sz w:val="22"/>
                <w:szCs w:val="22"/>
              </w:rPr>
              <w:t>, a través de archivos *.</w:t>
            </w:r>
            <w:proofErr w:type="spellStart"/>
            <w:r w:rsidRPr="00611D5A">
              <w:rPr>
                <w:rFonts w:asciiTheme="majorHAnsi" w:hAnsiTheme="majorHAnsi"/>
                <w:bCs/>
                <w:sz w:val="22"/>
                <w:szCs w:val="22"/>
              </w:rPr>
              <w:t>xml</w:t>
            </w:r>
            <w:proofErr w:type="spellEnd"/>
            <w:r w:rsidRPr="00611D5A">
              <w:rPr>
                <w:rFonts w:asciiTheme="majorHAnsi" w:hAnsiTheme="majorHAnsi"/>
                <w:bCs/>
                <w:sz w:val="22"/>
                <w:szCs w:val="22"/>
              </w:rPr>
              <w:t xml:space="preserve">, de conformidad con </w:t>
            </w:r>
            <w:r w:rsidRPr="00611D5A">
              <w:rPr>
                <w:rFonts w:asciiTheme="majorHAnsi" w:hAnsiTheme="majorHAnsi"/>
                <w:bCs/>
                <w:i/>
                <w:sz w:val="22"/>
                <w:szCs w:val="22"/>
              </w:rPr>
              <w:t>Estándar de Negocio para Entidades de Seguros,</w:t>
            </w:r>
            <w:r w:rsidRPr="00611D5A">
              <w:rPr>
                <w:rFonts w:asciiTheme="majorHAnsi" w:hAnsiTheme="majorHAnsi"/>
                <w:bCs/>
                <w:sz w:val="22"/>
                <w:szCs w:val="22"/>
              </w:rPr>
              <w:t xml:space="preserve"> incluido en el </w:t>
            </w:r>
            <w:r w:rsidRPr="00611D5A">
              <w:rPr>
                <w:rFonts w:asciiTheme="majorHAnsi" w:hAnsiTheme="majorHAnsi"/>
                <w:b/>
                <w:bCs/>
                <w:sz w:val="22"/>
                <w:szCs w:val="22"/>
              </w:rPr>
              <w:t>Anexo 5</w:t>
            </w:r>
          </w:p>
        </w:tc>
      </w:tr>
      <w:tr w:rsidR="00E3124F" w:rsidRPr="00611D5A" w14:paraId="7F2898F5" w14:textId="77777777" w:rsidTr="00E3124F">
        <w:trPr>
          <w:trHeight w:val="43"/>
          <w:jc w:val="center"/>
        </w:trPr>
        <w:tc>
          <w:tcPr>
            <w:tcW w:w="1328" w:type="pct"/>
            <w:noWrap/>
          </w:tcPr>
          <w:p w14:paraId="71304EB4"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b/>
              </w:rPr>
              <w:t>Registro Público de Vehículos Asegurados con el Seguro Obligatorio de Vehículos Automotores</w:t>
            </w:r>
          </w:p>
        </w:tc>
        <w:tc>
          <w:tcPr>
            <w:tcW w:w="729" w:type="pct"/>
            <w:noWrap/>
          </w:tcPr>
          <w:p w14:paraId="65484F5E" w14:textId="77777777" w:rsidR="00E46895" w:rsidRPr="00611D5A" w:rsidRDefault="00E46895" w:rsidP="00611D5A">
            <w:pPr>
              <w:widowControl w:val="0"/>
              <w:ind w:left="94"/>
              <w:jc w:val="both"/>
              <w:rPr>
                <w:rFonts w:asciiTheme="majorHAnsi" w:hAnsiTheme="majorHAnsi"/>
                <w:b/>
                <w:sz w:val="22"/>
                <w:szCs w:val="22"/>
              </w:rPr>
            </w:pPr>
            <w:r w:rsidRPr="00611D5A">
              <w:rPr>
                <w:rFonts w:asciiTheme="majorHAnsi" w:hAnsiTheme="majorHAnsi"/>
                <w:sz w:val="22"/>
                <w:szCs w:val="22"/>
              </w:rPr>
              <w:t>Semanal</w:t>
            </w:r>
          </w:p>
        </w:tc>
        <w:tc>
          <w:tcPr>
            <w:tcW w:w="1226" w:type="pct"/>
            <w:noWrap/>
          </w:tcPr>
          <w:p w14:paraId="2219AC48" w14:textId="77777777"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rPr>
              <w:t>El tercer día hábil de la semana siguiente con corte de movimientos a las 11:59 p.m. del domingo anterior.</w:t>
            </w:r>
          </w:p>
        </w:tc>
        <w:tc>
          <w:tcPr>
            <w:tcW w:w="1717" w:type="pct"/>
            <w:noWrap/>
          </w:tcPr>
          <w:p w14:paraId="4DF3058C" w14:textId="26CFAD3E" w:rsidR="00E46895" w:rsidRPr="00611D5A" w:rsidRDefault="00E46895" w:rsidP="00611D5A">
            <w:pPr>
              <w:pStyle w:val="Textoindependiente"/>
              <w:spacing w:after="0" w:line="240" w:lineRule="auto"/>
              <w:jc w:val="both"/>
              <w:rPr>
                <w:rFonts w:asciiTheme="majorHAnsi" w:hAnsiTheme="majorHAnsi"/>
                <w:b/>
              </w:rPr>
            </w:pPr>
            <w:r w:rsidRPr="00611D5A">
              <w:rPr>
                <w:rFonts w:asciiTheme="majorHAnsi" w:hAnsiTheme="majorHAnsi"/>
              </w:rPr>
              <w:t xml:space="preserve">Carga a través de web </w:t>
            </w:r>
            <w:proofErr w:type="spellStart"/>
            <w:r w:rsidRPr="00611D5A">
              <w:rPr>
                <w:rFonts w:asciiTheme="majorHAnsi" w:hAnsiTheme="majorHAnsi"/>
              </w:rPr>
              <w:t>service</w:t>
            </w:r>
            <w:proofErr w:type="spellEnd"/>
            <w:r w:rsidRPr="00611D5A">
              <w:rPr>
                <w:rFonts w:asciiTheme="majorHAnsi" w:hAnsiTheme="majorHAnsi"/>
              </w:rPr>
              <w:t xml:space="preserve"> de archivos *.</w:t>
            </w:r>
            <w:proofErr w:type="spellStart"/>
            <w:r w:rsidRPr="00611D5A">
              <w:rPr>
                <w:rFonts w:asciiTheme="majorHAnsi" w:hAnsiTheme="majorHAnsi"/>
              </w:rPr>
              <w:t>xml</w:t>
            </w:r>
            <w:proofErr w:type="spellEnd"/>
            <w:r w:rsidRPr="00611D5A">
              <w:rPr>
                <w:rFonts w:asciiTheme="majorHAnsi" w:hAnsiTheme="majorHAnsi"/>
              </w:rPr>
              <w:t xml:space="preserve"> </w:t>
            </w:r>
            <w:r w:rsidR="00C32D07" w:rsidRPr="00611D5A">
              <w:rPr>
                <w:rFonts w:asciiTheme="majorHAnsi" w:hAnsiTheme="majorHAnsi"/>
              </w:rPr>
              <w:t>o</w:t>
            </w:r>
            <w:r w:rsidRPr="00611D5A">
              <w:rPr>
                <w:rFonts w:asciiTheme="majorHAnsi" w:hAnsiTheme="majorHAnsi"/>
              </w:rPr>
              <w:t xml:space="preserve"> *.</w:t>
            </w:r>
            <w:proofErr w:type="spellStart"/>
            <w:r w:rsidRPr="00611D5A">
              <w:rPr>
                <w:rFonts w:asciiTheme="majorHAnsi" w:hAnsiTheme="majorHAnsi"/>
              </w:rPr>
              <w:t>zip</w:t>
            </w:r>
            <w:proofErr w:type="spellEnd"/>
            <w:r w:rsidRPr="00611D5A">
              <w:rPr>
                <w:rFonts w:asciiTheme="majorHAnsi" w:hAnsiTheme="majorHAnsi"/>
              </w:rPr>
              <w:t xml:space="preserve"> que contengan *.</w:t>
            </w:r>
            <w:proofErr w:type="spellStart"/>
            <w:r w:rsidRPr="00611D5A">
              <w:rPr>
                <w:rFonts w:asciiTheme="majorHAnsi" w:hAnsiTheme="majorHAnsi"/>
              </w:rPr>
              <w:t>xml</w:t>
            </w:r>
            <w:proofErr w:type="spellEnd"/>
            <w:r w:rsidRPr="00611D5A">
              <w:rPr>
                <w:rFonts w:asciiTheme="majorHAnsi" w:hAnsiTheme="majorHAnsi"/>
              </w:rPr>
              <w:t xml:space="preserve">, de conformidad con el Estándar para Registro Seguro Obligatorio de Vehículos </w:t>
            </w:r>
            <w:r w:rsidRPr="00611D5A">
              <w:rPr>
                <w:rFonts w:asciiTheme="majorHAnsi" w:hAnsiTheme="majorHAnsi"/>
              </w:rPr>
              <w:lastRenderedPageBreak/>
              <w:t xml:space="preserve">Automotores (SOA), incluido en el </w:t>
            </w:r>
            <w:r w:rsidRPr="00611D5A">
              <w:rPr>
                <w:rFonts w:asciiTheme="majorHAnsi" w:hAnsiTheme="majorHAnsi"/>
                <w:b/>
              </w:rPr>
              <w:t>Anexo 9</w:t>
            </w:r>
            <w:r w:rsidRPr="00611D5A">
              <w:rPr>
                <w:rFonts w:asciiTheme="majorHAnsi" w:hAnsiTheme="majorHAnsi"/>
              </w:rPr>
              <w:t>, a través de SUGESE en Línea; o bien carga manual de los mismos archivos ante una eventualidad previamente justificada.</w:t>
            </w:r>
          </w:p>
        </w:tc>
      </w:tr>
      <w:tr w:rsidR="00E3124F" w:rsidRPr="00611D5A" w14:paraId="6E6E619F" w14:textId="77777777" w:rsidTr="00E3124F">
        <w:trPr>
          <w:trHeight w:val="43"/>
          <w:jc w:val="center"/>
        </w:trPr>
        <w:tc>
          <w:tcPr>
            <w:tcW w:w="1328" w:type="pct"/>
            <w:noWrap/>
          </w:tcPr>
          <w:p w14:paraId="5380EBAF" w14:textId="77777777" w:rsidR="00E46895" w:rsidRPr="00611D5A" w:rsidRDefault="00E46895" w:rsidP="00611D5A">
            <w:pPr>
              <w:widowControl w:val="0"/>
              <w:jc w:val="both"/>
              <w:rPr>
                <w:rFonts w:asciiTheme="majorHAnsi" w:hAnsiTheme="majorHAnsi" w:cstheme="minorHAnsi"/>
                <w:bCs/>
                <w:sz w:val="22"/>
                <w:szCs w:val="22"/>
              </w:rPr>
            </w:pPr>
            <w:r w:rsidRPr="00611D5A">
              <w:rPr>
                <w:rFonts w:asciiTheme="majorHAnsi" w:hAnsiTheme="majorHAnsi"/>
                <w:b/>
                <w:sz w:val="22"/>
                <w:szCs w:val="22"/>
              </w:rPr>
              <w:lastRenderedPageBreak/>
              <w:t>Asegurados y Siniestralidad del Seguro Obligatorio de Vehículos Automotores</w:t>
            </w:r>
          </w:p>
        </w:tc>
        <w:tc>
          <w:tcPr>
            <w:tcW w:w="729" w:type="pct"/>
            <w:noWrap/>
          </w:tcPr>
          <w:p w14:paraId="13DE7C02" w14:textId="77777777" w:rsidR="00E46895" w:rsidRPr="00611D5A" w:rsidRDefault="00E46895" w:rsidP="00611D5A">
            <w:pPr>
              <w:widowControl w:val="0"/>
              <w:ind w:left="94"/>
              <w:jc w:val="both"/>
              <w:rPr>
                <w:rFonts w:asciiTheme="majorHAnsi" w:hAnsiTheme="majorHAnsi" w:cstheme="minorHAnsi"/>
                <w:snapToGrid w:val="0"/>
                <w:sz w:val="22"/>
                <w:szCs w:val="22"/>
              </w:rPr>
            </w:pPr>
            <w:r w:rsidRPr="00611D5A">
              <w:rPr>
                <w:rFonts w:asciiTheme="majorHAnsi" w:hAnsiTheme="majorHAnsi"/>
                <w:sz w:val="22"/>
                <w:szCs w:val="22"/>
              </w:rPr>
              <w:t>Mensual</w:t>
            </w:r>
          </w:p>
        </w:tc>
        <w:tc>
          <w:tcPr>
            <w:tcW w:w="1226" w:type="pct"/>
            <w:noWrap/>
          </w:tcPr>
          <w:p w14:paraId="59480DA0" w14:textId="77777777" w:rsidR="00E46895" w:rsidRPr="00611D5A" w:rsidRDefault="00E46895" w:rsidP="00611D5A">
            <w:pPr>
              <w:widowControl w:val="0"/>
              <w:jc w:val="both"/>
              <w:rPr>
                <w:rFonts w:asciiTheme="majorHAnsi" w:hAnsiTheme="majorHAnsi" w:cstheme="minorHAnsi"/>
                <w:bCs/>
                <w:sz w:val="22"/>
                <w:szCs w:val="22"/>
              </w:rPr>
            </w:pPr>
            <w:r w:rsidRPr="00611D5A">
              <w:rPr>
                <w:rFonts w:asciiTheme="majorHAnsi" w:hAnsiTheme="majorHAnsi" w:cstheme="minorHAnsi"/>
                <w:bCs/>
                <w:sz w:val="22"/>
                <w:szCs w:val="22"/>
              </w:rPr>
              <w:t>15 días hábiles después del cierre mensual,   según corresponda</w:t>
            </w:r>
          </w:p>
        </w:tc>
        <w:tc>
          <w:tcPr>
            <w:tcW w:w="1717" w:type="pct"/>
            <w:noWrap/>
          </w:tcPr>
          <w:p w14:paraId="3C3F961B" w14:textId="77777777" w:rsidR="00E46895" w:rsidRPr="00611D5A" w:rsidRDefault="00E46895" w:rsidP="00611D5A">
            <w:pPr>
              <w:widowControl w:val="0"/>
              <w:jc w:val="both"/>
              <w:rPr>
                <w:rFonts w:asciiTheme="majorHAnsi" w:hAnsiTheme="majorHAnsi" w:cstheme="minorHAnsi"/>
                <w:snapToGrid w:val="0"/>
                <w:sz w:val="22"/>
                <w:szCs w:val="22"/>
              </w:rPr>
            </w:pPr>
            <w:r w:rsidRPr="00611D5A">
              <w:rPr>
                <w:rFonts w:asciiTheme="majorHAnsi" w:hAnsiTheme="majorHAnsi" w:cstheme="minorHAnsi"/>
                <w:snapToGrid w:val="0"/>
                <w:sz w:val="22"/>
                <w:szCs w:val="22"/>
              </w:rPr>
              <w:t xml:space="preserve">En hoja electrónica, por correo electrónico, según formato establecido en el  </w:t>
            </w:r>
            <w:r w:rsidRPr="00611D5A">
              <w:rPr>
                <w:rFonts w:asciiTheme="majorHAnsi" w:hAnsiTheme="majorHAnsi" w:cstheme="minorHAnsi"/>
                <w:b/>
                <w:snapToGrid w:val="0"/>
                <w:sz w:val="22"/>
                <w:szCs w:val="22"/>
              </w:rPr>
              <w:t>Anexo 10</w:t>
            </w:r>
            <w:r w:rsidRPr="00611D5A">
              <w:rPr>
                <w:rFonts w:asciiTheme="majorHAnsi" w:hAnsiTheme="majorHAnsi" w:cstheme="minorHAnsi"/>
                <w:snapToGrid w:val="0"/>
                <w:sz w:val="22"/>
                <w:szCs w:val="22"/>
              </w:rPr>
              <w:t>.</w:t>
            </w:r>
          </w:p>
        </w:tc>
      </w:tr>
      <w:tr w:rsidR="00E3124F" w:rsidRPr="00611D5A" w14:paraId="6C191F27" w14:textId="77777777" w:rsidTr="00E3124F">
        <w:trPr>
          <w:trHeight w:val="43"/>
          <w:jc w:val="center"/>
        </w:trPr>
        <w:tc>
          <w:tcPr>
            <w:tcW w:w="1328" w:type="pct"/>
            <w:noWrap/>
          </w:tcPr>
          <w:p w14:paraId="1BA40C79" w14:textId="77777777" w:rsidR="00E46895" w:rsidRPr="00611D5A" w:rsidRDefault="00E46895" w:rsidP="00611D5A">
            <w:pPr>
              <w:widowControl w:val="0"/>
              <w:jc w:val="both"/>
              <w:rPr>
                <w:rFonts w:asciiTheme="majorHAnsi" w:hAnsiTheme="majorHAnsi" w:cstheme="minorHAnsi"/>
                <w:b/>
                <w:bCs/>
                <w:sz w:val="22"/>
                <w:szCs w:val="22"/>
              </w:rPr>
            </w:pPr>
            <w:r w:rsidRPr="00611D5A">
              <w:rPr>
                <w:rFonts w:asciiTheme="majorHAnsi" w:hAnsiTheme="majorHAnsi"/>
                <w:b/>
                <w:sz w:val="22"/>
                <w:szCs w:val="22"/>
              </w:rPr>
              <w:t>Registro Único de Personas  Beneficiarias</w:t>
            </w:r>
          </w:p>
        </w:tc>
        <w:tc>
          <w:tcPr>
            <w:tcW w:w="729" w:type="pct"/>
            <w:noWrap/>
          </w:tcPr>
          <w:p w14:paraId="7F7F2D3C" w14:textId="77777777" w:rsidR="00E46895" w:rsidRPr="00611D5A" w:rsidRDefault="00E46895" w:rsidP="00611D5A">
            <w:pPr>
              <w:widowControl w:val="0"/>
              <w:ind w:left="94"/>
              <w:jc w:val="both"/>
              <w:rPr>
                <w:rFonts w:asciiTheme="majorHAnsi" w:hAnsiTheme="majorHAnsi" w:cstheme="minorHAnsi"/>
                <w:snapToGrid w:val="0"/>
                <w:sz w:val="22"/>
                <w:szCs w:val="22"/>
              </w:rPr>
            </w:pPr>
            <w:r w:rsidRPr="00611D5A">
              <w:rPr>
                <w:rFonts w:asciiTheme="majorHAnsi" w:hAnsiTheme="majorHAnsi"/>
                <w:sz w:val="22"/>
                <w:szCs w:val="22"/>
              </w:rPr>
              <w:t>Al menos una vez al mes</w:t>
            </w:r>
          </w:p>
        </w:tc>
        <w:tc>
          <w:tcPr>
            <w:tcW w:w="1226" w:type="pct"/>
            <w:noWrap/>
          </w:tcPr>
          <w:p w14:paraId="4CF7483D" w14:textId="77777777" w:rsidR="00E46895" w:rsidRPr="00611D5A" w:rsidRDefault="00E46895" w:rsidP="00611D5A">
            <w:pPr>
              <w:widowControl w:val="0"/>
              <w:ind w:left="53"/>
              <w:jc w:val="both"/>
              <w:rPr>
                <w:rFonts w:asciiTheme="majorHAnsi" w:hAnsiTheme="majorHAnsi" w:cstheme="minorHAnsi"/>
                <w:bCs/>
                <w:sz w:val="22"/>
                <w:szCs w:val="22"/>
              </w:rPr>
            </w:pPr>
            <w:r w:rsidRPr="00611D5A">
              <w:rPr>
                <w:rFonts w:asciiTheme="majorHAnsi" w:hAnsiTheme="majorHAnsi"/>
                <w:sz w:val="22"/>
                <w:szCs w:val="22"/>
              </w:rPr>
              <w:t>A más tardar diez días  hábiles después de finalizar cada mes</w:t>
            </w:r>
          </w:p>
        </w:tc>
        <w:tc>
          <w:tcPr>
            <w:tcW w:w="1717" w:type="pct"/>
            <w:noWrap/>
          </w:tcPr>
          <w:p w14:paraId="459B264D" w14:textId="75DC6924" w:rsidR="00E46895" w:rsidRPr="00611D5A" w:rsidRDefault="00E46895" w:rsidP="00611D5A">
            <w:pPr>
              <w:widowControl w:val="0"/>
              <w:jc w:val="both"/>
              <w:rPr>
                <w:rFonts w:asciiTheme="majorHAnsi" w:hAnsiTheme="majorHAnsi" w:cstheme="minorHAnsi"/>
                <w:snapToGrid w:val="0"/>
                <w:sz w:val="22"/>
                <w:szCs w:val="22"/>
              </w:rPr>
            </w:pPr>
            <w:r w:rsidRPr="00611D5A">
              <w:rPr>
                <w:rFonts w:asciiTheme="majorHAnsi" w:hAnsiTheme="majorHAnsi"/>
                <w:sz w:val="22"/>
                <w:szCs w:val="22"/>
              </w:rPr>
              <w:t xml:space="preserve">Web </w:t>
            </w:r>
            <w:proofErr w:type="spellStart"/>
            <w:r w:rsidRPr="00611D5A">
              <w:rPr>
                <w:rFonts w:asciiTheme="majorHAnsi" w:hAnsiTheme="majorHAnsi"/>
                <w:sz w:val="22"/>
                <w:szCs w:val="22"/>
              </w:rPr>
              <w:t>Service</w:t>
            </w:r>
            <w:proofErr w:type="spellEnd"/>
            <w:r w:rsidRPr="00611D5A">
              <w:rPr>
                <w:rFonts w:asciiTheme="majorHAnsi" w:hAnsiTheme="majorHAnsi"/>
                <w:sz w:val="22"/>
                <w:szCs w:val="22"/>
              </w:rPr>
              <w:t>, a través de archivos *.</w:t>
            </w:r>
            <w:proofErr w:type="spellStart"/>
            <w:r w:rsidRPr="00611D5A">
              <w:rPr>
                <w:rFonts w:asciiTheme="majorHAnsi" w:hAnsiTheme="majorHAnsi"/>
                <w:sz w:val="22"/>
                <w:szCs w:val="22"/>
              </w:rPr>
              <w:t>xml</w:t>
            </w:r>
            <w:proofErr w:type="spellEnd"/>
            <w:r w:rsidRPr="00611D5A">
              <w:rPr>
                <w:rFonts w:asciiTheme="majorHAnsi" w:hAnsiTheme="majorHAnsi"/>
                <w:sz w:val="22"/>
                <w:szCs w:val="22"/>
              </w:rPr>
              <w:t xml:space="preserve"> o *.</w:t>
            </w:r>
            <w:proofErr w:type="spellStart"/>
            <w:r w:rsidRPr="00611D5A">
              <w:rPr>
                <w:rFonts w:asciiTheme="majorHAnsi" w:hAnsiTheme="majorHAnsi"/>
                <w:sz w:val="22"/>
                <w:szCs w:val="22"/>
              </w:rPr>
              <w:t>zip</w:t>
            </w:r>
            <w:proofErr w:type="spellEnd"/>
            <w:r w:rsidRPr="00611D5A">
              <w:rPr>
                <w:rFonts w:asciiTheme="majorHAnsi" w:hAnsiTheme="majorHAnsi"/>
                <w:sz w:val="22"/>
                <w:szCs w:val="22"/>
              </w:rPr>
              <w:t xml:space="preserve"> que contengan *.</w:t>
            </w:r>
            <w:proofErr w:type="spellStart"/>
            <w:r w:rsidRPr="00611D5A">
              <w:rPr>
                <w:rFonts w:asciiTheme="majorHAnsi" w:hAnsiTheme="majorHAnsi"/>
                <w:sz w:val="22"/>
                <w:szCs w:val="22"/>
              </w:rPr>
              <w:t>xml</w:t>
            </w:r>
            <w:proofErr w:type="spellEnd"/>
            <w:r w:rsidRPr="00611D5A">
              <w:rPr>
                <w:rFonts w:asciiTheme="majorHAnsi" w:hAnsiTheme="majorHAnsi"/>
                <w:sz w:val="22"/>
                <w:szCs w:val="22"/>
              </w:rPr>
              <w:t>, de conformidad con Estándar electrónico para Registro Único de Personas Beneficiarias, disponible en el  sitio web de SUGESE.</w:t>
            </w:r>
            <w:r w:rsidRPr="00611D5A">
              <w:rPr>
                <w:rFonts w:asciiTheme="majorHAnsi" w:hAnsiTheme="majorHAnsi"/>
                <w:b/>
                <w:sz w:val="22"/>
                <w:szCs w:val="22"/>
              </w:rPr>
              <w:t xml:space="preserve"> </w:t>
            </w:r>
          </w:p>
        </w:tc>
      </w:tr>
    </w:tbl>
    <w:p w14:paraId="400C9025" w14:textId="77777777" w:rsidR="00E46895" w:rsidRPr="00611D5A" w:rsidRDefault="00E46895" w:rsidP="00611D5A">
      <w:pPr>
        <w:jc w:val="both"/>
        <w:rPr>
          <w:rFonts w:asciiTheme="majorHAnsi" w:hAnsiTheme="majorHAnsi"/>
        </w:rPr>
      </w:pPr>
    </w:p>
    <w:p w14:paraId="502CE565" w14:textId="77777777" w:rsidR="00052B9A" w:rsidRPr="00611D5A" w:rsidRDefault="00052B9A" w:rsidP="00611D5A">
      <w:pPr>
        <w:jc w:val="both"/>
        <w:rPr>
          <w:rFonts w:asciiTheme="majorHAnsi" w:hAnsiTheme="majorHAnsi"/>
        </w:rPr>
      </w:pPr>
    </w:p>
    <w:p w14:paraId="21C59886" w14:textId="77777777" w:rsidR="00E46895" w:rsidRPr="00611D5A" w:rsidRDefault="00E46895" w:rsidP="00611D5A">
      <w:pPr>
        <w:jc w:val="both"/>
        <w:rPr>
          <w:rFonts w:asciiTheme="majorHAnsi" w:hAnsiTheme="majorHAnsi"/>
        </w:rPr>
      </w:pPr>
      <w:r w:rsidRPr="00611D5A">
        <w:rPr>
          <w:rFonts w:asciiTheme="majorHAnsi" w:hAnsiTheme="majorHAnsi"/>
          <w:b/>
        </w:rPr>
        <w:t>Segundo</w:t>
      </w:r>
      <w:r w:rsidRPr="00611D5A">
        <w:rPr>
          <w:rFonts w:asciiTheme="majorHAnsi" w:hAnsiTheme="majorHAnsi"/>
        </w:rPr>
        <w:t xml:space="preserve">: Modificar  el artículo 8 del Acuerdo SGS-DES-A-021-2013, las </w:t>
      </w:r>
      <w:r w:rsidRPr="00611D5A">
        <w:rPr>
          <w:rFonts w:asciiTheme="majorHAnsi" w:hAnsiTheme="majorHAnsi"/>
          <w:i/>
        </w:rPr>
        <w:t>Disposiciones para la Remisión de la Información Contable y Estadística a la Superintendencia General de Seguros por parte de las Entidades Supervisadas</w:t>
      </w:r>
      <w:r w:rsidRPr="00611D5A">
        <w:rPr>
          <w:rFonts w:asciiTheme="majorHAnsi" w:hAnsiTheme="majorHAnsi"/>
        </w:rPr>
        <w:t xml:space="preserve">,  que  en adelante se lea de la siguiente forma: </w:t>
      </w:r>
    </w:p>
    <w:p w14:paraId="5CC47FBA" w14:textId="77777777" w:rsidR="00052B9A" w:rsidRPr="00611D5A" w:rsidRDefault="00052B9A" w:rsidP="00611D5A">
      <w:pPr>
        <w:jc w:val="both"/>
        <w:rPr>
          <w:rFonts w:asciiTheme="majorHAnsi" w:hAnsiTheme="majorHAnsi"/>
        </w:rPr>
      </w:pPr>
    </w:p>
    <w:p w14:paraId="45B0FD53" w14:textId="728CEBFC" w:rsidR="00E46895" w:rsidRPr="00611D5A" w:rsidRDefault="00E46895" w:rsidP="00611D5A">
      <w:pPr>
        <w:ind w:left="708"/>
        <w:jc w:val="both"/>
        <w:rPr>
          <w:rFonts w:asciiTheme="majorHAnsi" w:hAnsiTheme="majorHAnsi"/>
          <w:b/>
          <w:i/>
        </w:rPr>
      </w:pPr>
      <w:r w:rsidRPr="00611D5A">
        <w:rPr>
          <w:rFonts w:asciiTheme="majorHAnsi" w:hAnsiTheme="majorHAnsi"/>
          <w:b/>
          <w:i/>
        </w:rPr>
        <w:t xml:space="preserve">“Artículo 8. Características, disponibilidad y procedimiento de la actualización, de los </w:t>
      </w:r>
      <w:r w:rsidR="00C32D07" w:rsidRPr="00611D5A">
        <w:rPr>
          <w:rFonts w:asciiTheme="majorHAnsi" w:hAnsiTheme="majorHAnsi"/>
          <w:b/>
          <w:i/>
        </w:rPr>
        <w:t>Estándares E</w:t>
      </w:r>
      <w:r w:rsidRPr="00611D5A">
        <w:rPr>
          <w:rFonts w:asciiTheme="majorHAnsi" w:hAnsiTheme="majorHAnsi"/>
          <w:b/>
          <w:i/>
        </w:rPr>
        <w:t>lectrónicos de los sistemas de remisión de información.</w:t>
      </w:r>
    </w:p>
    <w:p w14:paraId="31F33936" w14:textId="77777777" w:rsidR="00E46895" w:rsidRPr="00611D5A" w:rsidRDefault="00E46895" w:rsidP="00611D5A">
      <w:pPr>
        <w:jc w:val="both"/>
        <w:rPr>
          <w:rFonts w:asciiTheme="majorHAnsi" w:hAnsiTheme="majorHAnsi"/>
        </w:rPr>
      </w:pPr>
    </w:p>
    <w:p w14:paraId="5AE6A136" w14:textId="04261131" w:rsidR="00E46895" w:rsidRPr="00611D5A" w:rsidRDefault="00C32D07" w:rsidP="00611D5A">
      <w:pPr>
        <w:ind w:left="708"/>
        <w:jc w:val="both"/>
        <w:rPr>
          <w:rFonts w:asciiTheme="majorHAnsi" w:hAnsiTheme="majorHAnsi"/>
          <w:i/>
        </w:rPr>
      </w:pPr>
      <w:r w:rsidRPr="00611D5A">
        <w:rPr>
          <w:rFonts w:asciiTheme="majorHAnsi" w:hAnsiTheme="majorHAnsi"/>
          <w:i/>
        </w:rPr>
        <w:t>El Estándar E</w:t>
      </w:r>
      <w:r w:rsidR="00E46895" w:rsidRPr="00611D5A">
        <w:rPr>
          <w:rFonts w:asciiTheme="majorHAnsi" w:hAnsiTheme="majorHAnsi"/>
          <w:i/>
        </w:rPr>
        <w:t>lectrónico es el documento donde se disponen los requerimientos necesarios para la generación de los archivos XML y XSD en los sistemas de remisión de información de la Superintendencia,   estos documentos son parte integral de este acuerdo y estarán disponibles en el sitio web de la Superintendencia (</w:t>
      </w:r>
      <w:hyperlink r:id="rId16" w:history="1">
        <w:r w:rsidR="00611D5A" w:rsidRPr="00D937E4">
          <w:rPr>
            <w:rStyle w:val="Hipervnculo"/>
            <w:rFonts w:asciiTheme="majorHAnsi" w:hAnsiTheme="majorHAnsi"/>
          </w:rPr>
          <w:t>www.sugese.fi.cr</w:t>
        </w:r>
      </w:hyperlink>
      <w:r w:rsidR="00E46895" w:rsidRPr="00611D5A">
        <w:rPr>
          <w:rFonts w:asciiTheme="majorHAnsi" w:hAnsiTheme="majorHAnsi"/>
          <w:i/>
        </w:rPr>
        <w:t xml:space="preserve">), en la Sección de Marco Legal como parte de los acuerdos del Superintendente. Adicionalmente, se pondrá a disposición de  los supervisados, un documento con el resumen  de los cambios aprobados al Estándar Electrónico, cada vez que sean requeridos. </w:t>
      </w:r>
    </w:p>
    <w:p w14:paraId="5CC3713A" w14:textId="77777777" w:rsidR="00E46895" w:rsidRPr="00611D5A" w:rsidRDefault="00E46895" w:rsidP="00611D5A">
      <w:pPr>
        <w:jc w:val="both"/>
        <w:rPr>
          <w:rFonts w:asciiTheme="majorHAnsi" w:hAnsiTheme="majorHAnsi"/>
        </w:rPr>
      </w:pPr>
    </w:p>
    <w:p w14:paraId="50DBAB64" w14:textId="5C686377" w:rsidR="00E46895" w:rsidRPr="00611D5A" w:rsidRDefault="00E46895" w:rsidP="00611D5A">
      <w:pPr>
        <w:ind w:left="708"/>
        <w:jc w:val="both"/>
        <w:rPr>
          <w:rFonts w:asciiTheme="majorHAnsi" w:hAnsiTheme="majorHAnsi"/>
          <w:i/>
        </w:rPr>
      </w:pPr>
      <w:r w:rsidRPr="00611D5A">
        <w:rPr>
          <w:rFonts w:asciiTheme="majorHAnsi" w:hAnsiTheme="majorHAnsi"/>
          <w:i/>
        </w:rPr>
        <w:lastRenderedPageBreak/>
        <w:t>Las modificaciones que se efectúen a los documentos  denominados Estándar Electrónico</w:t>
      </w:r>
      <w:r w:rsidR="00963A5C" w:rsidRPr="00611D5A">
        <w:rPr>
          <w:rFonts w:asciiTheme="majorHAnsi" w:hAnsiTheme="majorHAnsi"/>
          <w:i/>
        </w:rPr>
        <w:t>,</w:t>
      </w:r>
      <w:r w:rsidRPr="00611D5A">
        <w:rPr>
          <w:rFonts w:asciiTheme="majorHAnsi" w:hAnsiTheme="majorHAnsi"/>
          <w:i/>
          <w:strike/>
        </w:rPr>
        <w:t xml:space="preserve"> </w:t>
      </w:r>
      <w:r w:rsidRPr="00611D5A">
        <w:rPr>
          <w:rFonts w:asciiTheme="majorHAnsi" w:hAnsiTheme="majorHAnsi"/>
          <w:i/>
        </w:rPr>
        <w:t xml:space="preserve">  referentes a  aspectos menores como los siguientes, se regirán por el procedimiento descrito a continuación:</w:t>
      </w:r>
    </w:p>
    <w:p w14:paraId="164AF5B2" w14:textId="77777777" w:rsidR="00E46895" w:rsidRPr="00611D5A" w:rsidRDefault="00E46895" w:rsidP="00611D5A">
      <w:pPr>
        <w:jc w:val="both"/>
        <w:rPr>
          <w:rFonts w:asciiTheme="majorHAnsi" w:hAnsiTheme="majorHAnsi"/>
        </w:rPr>
      </w:pPr>
    </w:p>
    <w:p w14:paraId="54C06363" w14:textId="77777777" w:rsidR="00E46895" w:rsidRPr="00611D5A" w:rsidRDefault="00E46895" w:rsidP="00611D5A">
      <w:pPr>
        <w:ind w:left="708"/>
        <w:jc w:val="both"/>
        <w:rPr>
          <w:rFonts w:asciiTheme="majorHAnsi" w:hAnsiTheme="majorHAnsi"/>
          <w:i/>
        </w:rPr>
      </w:pPr>
      <w:r w:rsidRPr="00611D5A">
        <w:rPr>
          <w:rFonts w:asciiTheme="majorHAnsi" w:hAnsiTheme="majorHAnsi"/>
          <w:i/>
        </w:rPr>
        <w:t>•</w:t>
      </w:r>
      <w:r w:rsidRPr="00611D5A">
        <w:rPr>
          <w:rFonts w:asciiTheme="majorHAnsi" w:hAnsiTheme="majorHAnsi"/>
          <w:i/>
        </w:rPr>
        <w:tab/>
        <w:t>Cambios en las validaciones.</w:t>
      </w:r>
    </w:p>
    <w:p w14:paraId="73B1AFDE" w14:textId="77777777" w:rsidR="00E46895" w:rsidRPr="00611D5A" w:rsidRDefault="00E46895" w:rsidP="00611D5A">
      <w:pPr>
        <w:ind w:left="708"/>
        <w:jc w:val="both"/>
        <w:rPr>
          <w:rFonts w:asciiTheme="majorHAnsi" w:hAnsiTheme="majorHAnsi"/>
          <w:i/>
        </w:rPr>
      </w:pPr>
      <w:r w:rsidRPr="00611D5A">
        <w:rPr>
          <w:rFonts w:asciiTheme="majorHAnsi" w:hAnsiTheme="majorHAnsi"/>
          <w:i/>
        </w:rPr>
        <w:t>•</w:t>
      </w:r>
      <w:r w:rsidRPr="00611D5A">
        <w:rPr>
          <w:rFonts w:asciiTheme="majorHAnsi" w:hAnsiTheme="majorHAnsi"/>
          <w:i/>
        </w:rPr>
        <w:tab/>
        <w:t xml:space="preserve">Cambios en las descripciones de los atributos o elementos.  </w:t>
      </w:r>
    </w:p>
    <w:p w14:paraId="02B4CEDD" w14:textId="77777777" w:rsidR="00E46895" w:rsidRPr="00611D5A" w:rsidRDefault="00E46895" w:rsidP="00611D5A">
      <w:pPr>
        <w:ind w:left="708"/>
        <w:jc w:val="both"/>
        <w:rPr>
          <w:rFonts w:asciiTheme="majorHAnsi" w:hAnsiTheme="majorHAnsi"/>
          <w:i/>
        </w:rPr>
      </w:pPr>
      <w:r w:rsidRPr="00611D5A">
        <w:rPr>
          <w:rFonts w:asciiTheme="majorHAnsi" w:hAnsiTheme="majorHAnsi"/>
          <w:i/>
        </w:rPr>
        <w:t>•</w:t>
      </w:r>
      <w:r w:rsidRPr="00611D5A">
        <w:rPr>
          <w:rFonts w:asciiTheme="majorHAnsi" w:hAnsiTheme="majorHAnsi"/>
          <w:i/>
        </w:rPr>
        <w:tab/>
        <w:t>Modificaciones de cambios de las tablas o los catálogos.</w:t>
      </w:r>
    </w:p>
    <w:p w14:paraId="6D70A775" w14:textId="77777777" w:rsidR="00E46895" w:rsidRPr="00611D5A" w:rsidRDefault="00E46895" w:rsidP="00611D5A">
      <w:pPr>
        <w:jc w:val="both"/>
        <w:rPr>
          <w:rFonts w:asciiTheme="majorHAnsi" w:hAnsiTheme="majorHAnsi"/>
        </w:rPr>
      </w:pPr>
    </w:p>
    <w:p w14:paraId="15D53609" w14:textId="77284E08" w:rsidR="00E46895" w:rsidRPr="00611D5A" w:rsidRDefault="00E46895" w:rsidP="00611D5A">
      <w:pPr>
        <w:ind w:left="708"/>
        <w:jc w:val="both"/>
        <w:rPr>
          <w:rFonts w:asciiTheme="majorHAnsi" w:hAnsiTheme="majorHAnsi"/>
          <w:i/>
        </w:rPr>
      </w:pPr>
      <w:r w:rsidRPr="00611D5A">
        <w:rPr>
          <w:rFonts w:asciiTheme="majorHAnsi" w:hAnsiTheme="majorHAnsi"/>
          <w:i/>
        </w:rPr>
        <w:t xml:space="preserve">La  actualización del Estándar Electrónico en aspectos como los señalados será comunicada  a las entidades supervisadas por la </w:t>
      </w:r>
      <w:proofErr w:type="spellStart"/>
      <w:r w:rsidRPr="00611D5A">
        <w:rPr>
          <w:rFonts w:asciiTheme="majorHAnsi" w:hAnsiTheme="majorHAnsi"/>
          <w:i/>
        </w:rPr>
        <w:t>S</w:t>
      </w:r>
      <w:r w:rsidR="004A54B6" w:rsidRPr="00611D5A">
        <w:rPr>
          <w:rFonts w:asciiTheme="majorHAnsi" w:hAnsiTheme="majorHAnsi"/>
          <w:i/>
        </w:rPr>
        <w:t>ugese</w:t>
      </w:r>
      <w:proofErr w:type="spellEnd"/>
      <w:r w:rsidRPr="00611D5A">
        <w:rPr>
          <w:rFonts w:asciiTheme="majorHAnsi" w:hAnsiTheme="majorHAnsi"/>
          <w:i/>
        </w:rPr>
        <w:t>,  cuando sea requerido, mediante un oficio.</w:t>
      </w:r>
    </w:p>
    <w:p w14:paraId="2F86AB7F" w14:textId="77777777" w:rsidR="00E46895" w:rsidRPr="00611D5A" w:rsidRDefault="00E46895" w:rsidP="00611D5A">
      <w:pPr>
        <w:jc w:val="both"/>
        <w:rPr>
          <w:rFonts w:asciiTheme="majorHAnsi" w:hAnsiTheme="majorHAnsi"/>
        </w:rPr>
      </w:pPr>
    </w:p>
    <w:p w14:paraId="5C6DF1C4" w14:textId="77777777" w:rsidR="00E46895" w:rsidRPr="00611D5A" w:rsidRDefault="00E46895" w:rsidP="00611D5A">
      <w:pPr>
        <w:ind w:left="708"/>
        <w:jc w:val="both"/>
        <w:rPr>
          <w:rFonts w:asciiTheme="majorHAnsi" w:hAnsiTheme="majorHAnsi"/>
          <w:i/>
        </w:rPr>
      </w:pPr>
      <w:r w:rsidRPr="00611D5A">
        <w:rPr>
          <w:rFonts w:asciiTheme="majorHAnsi" w:hAnsiTheme="majorHAnsi"/>
          <w:i/>
        </w:rPr>
        <w:t xml:space="preserve">Dentro del plazo de diez días hábiles posteriores a dicha comunicación las entidades podrán remitir sus objeciones debidamente justificadas a las modificaciones propuestas, en caso de requerirlo, transcurrido este plazo se tomarán como aceptadas las modificaciones. </w:t>
      </w:r>
    </w:p>
    <w:p w14:paraId="00E0C2C0" w14:textId="77777777" w:rsidR="00E46895" w:rsidRPr="00611D5A" w:rsidRDefault="00E46895" w:rsidP="00611D5A">
      <w:pPr>
        <w:jc w:val="both"/>
        <w:rPr>
          <w:rFonts w:asciiTheme="majorHAnsi" w:hAnsiTheme="majorHAnsi"/>
        </w:rPr>
      </w:pPr>
    </w:p>
    <w:p w14:paraId="499BEB5C" w14:textId="05F5870E" w:rsidR="00E46895" w:rsidRPr="00611D5A" w:rsidRDefault="00E46895" w:rsidP="00611D5A">
      <w:pPr>
        <w:ind w:left="708"/>
        <w:jc w:val="both"/>
        <w:rPr>
          <w:rFonts w:asciiTheme="majorHAnsi" w:hAnsiTheme="majorHAnsi"/>
          <w:i/>
        </w:rPr>
      </w:pPr>
      <w:r w:rsidRPr="00611D5A">
        <w:rPr>
          <w:rFonts w:asciiTheme="majorHAnsi" w:hAnsiTheme="majorHAnsi"/>
          <w:i/>
        </w:rPr>
        <w:t>Cualquier cambio en el Estándar Electrónico entrará en vigencia un mes después de informado al medio por parte de la Superintendencia, por los medios de comunicación dispuestos para ello o bien cuando se acepte alguna observación en el plazo que  ésta considere.</w:t>
      </w:r>
    </w:p>
    <w:p w14:paraId="7DA0F752" w14:textId="77777777" w:rsidR="00E46895" w:rsidRPr="00611D5A" w:rsidRDefault="00E46895" w:rsidP="00611D5A">
      <w:pPr>
        <w:jc w:val="both"/>
        <w:rPr>
          <w:rFonts w:asciiTheme="majorHAnsi" w:hAnsiTheme="majorHAnsi"/>
        </w:rPr>
      </w:pPr>
    </w:p>
    <w:p w14:paraId="5CB43DA0" w14:textId="2724E609" w:rsidR="00052B9A" w:rsidRPr="00611D5A" w:rsidRDefault="00E46895" w:rsidP="00611D5A">
      <w:pPr>
        <w:ind w:left="708"/>
        <w:jc w:val="both"/>
        <w:rPr>
          <w:rFonts w:asciiTheme="majorHAnsi" w:hAnsiTheme="majorHAnsi"/>
          <w:i/>
        </w:rPr>
      </w:pPr>
      <w:r w:rsidRPr="00611D5A">
        <w:rPr>
          <w:rFonts w:asciiTheme="majorHAnsi" w:hAnsiTheme="majorHAnsi"/>
          <w:i/>
        </w:rPr>
        <w:t>Este procedimiento no aplica para modificaciones</w:t>
      </w:r>
      <w:r w:rsidR="00C32D07" w:rsidRPr="00611D5A">
        <w:rPr>
          <w:rFonts w:asciiTheme="majorHAnsi" w:hAnsiTheme="majorHAnsi"/>
          <w:i/>
        </w:rPr>
        <w:t xml:space="preserve"> del E</w:t>
      </w:r>
      <w:r w:rsidRPr="00611D5A">
        <w:rPr>
          <w:rFonts w:asciiTheme="majorHAnsi" w:hAnsiTheme="majorHAnsi"/>
          <w:i/>
        </w:rPr>
        <w:t xml:space="preserve">stándar de </w:t>
      </w:r>
      <w:r w:rsidR="00C32D07" w:rsidRPr="00611D5A">
        <w:rPr>
          <w:rFonts w:asciiTheme="majorHAnsi" w:hAnsiTheme="majorHAnsi"/>
          <w:i/>
        </w:rPr>
        <w:t>N</w:t>
      </w:r>
      <w:r w:rsidRPr="00611D5A">
        <w:rPr>
          <w:rFonts w:asciiTheme="majorHAnsi" w:hAnsiTheme="majorHAnsi"/>
          <w:i/>
        </w:rPr>
        <w:t>egocio o la introducción de nuevos modelos en cualquiera de los servicios de remisión de información, ni cambios que afecten la información histórica ya remitida.”</w:t>
      </w:r>
    </w:p>
    <w:p w14:paraId="49B7A170" w14:textId="77777777" w:rsidR="00E46895" w:rsidRPr="00611D5A" w:rsidRDefault="00E46895" w:rsidP="00611D5A">
      <w:pPr>
        <w:jc w:val="both"/>
        <w:rPr>
          <w:rFonts w:asciiTheme="majorHAnsi" w:hAnsiTheme="majorHAnsi"/>
        </w:rPr>
      </w:pPr>
    </w:p>
    <w:p w14:paraId="0AEC0CF8" w14:textId="77777777" w:rsidR="00052B9A" w:rsidRPr="00611D5A" w:rsidRDefault="00052B9A" w:rsidP="00611D5A">
      <w:pPr>
        <w:jc w:val="both"/>
        <w:rPr>
          <w:rFonts w:asciiTheme="majorHAnsi" w:hAnsiTheme="majorHAnsi"/>
        </w:rPr>
      </w:pPr>
      <w:r w:rsidRPr="00611D5A">
        <w:rPr>
          <w:rFonts w:asciiTheme="majorHAnsi" w:hAnsiTheme="majorHAnsi"/>
          <w:b/>
        </w:rPr>
        <w:t xml:space="preserve">Tercero: </w:t>
      </w:r>
      <w:r w:rsidRPr="00611D5A">
        <w:rPr>
          <w:rFonts w:asciiTheme="majorHAnsi" w:hAnsiTheme="majorHAnsi"/>
        </w:rPr>
        <w:t xml:space="preserve">Adicionar al Acuerdo SGS-DES-A-021-2013, </w:t>
      </w:r>
      <w:r w:rsidRPr="00611D5A">
        <w:rPr>
          <w:rFonts w:asciiTheme="majorHAnsi" w:hAnsiTheme="majorHAnsi"/>
          <w:i/>
        </w:rPr>
        <w:t xml:space="preserve">Disposiciones para la Remisión de la Información Contable y Estadística a la Superintendencia General de Seguros por parte de las Entidades Supervisadas, </w:t>
      </w:r>
      <w:r w:rsidRPr="00611D5A">
        <w:rPr>
          <w:rFonts w:asciiTheme="majorHAnsi" w:hAnsiTheme="majorHAnsi"/>
        </w:rPr>
        <w:t>los siguientes dos artículos que llevarán los números 9 y 10 y se ajusta  la numeración de los siguientes:</w:t>
      </w:r>
    </w:p>
    <w:p w14:paraId="12D83168" w14:textId="77777777" w:rsidR="00052B9A" w:rsidRPr="00611D5A" w:rsidRDefault="00052B9A" w:rsidP="00611D5A">
      <w:pPr>
        <w:jc w:val="both"/>
        <w:rPr>
          <w:rFonts w:asciiTheme="majorHAnsi" w:hAnsiTheme="majorHAnsi"/>
        </w:rPr>
      </w:pPr>
    </w:p>
    <w:p w14:paraId="6608480E" w14:textId="5E7CAAA7" w:rsidR="00E46895" w:rsidRPr="00611D5A" w:rsidRDefault="003A42C0" w:rsidP="00611D5A">
      <w:pPr>
        <w:ind w:left="708" w:right="33"/>
        <w:jc w:val="both"/>
        <w:rPr>
          <w:rFonts w:asciiTheme="majorHAnsi" w:hAnsiTheme="majorHAnsi"/>
          <w:i/>
        </w:rPr>
      </w:pPr>
      <w:r w:rsidRPr="00611D5A">
        <w:rPr>
          <w:rFonts w:asciiTheme="majorHAnsi" w:hAnsiTheme="majorHAnsi"/>
          <w:b/>
          <w:i/>
        </w:rPr>
        <w:t>“</w:t>
      </w:r>
      <w:r w:rsidR="00E46895" w:rsidRPr="00611D5A">
        <w:rPr>
          <w:rFonts w:asciiTheme="majorHAnsi" w:hAnsiTheme="majorHAnsi"/>
          <w:b/>
          <w:i/>
        </w:rPr>
        <w:t>Artículo 9</w:t>
      </w:r>
      <w:r w:rsidR="00E46895" w:rsidRPr="00611D5A">
        <w:rPr>
          <w:rFonts w:asciiTheme="majorHAnsi" w:hAnsiTheme="majorHAnsi"/>
          <w:i/>
        </w:rPr>
        <w:t xml:space="preserve">. </w:t>
      </w:r>
      <w:r w:rsidR="00E46895" w:rsidRPr="00611D5A">
        <w:rPr>
          <w:rFonts w:asciiTheme="majorHAnsi" w:hAnsiTheme="majorHAnsi"/>
          <w:b/>
          <w:i/>
        </w:rPr>
        <w:t>Corrección de información  financiera o contable</w:t>
      </w:r>
    </w:p>
    <w:p w14:paraId="66C11BE6" w14:textId="77777777" w:rsidR="00E46895" w:rsidRPr="00611D5A" w:rsidRDefault="00E46895" w:rsidP="00611D5A">
      <w:pPr>
        <w:jc w:val="both"/>
        <w:rPr>
          <w:rFonts w:asciiTheme="majorHAnsi" w:hAnsiTheme="majorHAnsi"/>
        </w:rPr>
      </w:pPr>
    </w:p>
    <w:p w14:paraId="19582617" w14:textId="7360D21C" w:rsidR="00E46895" w:rsidRPr="00611D5A" w:rsidRDefault="00E46895" w:rsidP="00611D5A">
      <w:pPr>
        <w:ind w:left="708" w:right="33"/>
        <w:jc w:val="both"/>
        <w:rPr>
          <w:rFonts w:asciiTheme="majorHAnsi" w:hAnsiTheme="majorHAnsi"/>
          <w:i/>
        </w:rPr>
      </w:pPr>
      <w:r w:rsidRPr="00611D5A">
        <w:rPr>
          <w:rFonts w:asciiTheme="majorHAnsi" w:hAnsiTheme="majorHAnsi"/>
          <w:i/>
        </w:rPr>
        <w:t xml:space="preserve">La corrección de la información financiera y contable de las entidades supervisadas descrita en </w:t>
      </w:r>
      <w:r w:rsidR="00671911" w:rsidRPr="00611D5A">
        <w:rPr>
          <w:rFonts w:asciiTheme="majorHAnsi" w:hAnsiTheme="majorHAnsi"/>
          <w:i/>
        </w:rPr>
        <w:t>los</w:t>
      </w:r>
      <w:r w:rsidRPr="00611D5A">
        <w:rPr>
          <w:rFonts w:asciiTheme="majorHAnsi" w:hAnsiTheme="majorHAnsi"/>
          <w:i/>
        </w:rPr>
        <w:t xml:space="preserve"> artículo</w:t>
      </w:r>
      <w:r w:rsidR="00671911" w:rsidRPr="00611D5A">
        <w:rPr>
          <w:rFonts w:asciiTheme="majorHAnsi" w:hAnsiTheme="majorHAnsi"/>
          <w:i/>
        </w:rPr>
        <w:t>s</w:t>
      </w:r>
      <w:r w:rsidRPr="00611D5A">
        <w:rPr>
          <w:rFonts w:asciiTheme="majorHAnsi" w:hAnsiTheme="majorHAnsi"/>
          <w:i/>
        </w:rPr>
        <w:t xml:space="preserve"> 2 y 3 de  este acuerdo, a solicitud de la Superintendencia,  se regirá por lo dispuesto en el Reglamento Relativo a la Información Financiera de Entidades, Grupos y Conglomerados Financieros.   Además se constituirá en un hecho relevante y se comunicará según la normativa que emita el Superintendente para estos efectos.</w:t>
      </w:r>
    </w:p>
    <w:p w14:paraId="65BA0A88" w14:textId="77777777" w:rsidR="00E46895" w:rsidRPr="00611D5A" w:rsidRDefault="00E46895" w:rsidP="00611D5A">
      <w:pPr>
        <w:jc w:val="both"/>
        <w:rPr>
          <w:rFonts w:asciiTheme="majorHAnsi" w:hAnsiTheme="majorHAnsi"/>
        </w:rPr>
      </w:pPr>
    </w:p>
    <w:p w14:paraId="2D32FCDE" w14:textId="77777777" w:rsidR="00E46895" w:rsidRPr="00611D5A" w:rsidRDefault="00E46895" w:rsidP="00611D5A">
      <w:pPr>
        <w:ind w:left="708" w:right="-115"/>
        <w:jc w:val="both"/>
        <w:rPr>
          <w:rFonts w:asciiTheme="majorHAnsi" w:hAnsiTheme="majorHAnsi"/>
          <w:b/>
          <w:i/>
        </w:rPr>
      </w:pPr>
      <w:r w:rsidRPr="00611D5A">
        <w:rPr>
          <w:rFonts w:asciiTheme="majorHAnsi" w:hAnsiTheme="majorHAnsi"/>
          <w:b/>
          <w:i/>
        </w:rPr>
        <w:t xml:space="preserve">Artículo 10.  Procedimiento de Sustitución de Información </w:t>
      </w:r>
    </w:p>
    <w:p w14:paraId="181B94FC" w14:textId="77777777" w:rsidR="00E46895" w:rsidRPr="00611D5A" w:rsidRDefault="00E46895" w:rsidP="00611D5A">
      <w:pPr>
        <w:jc w:val="both"/>
        <w:rPr>
          <w:rFonts w:asciiTheme="majorHAnsi" w:hAnsiTheme="majorHAnsi"/>
        </w:rPr>
      </w:pPr>
    </w:p>
    <w:p w14:paraId="752F5432" w14:textId="77777777" w:rsidR="00E46895" w:rsidRPr="00611D5A" w:rsidRDefault="00E46895" w:rsidP="00611D5A">
      <w:pPr>
        <w:ind w:left="709" w:right="34"/>
        <w:jc w:val="both"/>
        <w:rPr>
          <w:rFonts w:asciiTheme="majorHAnsi" w:hAnsiTheme="majorHAnsi"/>
          <w:i/>
        </w:rPr>
      </w:pPr>
      <w:r w:rsidRPr="00611D5A">
        <w:rPr>
          <w:rFonts w:asciiTheme="majorHAnsi" w:hAnsiTheme="majorHAnsi"/>
          <w:i/>
        </w:rPr>
        <w:t>Si por circunstancias de fuerza mayor o caso fortuito, que no sean atribuibles a fallas técnicas en los equipos informáticos de la Superintendencia, la entidad supervisada debiera realizar una solicitud de sustitución de información requerida en el artículo 2 o 3 de este acuerdo</w:t>
      </w:r>
      <w:r w:rsidRPr="00611D5A">
        <w:rPr>
          <w:rFonts w:asciiTheme="majorHAnsi" w:hAnsiTheme="majorHAnsi"/>
          <w:b/>
          <w:i/>
        </w:rPr>
        <w:t xml:space="preserve">  </w:t>
      </w:r>
      <w:r w:rsidRPr="00611D5A">
        <w:rPr>
          <w:rFonts w:asciiTheme="majorHAnsi" w:hAnsiTheme="majorHAnsi"/>
          <w:i/>
        </w:rPr>
        <w:t>deberá cumplir con los siguientes pasos:</w:t>
      </w:r>
    </w:p>
    <w:p w14:paraId="33BDFB66" w14:textId="77777777" w:rsidR="00E46895" w:rsidRPr="00611D5A" w:rsidRDefault="00E46895" w:rsidP="00611D5A">
      <w:pPr>
        <w:jc w:val="both"/>
        <w:rPr>
          <w:rFonts w:asciiTheme="majorHAnsi" w:hAnsiTheme="majorHAnsi"/>
        </w:rPr>
      </w:pPr>
    </w:p>
    <w:p w14:paraId="1A624E00" w14:textId="77777777" w:rsidR="00E46895" w:rsidRPr="00611D5A" w:rsidRDefault="00E46895" w:rsidP="00611D5A">
      <w:pPr>
        <w:pStyle w:val="Prrafodelista"/>
        <w:numPr>
          <w:ilvl w:val="0"/>
          <w:numId w:val="2"/>
        </w:numPr>
        <w:ind w:left="1068" w:right="33"/>
        <w:jc w:val="both"/>
        <w:rPr>
          <w:rFonts w:asciiTheme="majorHAnsi" w:eastAsiaTheme="minorHAnsi" w:hAnsiTheme="majorHAnsi" w:cstheme="minorBidi"/>
          <w:i/>
          <w:lang w:val="es-CR" w:eastAsia="en-US"/>
        </w:rPr>
      </w:pPr>
      <w:r w:rsidRPr="00611D5A">
        <w:rPr>
          <w:rFonts w:asciiTheme="majorHAnsi" w:eastAsiaTheme="minorHAnsi" w:hAnsiTheme="majorHAnsi" w:cstheme="minorBidi"/>
          <w:i/>
          <w:lang w:val="es-CR" w:eastAsia="en-US"/>
        </w:rPr>
        <w:t xml:space="preserve">Si la información a sustituir corresponde a alguno de los modelos del SSS, se debe realizar mediante este sistema, una  solicitud de sustitución. Dicha solicitud debe ser aprobada por un Representante Legal o el Gerente General de la entidad,  registrados en el Servicio  de Registro  Roles de </w:t>
      </w:r>
      <w:proofErr w:type="spellStart"/>
      <w:r w:rsidRPr="00611D5A">
        <w:rPr>
          <w:rFonts w:asciiTheme="majorHAnsi" w:eastAsiaTheme="minorHAnsi" w:hAnsiTheme="majorHAnsi" w:cstheme="minorBidi"/>
          <w:i/>
          <w:lang w:val="es-CR" w:eastAsia="en-US"/>
        </w:rPr>
        <w:t>Sugese</w:t>
      </w:r>
      <w:proofErr w:type="spellEnd"/>
      <w:r w:rsidRPr="00611D5A">
        <w:rPr>
          <w:rFonts w:asciiTheme="majorHAnsi" w:eastAsiaTheme="minorHAnsi" w:hAnsiTheme="majorHAnsi" w:cstheme="minorBidi"/>
          <w:i/>
          <w:lang w:val="es-CR" w:eastAsia="en-US"/>
        </w:rPr>
        <w:t xml:space="preserve"> en Línea.  </w:t>
      </w:r>
    </w:p>
    <w:p w14:paraId="48571697" w14:textId="77777777" w:rsidR="00E46895" w:rsidRPr="00611D5A" w:rsidRDefault="00E46895" w:rsidP="00611D5A">
      <w:pPr>
        <w:pStyle w:val="Prrafodelista"/>
        <w:numPr>
          <w:ilvl w:val="0"/>
          <w:numId w:val="2"/>
        </w:numPr>
        <w:ind w:left="1068" w:right="33"/>
        <w:jc w:val="both"/>
        <w:rPr>
          <w:rFonts w:asciiTheme="majorHAnsi" w:eastAsiaTheme="minorHAnsi" w:hAnsiTheme="majorHAnsi" w:cstheme="minorBidi"/>
          <w:i/>
          <w:lang w:val="es-CR" w:eastAsia="en-US"/>
        </w:rPr>
      </w:pPr>
      <w:r w:rsidRPr="00611D5A">
        <w:rPr>
          <w:rFonts w:asciiTheme="majorHAnsi" w:eastAsiaTheme="minorHAnsi" w:hAnsiTheme="majorHAnsi" w:cstheme="minorBidi"/>
          <w:i/>
          <w:lang w:val="es-CR" w:eastAsia="en-US"/>
        </w:rPr>
        <w:t xml:space="preserve">Si la información a sustituir corresponde a cualquier otro tipo de información de la descrita en este Acuerdo, se debe enviar un oficio dirigido al Superintendente, suscrito mediante firma digital por un Representante Legal o el Gerente General de la entidad, en donde se solicite la sustitución de la información. </w:t>
      </w:r>
    </w:p>
    <w:p w14:paraId="500A685C" w14:textId="77777777" w:rsidR="00E46895" w:rsidRPr="00611D5A" w:rsidRDefault="00E46895" w:rsidP="00611D5A">
      <w:pPr>
        <w:pStyle w:val="Prrafodelista"/>
        <w:numPr>
          <w:ilvl w:val="0"/>
          <w:numId w:val="2"/>
        </w:numPr>
        <w:ind w:left="1068" w:right="33"/>
        <w:jc w:val="both"/>
        <w:rPr>
          <w:rFonts w:asciiTheme="majorHAnsi" w:eastAsiaTheme="minorHAnsi" w:hAnsiTheme="majorHAnsi" w:cstheme="minorBidi"/>
          <w:i/>
          <w:lang w:val="es-CR" w:eastAsia="en-US"/>
        </w:rPr>
      </w:pPr>
      <w:r w:rsidRPr="00611D5A">
        <w:rPr>
          <w:rFonts w:asciiTheme="majorHAnsi" w:eastAsiaTheme="minorHAnsi" w:hAnsiTheme="majorHAnsi" w:cstheme="minorBidi"/>
          <w:i/>
          <w:lang w:val="es-CR" w:eastAsia="en-US"/>
        </w:rPr>
        <w:t>En cualquiera de los dos casos anteriormente señalados, la solicitud debe estar  debidamente justificada y demostrar que los motivos de su petición se basan en circunstancias de fuerza mayor. La solicitud debe detallar el cambio que se va a realizar, especificando las variables que serán afectadas y los montos.</w:t>
      </w:r>
    </w:p>
    <w:p w14:paraId="3A527288" w14:textId="77777777" w:rsidR="00E46895" w:rsidRPr="00611D5A" w:rsidRDefault="00E46895" w:rsidP="00611D5A">
      <w:pPr>
        <w:pStyle w:val="Prrafodelista"/>
        <w:numPr>
          <w:ilvl w:val="0"/>
          <w:numId w:val="2"/>
        </w:numPr>
        <w:ind w:left="1068" w:right="33"/>
        <w:jc w:val="both"/>
        <w:rPr>
          <w:rFonts w:asciiTheme="majorHAnsi" w:eastAsiaTheme="minorHAnsi" w:hAnsiTheme="majorHAnsi" w:cstheme="minorBidi"/>
          <w:i/>
          <w:lang w:val="es-CR" w:eastAsia="en-US"/>
        </w:rPr>
      </w:pPr>
      <w:r w:rsidRPr="00611D5A">
        <w:rPr>
          <w:rFonts w:asciiTheme="majorHAnsi" w:eastAsiaTheme="minorHAnsi" w:hAnsiTheme="majorHAnsi" w:cstheme="minorBidi"/>
          <w:i/>
          <w:lang w:val="es-CR" w:eastAsia="en-US"/>
        </w:rPr>
        <w:t>La Superintendencia valorará la solicitud  en un plazo máximo de tres días hábiles y la aprobará o rechazará, según corresponda.</w:t>
      </w:r>
    </w:p>
    <w:p w14:paraId="3B977031" w14:textId="2CD0F71E" w:rsidR="00E46895" w:rsidRPr="00611D5A" w:rsidRDefault="00E46895" w:rsidP="00611D5A">
      <w:pPr>
        <w:pStyle w:val="Prrafodelista"/>
        <w:numPr>
          <w:ilvl w:val="0"/>
          <w:numId w:val="2"/>
        </w:numPr>
        <w:ind w:left="1068" w:right="33"/>
        <w:jc w:val="both"/>
        <w:rPr>
          <w:rFonts w:asciiTheme="majorHAnsi" w:eastAsiaTheme="minorHAnsi" w:hAnsiTheme="majorHAnsi" w:cstheme="minorBidi"/>
          <w:i/>
          <w:lang w:val="es-CR" w:eastAsia="en-US"/>
        </w:rPr>
      </w:pPr>
      <w:r w:rsidRPr="00611D5A">
        <w:rPr>
          <w:rFonts w:asciiTheme="majorHAnsi" w:eastAsiaTheme="minorHAnsi" w:hAnsiTheme="majorHAnsi" w:cstheme="minorBidi"/>
          <w:i/>
          <w:lang w:val="es-CR" w:eastAsia="en-US"/>
        </w:rPr>
        <w:t xml:space="preserve">Cuando a criterio de la Superintendencia la información recibida requiera correcciones que ameriten su sustitución o en caso de que por fuerza mayor la entidad  deba sustituir información de carácter público, la cual es publicada por la entidad supervisada o por la Superintendencia, la entidad deberá comunicarlo como hecho relevante y realizará la publicación  en su página web en la que se detallarán las causas, los periodos y los cambios generados en las cuentas.  De igual forma,  cuando la entidad realice una sustitución de información, la </w:t>
      </w:r>
      <w:proofErr w:type="spellStart"/>
      <w:r w:rsidRPr="00611D5A">
        <w:rPr>
          <w:rFonts w:asciiTheme="majorHAnsi" w:eastAsiaTheme="minorHAnsi" w:hAnsiTheme="majorHAnsi" w:cstheme="minorBidi"/>
          <w:i/>
          <w:lang w:val="es-CR" w:eastAsia="en-US"/>
        </w:rPr>
        <w:t>Sugese</w:t>
      </w:r>
      <w:proofErr w:type="spellEnd"/>
      <w:r w:rsidRPr="00611D5A">
        <w:rPr>
          <w:rFonts w:asciiTheme="majorHAnsi" w:eastAsiaTheme="minorHAnsi" w:hAnsiTheme="majorHAnsi" w:cstheme="minorBidi"/>
          <w:i/>
          <w:lang w:val="es-CR" w:eastAsia="en-US"/>
        </w:rPr>
        <w:t xml:space="preserve"> publicará este hecho en su página web.</w:t>
      </w:r>
      <w:r w:rsidR="003A42C0" w:rsidRPr="00611D5A">
        <w:rPr>
          <w:rFonts w:asciiTheme="majorHAnsi" w:eastAsiaTheme="minorHAnsi" w:hAnsiTheme="majorHAnsi" w:cstheme="minorBidi"/>
          <w:i/>
          <w:lang w:val="es-CR" w:eastAsia="en-US"/>
        </w:rPr>
        <w:t>”</w:t>
      </w:r>
    </w:p>
    <w:p w14:paraId="15B1C0C6" w14:textId="77777777" w:rsidR="00E46895" w:rsidRPr="00611D5A" w:rsidRDefault="00E46895" w:rsidP="00611D5A">
      <w:pPr>
        <w:jc w:val="both"/>
        <w:rPr>
          <w:rFonts w:asciiTheme="majorHAnsi" w:hAnsiTheme="majorHAnsi"/>
        </w:rPr>
      </w:pPr>
    </w:p>
    <w:p w14:paraId="2775F682" w14:textId="020B3291" w:rsidR="00E46895" w:rsidRPr="00611D5A" w:rsidRDefault="00E46895" w:rsidP="00611D5A">
      <w:pPr>
        <w:jc w:val="both"/>
        <w:rPr>
          <w:rFonts w:asciiTheme="majorHAnsi" w:hAnsiTheme="majorHAnsi"/>
        </w:rPr>
      </w:pPr>
      <w:r w:rsidRPr="00611D5A">
        <w:rPr>
          <w:rFonts w:asciiTheme="majorHAnsi" w:hAnsiTheme="majorHAnsi"/>
          <w:b/>
        </w:rPr>
        <w:t>Cuarto:</w:t>
      </w:r>
      <w:r w:rsidRPr="00611D5A">
        <w:rPr>
          <w:rFonts w:asciiTheme="majorHAnsi" w:hAnsiTheme="majorHAnsi"/>
        </w:rPr>
        <w:t xml:space="preserve"> Actualizar y publicar en el sitio web de la Superintendencia el</w:t>
      </w:r>
      <w:r w:rsidR="002D04CB" w:rsidRPr="00611D5A">
        <w:rPr>
          <w:rFonts w:asciiTheme="majorHAnsi" w:hAnsiTheme="majorHAnsi"/>
        </w:rPr>
        <w:t xml:space="preserve"> E</w:t>
      </w:r>
      <w:r w:rsidRPr="00611D5A">
        <w:rPr>
          <w:rFonts w:asciiTheme="majorHAnsi" w:hAnsiTheme="majorHAnsi"/>
        </w:rPr>
        <w:t xml:space="preserve">stándar </w:t>
      </w:r>
      <w:r w:rsidR="002D04CB" w:rsidRPr="00611D5A">
        <w:rPr>
          <w:rFonts w:asciiTheme="majorHAnsi" w:hAnsiTheme="majorHAnsi"/>
        </w:rPr>
        <w:t>E</w:t>
      </w:r>
      <w:r w:rsidRPr="00611D5A">
        <w:rPr>
          <w:rFonts w:asciiTheme="majorHAnsi" w:hAnsiTheme="majorHAnsi"/>
        </w:rPr>
        <w:t>lectrónico  del Sistema de Supervisión de seguros y un documento que resume las modificaciones requeridas, así como el Estándar Electrónico del Registro Único de Personas Beneficiarias, de acuerdo con el siguiente archivo:</w:t>
      </w:r>
    </w:p>
    <w:p w14:paraId="38F841AB" w14:textId="6AA4D92B" w:rsidR="00E3124F" w:rsidRDefault="00E3124F">
      <w:pPr>
        <w:spacing w:after="200" w:line="276" w:lineRule="auto"/>
        <w:rPr>
          <w:rFonts w:asciiTheme="majorHAnsi" w:hAnsiTheme="majorHAnsi"/>
        </w:rPr>
      </w:pPr>
      <w:r>
        <w:rPr>
          <w:rFonts w:asciiTheme="majorHAnsi" w:hAnsiTheme="majorHAnsi"/>
        </w:rPr>
        <w:br w:type="page"/>
      </w:r>
    </w:p>
    <w:p w14:paraId="512C2E65" w14:textId="77777777" w:rsidR="00052B9A" w:rsidRPr="00611D5A" w:rsidRDefault="00052B9A" w:rsidP="00611D5A">
      <w:pPr>
        <w:jc w:val="both"/>
        <w:rPr>
          <w:rFonts w:asciiTheme="majorHAnsi" w:hAnsiTheme="majorHAnsi"/>
        </w:rPr>
      </w:pPr>
    </w:p>
    <w:p w14:paraId="4D16CB26" w14:textId="77777777" w:rsidR="00052B9A" w:rsidRPr="00611D5A" w:rsidRDefault="00052B9A" w:rsidP="00E3124F">
      <w:pPr>
        <w:jc w:val="center"/>
        <w:rPr>
          <w:rFonts w:asciiTheme="majorHAnsi" w:hAnsiTheme="majorHAnsi"/>
          <w:b/>
        </w:rPr>
      </w:pPr>
      <w:r w:rsidRPr="00611D5A">
        <w:rPr>
          <w:rFonts w:asciiTheme="majorHAnsi" w:hAnsiTheme="majorHAnsi"/>
          <w:b/>
        </w:rPr>
        <w:t>Sistema de Supervisión de Seguros</w:t>
      </w:r>
    </w:p>
    <w:p w14:paraId="1A29A27F" w14:textId="77777777" w:rsidR="0084346E" w:rsidRPr="0084346E" w:rsidRDefault="0084346E" w:rsidP="0084346E">
      <w:pPr>
        <w:jc w:val="both"/>
        <w:rPr>
          <w:rFonts w:asciiTheme="majorHAnsi" w:hAnsiTheme="majorHAnsi"/>
        </w:rPr>
      </w:pPr>
      <w:bookmarkStart w:id="0" w:name="_1497168480"/>
      <w:bookmarkEnd w:id="0"/>
    </w:p>
    <w:bookmarkStart w:id="1" w:name="_MON_1497254962"/>
    <w:bookmarkEnd w:id="1"/>
    <w:p w14:paraId="7E7C53C8" w14:textId="4FE105E1" w:rsidR="00052B9A" w:rsidRPr="00611D5A" w:rsidRDefault="0084346E" w:rsidP="00E3124F">
      <w:pPr>
        <w:jc w:val="center"/>
        <w:rPr>
          <w:rFonts w:asciiTheme="majorHAnsi" w:hAnsiTheme="majorHAnsi"/>
          <w:b/>
          <w:iCs/>
          <w:lang w:val="es-CR"/>
        </w:rPr>
      </w:pPr>
      <w:r>
        <w:rPr>
          <w:rFonts w:asciiTheme="majorHAnsi" w:hAnsiTheme="majorHAnsi"/>
          <w:b/>
          <w:iCs/>
          <w:lang w:val="es-CR"/>
        </w:rPr>
        <w:object w:dxaOrig="1550" w:dyaOrig="991" w14:anchorId="6E86D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49.6pt" o:ole="">
            <v:imagedata r:id="rId17" o:title=""/>
          </v:shape>
          <o:OLEObject Type="Embed" ProgID="Word.Document.12" ShapeID="_x0000_i1025" DrawAspect="Icon" ObjectID="_1497332660" r:id="rId18">
            <o:FieldCodes>\s</o:FieldCodes>
          </o:OLEObject>
        </w:object>
      </w:r>
    </w:p>
    <w:p w14:paraId="02A71DD7" w14:textId="77777777" w:rsidR="00052B9A" w:rsidRDefault="00052B9A" w:rsidP="00E3124F">
      <w:pPr>
        <w:jc w:val="both"/>
        <w:rPr>
          <w:rFonts w:asciiTheme="majorHAnsi" w:hAnsiTheme="majorHAnsi"/>
          <w:b/>
        </w:rPr>
      </w:pPr>
    </w:p>
    <w:p w14:paraId="290EC713" w14:textId="77777777" w:rsidR="00E3124F" w:rsidRPr="00611D5A" w:rsidRDefault="00E3124F" w:rsidP="00E3124F">
      <w:pPr>
        <w:jc w:val="both"/>
        <w:rPr>
          <w:rFonts w:asciiTheme="majorHAnsi" w:hAnsiTheme="majorHAnsi"/>
          <w:b/>
        </w:rPr>
      </w:pPr>
    </w:p>
    <w:p w14:paraId="60307015" w14:textId="141A539F" w:rsidR="00052B9A" w:rsidRPr="00611D5A" w:rsidRDefault="00052B9A" w:rsidP="00E3124F">
      <w:pPr>
        <w:jc w:val="center"/>
        <w:rPr>
          <w:rFonts w:asciiTheme="majorHAnsi" w:eastAsia="Calibri" w:hAnsiTheme="majorHAnsi"/>
          <w:b/>
        </w:rPr>
      </w:pPr>
      <w:r w:rsidRPr="00611D5A">
        <w:rPr>
          <w:rFonts w:asciiTheme="majorHAnsi" w:hAnsiTheme="majorHAnsi"/>
          <w:b/>
        </w:rPr>
        <w:t>Resumen de las modificaciones al Estándar Electrónico del SSS</w:t>
      </w:r>
    </w:p>
    <w:p w14:paraId="423273FF" w14:textId="00608440" w:rsidR="00C3533E" w:rsidRPr="0084346E" w:rsidRDefault="00C3533E" w:rsidP="0084346E">
      <w:pPr>
        <w:jc w:val="both"/>
        <w:rPr>
          <w:rFonts w:asciiTheme="majorHAnsi" w:hAnsiTheme="majorHAnsi"/>
        </w:rPr>
      </w:pPr>
    </w:p>
    <w:bookmarkStart w:id="2" w:name="_1497168529"/>
    <w:bookmarkEnd w:id="2"/>
    <w:bookmarkStart w:id="3" w:name="_MON_1497254433"/>
    <w:bookmarkEnd w:id="3"/>
    <w:p w14:paraId="7B121946" w14:textId="529F7FF3" w:rsidR="00C3533E" w:rsidRPr="00611D5A" w:rsidRDefault="0014482E" w:rsidP="00E3124F">
      <w:pPr>
        <w:jc w:val="center"/>
        <w:rPr>
          <w:rFonts w:asciiTheme="majorHAnsi" w:hAnsiTheme="majorHAnsi"/>
          <w:b/>
        </w:rPr>
      </w:pPr>
      <w:r w:rsidRPr="00611D5A">
        <w:rPr>
          <w:rFonts w:asciiTheme="majorHAnsi" w:hAnsiTheme="majorHAnsi"/>
          <w:b/>
        </w:rPr>
        <w:object w:dxaOrig="1550" w:dyaOrig="991" w14:anchorId="2E324414">
          <v:shape id="_x0000_i1026" type="#_x0000_t75" style="width:77.45pt;height:49.6pt" o:ole="">
            <v:imagedata r:id="rId19" o:title=""/>
          </v:shape>
          <o:OLEObject Type="Embed" ProgID="Word.Document.12" ShapeID="_x0000_i1026" DrawAspect="Icon" ObjectID="_1497332661" r:id="rId20">
            <o:FieldCodes>\s</o:FieldCodes>
          </o:OLEObject>
        </w:object>
      </w:r>
    </w:p>
    <w:p w14:paraId="3D48D190" w14:textId="77777777" w:rsidR="00052B9A" w:rsidRDefault="00052B9A" w:rsidP="00E3124F">
      <w:pPr>
        <w:jc w:val="both"/>
        <w:rPr>
          <w:rFonts w:asciiTheme="majorHAnsi" w:hAnsiTheme="majorHAnsi"/>
          <w:b/>
        </w:rPr>
      </w:pPr>
    </w:p>
    <w:p w14:paraId="12DD9778" w14:textId="77777777" w:rsidR="0084346E" w:rsidRPr="00611D5A" w:rsidRDefault="0084346E" w:rsidP="00E3124F">
      <w:pPr>
        <w:jc w:val="both"/>
        <w:rPr>
          <w:rFonts w:asciiTheme="majorHAnsi" w:hAnsiTheme="majorHAnsi"/>
          <w:b/>
        </w:rPr>
      </w:pPr>
    </w:p>
    <w:p w14:paraId="2D9C5C6D" w14:textId="5106C3AB" w:rsidR="00052B9A" w:rsidRPr="00611D5A" w:rsidRDefault="00052B9A" w:rsidP="00E3124F">
      <w:pPr>
        <w:jc w:val="center"/>
        <w:rPr>
          <w:rFonts w:asciiTheme="majorHAnsi" w:hAnsiTheme="majorHAnsi"/>
          <w:b/>
        </w:rPr>
      </w:pPr>
      <w:r w:rsidRPr="00611D5A">
        <w:rPr>
          <w:rFonts w:asciiTheme="majorHAnsi" w:hAnsiTheme="majorHAnsi"/>
          <w:b/>
        </w:rPr>
        <w:t>Registro Único de Personas Beneficiarias</w:t>
      </w:r>
    </w:p>
    <w:p w14:paraId="629296A4" w14:textId="77777777" w:rsidR="00052B9A" w:rsidRPr="00611D5A" w:rsidRDefault="00052B9A" w:rsidP="00E3124F">
      <w:pPr>
        <w:jc w:val="both"/>
        <w:rPr>
          <w:rFonts w:asciiTheme="majorHAnsi" w:hAnsiTheme="majorHAnsi"/>
          <w:b/>
        </w:rPr>
      </w:pPr>
    </w:p>
    <w:bookmarkStart w:id="4" w:name="_1497168550"/>
    <w:bookmarkEnd w:id="4"/>
    <w:bookmarkStart w:id="5" w:name="_MON_1497254490"/>
    <w:bookmarkEnd w:id="5"/>
    <w:p w14:paraId="0EA7CED0" w14:textId="6DCCAC89" w:rsidR="00052B9A" w:rsidRPr="00611D5A" w:rsidRDefault="00E3124F" w:rsidP="00E3124F">
      <w:pPr>
        <w:jc w:val="center"/>
        <w:rPr>
          <w:rFonts w:asciiTheme="majorHAnsi" w:hAnsiTheme="majorHAnsi"/>
          <w:b/>
          <w:iCs/>
          <w:lang w:val="es-CR"/>
        </w:rPr>
      </w:pPr>
      <w:r>
        <w:rPr>
          <w:rFonts w:asciiTheme="majorHAnsi" w:hAnsiTheme="majorHAnsi"/>
          <w:b/>
          <w:iCs/>
          <w:lang w:val="es-CR"/>
        </w:rPr>
        <w:object w:dxaOrig="1550" w:dyaOrig="991" w14:anchorId="287A899F">
          <v:shape id="_x0000_i1027" type="#_x0000_t75" style="width:77.45pt;height:49.6pt" o:ole="">
            <v:imagedata r:id="rId21" o:title=""/>
          </v:shape>
          <o:OLEObject Type="Embed" ProgID="Word.Document.12" ShapeID="_x0000_i1027" DrawAspect="Icon" ObjectID="_1497332662" r:id="rId22">
            <o:FieldCodes>\s</o:FieldCodes>
          </o:OLEObject>
        </w:object>
      </w:r>
    </w:p>
    <w:p w14:paraId="56B5B7CF" w14:textId="77777777" w:rsidR="00052B9A" w:rsidRPr="00611D5A" w:rsidRDefault="00052B9A" w:rsidP="00611D5A">
      <w:pPr>
        <w:jc w:val="both"/>
        <w:rPr>
          <w:rFonts w:asciiTheme="majorHAnsi" w:hAnsiTheme="majorHAnsi"/>
          <w:b/>
          <w:iCs/>
          <w:lang w:val="es-CR"/>
        </w:rPr>
      </w:pPr>
    </w:p>
    <w:p w14:paraId="09AD01C3" w14:textId="77777777" w:rsidR="00052B9A" w:rsidRPr="00611D5A" w:rsidRDefault="00052B9A" w:rsidP="00611D5A">
      <w:pPr>
        <w:jc w:val="both"/>
        <w:rPr>
          <w:rFonts w:asciiTheme="majorHAnsi" w:hAnsiTheme="majorHAnsi"/>
        </w:rPr>
      </w:pPr>
    </w:p>
    <w:p w14:paraId="547FEEA2" w14:textId="478FABDA" w:rsidR="00651AF0" w:rsidRPr="00611D5A" w:rsidRDefault="00E46895" w:rsidP="00611D5A">
      <w:pPr>
        <w:jc w:val="both"/>
        <w:rPr>
          <w:rFonts w:asciiTheme="majorHAnsi" w:hAnsiTheme="majorHAnsi"/>
        </w:rPr>
      </w:pPr>
      <w:r w:rsidRPr="00611D5A">
        <w:rPr>
          <w:rFonts w:asciiTheme="majorHAnsi" w:hAnsiTheme="majorHAnsi"/>
          <w:b/>
        </w:rPr>
        <w:t xml:space="preserve">Quinto: </w:t>
      </w:r>
      <w:r w:rsidRPr="00611D5A">
        <w:rPr>
          <w:rFonts w:asciiTheme="majorHAnsi" w:hAnsiTheme="majorHAnsi"/>
        </w:rPr>
        <w:t>Eliminar el Anexo 7 del Acuerdo SGS-DES-A-021-2013.</w:t>
      </w:r>
    </w:p>
    <w:p w14:paraId="55520B7D" w14:textId="77777777" w:rsidR="00E46895" w:rsidRPr="00611D5A" w:rsidRDefault="00E46895" w:rsidP="00611D5A">
      <w:pPr>
        <w:jc w:val="both"/>
        <w:rPr>
          <w:rFonts w:asciiTheme="majorHAnsi" w:hAnsiTheme="majorHAnsi"/>
        </w:rPr>
      </w:pPr>
    </w:p>
    <w:p w14:paraId="026E5E06" w14:textId="77777777" w:rsidR="00E46895" w:rsidRPr="00611D5A" w:rsidRDefault="00E46895" w:rsidP="00611D5A">
      <w:pPr>
        <w:jc w:val="both"/>
        <w:rPr>
          <w:rFonts w:asciiTheme="majorHAnsi" w:hAnsiTheme="majorHAnsi"/>
        </w:rPr>
      </w:pPr>
      <w:r w:rsidRPr="00611D5A">
        <w:rPr>
          <w:rFonts w:asciiTheme="majorHAnsi" w:hAnsiTheme="majorHAnsi"/>
          <w:b/>
        </w:rPr>
        <w:t>Sexto:</w:t>
      </w:r>
      <w:r w:rsidRPr="00611D5A">
        <w:rPr>
          <w:rFonts w:asciiTheme="majorHAnsi" w:hAnsiTheme="majorHAnsi"/>
        </w:rPr>
        <w:t xml:space="preserve">  Modificar el Anexo 5 del Acuerdo SGS-DES-A-021-2013, con el fin de actualizar documento Estándar de Negocio, según el archivo adjunto, en lo relacionado con el modelo 1 Balance General, en relación con la denominación de las cuentas de reaseguro y coaseguro: </w:t>
      </w:r>
    </w:p>
    <w:p w14:paraId="5F19CF8A" w14:textId="77777777" w:rsidR="00E46895" w:rsidRDefault="00E46895" w:rsidP="00611D5A">
      <w:pPr>
        <w:jc w:val="both"/>
        <w:rPr>
          <w:rFonts w:asciiTheme="majorHAnsi" w:hAnsiTheme="majorHAnsi"/>
        </w:rPr>
      </w:pPr>
    </w:p>
    <w:p w14:paraId="043279A4" w14:textId="77777777" w:rsidR="004D1893" w:rsidRPr="00611D5A" w:rsidRDefault="004D1893" w:rsidP="00611D5A">
      <w:pPr>
        <w:jc w:val="both"/>
        <w:rPr>
          <w:rFonts w:asciiTheme="majorHAnsi" w:hAnsiTheme="majorHAnsi"/>
        </w:rPr>
      </w:pPr>
    </w:p>
    <w:p w14:paraId="6808BEA1" w14:textId="1534CEB9" w:rsidR="00651AF0" w:rsidRPr="00611D5A" w:rsidRDefault="00E46895" w:rsidP="00E3124F">
      <w:pPr>
        <w:jc w:val="center"/>
        <w:rPr>
          <w:rFonts w:asciiTheme="majorHAnsi" w:hAnsiTheme="majorHAnsi"/>
          <w:b/>
        </w:rPr>
      </w:pPr>
      <w:r w:rsidRPr="00611D5A">
        <w:rPr>
          <w:rFonts w:asciiTheme="majorHAnsi" w:hAnsiTheme="majorHAnsi"/>
          <w:b/>
        </w:rPr>
        <w:t>Estándar de Negocio  SSS</w:t>
      </w:r>
    </w:p>
    <w:p w14:paraId="7A9B96E0" w14:textId="5215EFBB" w:rsidR="00C959BB" w:rsidRPr="00611D5A" w:rsidRDefault="00C959BB" w:rsidP="00611D5A">
      <w:pPr>
        <w:jc w:val="both"/>
        <w:rPr>
          <w:rFonts w:asciiTheme="majorHAnsi" w:hAnsiTheme="majorHAnsi"/>
          <w:b/>
        </w:rPr>
      </w:pPr>
    </w:p>
    <w:bookmarkStart w:id="6" w:name="_1497168593"/>
    <w:bookmarkEnd w:id="6"/>
    <w:bookmarkStart w:id="7" w:name="_MON_1497254845"/>
    <w:bookmarkEnd w:id="7"/>
    <w:p w14:paraId="639479EA" w14:textId="1C17769E" w:rsidR="00C959BB" w:rsidRPr="00611D5A" w:rsidRDefault="004D1893" w:rsidP="00E3124F">
      <w:pPr>
        <w:jc w:val="center"/>
        <w:rPr>
          <w:rFonts w:asciiTheme="majorHAnsi" w:hAnsiTheme="majorHAnsi"/>
          <w:b/>
        </w:rPr>
      </w:pPr>
      <w:r>
        <w:rPr>
          <w:rFonts w:asciiTheme="majorHAnsi" w:hAnsiTheme="majorHAnsi"/>
          <w:b/>
        </w:rPr>
        <w:object w:dxaOrig="1550" w:dyaOrig="991" w14:anchorId="476837D3">
          <v:shape id="_x0000_i1028" type="#_x0000_t75" style="width:77.45pt;height:49.6pt" o:ole="">
            <v:imagedata r:id="rId23" o:title=""/>
          </v:shape>
          <o:OLEObject Type="Embed" ProgID="Word.Document.12" ShapeID="_x0000_i1028" DrawAspect="Icon" ObjectID="_1497332663" r:id="rId24">
            <o:FieldCodes>\s</o:FieldCodes>
          </o:OLEObject>
        </w:object>
      </w:r>
    </w:p>
    <w:p w14:paraId="1562537C" w14:textId="1F712FD8" w:rsidR="004D1893" w:rsidRDefault="004D1893">
      <w:pPr>
        <w:spacing w:after="200" w:line="276" w:lineRule="auto"/>
        <w:rPr>
          <w:rFonts w:asciiTheme="majorHAnsi" w:hAnsiTheme="majorHAnsi"/>
          <w:b/>
        </w:rPr>
      </w:pPr>
      <w:r>
        <w:rPr>
          <w:rFonts w:asciiTheme="majorHAnsi" w:hAnsiTheme="majorHAnsi"/>
          <w:b/>
        </w:rPr>
        <w:br w:type="page"/>
      </w:r>
    </w:p>
    <w:p w14:paraId="54452BD6" w14:textId="77777777" w:rsidR="00E46895" w:rsidRPr="00611D5A" w:rsidRDefault="00E46895" w:rsidP="00611D5A">
      <w:pPr>
        <w:jc w:val="both"/>
        <w:rPr>
          <w:rFonts w:asciiTheme="majorHAnsi" w:hAnsiTheme="majorHAnsi"/>
          <w:b/>
        </w:rPr>
      </w:pPr>
    </w:p>
    <w:p w14:paraId="078AEE28" w14:textId="334C8B8E" w:rsidR="00052B9A" w:rsidRPr="00611D5A" w:rsidRDefault="00E46895" w:rsidP="00611D5A">
      <w:pPr>
        <w:jc w:val="both"/>
        <w:rPr>
          <w:rFonts w:asciiTheme="majorHAnsi" w:hAnsiTheme="majorHAnsi"/>
        </w:rPr>
      </w:pPr>
      <w:r w:rsidRPr="00611D5A">
        <w:rPr>
          <w:rFonts w:asciiTheme="majorHAnsi" w:hAnsiTheme="majorHAnsi"/>
          <w:b/>
        </w:rPr>
        <w:t>Sétimo:</w:t>
      </w:r>
      <w:r w:rsidRPr="00611D5A">
        <w:rPr>
          <w:rFonts w:asciiTheme="majorHAnsi" w:hAnsiTheme="majorHAnsi"/>
        </w:rPr>
        <w:t xml:space="preserve"> Actualizar la versión publicada del Acuerdo SGS-DES-A-021-201</w:t>
      </w:r>
      <w:bookmarkStart w:id="8" w:name="_GoBack"/>
      <w:bookmarkEnd w:id="8"/>
      <w:r w:rsidRPr="00611D5A">
        <w:rPr>
          <w:rFonts w:asciiTheme="majorHAnsi" w:hAnsiTheme="majorHAnsi"/>
        </w:rPr>
        <w:t>3 para incluir las modificaciones señaladas en este acuerdo.</w:t>
      </w:r>
    </w:p>
    <w:p w14:paraId="5453F0DF" w14:textId="77777777" w:rsidR="00E46895" w:rsidRPr="00611D5A" w:rsidRDefault="00E46895" w:rsidP="00611D5A">
      <w:pPr>
        <w:jc w:val="both"/>
        <w:rPr>
          <w:rFonts w:asciiTheme="majorHAnsi" w:hAnsiTheme="majorHAnsi"/>
        </w:rPr>
      </w:pPr>
    </w:p>
    <w:p w14:paraId="31DA170F" w14:textId="51A10E63" w:rsidR="00052B9A" w:rsidRPr="00611D5A" w:rsidRDefault="00E46895" w:rsidP="00611D5A">
      <w:pPr>
        <w:jc w:val="both"/>
        <w:rPr>
          <w:rFonts w:asciiTheme="majorHAnsi" w:hAnsiTheme="majorHAnsi"/>
        </w:rPr>
      </w:pPr>
      <w:r w:rsidRPr="00611D5A">
        <w:rPr>
          <w:rFonts w:asciiTheme="majorHAnsi" w:hAnsiTheme="majorHAnsi"/>
        </w:rPr>
        <w:t>Rige a partir de su comunicación.</w:t>
      </w:r>
    </w:p>
    <w:p w14:paraId="77CD553E" w14:textId="77777777" w:rsidR="00052B9A" w:rsidRPr="00611D5A" w:rsidRDefault="00052B9A" w:rsidP="00611D5A">
      <w:pPr>
        <w:jc w:val="both"/>
        <w:rPr>
          <w:rFonts w:asciiTheme="majorHAnsi" w:hAnsiTheme="majorHAnsi"/>
        </w:rPr>
      </w:pPr>
    </w:p>
    <w:p w14:paraId="6CF56742" w14:textId="77777777" w:rsidR="00052B9A" w:rsidRPr="00611D5A" w:rsidRDefault="00052B9A" w:rsidP="00611D5A">
      <w:pPr>
        <w:jc w:val="both"/>
        <w:rPr>
          <w:rFonts w:asciiTheme="majorHAnsi" w:hAnsiTheme="majorHAnsi"/>
        </w:rPr>
      </w:pPr>
    </w:p>
    <w:p w14:paraId="32C4F893" w14:textId="77777777" w:rsidR="00052B9A" w:rsidRPr="00611D5A" w:rsidRDefault="00052B9A" w:rsidP="00611D5A">
      <w:pPr>
        <w:jc w:val="both"/>
        <w:rPr>
          <w:rFonts w:asciiTheme="majorHAnsi" w:hAnsiTheme="majorHAnsi"/>
        </w:rPr>
      </w:pPr>
    </w:p>
    <w:p w14:paraId="7DB4D486" w14:textId="77777777" w:rsidR="00052B9A" w:rsidRPr="00611D5A" w:rsidRDefault="00052B9A" w:rsidP="00611D5A">
      <w:pPr>
        <w:jc w:val="both"/>
        <w:rPr>
          <w:rFonts w:asciiTheme="majorHAnsi" w:hAnsiTheme="majorHAnsi"/>
        </w:rPr>
      </w:pPr>
    </w:p>
    <w:p w14:paraId="4616178D" w14:textId="7CAF9DAF" w:rsidR="005A1442" w:rsidRPr="00611D5A" w:rsidRDefault="005A1442" w:rsidP="00611D5A">
      <w:pPr>
        <w:jc w:val="both"/>
        <w:rPr>
          <w:rFonts w:asciiTheme="majorHAnsi" w:hAnsiTheme="majorHAnsi"/>
        </w:rPr>
      </w:pPr>
      <w:r w:rsidRPr="00611D5A">
        <w:rPr>
          <w:rFonts w:asciiTheme="majorHAnsi" w:hAnsiTheme="majorHAnsi"/>
          <w:noProof/>
          <w:lang w:val="es-CR" w:eastAsia="es-CR"/>
        </w:rPr>
        <w:drawing>
          <wp:inline distT="0" distB="0" distL="0" distR="0" wp14:anchorId="58925C48" wp14:editId="01EB0AC1">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5A1442" w:rsidRPr="00611D5A" w:rsidSect="00E3124F">
      <w:headerReference w:type="first" r:id="rId26"/>
      <w:pgSz w:w="12240" w:h="15840"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9E2B4A" w14:textId="77777777" w:rsidR="008E56D4" w:rsidRDefault="008E56D4" w:rsidP="005A1442">
      <w:r>
        <w:separator/>
      </w:r>
    </w:p>
  </w:endnote>
  <w:endnote w:type="continuationSeparator" w:id="0">
    <w:p w14:paraId="1769525F" w14:textId="77777777" w:rsidR="008E56D4" w:rsidRDefault="008E56D4" w:rsidP="005A1442">
      <w:r>
        <w:continuationSeparator/>
      </w:r>
    </w:p>
  </w:endnote>
  <w:endnote w:type="continuationNotice" w:id="1">
    <w:p w14:paraId="10A8AFAA" w14:textId="77777777" w:rsidR="004621FA" w:rsidRDefault="004621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9A7B6F" w14:textId="77777777" w:rsidR="008E56D4" w:rsidRDefault="008E56D4" w:rsidP="005A1442">
    <w:pPr>
      <w:pStyle w:val="Piedepgina"/>
      <w:pBdr>
        <w:top w:val="single" w:sz="4" w:space="1" w:color="auto"/>
      </w:pBdr>
      <w:rPr>
        <w:sz w:val="16"/>
        <w:szCs w:val="16"/>
      </w:rPr>
    </w:pPr>
  </w:p>
  <w:p w14:paraId="0F7E1C68" w14:textId="77777777" w:rsidR="008E56D4" w:rsidRDefault="008E56D4"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74147567" w14:textId="77777777" w:rsidR="008E56D4" w:rsidRDefault="008E56D4"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4FE8F664" w14:textId="77777777" w:rsidR="008E56D4" w:rsidRPr="005A1442" w:rsidRDefault="00EF2ECD" w:rsidP="005A1442">
    <w:pPr>
      <w:pStyle w:val="Piedepgina"/>
      <w:tabs>
        <w:tab w:val="clear" w:pos="8838"/>
      </w:tabs>
      <w:jc w:val="right"/>
      <w:rPr>
        <w:rFonts w:ascii="Baskerville Old Face" w:hAnsi="Baskerville Old Face"/>
        <w:sz w:val="18"/>
        <w:szCs w:val="18"/>
      </w:rPr>
    </w:pPr>
    <w:hyperlink r:id="rId1" w:history="1">
      <w:r w:rsidR="008E56D4"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B9C01" w14:textId="77777777" w:rsidR="008E56D4" w:rsidRDefault="008E56D4" w:rsidP="0038157B">
    <w:pPr>
      <w:pStyle w:val="Piedepgina"/>
      <w:pBdr>
        <w:top w:val="single" w:sz="4" w:space="1" w:color="auto"/>
      </w:pBdr>
      <w:rPr>
        <w:sz w:val="16"/>
        <w:szCs w:val="16"/>
      </w:rPr>
    </w:pPr>
  </w:p>
  <w:p w14:paraId="78EC83AA" w14:textId="77777777" w:rsidR="008E56D4" w:rsidRDefault="008E56D4" w:rsidP="0038157B">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2483FE88" w14:textId="77777777" w:rsidR="008E56D4" w:rsidRDefault="008E56D4" w:rsidP="0038157B">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76C85EED" w14:textId="77777777" w:rsidR="008E56D4" w:rsidRPr="0038157B" w:rsidRDefault="00EF2ECD" w:rsidP="0038157B">
    <w:pPr>
      <w:pStyle w:val="Piedepgina"/>
      <w:tabs>
        <w:tab w:val="clear" w:pos="8838"/>
      </w:tabs>
      <w:jc w:val="right"/>
      <w:rPr>
        <w:rFonts w:ascii="Baskerville Old Face" w:hAnsi="Baskerville Old Face"/>
        <w:sz w:val="18"/>
        <w:szCs w:val="18"/>
      </w:rPr>
    </w:pPr>
    <w:hyperlink r:id="rId1" w:history="1">
      <w:r w:rsidR="008E56D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EC65A" w14:textId="77777777" w:rsidR="008E56D4" w:rsidRDefault="008E56D4" w:rsidP="005A1442">
      <w:r>
        <w:separator/>
      </w:r>
    </w:p>
  </w:footnote>
  <w:footnote w:type="continuationSeparator" w:id="0">
    <w:p w14:paraId="61FC6CCB" w14:textId="77777777" w:rsidR="008E56D4" w:rsidRDefault="008E56D4" w:rsidP="005A1442">
      <w:r>
        <w:continuationSeparator/>
      </w:r>
    </w:p>
  </w:footnote>
  <w:footnote w:type="continuationNotice" w:id="1">
    <w:p w14:paraId="58B0B303" w14:textId="77777777" w:rsidR="004621FA" w:rsidRDefault="004621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3287B" w14:textId="77777777" w:rsidR="00E3124F" w:rsidRPr="00611D5A" w:rsidRDefault="00E3124F" w:rsidP="00E3124F">
    <w:pPr>
      <w:pStyle w:val="Encabezado"/>
      <w:jc w:val="both"/>
      <w:rPr>
        <w:rFonts w:asciiTheme="majorHAnsi" w:hAnsiTheme="majorHAnsi"/>
        <w:sz w:val="24"/>
        <w:szCs w:val="24"/>
      </w:rPr>
    </w:pPr>
    <w:r w:rsidRPr="00611D5A">
      <w:rPr>
        <w:rFonts w:asciiTheme="majorHAnsi" w:hAnsiTheme="majorHAnsi"/>
        <w:noProof/>
        <w:sz w:val="24"/>
        <w:szCs w:val="24"/>
        <w:lang w:eastAsia="es-CR"/>
      </w:rPr>
      <mc:AlternateContent>
        <mc:Choice Requires="wps">
          <w:drawing>
            <wp:anchor distT="0" distB="0" distL="114300" distR="114300" simplePos="0" relativeHeight="251664384" behindDoc="0" locked="0" layoutInCell="1" allowOverlap="1" wp14:anchorId="68B369E1" wp14:editId="45F1D7B2">
              <wp:simplePos x="0" y="0"/>
              <wp:positionH relativeFrom="column">
                <wp:posOffset>4530956</wp:posOffset>
              </wp:positionH>
              <wp:positionV relativeFrom="paragraph">
                <wp:posOffset>-283325</wp:posOffset>
              </wp:positionV>
              <wp:extent cx="1230341" cy="1303193"/>
              <wp:effectExtent l="0" t="0" r="8255"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14579DA9" w14:textId="77777777" w:rsidR="00E3124F" w:rsidRDefault="00E3124F" w:rsidP="00E3124F">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BA6389E" wp14:editId="72D6D62B">
                                <wp:extent cx="460020" cy="810491"/>
                                <wp:effectExtent l="0" t="0" r="0" b="889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004805D6" w14:textId="77777777" w:rsidR="00E3124F" w:rsidRPr="00374377" w:rsidRDefault="00E3124F" w:rsidP="00E3124F">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66148103" w14:textId="77777777" w:rsidR="00E3124F" w:rsidRPr="00374377" w:rsidRDefault="00E3124F" w:rsidP="00E3124F">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56.75pt;margin-top:-22.3pt;width:96.9pt;height:10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" stroked="f">
              <v:textbox>
                <w:txbxContent>
                  <w:p w14:paraId="14579DA9" w14:textId="77777777" w:rsidR="00E3124F" w:rsidRDefault="00E3124F" w:rsidP="00E3124F">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3BA6389E" wp14:editId="72D6D62B">
                          <wp:extent cx="460020" cy="810491"/>
                          <wp:effectExtent l="0" t="0" r="0" b="889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004805D6" w14:textId="77777777" w:rsidR="00E3124F" w:rsidRPr="00374377" w:rsidRDefault="00E3124F" w:rsidP="00E3124F">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66148103" w14:textId="77777777" w:rsidR="00E3124F" w:rsidRPr="00374377" w:rsidRDefault="00E3124F" w:rsidP="00E3124F">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Pr="00611D5A">
      <w:rPr>
        <w:rFonts w:asciiTheme="majorHAnsi" w:hAnsiTheme="majorHAnsi"/>
        <w:noProof/>
        <w:sz w:val="24"/>
        <w:szCs w:val="24"/>
        <w:lang w:eastAsia="es-CR"/>
      </w:rPr>
      <w:drawing>
        <wp:inline distT="0" distB="0" distL="0" distR="0" wp14:anchorId="69ECA446" wp14:editId="3666FEC0">
          <wp:extent cx="1209580" cy="971550"/>
          <wp:effectExtent l="19050" t="0" r="0" b="0"/>
          <wp:docPr id="11"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4394D013" w14:textId="77777777" w:rsidR="00E3124F" w:rsidRDefault="00E3124F" w:rsidP="00E3124F">
    <w:pPr>
      <w:pStyle w:val="Encabezado"/>
      <w:jc w:val="right"/>
      <w:rPr>
        <w:rFonts w:asciiTheme="majorHAnsi" w:hAnsiTheme="majorHAnsi"/>
        <w:sz w:val="16"/>
        <w:szCs w:val="16"/>
      </w:rPr>
    </w:pPr>
  </w:p>
  <w:p w14:paraId="3EFF3721" w14:textId="62AE9E22" w:rsidR="00E3124F" w:rsidRPr="00E3124F" w:rsidRDefault="00E3124F" w:rsidP="00E3124F">
    <w:pPr>
      <w:pStyle w:val="Encabezado"/>
      <w:jc w:val="both"/>
      <w:rPr>
        <w:rFonts w:asciiTheme="majorHAnsi" w:hAnsiTheme="majorHAnsi"/>
        <w:b/>
        <w:i/>
        <w:sz w:val="24"/>
        <w:szCs w:val="24"/>
        <w:lang w:val="es-MX"/>
      </w:rPr>
    </w:pPr>
    <w:r w:rsidRPr="00E3124F">
      <w:rPr>
        <w:rFonts w:asciiTheme="majorHAnsi" w:hAnsiTheme="majorHAnsi"/>
        <w:b/>
        <w:i/>
        <w:sz w:val="24"/>
        <w:szCs w:val="24"/>
        <w:lang w:val="es-MX"/>
      </w:rPr>
      <w:t>SGS-DES-</w:t>
    </w:r>
    <w:r>
      <w:rPr>
        <w:rFonts w:asciiTheme="majorHAnsi" w:hAnsiTheme="majorHAnsi"/>
        <w:b/>
        <w:i/>
        <w:sz w:val="24"/>
        <w:szCs w:val="24"/>
        <w:lang w:val="es-MX"/>
      </w:rPr>
      <w:t>A</w:t>
    </w:r>
    <w:r w:rsidRPr="00E3124F">
      <w:rPr>
        <w:rFonts w:asciiTheme="majorHAnsi" w:hAnsiTheme="majorHAnsi"/>
        <w:b/>
        <w:i/>
        <w:sz w:val="24"/>
        <w:szCs w:val="24"/>
        <w:lang w:val="es-MX"/>
      </w:rPr>
      <w:t>-</w:t>
    </w:r>
    <w:r w:rsidR="00FC72ED">
      <w:rPr>
        <w:rFonts w:asciiTheme="majorHAnsi" w:hAnsiTheme="majorHAnsi"/>
        <w:b/>
        <w:i/>
        <w:sz w:val="24"/>
        <w:szCs w:val="24"/>
        <w:lang w:val="es-MX"/>
      </w:rPr>
      <w:t>045</w:t>
    </w:r>
    <w:r w:rsidRPr="00E3124F">
      <w:rPr>
        <w:rFonts w:asciiTheme="majorHAnsi" w:hAnsiTheme="majorHAnsi"/>
        <w:b/>
        <w:i/>
        <w:sz w:val="24"/>
        <w:szCs w:val="24"/>
        <w:lang w:val="es-MX"/>
      </w:rPr>
      <w:t>-2015</w:t>
    </w:r>
  </w:p>
  <w:p w14:paraId="5FF2B8BD" w14:textId="77777777" w:rsidR="00E3124F" w:rsidRPr="00E3124F" w:rsidRDefault="00E3124F" w:rsidP="00E3124F">
    <w:pPr>
      <w:pStyle w:val="Encabezado"/>
      <w:jc w:val="both"/>
      <w:rPr>
        <w:rFonts w:asciiTheme="majorHAnsi" w:hAnsiTheme="majorHAnsi"/>
        <w:sz w:val="24"/>
        <w:szCs w:val="24"/>
        <w:lang w:val="es-MX"/>
      </w:rPr>
    </w:pPr>
    <w:r>
      <w:rPr>
        <w:rFonts w:asciiTheme="majorHAnsi" w:hAnsiTheme="majorHAnsi"/>
        <w:sz w:val="24"/>
        <w:szCs w:val="24"/>
        <w:lang w:val="es-MX"/>
      </w:rPr>
      <w:t>Página</w:t>
    </w:r>
    <w:r w:rsidRPr="00E3124F">
      <w:rPr>
        <w:rFonts w:asciiTheme="majorHAnsi" w:hAnsiTheme="majorHAnsi"/>
        <w:sz w:val="24"/>
        <w:szCs w:val="24"/>
        <w:lang w:val="es-MX"/>
      </w:rPr>
      <w:t xml:space="preserve"> </w:t>
    </w:r>
    <w:r w:rsidRPr="00E3124F">
      <w:rPr>
        <w:rFonts w:asciiTheme="majorHAnsi" w:hAnsiTheme="majorHAnsi"/>
        <w:sz w:val="24"/>
        <w:szCs w:val="24"/>
        <w:lang w:val="es-MX"/>
      </w:rPr>
      <w:fldChar w:fldCharType="begin"/>
    </w:r>
    <w:r w:rsidRPr="00E3124F">
      <w:rPr>
        <w:rFonts w:asciiTheme="majorHAnsi" w:hAnsiTheme="majorHAnsi"/>
        <w:sz w:val="24"/>
        <w:szCs w:val="24"/>
        <w:lang w:val="es-MX"/>
      </w:rPr>
      <w:instrText xml:space="preserve"> PAGE   \* MERGEFORMAT </w:instrText>
    </w:r>
    <w:r w:rsidRPr="00E3124F">
      <w:rPr>
        <w:rFonts w:asciiTheme="majorHAnsi" w:hAnsiTheme="majorHAnsi"/>
        <w:sz w:val="24"/>
        <w:szCs w:val="24"/>
        <w:lang w:val="es-MX"/>
      </w:rPr>
      <w:fldChar w:fldCharType="separate"/>
    </w:r>
    <w:r w:rsidR="00EF2ECD">
      <w:rPr>
        <w:rFonts w:asciiTheme="majorHAnsi" w:hAnsiTheme="majorHAnsi"/>
        <w:noProof/>
        <w:sz w:val="24"/>
        <w:szCs w:val="24"/>
        <w:lang w:val="es-MX"/>
      </w:rPr>
      <w:t>3</w:t>
    </w:r>
    <w:r w:rsidRPr="00E3124F">
      <w:rPr>
        <w:rFonts w:asciiTheme="majorHAnsi" w:hAnsiTheme="majorHAnsi"/>
        <w:sz w:val="24"/>
        <w:szCs w:val="24"/>
        <w:lang w:val="es-MX"/>
      </w:rPr>
      <w:fldChar w:fldCharType="end"/>
    </w:r>
  </w:p>
  <w:p w14:paraId="7DA61CFF" w14:textId="77777777" w:rsidR="00E3124F" w:rsidRPr="00E3124F" w:rsidRDefault="00E3124F" w:rsidP="00E3124F">
    <w:pPr>
      <w:pStyle w:val="Encabezado"/>
      <w:jc w:val="both"/>
      <w:rPr>
        <w:rFonts w:asciiTheme="majorHAnsi" w:hAnsiTheme="majorHAnsi"/>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DB64B" w14:textId="77777777" w:rsidR="008E56D4" w:rsidRPr="00611D5A" w:rsidRDefault="008E56D4" w:rsidP="00611D5A">
    <w:pPr>
      <w:pStyle w:val="Encabezado"/>
      <w:jc w:val="both"/>
      <w:rPr>
        <w:rFonts w:asciiTheme="majorHAnsi" w:hAnsiTheme="majorHAnsi"/>
        <w:sz w:val="24"/>
        <w:szCs w:val="24"/>
      </w:rPr>
    </w:pPr>
    <w:r w:rsidRPr="00611D5A">
      <w:rPr>
        <w:rFonts w:asciiTheme="majorHAnsi" w:hAnsiTheme="majorHAnsi"/>
        <w:noProof/>
        <w:sz w:val="24"/>
        <w:szCs w:val="24"/>
        <w:lang w:eastAsia="es-CR"/>
      </w:rPr>
      <mc:AlternateContent>
        <mc:Choice Requires="wps">
          <w:drawing>
            <wp:anchor distT="0" distB="0" distL="114300" distR="114300" simplePos="0" relativeHeight="251659264" behindDoc="0" locked="0" layoutInCell="1" allowOverlap="1" wp14:anchorId="6EA7015D" wp14:editId="17EC2FEB">
              <wp:simplePos x="0" y="0"/>
              <wp:positionH relativeFrom="column">
                <wp:posOffset>4530956</wp:posOffset>
              </wp:positionH>
              <wp:positionV relativeFrom="paragraph">
                <wp:posOffset>-283325</wp:posOffset>
              </wp:positionV>
              <wp:extent cx="1230341" cy="1303193"/>
              <wp:effectExtent l="0" t="0" r="8255"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76E73B26" w14:textId="77777777" w:rsidR="008E56D4" w:rsidRDefault="008E56D4"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5B9573E0" wp14:editId="0F8B3C42">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1FD50AE8" w14:textId="77777777" w:rsidR="008E56D4" w:rsidRPr="00374377" w:rsidRDefault="008E56D4"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4B10218D" w14:textId="77777777" w:rsidR="008E56D4" w:rsidRPr="00374377" w:rsidRDefault="008E56D4"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56.75pt;margin-top:-22.3pt;width:96.9pt;height:10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CF/OrxJwIAACoEAAAOAAAAAAAAAAAAAAAAAC4CAABkcnMvZTJv&#10;RG9jLnhtbFBLAQItABQABgAIAAAAIQAYCww03wAAAAsBAAAPAAAAAAAAAAAAAAAAAIEEAABkcnMv&#10;ZG93bnJldi54bWxQSwUGAAAAAAQABADzAAAAjQUAAAAA&#10;" stroked="f">
              <v:textbox>
                <w:txbxContent>
                  <w:p w14:paraId="76E73B26" w14:textId="77777777" w:rsidR="008E56D4" w:rsidRDefault="008E56D4"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5B9573E0" wp14:editId="0F8B3C42">
                          <wp:extent cx="460020" cy="810491"/>
                          <wp:effectExtent l="0" t="0" r="0" b="889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1FD50AE8" w14:textId="77777777" w:rsidR="008E56D4" w:rsidRPr="00374377" w:rsidRDefault="008E56D4"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4B10218D" w14:textId="77777777" w:rsidR="008E56D4" w:rsidRPr="00374377" w:rsidRDefault="008E56D4"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Pr="00611D5A">
      <w:rPr>
        <w:rFonts w:asciiTheme="majorHAnsi" w:hAnsiTheme="majorHAnsi"/>
        <w:noProof/>
        <w:sz w:val="24"/>
        <w:szCs w:val="24"/>
        <w:lang w:eastAsia="es-CR"/>
      </w:rPr>
      <w:drawing>
        <wp:inline distT="0" distB="0" distL="0" distR="0" wp14:anchorId="5AF709D6" wp14:editId="52412AD0">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26B74652" w14:textId="77777777" w:rsidR="008E56D4" w:rsidRPr="00611D5A" w:rsidRDefault="008E56D4" w:rsidP="00611D5A">
    <w:pPr>
      <w:pStyle w:val="Encabezado"/>
      <w:jc w:val="right"/>
      <w:rPr>
        <w:rFonts w:asciiTheme="majorHAnsi" w:hAnsiTheme="majorHAnsi"/>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BD50C" w14:textId="77777777" w:rsidR="00E3124F" w:rsidRPr="00611D5A" w:rsidRDefault="00E3124F" w:rsidP="00611D5A">
    <w:pPr>
      <w:pStyle w:val="Encabezado"/>
      <w:jc w:val="both"/>
      <w:rPr>
        <w:rFonts w:asciiTheme="majorHAnsi" w:hAnsiTheme="majorHAnsi"/>
        <w:sz w:val="24"/>
        <w:szCs w:val="24"/>
      </w:rPr>
    </w:pPr>
    <w:r w:rsidRPr="00611D5A">
      <w:rPr>
        <w:rFonts w:asciiTheme="majorHAnsi" w:hAnsiTheme="majorHAnsi"/>
        <w:noProof/>
        <w:sz w:val="24"/>
        <w:szCs w:val="24"/>
        <w:lang w:eastAsia="es-CR"/>
      </w:rPr>
      <mc:AlternateContent>
        <mc:Choice Requires="wps">
          <w:drawing>
            <wp:anchor distT="0" distB="0" distL="114300" distR="114300" simplePos="0" relativeHeight="251663360" behindDoc="0" locked="0" layoutInCell="1" allowOverlap="1" wp14:anchorId="4CE9DE14" wp14:editId="42F9882C">
              <wp:simplePos x="0" y="0"/>
              <wp:positionH relativeFrom="column">
                <wp:posOffset>4530956</wp:posOffset>
              </wp:positionH>
              <wp:positionV relativeFrom="paragraph">
                <wp:posOffset>-283325</wp:posOffset>
              </wp:positionV>
              <wp:extent cx="1230341" cy="1303193"/>
              <wp:effectExtent l="0" t="0" r="8255"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0341" cy="1303193"/>
                      </a:xfrm>
                      <a:prstGeom prst="rect">
                        <a:avLst/>
                      </a:prstGeom>
                      <a:solidFill>
                        <a:srgbClr val="FFFFFF"/>
                      </a:solidFill>
                      <a:ln w="9525">
                        <a:noFill/>
                        <a:miter lim="800000"/>
                        <a:headEnd/>
                        <a:tailEnd/>
                      </a:ln>
                    </wps:spPr>
                    <wps:txbx>
                      <w:txbxContent>
                        <w:p w14:paraId="488F9BD8" w14:textId="77777777" w:rsidR="00E3124F" w:rsidRDefault="00E3124F"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78922D27" wp14:editId="1ADB34F8">
                                <wp:extent cx="460020" cy="810491"/>
                                <wp:effectExtent l="0" t="0" r="0" b="889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485A776C" w14:textId="77777777" w:rsidR="00E3124F" w:rsidRPr="00374377" w:rsidRDefault="00E3124F"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51A44ECA" w14:textId="77777777" w:rsidR="00E3124F" w:rsidRPr="00374377" w:rsidRDefault="00E3124F"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356.75pt;margin-top:-22.3pt;width:96.9pt;height:10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" stroked="f">
              <v:textbox>
                <w:txbxContent>
                  <w:p w14:paraId="488F9BD8" w14:textId="77777777" w:rsidR="00E3124F" w:rsidRDefault="00E3124F" w:rsidP="0038157B">
                    <w:pPr>
                      <w:pStyle w:val="Encabezado"/>
                      <w:jc w:val="center"/>
                      <w:rPr>
                        <w:rFonts w:ascii="Arial" w:hAnsi="Arial" w:cs="Arial"/>
                        <w:bCs/>
                        <w:i/>
                        <w:color w:val="808080" w:themeColor="background1" w:themeShade="80"/>
                        <w:sz w:val="16"/>
                        <w:szCs w:val="16"/>
                      </w:rPr>
                    </w:pPr>
                    <w:r>
                      <w:rPr>
                        <w:rFonts w:ascii="Arial" w:hAnsi="Arial" w:cs="Arial"/>
                        <w:bCs/>
                        <w:i/>
                        <w:noProof/>
                        <w:color w:val="808080" w:themeColor="background1" w:themeShade="80"/>
                        <w:sz w:val="16"/>
                        <w:szCs w:val="16"/>
                        <w:lang w:eastAsia="es-CR"/>
                      </w:rPr>
                      <w:drawing>
                        <wp:inline distT="0" distB="0" distL="0" distR="0" wp14:anchorId="78922D27" wp14:editId="1ADB34F8">
                          <wp:extent cx="460020" cy="810491"/>
                          <wp:effectExtent l="0" t="0" r="0" b="889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459006" cy="808705"/>
                                  </a:xfrm>
                                  <a:prstGeom prst="rect">
                                    <a:avLst/>
                                  </a:prstGeom>
                                </pic:spPr>
                              </pic:pic>
                            </a:graphicData>
                          </a:graphic>
                        </wp:inline>
                      </w:drawing>
                    </w:r>
                  </w:p>
                  <w:p w14:paraId="485A776C" w14:textId="77777777" w:rsidR="00E3124F" w:rsidRPr="00374377" w:rsidRDefault="00E3124F" w:rsidP="0038157B">
                    <w:pPr>
                      <w:pStyle w:val="Encabezado"/>
                      <w:jc w:val="center"/>
                      <w:rPr>
                        <w:rFonts w:cstheme="minorHAnsi"/>
                        <w:bCs/>
                        <w:i/>
                        <w:color w:val="808080" w:themeColor="background1" w:themeShade="80"/>
                        <w:sz w:val="12"/>
                        <w:szCs w:val="12"/>
                      </w:rPr>
                    </w:pPr>
                    <w:r w:rsidRPr="00374377">
                      <w:rPr>
                        <w:rFonts w:cstheme="minorHAnsi"/>
                        <w:bCs/>
                        <w:i/>
                        <w:color w:val="808080" w:themeColor="background1" w:themeShade="80"/>
                        <w:sz w:val="12"/>
                        <w:szCs w:val="12"/>
                      </w:rPr>
                      <w:t xml:space="preserve">Sistema de Gestión de Calidad </w:t>
                    </w:r>
                  </w:p>
                  <w:p w14:paraId="51A44ECA" w14:textId="77777777" w:rsidR="00E3124F" w:rsidRPr="00374377" w:rsidRDefault="00E3124F" w:rsidP="0038157B">
                    <w:pPr>
                      <w:pStyle w:val="Encabezado"/>
                      <w:jc w:val="center"/>
                      <w:rPr>
                        <w:rFonts w:cstheme="minorHAnsi"/>
                        <w:sz w:val="12"/>
                        <w:szCs w:val="12"/>
                      </w:rPr>
                    </w:pPr>
                    <w:r w:rsidRPr="00374377">
                      <w:rPr>
                        <w:rFonts w:cstheme="minorHAnsi"/>
                        <w:bCs/>
                        <w:i/>
                        <w:color w:val="808080" w:themeColor="background1" w:themeShade="80"/>
                        <w:sz w:val="12"/>
                        <w:szCs w:val="12"/>
                      </w:rPr>
                      <w:t>Certificado INTE-ISO 9001</w:t>
                    </w:r>
                  </w:p>
                </w:txbxContent>
              </v:textbox>
            </v:shape>
          </w:pict>
        </mc:Fallback>
      </mc:AlternateContent>
    </w:r>
    <w:r w:rsidRPr="00611D5A">
      <w:rPr>
        <w:rFonts w:asciiTheme="majorHAnsi" w:hAnsiTheme="majorHAnsi"/>
        <w:noProof/>
        <w:sz w:val="24"/>
        <w:szCs w:val="24"/>
        <w:lang w:eastAsia="es-CR"/>
      </w:rPr>
      <w:drawing>
        <wp:inline distT="0" distB="0" distL="0" distR="0" wp14:anchorId="79E9D0D4" wp14:editId="19FD54D9">
          <wp:extent cx="1209580" cy="971550"/>
          <wp:effectExtent l="19050" t="0" r="0" b="0"/>
          <wp:docPr id="8"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2"/>
                  <a:stretch>
                    <a:fillRect/>
                  </a:stretch>
                </pic:blipFill>
                <pic:spPr>
                  <a:xfrm>
                    <a:off x="0" y="0"/>
                    <a:ext cx="1209580" cy="971550"/>
                  </a:xfrm>
                  <a:prstGeom prst="rect">
                    <a:avLst/>
                  </a:prstGeom>
                </pic:spPr>
              </pic:pic>
            </a:graphicData>
          </a:graphic>
        </wp:inline>
      </w:drawing>
    </w:r>
  </w:p>
  <w:p w14:paraId="1D792E17" w14:textId="77777777" w:rsidR="00E3124F" w:rsidRDefault="00E3124F" w:rsidP="00611D5A">
    <w:pPr>
      <w:pStyle w:val="Encabezado"/>
      <w:jc w:val="right"/>
      <w:rPr>
        <w:rFonts w:asciiTheme="majorHAnsi" w:hAnsiTheme="majorHAnsi"/>
        <w:sz w:val="16"/>
        <w:szCs w:val="16"/>
      </w:rPr>
    </w:pPr>
  </w:p>
  <w:p w14:paraId="74EC1FA7" w14:textId="10CF0713" w:rsidR="00E3124F" w:rsidRPr="00E3124F" w:rsidRDefault="00E3124F" w:rsidP="00E3124F">
    <w:pPr>
      <w:pStyle w:val="Encabezado"/>
      <w:jc w:val="both"/>
      <w:rPr>
        <w:rFonts w:asciiTheme="majorHAnsi" w:hAnsiTheme="majorHAnsi"/>
        <w:b/>
        <w:i/>
        <w:sz w:val="24"/>
        <w:szCs w:val="24"/>
        <w:lang w:val="es-MX"/>
      </w:rPr>
    </w:pPr>
    <w:r w:rsidRPr="00E3124F">
      <w:rPr>
        <w:rFonts w:asciiTheme="majorHAnsi" w:hAnsiTheme="majorHAnsi"/>
        <w:b/>
        <w:i/>
        <w:sz w:val="24"/>
        <w:szCs w:val="24"/>
        <w:lang w:val="es-MX"/>
      </w:rPr>
      <w:t>SGS-DES-</w:t>
    </w:r>
    <w:r>
      <w:rPr>
        <w:rFonts w:asciiTheme="majorHAnsi" w:hAnsiTheme="majorHAnsi"/>
        <w:b/>
        <w:i/>
        <w:sz w:val="24"/>
        <w:szCs w:val="24"/>
        <w:lang w:val="es-MX"/>
      </w:rPr>
      <w:t>A</w:t>
    </w:r>
    <w:r w:rsidRPr="00E3124F">
      <w:rPr>
        <w:rFonts w:asciiTheme="majorHAnsi" w:hAnsiTheme="majorHAnsi"/>
        <w:b/>
        <w:i/>
        <w:sz w:val="24"/>
        <w:szCs w:val="24"/>
        <w:lang w:val="es-MX"/>
      </w:rPr>
      <w:t>-</w:t>
    </w:r>
    <w:r w:rsidR="00A20238">
      <w:rPr>
        <w:rFonts w:asciiTheme="majorHAnsi" w:hAnsiTheme="majorHAnsi"/>
        <w:b/>
        <w:i/>
        <w:sz w:val="24"/>
        <w:szCs w:val="24"/>
        <w:lang w:val="es-MX"/>
      </w:rPr>
      <w:t>045</w:t>
    </w:r>
    <w:r w:rsidRPr="00E3124F">
      <w:rPr>
        <w:rFonts w:asciiTheme="majorHAnsi" w:hAnsiTheme="majorHAnsi"/>
        <w:b/>
        <w:i/>
        <w:sz w:val="24"/>
        <w:szCs w:val="24"/>
        <w:lang w:val="es-MX"/>
      </w:rPr>
      <w:t>-2015</w:t>
    </w:r>
  </w:p>
  <w:p w14:paraId="218732A5" w14:textId="74B430A4" w:rsidR="00E3124F" w:rsidRPr="00E3124F" w:rsidRDefault="00E3124F" w:rsidP="00E3124F">
    <w:pPr>
      <w:pStyle w:val="Encabezado"/>
      <w:jc w:val="both"/>
      <w:rPr>
        <w:rFonts w:asciiTheme="majorHAnsi" w:hAnsiTheme="majorHAnsi"/>
        <w:sz w:val="24"/>
        <w:szCs w:val="24"/>
        <w:lang w:val="es-MX"/>
      </w:rPr>
    </w:pPr>
    <w:r>
      <w:rPr>
        <w:rFonts w:asciiTheme="majorHAnsi" w:hAnsiTheme="majorHAnsi"/>
        <w:sz w:val="24"/>
        <w:szCs w:val="24"/>
        <w:lang w:val="es-MX"/>
      </w:rPr>
      <w:t>Página</w:t>
    </w:r>
    <w:r w:rsidRPr="00E3124F">
      <w:rPr>
        <w:rFonts w:asciiTheme="majorHAnsi" w:hAnsiTheme="majorHAnsi"/>
        <w:sz w:val="24"/>
        <w:szCs w:val="24"/>
        <w:lang w:val="es-MX"/>
      </w:rPr>
      <w:t xml:space="preserve"> </w:t>
    </w:r>
    <w:r w:rsidRPr="00E3124F">
      <w:rPr>
        <w:rFonts w:asciiTheme="majorHAnsi" w:hAnsiTheme="majorHAnsi"/>
        <w:sz w:val="24"/>
        <w:szCs w:val="24"/>
        <w:lang w:val="es-MX"/>
      </w:rPr>
      <w:fldChar w:fldCharType="begin"/>
    </w:r>
    <w:r w:rsidRPr="00E3124F">
      <w:rPr>
        <w:rFonts w:asciiTheme="majorHAnsi" w:hAnsiTheme="majorHAnsi"/>
        <w:sz w:val="24"/>
        <w:szCs w:val="24"/>
        <w:lang w:val="es-MX"/>
      </w:rPr>
      <w:instrText xml:space="preserve"> PAGE   \* MERGEFORMAT </w:instrText>
    </w:r>
    <w:r w:rsidRPr="00E3124F">
      <w:rPr>
        <w:rFonts w:asciiTheme="majorHAnsi" w:hAnsiTheme="majorHAnsi"/>
        <w:sz w:val="24"/>
        <w:szCs w:val="24"/>
        <w:lang w:val="es-MX"/>
      </w:rPr>
      <w:fldChar w:fldCharType="separate"/>
    </w:r>
    <w:r w:rsidR="00EF2ECD">
      <w:rPr>
        <w:rFonts w:asciiTheme="majorHAnsi" w:hAnsiTheme="majorHAnsi"/>
        <w:noProof/>
        <w:sz w:val="24"/>
        <w:szCs w:val="24"/>
        <w:lang w:val="es-MX"/>
      </w:rPr>
      <w:t>2</w:t>
    </w:r>
    <w:r w:rsidRPr="00E3124F">
      <w:rPr>
        <w:rFonts w:asciiTheme="majorHAnsi" w:hAnsiTheme="majorHAnsi"/>
        <w:sz w:val="24"/>
        <w:szCs w:val="24"/>
        <w:lang w:val="es-MX"/>
      </w:rPr>
      <w:fldChar w:fldCharType="end"/>
    </w:r>
  </w:p>
  <w:p w14:paraId="45B61262" w14:textId="77777777" w:rsidR="00E3124F" w:rsidRPr="00E3124F" w:rsidRDefault="00E3124F" w:rsidP="00E3124F">
    <w:pPr>
      <w:pStyle w:val="Encabezado"/>
      <w:jc w:val="both"/>
      <w:rPr>
        <w:rFonts w:asciiTheme="majorHAnsi" w:hAnsiTheme="majorHAns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ABF"/>
    <w:multiLevelType w:val="hybridMultilevel"/>
    <w:tmpl w:val="8B06CD1E"/>
    <w:lvl w:ilvl="0" w:tplc="AA5C1350">
      <w:start w:val="1"/>
      <w:numFmt w:val="decimal"/>
      <w:lvlText w:val="%1."/>
      <w:lvlJc w:val="left"/>
      <w:pPr>
        <w:ind w:left="360" w:hanging="360"/>
      </w:pPr>
      <w:rPr>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nsid w:val="275516B6"/>
    <w:multiLevelType w:val="hybridMultilevel"/>
    <w:tmpl w:val="C3FE6310"/>
    <w:lvl w:ilvl="0" w:tplc="140A0019">
      <w:start w:val="1"/>
      <w:numFmt w:val="lowerLetter"/>
      <w:lvlText w:val="%1."/>
      <w:lvlJc w:val="left"/>
      <w:pPr>
        <w:ind w:left="360" w:hanging="360"/>
      </w:pPr>
      <w:rPr>
        <w:rFont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442"/>
    <w:rsid w:val="00003EEF"/>
    <w:rsid w:val="000076D1"/>
    <w:rsid w:val="000105FD"/>
    <w:rsid w:val="00015CC4"/>
    <w:rsid w:val="000230EC"/>
    <w:rsid w:val="00037F14"/>
    <w:rsid w:val="00043989"/>
    <w:rsid w:val="000476C1"/>
    <w:rsid w:val="00052B9A"/>
    <w:rsid w:val="00055413"/>
    <w:rsid w:val="00067CF6"/>
    <w:rsid w:val="000752F9"/>
    <w:rsid w:val="000760ED"/>
    <w:rsid w:val="00083A78"/>
    <w:rsid w:val="0008604D"/>
    <w:rsid w:val="000A2288"/>
    <w:rsid w:val="000B2E1D"/>
    <w:rsid w:val="000C7644"/>
    <w:rsid w:val="000D4883"/>
    <w:rsid w:val="000F4177"/>
    <w:rsid w:val="00112325"/>
    <w:rsid w:val="00133DA2"/>
    <w:rsid w:val="00135FBF"/>
    <w:rsid w:val="00140B90"/>
    <w:rsid w:val="0014482E"/>
    <w:rsid w:val="00146B1D"/>
    <w:rsid w:val="001551CB"/>
    <w:rsid w:val="00167B6E"/>
    <w:rsid w:val="0017138C"/>
    <w:rsid w:val="0018143B"/>
    <w:rsid w:val="001A29D3"/>
    <w:rsid w:val="001A6FE9"/>
    <w:rsid w:val="001B3C85"/>
    <w:rsid w:val="001B6EE9"/>
    <w:rsid w:val="001C344D"/>
    <w:rsid w:val="001D2BCA"/>
    <w:rsid w:val="001F0F13"/>
    <w:rsid w:val="001F362F"/>
    <w:rsid w:val="002048C0"/>
    <w:rsid w:val="00214DEA"/>
    <w:rsid w:val="002218A1"/>
    <w:rsid w:val="00221996"/>
    <w:rsid w:val="00222862"/>
    <w:rsid w:val="00234ECC"/>
    <w:rsid w:val="002440B8"/>
    <w:rsid w:val="00247E9E"/>
    <w:rsid w:val="00267429"/>
    <w:rsid w:val="0028286F"/>
    <w:rsid w:val="00286975"/>
    <w:rsid w:val="00291CE7"/>
    <w:rsid w:val="002A04A2"/>
    <w:rsid w:val="002C3B80"/>
    <w:rsid w:val="002C3DDE"/>
    <w:rsid w:val="002C572C"/>
    <w:rsid w:val="002C76DF"/>
    <w:rsid w:val="002D04CB"/>
    <w:rsid w:val="002D7832"/>
    <w:rsid w:val="002E02EC"/>
    <w:rsid w:val="002E6AFE"/>
    <w:rsid w:val="002F22F3"/>
    <w:rsid w:val="002F2345"/>
    <w:rsid w:val="002F51B5"/>
    <w:rsid w:val="00304DCB"/>
    <w:rsid w:val="0030537C"/>
    <w:rsid w:val="00305398"/>
    <w:rsid w:val="00320BD5"/>
    <w:rsid w:val="00333BA8"/>
    <w:rsid w:val="00336659"/>
    <w:rsid w:val="00343523"/>
    <w:rsid w:val="00343D0D"/>
    <w:rsid w:val="0035522E"/>
    <w:rsid w:val="003623F7"/>
    <w:rsid w:val="0036475D"/>
    <w:rsid w:val="00366016"/>
    <w:rsid w:val="003758F1"/>
    <w:rsid w:val="00376DE7"/>
    <w:rsid w:val="0038157B"/>
    <w:rsid w:val="00391C88"/>
    <w:rsid w:val="003A39BC"/>
    <w:rsid w:val="003A42C0"/>
    <w:rsid w:val="003A53B0"/>
    <w:rsid w:val="003B043B"/>
    <w:rsid w:val="003B6304"/>
    <w:rsid w:val="003B7CC2"/>
    <w:rsid w:val="003E469F"/>
    <w:rsid w:val="003E62CB"/>
    <w:rsid w:val="003E721F"/>
    <w:rsid w:val="004263F9"/>
    <w:rsid w:val="004277B9"/>
    <w:rsid w:val="00432474"/>
    <w:rsid w:val="00454C55"/>
    <w:rsid w:val="004621FA"/>
    <w:rsid w:val="0047219D"/>
    <w:rsid w:val="00472381"/>
    <w:rsid w:val="004948D8"/>
    <w:rsid w:val="00495470"/>
    <w:rsid w:val="00496C81"/>
    <w:rsid w:val="004A03B7"/>
    <w:rsid w:val="004A495A"/>
    <w:rsid w:val="004A54B6"/>
    <w:rsid w:val="004B767D"/>
    <w:rsid w:val="004C4D3C"/>
    <w:rsid w:val="004D1893"/>
    <w:rsid w:val="004D2EB0"/>
    <w:rsid w:val="004D7196"/>
    <w:rsid w:val="004E7104"/>
    <w:rsid w:val="004F2017"/>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158A"/>
    <w:rsid w:val="0056224B"/>
    <w:rsid w:val="00576230"/>
    <w:rsid w:val="005874A1"/>
    <w:rsid w:val="005A1442"/>
    <w:rsid w:val="005C5B11"/>
    <w:rsid w:val="005C69FA"/>
    <w:rsid w:val="005C7CD2"/>
    <w:rsid w:val="005D13DD"/>
    <w:rsid w:val="005E7FD4"/>
    <w:rsid w:val="005F395A"/>
    <w:rsid w:val="00602EC0"/>
    <w:rsid w:val="00604DED"/>
    <w:rsid w:val="00611D5A"/>
    <w:rsid w:val="00621BF4"/>
    <w:rsid w:val="00626ECF"/>
    <w:rsid w:val="00632C9E"/>
    <w:rsid w:val="006428F4"/>
    <w:rsid w:val="00646CD3"/>
    <w:rsid w:val="00650488"/>
    <w:rsid w:val="00650E64"/>
    <w:rsid w:val="00651AF0"/>
    <w:rsid w:val="00652E5B"/>
    <w:rsid w:val="006575AA"/>
    <w:rsid w:val="0066556D"/>
    <w:rsid w:val="006655C3"/>
    <w:rsid w:val="006678C2"/>
    <w:rsid w:val="00671911"/>
    <w:rsid w:val="00671DEB"/>
    <w:rsid w:val="00672C4A"/>
    <w:rsid w:val="00673269"/>
    <w:rsid w:val="00674F4F"/>
    <w:rsid w:val="006772DD"/>
    <w:rsid w:val="006829C1"/>
    <w:rsid w:val="0068417D"/>
    <w:rsid w:val="006848D6"/>
    <w:rsid w:val="006943A2"/>
    <w:rsid w:val="006A1A25"/>
    <w:rsid w:val="006B4EA1"/>
    <w:rsid w:val="006C624C"/>
    <w:rsid w:val="006C76B1"/>
    <w:rsid w:val="006D0952"/>
    <w:rsid w:val="006E01DB"/>
    <w:rsid w:val="006E1EC2"/>
    <w:rsid w:val="006F4D20"/>
    <w:rsid w:val="00706543"/>
    <w:rsid w:val="00712FFB"/>
    <w:rsid w:val="00715BD0"/>
    <w:rsid w:val="007170ED"/>
    <w:rsid w:val="00725048"/>
    <w:rsid w:val="00725493"/>
    <w:rsid w:val="00726CEB"/>
    <w:rsid w:val="007272CC"/>
    <w:rsid w:val="007324F8"/>
    <w:rsid w:val="007327C9"/>
    <w:rsid w:val="0074198B"/>
    <w:rsid w:val="007437E6"/>
    <w:rsid w:val="00746E52"/>
    <w:rsid w:val="007636BD"/>
    <w:rsid w:val="00771580"/>
    <w:rsid w:val="007847CF"/>
    <w:rsid w:val="00792726"/>
    <w:rsid w:val="007A0A2A"/>
    <w:rsid w:val="007A1E7F"/>
    <w:rsid w:val="007A22EA"/>
    <w:rsid w:val="007A2A51"/>
    <w:rsid w:val="007B04A5"/>
    <w:rsid w:val="007C19A7"/>
    <w:rsid w:val="007D2DAF"/>
    <w:rsid w:val="007E41E5"/>
    <w:rsid w:val="007E46F1"/>
    <w:rsid w:val="007E66C6"/>
    <w:rsid w:val="008022A8"/>
    <w:rsid w:val="0080328F"/>
    <w:rsid w:val="00821436"/>
    <w:rsid w:val="008259A0"/>
    <w:rsid w:val="008370FF"/>
    <w:rsid w:val="0084346E"/>
    <w:rsid w:val="0085586B"/>
    <w:rsid w:val="00857848"/>
    <w:rsid w:val="00857AD8"/>
    <w:rsid w:val="008605C0"/>
    <w:rsid w:val="00866B92"/>
    <w:rsid w:val="008704B7"/>
    <w:rsid w:val="008747C3"/>
    <w:rsid w:val="008778EF"/>
    <w:rsid w:val="00895D99"/>
    <w:rsid w:val="008962DC"/>
    <w:rsid w:val="00896B04"/>
    <w:rsid w:val="008974D8"/>
    <w:rsid w:val="008A3070"/>
    <w:rsid w:val="008A591C"/>
    <w:rsid w:val="008D17A9"/>
    <w:rsid w:val="008D2116"/>
    <w:rsid w:val="008D2BC8"/>
    <w:rsid w:val="008E56D4"/>
    <w:rsid w:val="00915452"/>
    <w:rsid w:val="00922C3E"/>
    <w:rsid w:val="00931297"/>
    <w:rsid w:val="00947CCD"/>
    <w:rsid w:val="0095414B"/>
    <w:rsid w:val="009565BF"/>
    <w:rsid w:val="00963A5C"/>
    <w:rsid w:val="00964169"/>
    <w:rsid w:val="00975A49"/>
    <w:rsid w:val="00987B3B"/>
    <w:rsid w:val="009A2106"/>
    <w:rsid w:val="009A6A84"/>
    <w:rsid w:val="009B35A6"/>
    <w:rsid w:val="009D11AB"/>
    <w:rsid w:val="009D5FAF"/>
    <w:rsid w:val="00A07AB5"/>
    <w:rsid w:val="00A12AE9"/>
    <w:rsid w:val="00A16168"/>
    <w:rsid w:val="00A2009B"/>
    <w:rsid w:val="00A20238"/>
    <w:rsid w:val="00A33527"/>
    <w:rsid w:val="00A37C0C"/>
    <w:rsid w:val="00A46328"/>
    <w:rsid w:val="00A57156"/>
    <w:rsid w:val="00A66E6E"/>
    <w:rsid w:val="00A8710B"/>
    <w:rsid w:val="00AA35AB"/>
    <w:rsid w:val="00AB1CD0"/>
    <w:rsid w:val="00AB33C3"/>
    <w:rsid w:val="00AC0D3F"/>
    <w:rsid w:val="00AD00BB"/>
    <w:rsid w:val="00AE0313"/>
    <w:rsid w:val="00AF37F5"/>
    <w:rsid w:val="00B04011"/>
    <w:rsid w:val="00B12501"/>
    <w:rsid w:val="00B21C1A"/>
    <w:rsid w:val="00B2475F"/>
    <w:rsid w:val="00B25C9B"/>
    <w:rsid w:val="00B300E9"/>
    <w:rsid w:val="00B32651"/>
    <w:rsid w:val="00B40526"/>
    <w:rsid w:val="00B45FD8"/>
    <w:rsid w:val="00B50514"/>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240F2"/>
    <w:rsid w:val="00C276E6"/>
    <w:rsid w:val="00C32D07"/>
    <w:rsid w:val="00C3533E"/>
    <w:rsid w:val="00C35CB7"/>
    <w:rsid w:val="00C52BC9"/>
    <w:rsid w:val="00C64061"/>
    <w:rsid w:val="00C77C5D"/>
    <w:rsid w:val="00C82150"/>
    <w:rsid w:val="00C846AA"/>
    <w:rsid w:val="00C85E4F"/>
    <w:rsid w:val="00C959BB"/>
    <w:rsid w:val="00CA7870"/>
    <w:rsid w:val="00CA7AE4"/>
    <w:rsid w:val="00CB0CC5"/>
    <w:rsid w:val="00CB631F"/>
    <w:rsid w:val="00CC4427"/>
    <w:rsid w:val="00CC5D7F"/>
    <w:rsid w:val="00CE3032"/>
    <w:rsid w:val="00CE4CC4"/>
    <w:rsid w:val="00CF181A"/>
    <w:rsid w:val="00D06152"/>
    <w:rsid w:val="00D13047"/>
    <w:rsid w:val="00D15050"/>
    <w:rsid w:val="00D15CCE"/>
    <w:rsid w:val="00D20E5C"/>
    <w:rsid w:val="00D27227"/>
    <w:rsid w:val="00D332E9"/>
    <w:rsid w:val="00D33D7A"/>
    <w:rsid w:val="00D36B9F"/>
    <w:rsid w:val="00D6484A"/>
    <w:rsid w:val="00D70C14"/>
    <w:rsid w:val="00D74E1D"/>
    <w:rsid w:val="00D84595"/>
    <w:rsid w:val="00D92485"/>
    <w:rsid w:val="00D92CD1"/>
    <w:rsid w:val="00DA2D4F"/>
    <w:rsid w:val="00DA5032"/>
    <w:rsid w:val="00DB041E"/>
    <w:rsid w:val="00DB1CE2"/>
    <w:rsid w:val="00DB4D57"/>
    <w:rsid w:val="00DB63A8"/>
    <w:rsid w:val="00DC1346"/>
    <w:rsid w:val="00DC26B0"/>
    <w:rsid w:val="00DC2FD3"/>
    <w:rsid w:val="00DC4191"/>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124F"/>
    <w:rsid w:val="00E320DA"/>
    <w:rsid w:val="00E37A14"/>
    <w:rsid w:val="00E40FF3"/>
    <w:rsid w:val="00E42E5A"/>
    <w:rsid w:val="00E43276"/>
    <w:rsid w:val="00E46895"/>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29CC"/>
    <w:rsid w:val="00EE5C1F"/>
    <w:rsid w:val="00EE6EF6"/>
    <w:rsid w:val="00EF0B3D"/>
    <w:rsid w:val="00EF2ECD"/>
    <w:rsid w:val="00EF5858"/>
    <w:rsid w:val="00F046DF"/>
    <w:rsid w:val="00F0751F"/>
    <w:rsid w:val="00F118D5"/>
    <w:rsid w:val="00F17004"/>
    <w:rsid w:val="00F1744F"/>
    <w:rsid w:val="00F178E2"/>
    <w:rsid w:val="00F17E74"/>
    <w:rsid w:val="00F30C6B"/>
    <w:rsid w:val="00F33704"/>
    <w:rsid w:val="00F34196"/>
    <w:rsid w:val="00F36332"/>
    <w:rsid w:val="00F41D5A"/>
    <w:rsid w:val="00F46E76"/>
    <w:rsid w:val="00F47064"/>
    <w:rsid w:val="00F5139D"/>
    <w:rsid w:val="00F611D6"/>
    <w:rsid w:val="00F615EE"/>
    <w:rsid w:val="00F6508B"/>
    <w:rsid w:val="00F84235"/>
    <w:rsid w:val="00F87AC4"/>
    <w:rsid w:val="00F952FA"/>
    <w:rsid w:val="00FA56C0"/>
    <w:rsid w:val="00FB6C78"/>
    <w:rsid w:val="00FC2DDB"/>
    <w:rsid w:val="00FC5636"/>
    <w:rsid w:val="00FC72ED"/>
    <w:rsid w:val="00FC7C8A"/>
    <w:rsid w:val="00FD0685"/>
    <w:rsid w:val="00FD52BA"/>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160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uiPriority w:val="9"/>
    <w:semiHidden/>
    <w:unhideWhenUsed/>
    <w:qFormat/>
    <w:rsid w:val="00052B9A"/>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Prrafodelista">
    <w:name w:val="List Paragraph"/>
    <w:basedOn w:val="Normal"/>
    <w:uiPriority w:val="34"/>
    <w:qFormat/>
    <w:rsid w:val="00C35CB7"/>
    <w:pPr>
      <w:ind w:left="720"/>
      <w:contextualSpacing/>
    </w:pPr>
  </w:style>
  <w:style w:type="character" w:customStyle="1" w:styleId="Ttulo5Car">
    <w:name w:val="Título 5 Car"/>
    <w:basedOn w:val="Fuentedeprrafopredeter"/>
    <w:link w:val="Ttulo5"/>
    <w:uiPriority w:val="9"/>
    <w:semiHidden/>
    <w:rsid w:val="00052B9A"/>
    <w:rPr>
      <w:rFonts w:asciiTheme="majorHAnsi" w:eastAsiaTheme="majorEastAsia" w:hAnsiTheme="majorHAnsi" w:cstheme="majorBidi"/>
      <w:color w:val="243F60" w:themeColor="accent1" w:themeShade="7F"/>
      <w:sz w:val="24"/>
      <w:szCs w:val="24"/>
      <w:lang w:val="es-ES" w:eastAsia="es-ES"/>
    </w:rPr>
  </w:style>
  <w:style w:type="paragraph" w:styleId="Textoindependiente">
    <w:name w:val="Body Text"/>
    <w:basedOn w:val="Normal"/>
    <w:link w:val="TextoindependienteCar"/>
    <w:uiPriority w:val="99"/>
    <w:unhideWhenUsed/>
    <w:rsid w:val="00052B9A"/>
    <w:pPr>
      <w:spacing w:after="120" w:line="276" w:lineRule="auto"/>
    </w:pPr>
    <w:rPr>
      <w:rFonts w:ascii="Calibri" w:eastAsia="Calibri" w:hAnsi="Calibri"/>
      <w:sz w:val="22"/>
      <w:szCs w:val="22"/>
      <w:lang w:eastAsia="en-US"/>
    </w:rPr>
  </w:style>
  <w:style w:type="character" w:customStyle="1" w:styleId="TextoindependienteCar">
    <w:name w:val="Texto independiente Car"/>
    <w:basedOn w:val="Fuentedeprrafopredeter"/>
    <w:link w:val="Textoindependiente"/>
    <w:uiPriority w:val="99"/>
    <w:rsid w:val="00052B9A"/>
    <w:rPr>
      <w:rFonts w:ascii="Calibri" w:eastAsia="Calibri" w:hAnsi="Calibri" w:cs="Times New Roman"/>
      <w:lang w:val="es-ES"/>
    </w:rPr>
  </w:style>
  <w:style w:type="character" w:styleId="Refdenotaalpie">
    <w:name w:val="footnote reference"/>
    <w:basedOn w:val="Fuentedeprrafopredeter"/>
    <w:uiPriority w:val="99"/>
    <w:rsid w:val="00052B9A"/>
    <w:rPr>
      <w:vertAlign w:val="superscript"/>
    </w:rPr>
  </w:style>
  <w:style w:type="character" w:styleId="Refdecomentario">
    <w:name w:val="annotation reference"/>
    <w:basedOn w:val="Fuentedeprrafopredeter"/>
    <w:uiPriority w:val="99"/>
    <w:semiHidden/>
    <w:unhideWhenUsed/>
    <w:rsid w:val="00052B9A"/>
    <w:rPr>
      <w:sz w:val="16"/>
      <w:szCs w:val="16"/>
    </w:rPr>
  </w:style>
  <w:style w:type="paragraph" w:styleId="Textocomentario">
    <w:name w:val="annotation text"/>
    <w:basedOn w:val="Normal"/>
    <w:link w:val="TextocomentarioCar"/>
    <w:uiPriority w:val="99"/>
    <w:unhideWhenUsed/>
    <w:rsid w:val="00052B9A"/>
    <w:pPr>
      <w:spacing w:after="20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052B9A"/>
    <w:rPr>
      <w:rFonts w:ascii="Calibri" w:eastAsia="Calibri" w:hAnsi="Calibri" w:cs="Times New Roman"/>
      <w:sz w:val="20"/>
      <w:szCs w:val="20"/>
      <w:lang w:val="es-ES"/>
    </w:rPr>
  </w:style>
  <w:style w:type="paragraph" w:styleId="NormalWeb">
    <w:name w:val="Normal (Web)"/>
    <w:basedOn w:val="Normal"/>
    <w:uiPriority w:val="99"/>
    <w:semiHidden/>
    <w:unhideWhenUsed/>
    <w:rsid w:val="007847CF"/>
    <w:pPr>
      <w:spacing w:before="100" w:beforeAutospacing="1" w:after="100" w:afterAutospacing="1"/>
    </w:pPr>
    <w:rPr>
      <w:rFonts w:eastAsiaTheme="minorHAnsi"/>
      <w:lang w:val="es-CR" w:eastAsia="es-CR"/>
    </w:rPr>
  </w:style>
  <w:style w:type="character" w:styleId="Hipervnculovisitado">
    <w:name w:val="FollowedHyperlink"/>
    <w:basedOn w:val="Fuentedeprrafopredeter"/>
    <w:uiPriority w:val="99"/>
    <w:semiHidden/>
    <w:unhideWhenUsed/>
    <w:rsid w:val="007847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uiPriority w:val="9"/>
    <w:semiHidden/>
    <w:unhideWhenUsed/>
    <w:qFormat/>
    <w:rsid w:val="00052B9A"/>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Prrafodelista">
    <w:name w:val="List Paragraph"/>
    <w:basedOn w:val="Normal"/>
    <w:uiPriority w:val="34"/>
    <w:qFormat/>
    <w:rsid w:val="00C35CB7"/>
    <w:pPr>
      <w:ind w:left="720"/>
      <w:contextualSpacing/>
    </w:pPr>
  </w:style>
  <w:style w:type="character" w:customStyle="1" w:styleId="Ttulo5Car">
    <w:name w:val="Título 5 Car"/>
    <w:basedOn w:val="Fuentedeprrafopredeter"/>
    <w:link w:val="Ttulo5"/>
    <w:uiPriority w:val="9"/>
    <w:semiHidden/>
    <w:rsid w:val="00052B9A"/>
    <w:rPr>
      <w:rFonts w:asciiTheme="majorHAnsi" w:eastAsiaTheme="majorEastAsia" w:hAnsiTheme="majorHAnsi" w:cstheme="majorBidi"/>
      <w:color w:val="243F60" w:themeColor="accent1" w:themeShade="7F"/>
      <w:sz w:val="24"/>
      <w:szCs w:val="24"/>
      <w:lang w:val="es-ES" w:eastAsia="es-ES"/>
    </w:rPr>
  </w:style>
  <w:style w:type="paragraph" w:styleId="Textoindependiente">
    <w:name w:val="Body Text"/>
    <w:basedOn w:val="Normal"/>
    <w:link w:val="TextoindependienteCar"/>
    <w:uiPriority w:val="99"/>
    <w:unhideWhenUsed/>
    <w:rsid w:val="00052B9A"/>
    <w:pPr>
      <w:spacing w:after="120" w:line="276" w:lineRule="auto"/>
    </w:pPr>
    <w:rPr>
      <w:rFonts w:ascii="Calibri" w:eastAsia="Calibri" w:hAnsi="Calibri"/>
      <w:sz w:val="22"/>
      <w:szCs w:val="22"/>
      <w:lang w:eastAsia="en-US"/>
    </w:rPr>
  </w:style>
  <w:style w:type="character" w:customStyle="1" w:styleId="TextoindependienteCar">
    <w:name w:val="Texto independiente Car"/>
    <w:basedOn w:val="Fuentedeprrafopredeter"/>
    <w:link w:val="Textoindependiente"/>
    <w:uiPriority w:val="99"/>
    <w:rsid w:val="00052B9A"/>
    <w:rPr>
      <w:rFonts w:ascii="Calibri" w:eastAsia="Calibri" w:hAnsi="Calibri" w:cs="Times New Roman"/>
      <w:lang w:val="es-ES"/>
    </w:rPr>
  </w:style>
  <w:style w:type="character" w:styleId="Refdenotaalpie">
    <w:name w:val="footnote reference"/>
    <w:basedOn w:val="Fuentedeprrafopredeter"/>
    <w:uiPriority w:val="99"/>
    <w:rsid w:val="00052B9A"/>
    <w:rPr>
      <w:vertAlign w:val="superscript"/>
    </w:rPr>
  </w:style>
  <w:style w:type="character" w:styleId="Refdecomentario">
    <w:name w:val="annotation reference"/>
    <w:basedOn w:val="Fuentedeprrafopredeter"/>
    <w:uiPriority w:val="99"/>
    <w:semiHidden/>
    <w:unhideWhenUsed/>
    <w:rsid w:val="00052B9A"/>
    <w:rPr>
      <w:sz w:val="16"/>
      <w:szCs w:val="16"/>
    </w:rPr>
  </w:style>
  <w:style w:type="paragraph" w:styleId="Textocomentario">
    <w:name w:val="annotation text"/>
    <w:basedOn w:val="Normal"/>
    <w:link w:val="TextocomentarioCar"/>
    <w:uiPriority w:val="99"/>
    <w:unhideWhenUsed/>
    <w:rsid w:val="00052B9A"/>
    <w:pPr>
      <w:spacing w:after="20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052B9A"/>
    <w:rPr>
      <w:rFonts w:ascii="Calibri" w:eastAsia="Calibri" w:hAnsi="Calibri" w:cs="Times New Roman"/>
      <w:sz w:val="20"/>
      <w:szCs w:val="20"/>
      <w:lang w:val="es-ES"/>
    </w:rPr>
  </w:style>
  <w:style w:type="paragraph" w:styleId="NormalWeb">
    <w:name w:val="Normal (Web)"/>
    <w:basedOn w:val="Normal"/>
    <w:uiPriority w:val="99"/>
    <w:semiHidden/>
    <w:unhideWhenUsed/>
    <w:rsid w:val="007847CF"/>
    <w:pPr>
      <w:spacing w:before="100" w:beforeAutospacing="1" w:after="100" w:afterAutospacing="1"/>
    </w:pPr>
    <w:rPr>
      <w:rFonts w:eastAsiaTheme="minorHAnsi"/>
      <w:lang w:val="es-CR" w:eastAsia="es-CR"/>
    </w:rPr>
  </w:style>
  <w:style w:type="character" w:styleId="Hipervnculovisitado">
    <w:name w:val="FollowedHyperlink"/>
    <w:basedOn w:val="Fuentedeprrafopredeter"/>
    <w:uiPriority w:val="99"/>
    <w:semiHidden/>
    <w:unhideWhenUsed/>
    <w:rsid w:val="007847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59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package" Target="embeddings/Microsoft_Word_Document1.docx"/><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sugese.fi.cr" TargetMode="External"/><Relationship Id="rId20" Type="http://schemas.openxmlformats.org/officeDocument/2006/relationships/package" Target="embeddings/Microsoft_Word_Document2.docx"/><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package" Target="embeddings/Microsoft_Word_Document4.docx"/><Relationship Id="rId5" Type="http://schemas.openxmlformats.org/officeDocument/2006/relationships/styles" Target="styles.xml"/><Relationship Id="rId15" Type="http://schemas.openxmlformats.org/officeDocument/2006/relationships/hyperlink" Target="http://www.sugese.fi.cr" TargetMode="Externa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package" Target="embeddings/Microsoft_Word_Document3.docx"/><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74D80-2F60-4D63-978C-2766157BB621}"/>
</file>

<file path=customXml/itemProps2.xml><?xml version="1.0" encoding="utf-8"?>
<ds:datastoreItem xmlns:ds="http://schemas.openxmlformats.org/officeDocument/2006/customXml" ds:itemID="{EF4E1602-95FC-428F-93B7-A25BBD57B9DE}"/>
</file>

<file path=customXml/itemProps3.xml><?xml version="1.0" encoding="utf-8"?>
<ds:datastoreItem xmlns:ds="http://schemas.openxmlformats.org/officeDocument/2006/customXml" ds:itemID="{1C780EBA-2FEE-485A-AC1E-E7A0BDAF3FBE}"/>
</file>

<file path=docProps/app.xml><?xml version="1.0" encoding="utf-8"?>
<Properties xmlns="http://schemas.openxmlformats.org/officeDocument/2006/extended-properties" xmlns:vt="http://schemas.openxmlformats.org/officeDocument/2006/docPropsVTypes">
  <Template>Normal.dotm</Template>
  <TotalTime>1</TotalTime>
  <Pages>10</Pages>
  <Words>2791</Words>
  <Characters>15354</Characters>
  <Application>Microsoft Office Word</Application>
  <DocSecurity>4</DocSecurity>
  <Lines>127</Lines>
  <Paragraphs>36</Paragraphs>
  <ScaleCrop>false</ScaleCrop>
  <HeadingPairs>
    <vt:vector size="2" baseType="variant">
      <vt:variant>
        <vt:lpstr>Título</vt:lpstr>
      </vt:variant>
      <vt:variant>
        <vt:i4>1</vt:i4>
      </vt:variant>
    </vt:vector>
  </HeadingPairs>
  <TitlesOfParts>
    <vt:vector size="1" baseType="lpstr">
      <vt:lpstr>Modificación al acuerdo SGS-DES-A-021-2013</vt:lpstr>
    </vt:vector>
  </TitlesOfParts>
  <Company>Superintendencia General de Seguros</Company>
  <LinksUpToDate>false</LinksUpToDate>
  <CharactersWithSpaces>18109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SGS-A-0045-2015   </dc:title>
  <dc:creator>CASTRO CHACON ANA CECILIA</dc:creator>
  <cp:lastModifiedBy>SABORIO ROJAS JUAN CARLOS</cp:lastModifiedBy>
  <cp:revision>2</cp:revision>
  <dcterms:created xsi:type="dcterms:W3CDTF">2015-07-02T14:58:00Z</dcterms:created>
  <dcterms:modified xsi:type="dcterms:W3CDTF">2015-07-02T14:58:00Z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WorkflowChangePath">
    <vt:lpwstr>1b451566-358f-489f-bd8d-d4c5978ece0d,26;915a046f-9ef4-4295-8572-7dbfd8ab4299,28;</vt:lpwstr>
  </property>
  <property fmtid="{D5CDD505-2E9C-101B-9397-08002B2CF9AE}" pid="4" name="Order">
    <vt:r8>361200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DocumentSet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