
<file path=[Content_Types].xml><?xml version="1.0" encoding="utf-8"?>
<Types xmlns="http://schemas.openxmlformats.org/package/2006/content-types">
  <Default Extension="png" ContentType="image/png"/>
  <Default Extension="xlsm" ContentType="application/vnd.ms-excel.sheet.macroEnabled.12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sigs" ContentType="application/vnd.openxmlformats-package.digital-signature-origin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72610" w14:textId="77777777" w:rsidR="00C00485" w:rsidRPr="00006AAE" w:rsidRDefault="00C00485" w:rsidP="00006AAE">
      <w:pPr>
        <w:rPr>
          <w:rFonts w:asciiTheme="majorHAnsi" w:hAnsiTheme="majorHAnsi"/>
        </w:rPr>
      </w:pPr>
      <w:bookmarkStart w:id="0" w:name="_GoBack"/>
      <w:bookmarkEnd w:id="0"/>
    </w:p>
    <w:p w14:paraId="6A9C17EA" w14:textId="77777777" w:rsidR="002218A1" w:rsidRPr="00006AAE" w:rsidRDefault="002218A1" w:rsidP="00006AAE">
      <w:pPr>
        <w:ind w:left="-567"/>
        <w:jc w:val="both"/>
        <w:rPr>
          <w:rFonts w:asciiTheme="majorHAnsi" w:hAnsiTheme="majorHAnsi"/>
          <w:i/>
          <w:color w:val="000000"/>
          <w:szCs w:val="22"/>
        </w:rPr>
      </w:pPr>
      <w:r w:rsidRPr="00006AAE">
        <w:rPr>
          <w:rFonts w:asciiTheme="majorHAnsi" w:hAnsiTheme="majorHAnsi"/>
          <w:i/>
          <w:color w:val="000000"/>
          <w:szCs w:val="22"/>
        </w:rPr>
        <w:t>Tomás Soley Pérez</w:t>
      </w:r>
    </w:p>
    <w:p w14:paraId="014E5FA0" w14:textId="77777777" w:rsidR="002218A1" w:rsidRPr="00006AAE" w:rsidRDefault="002218A1" w:rsidP="00006AAE">
      <w:pPr>
        <w:ind w:left="-567"/>
        <w:jc w:val="both"/>
        <w:rPr>
          <w:rFonts w:asciiTheme="majorHAnsi" w:hAnsiTheme="majorHAnsi"/>
          <w:i/>
          <w:color w:val="000000"/>
          <w:szCs w:val="22"/>
        </w:rPr>
      </w:pPr>
      <w:r w:rsidRPr="00006AAE">
        <w:rPr>
          <w:rFonts w:asciiTheme="majorHAnsi" w:hAnsiTheme="majorHAnsi"/>
          <w:i/>
          <w:color w:val="000000"/>
          <w:szCs w:val="22"/>
        </w:rPr>
        <w:t>Superintendente de Seguros</w:t>
      </w:r>
    </w:p>
    <w:p w14:paraId="36B73B04" w14:textId="77777777" w:rsidR="002218A1" w:rsidRPr="00006AAE" w:rsidRDefault="002218A1" w:rsidP="00006AAE">
      <w:pPr>
        <w:ind w:left="-567"/>
        <w:jc w:val="both"/>
        <w:rPr>
          <w:rFonts w:asciiTheme="majorHAnsi" w:hAnsiTheme="majorHAnsi"/>
          <w:i/>
          <w:color w:val="000000"/>
          <w:szCs w:val="22"/>
        </w:rPr>
      </w:pPr>
    </w:p>
    <w:p w14:paraId="2E5FE3A5" w14:textId="77777777" w:rsidR="005A1442" w:rsidRPr="00006AAE" w:rsidRDefault="005A1442" w:rsidP="00006AAE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054"/>
      </w:tblGrid>
      <w:tr w:rsidR="00EE5C72" w:rsidRPr="00006AAE" w14:paraId="41874914" w14:textId="77777777" w:rsidTr="00EE5C72">
        <w:trPr>
          <w:trHeight w:val="278"/>
          <w:jc w:val="center"/>
        </w:trPr>
        <w:tc>
          <w:tcPr>
            <w:tcW w:w="5000" w:type="pct"/>
          </w:tcPr>
          <w:p w14:paraId="2FACF20E" w14:textId="77777777" w:rsidR="00EE5C72" w:rsidRPr="00006AAE" w:rsidRDefault="00EE5C72" w:rsidP="00006AAE">
            <w:pPr>
              <w:pStyle w:val="Textoindependiente"/>
              <w:spacing w:after="0" w:line="240" w:lineRule="auto"/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006AAE">
              <w:rPr>
                <w:rFonts w:asciiTheme="majorHAnsi" w:hAnsiTheme="majorHAnsi"/>
                <w:b/>
                <w:sz w:val="32"/>
                <w:szCs w:val="32"/>
              </w:rPr>
              <w:t>ACUERDO DE SUPERINTENDENTE</w:t>
            </w:r>
          </w:p>
          <w:p w14:paraId="18CED702" w14:textId="77777777" w:rsidR="00EE5C72" w:rsidRPr="00006AAE" w:rsidRDefault="00EE5C72" w:rsidP="00006AAE">
            <w:pPr>
              <w:pStyle w:val="Textoindependiente"/>
              <w:spacing w:after="0" w:line="240" w:lineRule="auto"/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</w:p>
          <w:p w14:paraId="521B2BFC" w14:textId="074EF05D" w:rsidR="00EE5C72" w:rsidRPr="00A15F1A" w:rsidRDefault="00EE5C72" w:rsidP="00006AAE">
            <w:pPr>
              <w:pStyle w:val="Textoindependiente"/>
              <w:spacing w:after="0" w:line="240" w:lineRule="auto"/>
              <w:jc w:val="center"/>
              <w:rPr>
                <w:rFonts w:asciiTheme="majorHAnsi" w:hAnsiTheme="majorHAnsi"/>
                <w:b/>
                <w:i/>
                <w:sz w:val="32"/>
                <w:szCs w:val="32"/>
              </w:rPr>
            </w:pPr>
            <w:r w:rsidRPr="00A15F1A">
              <w:rPr>
                <w:rFonts w:asciiTheme="majorHAnsi" w:hAnsiTheme="majorHAnsi"/>
                <w:b/>
                <w:i/>
                <w:sz w:val="32"/>
                <w:szCs w:val="32"/>
              </w:rPr>
              <w:t>SGS-DES-A-</w:t>
            </w:r>
            <w:r w:rsidR="00162D87">
              <w:rPr>
                <w:rFonts w:asciiTheme="majorHAnsi" w:hAnsiTheme="majorHAnsi"/>
                <w:b/>
                <w:i/>
                <w:sz w:val="32"/>
                <w:szCs w:val="32"/>
              </w:rPr>
              <w:t>042</w:t>
            </w:r>
            <w:r w:rsidRPr="00A15F1A">
              <w:rPr>
                <w:rFonts w:asciiTheme="majorHAnsi" w:hAnsiTheme="majorHAnsi"/>
                <w:b/>
                <w:i/>
                <w:sz w:val="32"/>
                <w:szCs w:val="32"/>
              </w:rPr>
              <w:t>-2014</w:t>
            </w:r>
          </w:p>
          <w:p w14:paraId="77734E97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b/>
                <w:color w:val="000000"/>
                <w:sz w:val="32"/>
                <w:szCs w:val="32"/>
              </w:rPr>
            </w:pPr>
          </w:p>
          <w:p w14:paraId="1D9AF437" w14:textId="77777777" w:rsidR="00EE5C72" w:rsidRPr="00006AAE" w:rsidRDefault="00EE5C72" w:rsidP="00006AAE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  <w:r w:rsidRPr="00006AAE">
              <w:rPr>
                <w:rFonts w:asciiTheme="majorHAnsi" w:hAnsiTheme="majorHAnsi"/>
                <w:b/>
                <w:color w:val="000000"/>
              </w:rPr>
              <w:t xml:space="preserve">Modificación del acuerdo SGS-DES-A-021-2013 </w:t>
            </w:r>
            <w:r w:rsidRPr="00006AAE">
              <w:rPr>
                <w:rFonts w:asciiTheme="majorHAnsi" w:hAnsiTheme="majorHAnsi"/>
                <w:b/>
                <w:i/>
                <w:color w:val="000000"/>
              </w:rPr>
              <w:t>“Disposiciones para la Remisión de la Información Contable y Estadística a la Superintendencia General de Seguros por parte de las Entidades Supervisadas”</w:t>
            </w:r>
            <w:r w:rsidRPr="00006AAE">
              <w:rPr>
                <w:rFonts w:asciiTheme="majorHAnsi" w:hAnsiTheme="majorHAnsi"/>
                <w:b/>
                <w:color w:val="000000"/>
              </w:rPr>
              <w:t xml:space="preserve">, para modificar los modelos 1 y 2 del estándar de negocios correspondientes al </w:t>
            </w:r>
            <w:r w:rsidRPr="00006AAE">
              <w:rPr>
                <w:rFonts w:asciiTheme="majorHAnsi" w:hAnsiTheme="majorHAnsi"/>
                <w:b/>
              </w:rPr>
              <w:t xml:space="preserve">Balance </w:t>
            </w:r>
            <w:r w:rsidRPr="00006AAE">
              <w:rPr>
                <w:rFonts w:asciiTheme="majorHAnsi" w:hAnsiTheme="majorHAnsi"/>
                <w:b/>
                <w:color w:val="000000"/>
              </w:rPr>
              <w:t>General y Estado de Resultados y otros cambios menores.</w:t>
            </w:r>
          </w:p>
          <w:p w14:paraId="5C97911C" w14:textId="77777777" w:rsidR="00EE5C72" w:rsidRPr="00006AAE" w:rsidRDefault="00EE5C72" w:rsidP="00006AAE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</w:p>
          <w:p w14:paraId="3DA6C2AD" w14:textId="77777777" w:rsidR="00EE5C72" w:rsidRPr="00006AAE" w:rsidRDefault="00EE5C72" w:rsidP="00006AAE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</w:p>
        </w:tc>
      </w:tr>
      <w:tr w:rsidR="00EE5C72" w:rsidRPr="00006AAE" w14:paraId="4ACE15D2" w14:textId="77777777" w:rsidTr="00EE5C72">
        <w:trPr>
          <w:jc w:val="center"/>
        </w:trPr>
        <w:tc>
          <w:tcPr>
            <w:tcW w:w="5000" w:type="pct"/>
          </w:tcPr>
          <w:p w14:paraId="7E0B631F" w14:textId="7CFAF92E" w:rsidR="00EE5C72" w:rsidRPr="00006AAE" w:rsidRDefault="00EE5C72" w:rsidP="00006AAE">
            <w:pPr>
              <w:widowControl w:val="0"/>
              <w:jc w:val="both"/>
              <w:rPr>
                <w:rFonts w:asciiTheme="majorHAnsi" w:hAnsiTheme="majorHAnsi"/>
                <w:color w:val="000000"/>
              </w:rPr>
            </w:pPr>
            <w:r w:rsidRPr="00006AAE">
              <w:rPr>
                <w:rFonts w:asciiTheme="majorHAnsi" w:hAnsiTheme="majorHAnsi"/>
                <w:color w:val="000000"/>
              </w:rPr>
              <w:t xml:space="preserve">El Superintendente General de Seguros a las </w:t>
            </w:r>
            <w:r w:rsidR="00A15F1A">
              <w:rPr>
                <w:rFonts w:asciiTheme="majorHAnsi" w:hAnsiTheme="majorHAnsi"/>
                <w:color w:val="000000"/>
              </w:rPr>
              <w:t>once</w:t>
            </w:r>
            <w:r w:rsidRPr="00006AAE">
              <w:rPr>
                <w:rFonts w:asciiTheme="majorHAnsi" w:hAnsiTheme="majorHAnsi"/>
                <w:color w:val="000000"/>
              </w:rPr>
              <w:t xml:space="preserve"> horas del </w:t>
            </w:r>
            <w:r w:rsidR="00A15F1A">
              <w:rPr>
                <w:rFonts w:asciiTheme="majorHAnsi" w:hAnsiTheme="majorHAnsi"/>
                <w:color w:val="000000"/>
              </w:rPr>
              <w:t>di</w:t>
            </w:r>
            <w:r w:rsidR="00162D87">
              <w:rPr>
                <w:rFonts w:asciiTheme="majorHAnsi" w:hAnsiTheme="majorHAnsi"/>
                <w:color w:val="000000"/>
              </w:rPr>
              <w:t>e</w:t>
            </w:r>
            <w:r w:rsidR="00A15F1A">
              <w:rPr>
                <w:rFonts w:asciiTheme="majorHAnsi" w:hAnsiTheme="majorHAnsi"/>
                <w:color w:val="000000"/>
              </w:rPr>
              <w:t>ciocho</w:t>
            </w:r>
            <w:r w:rsidRPr="00006AAE">
              <w:rPr>
                <w:rFonts w:asciiTheme="majorHAnsi" w:hAnsiTheme="majorHAnsi"/>
                <w:color w:val="000000"/>
              </w:rPr>
              <w:t xml:space="preserve"> de </w:t>
            </w:r>
            <w:r w:rsidR="00006AAE">
              <w:rPr>
                <w:rFonts w:asciiTheme="majorHAnsi" w:hAnsiTheme="majorHAnsi"/>
                <w:color w:val="000000"/>
              </w:rPr>
              <w:t>diciembre</w:t>
            </w:r>
            <w:r w:rsidRPr="00006AAE">
              <w:rPr>
                <w:rFonts w:asciiTheme="majorHAnsi" w:hAnsiTheme="majorHAnsi"/>
                <w:color w:val="000000"/>
              </w:rPr>
              <w:t xml:space="preserve"> de dos mil catorce, considerando que:</w:t>
            </w:r>
          </w:p>
          <w:p w14:paraId="15E69AD2" w14:textId="77777777" w:rsidR="00EE5C72" w:rsidRPr="00006AAE" w:rsidRDefault="00EE5C72" w:rsidP="00006AAE">
            <w:pPr>
              <w:widowControl w:val="0"/>
              <w:jc w:val="both"/>
              <w:rPr>
                <w:rFonts w:asciiTheme="majorHAnsi" w:hAnsiTheme="majorHAnsi"/>
                <w:b/>
                <w:i/>
              </w:rPr>
            </w:pPr>
          </w:p>
        </w:tc>
      </w:tr>
      <w:tr w:rsidR="00EE5C72" w:rsidRPr="00006AAE" w14:paraId="2E67BAF0" w14:textId="77777777" w:rsidTr="00EE5C72">
        <w:trPr>
          <w:jc w:val="center"/>
        </w:trPr>
        <w:tc>
          <w:tcPr>
            <w:tcW w:w="5000" w:type="pct"/>
          </w:tcPr>
          <w:p w14:paraId="5F280795" w14:textId="77777777" w:rsidR="00EE5C72" w:rsidRPr="00006AAE" w:rsidRDefault="00EE5C72" w:rsidP="00006AAE">
            <w:pPr>
              <w:widowControl w:val="0"/>
              <w:jc w:val="both"/>
              <w:rPr>
                <w:rFonts w:asciiTheme="majorHAnsi" w:hAnsiTheme="majorHAnsi"/>
                <w:color w:val="000000"/>
              </w:rPr>
            </w:pPr>
            <w:r w:rsidRPr="00006AAE">
              <w:rPr>
                <w:rFonts w:asciiTheme="majorHAnsi" w:hAnsiTheme="majorHAnsi"/>
                <w:color w:val="000000"/>
              </w:rPr>
              <w:t xml:space="preserve">1. La Ley Reguladora del Mercado de Seguros, Ley N° 8653 mediante artículos 25 c) y 26 g) de la Ley N° 8653 establece que las entidades aseguradoras y reaseguradoras y los intermediarios del mercado de seguros están obligados a proporcionar a la Superintendencia la información correcta y completa, dentro de los plazos y las formalidades requeridos con el fin de cumplir con el objetivo definido en el artículo 29, de </w:t>
            </w:r>
            <w:r w:rsidRPr="00006AAE">
              <w:rPr>
                <w:rFonts w:asciiTheme="majorHAnsi" w:hAnsiTheme="majorHAnsi"/>
                <w:i/>
                <w:color w:val="000000"/>
              </w:rPr>
              <w:t>“velar por la estabilidad y el eficiente funcionamiento del mercado de seguros, así como entregar la más amplia información a los asegurados”</w:t>
            </w:r>
          </w:p>
          <w:p w14:paraId="1DB7C75B" w14:textId="77777777" w:rsidR="00EE5C72" w:rsidRPr="00006AAE" w:rsidRDefault="00EE5C72" w:rsidP="00006AAE">
            <w:pPr>
              <w:widowControl w:val="0"/>
              <w:jc w:val="both"/>
              <w:rPr>
                <w:rFonts w:asciiTheme="majorHAnsi" w:hAnsiTheme="majorHAnsi"/>
                <w:b/>
                <w:i/>
              </w:rPr>
            </w:pPr>
          </w:p>
        </w:tc>
      </w:tr>
      <w:tr w:rsidR="00EE5C72" w:rsidRPr="00006AAE" w14:paraId="225FA004" w14:textId="77777777" w:rsidTr="00EE5C72">
        <w:trPr>
          <w:jc w:val="center"/>
        </w:trPr>
        <w:tc>
          <w:tcPr>
            <w:tcW w:w="5000" w:type="pct"/>
          </w:tcPr>
          <w:p w14:paraId="5C7B4A99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color w:val="000000"/>
              </w:rPr>
            </w:pPr>
            <w:r w:rsidRPr="00006AAE">
              <w:rPr>
                <w:rFonts w:asciiTheme="majorHAnsi" w:hAnsiTheme="majorHAnsi"/>
                <w:color w:val="000000"/>
              </w:rPr>
              <w:t xml:space="preserve">2. En concordancia con lo anterior el </w:t>
            </w:r>
            <w:r w:rsidRPr="00006AAE">
              <w:rPr>
                <w:rFonts w:asciiTheme="majorHAnsi" w:hAnsiTheme="majorHAnsi"/>
                <w:i/>
                <w:color w:val="000000"/>
              </w:rPr>
              <w:t>Reglamento Relativo a la Información Financiera de Entidades, Grupos y Conglomerados Financieros</w:t>
            </w:r>
            <w:r w:rsidRPr="00006AAE">
              <w:rPr>
                <w:rFonts w:asciiTheme="majorHAnsi" w:hAnsiTheme="majorHAnsi"/>
                <w:color w:val="000000"/>
              </w:rPr>
              <w:t>, establece la obligación por parte de las entidades supervisadas de presentar información contable a la Superintendencia General de Seguros, así como los modelos de estados financieros que éstas deben preparar a partir de enero de 2015.</w:t>
            </w:r>
          </w:p>
          <w:p w14:paraId="00E9BF61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</w:rPr>
            </w:pPr>
          </w:p>
        </w:tc>
      </w:tr>
      <w:tr w:rsidR="00EE5C72" w:rsidRPr="00006AAE" w14:paraId="5DC59FBA" w14:textId="77777777" w:rsidTr="00EE5C72">
        <w:trPr>
          <w:jc w:val="center"/>
        </w:trPr>
        <w:tc>
          <w:tcPr>
            <w:tcW w:w="5000" w:type="pct"/>
          </w:tcPr>
          <w:p w14:paraId="498A80A3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color w:val="000000"/>
              </w:rPr>
            </w:pPr>
            <w:r w:rsidRPr="00006AAE">
              <w:rPr>
                <w:rFonts w:asciiTheme="majorHAnsi" w:hAnsiTheme="majorHAnsi"/>
                <w:color w:val="000000"/>
              </w:rPr>
              <w:t xml:space="preserve">3.  El Superintendente mediante acuerdo SGS-DES-A-021-2013 del 23 de mayo de 2013 emitió las </w:t>
            </w:r>
            <w:r w:rsidRPr="00006AAE">
              <w:rPr>
                <w:rFonts w:asciiTheme="majorHAnsi" w:hAnsiTheme="majorHAnsi"/>
                <w:i/>
                <w:color w:val="000000"/>
              </w:rPr>
              <w:t>Disposiciones para la Remisión de la Información Contable y Estadística a la Superintendencia General de Seguros por parte de las Entidades Supervisadas</w:t>
            </w:r>
            <w:r w:rsidRPr="00006AAE">
              <w:rPr>
                <w:rFonts w:asciiTheme="majorHAnsi" w:hAnsiTheme="majorHAnsi"/>
                <w:color w:val="000000"/>
              </w:rPr>
              <w:t>, el cual indica la información que deben enviar las entidades supervisadas, así como su periodicidad, plazo y medio de remisión.</w:t>
            </w:r>
          </w:p>
          <w:p w14:paraId="6175C19F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color w:val="000000"/>
              </w:rPr>
            </w:pPr>
          </w:p>
          <w:p w14:paraId="448BF35D" w14:textId="77777777" w:rsidR="00EE5C72" w:rsidRDefault="00EE5C72" w:rsidP="00006AAE">
            <w:pPr>
              <w:jc w:val="both"/>
              <w:rPr>
                <w:rFonts w:asciiTheme="majorHAnsi" w:hAnsiTheme="majorHAnsi"/>
              </w:rPr>
            </w:pPr>
          </w:p>
          <w:p w14:paraId="7D91CF2B" w14:textId="77777777" w:rsidR="00A15F1A" w:rsidRPr="00006AAE" w:rsidRDefault="00A15F1A" w:rsidP="00006AAE">
            <w:pPr>
              <w:jc w:val="both"/>
              <w:rPr>
                <w:rFonts w:asciiTheme="majorHAnsi" w:hAnsiTheme="majorHAnsi"/>
              </w:rPr>
            </w:pPr>
          </w:p>
        </w:tc>
      </w:tr>
      <w:tr w:rsidR="00EE5C72" w:rsidRPr="00006AAE" w14:paraId="5FB867D3" w14:textId="77777777" w:rsidTr="00EE5C72">
        <w:trPr>
          <w:trHeight w:val="152"/>
          <w:jc w:val="center"/>
        </w:trPr>
        <w:tc>
          <w:tcPr>
            <w:tcW w:w="5000" w:type="pct"/>
          </w:tcPr>
          <w:p w14:paraId="018D8D33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color w:val="000000"/>
              </w:rPr>
            </w:pPr>
            <w:r w:rsidRPr="00006AAE">
              <w:rPr>
                <w:rFonts w:asciiTheme="majorHAnsi" w:hAnsiTheme="majorHAnsi"/>
                <w:color w:val="000000"/>
              </w:rPr>
              <w:lastRenderedPageBreak/>
              <w:t xml:space="preserve">4. Mediante artículo 14, de la sesión del 1130-2014, celebrada el 20 de octubre de 2014, el CONASSIF remitió en consulta una modificación de los modelos de estados financieros normados en el </w:t>
            </w:r>
            <w:r w:rsidRPr="00006AAE">
              <w:rPr>
                <w:rFonts w:asciiTheme="majorHAnsi" w:hAnsiTheme="majorHAnsi"/>
                <w:i/>
                <w:color w:val="000000"/>
              </w:rPr>
              <w:t>Reglamento Relativo a la Información Financiera de Entidades, Grupos y Conglomerados Financieros</w:t>
            </w:r>
            <w:r w:rsidRPr="00006AAE">
              <w:rPr>
                <w:rFonts w:asciiTheme="majorHAnsi" w:hAnsiTheme="majorHAnsi"/>
                <w:color w:val="000000"/>
              </w:rPr>
              <w:t>, con el propósito de mejorar la revelación de las cuentas de seguro que funcionan como cuenta corriente, lo que hace necesario ajustar los modelos de Balance General y Estado de Resultados del acuerdo SGS-DES-A-021-2013.</w:t>
            </w:r>
          </w:p>
          <w:p w14:paraId="2E6E7CD9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</w:rPr>
            </w:pPr>
          </w:p>
        </w:tc>
      </w:tr>
      <w:tr w:rsidR="00EE5C72" w:rsidRPr="00006AAE" w14:paraId="65C4D789" w14:textId="77777777" w:rsidTr="00EE5C72">
        <w:trPr>
          <w:jc w:val="center"/>
        </w:trPr>
        <w:tc>
          <w:tcPr>
            <w:tcW w:w="5000" w:type="pct"/>
          </w:tcPr>
          <w:p w14:paraId="4073EA93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color w:val="000000"/>
              </w:rPr>
            </w:pPr>
            <w:r w:rsidRPr="00006AAE">
              <w:rPr>
                <w:rFonts w:asciiTheme="majorHAnsi" w:hAnsiTheme="majorHAnsi"/>
                <w:color w:val="000000"/>
              </w:rPr>
              <w:t xml:space="preserve">5. De igual forma, mediante artículo 9 de la sesión 1131-2014, del 27 de octubre, el CONASSIF aprobó la modificación de los ramos incluidos en el Anexo 1 del </w:t>
            </w:r>
            <w:r w:rsidRPr="00006AAE">
              <w:rPr>
                <w:rFonts w:asciiTheme="majorHAnsi" w:hAnsiTheme="majorHAnsi"/>
                <w:i/>
                <w:color w:val="000000"/>
              </w:rPr>
              <w:t>Reglamento sobre Autorizaciones, Registros y Requisitos de Funcionamiento de Entidades Supervisadas por la Superintendencia General de Seguros</w:t>
            </w:r>
            <w:r w:rsidRPr="00006AAE">
              <w:rPr>
                <w:rFonts w:asciiTheme="majorHAnsi" w:hAnsiTheme="majorHAnsi"/>
                <w:color w:val="000000"/>
              </w:rPr>
              <w:t>, la cual debe ser replicada en el resto de la normativa aplicable a las entidades supervisadas.</w:t>
            </w:r>
          </w:p>
          <w:p w14:paraId="39FACE30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</w:rPr>
            </w:pPr>
          </w:p>
        </w:tc>
      </w:tr>
      <w:tr w:rsidR="00EE5C72" w:rsidRPr="00006AAE" w14:paraId="77C95FA0" w14:textId="77777777" w:rsidTr="00EE5C72">
        <w:trPr>
          <w:trHeight w:val="144"/>
          <w:jc w:val="center"/>
        </w:trPr>
        <w:tc>
          <w:tcPr>
            <w:tcW w:w="5000" w:type="pct"/>
          </w:tcPr>
          <w:p w14:paraId="4B8D8347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color w:val="000000"/>
              </w:rPr>
            </w:pPr>
            <w:r w:rsidRPr="00006AAE">
              <w:rPr>
                <w:rFonts w:asciiTheme="majorHAnsi" w:hAnsiTheme="majorHAnsi"/>
                <w:color w:val="000000"/>
              </w:rPr>
              <w:t xml:space="preserve">6. Por otra parte, mediante acuerdos SGS-DES-A-034-2014 y SGS-DES-A-036-2014 la Superintendencia General de Seguros modificó los Anexos 4 y 5 del acuerdo SGS-DES-A-021-2013 que contienen el modelo de información relacionada con el </w:t>
            </w:r>
            <w:r w:rsidRPr="00006AAE">
              <w:rPr>
                <w:rFonts w:asciiTheme="majorHAnsi" w:hAnsiTheme="majorHAnsi"/>
                <w:i/>
                <w:color w:val="000000"/>
              </w:rPr>
              <w:t>“Régimen de suficiencia de capital y solvencia”</w:t>
            </w:r>
            <w:r w:rsidRPr="00006AAE">
              <w:rPr>
                <w:rFonts w:asciiTheme="majorHAnsi" w:hAnsiTheme="majorHAnsi"/>
                <w:color w:val="000000"/>
              </w:rPr>
              <w:t xml:space="preserve"> y el </w:t>
            </w:r>
            <w:r w:rsidRPr="00006AAE">
              <w:rPr>
                <w:rFonts w:asciiTheme="majorHAnsi" w:hAnsiTheme="majorHAnsi"/>
                <w:i/>
                <w:color w:val="000000"/>
              </w:rPr>
              <w:t>“Estándar de Negocios”</w:t>
            </w:r>
            <w:r w:rsidRPr="00006AAE">
              <w:rPr>
                <w:rFonts w:asciiTheme="majorHAnsi" w:hAnsiTheme="majorHAnsi"/>
                <w:color w:val="000000"/>
              </w:rPr>
              <w:t xml:space="preserve"> para el uso del Sistema de Supervisión de Seguros, los cuales incluyen la información requerida en los Anexos 2, 3 y 6 de dicho acuerdo relacionados con la determinación del RSC-3, el RSC-4 y el registro auxiliar de inversiones, generándose una duplicación del requerimiento en el acuerdo.</w:t>
            </w:r>
          </w:p>
          <w:p w14:paraId="0EF212D6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</w:rPr>
            </w:pPr>
          </w:p>
        </w:tc>
      </w:tr>
      <w:tr w:rsidR="00EE5C72" w:rsidRPr="00006AAE" w14:paraId="307303F9" w14:textId="77777777" w:rsidTr="00EE5C72">
        <w:trPr>
          <w:jc w:val="center"/>
        </w:trPr>
        <w:tc>
          <w:tcPr>
            <w:tcW w:w="5000" w:type="pct"/>
          </w:tcPr>
          <w:p w14:paraId="03666CB2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color w:val="000000"/>
              </w:rPr>
            </w:pPr>
            <w:r w:rsidRPr="00006AAE">
              <w:rPr>
                <w:rFonts w:asciiTheme="majorHAnsi" w:hAnsiTheme="majorHAnsi"/>
                <w:color w:val="000000"/>
              </w:rPr>
              <w:t xml:space="preserve">7. El inciso 2) del artículo 361 de la Ley General de la Administración Pública establece que  </w:t>
            </w:r>
            <w:r w:rsidRPr="00006AAE">
              <w:rPr>
                <w:rFonts w:asciiTheme="majorHAnsi" w:hAnsiTheme="majorHAnsi"/>
                <w:i/>
                <w:color w:val="000000"/>
              </w:rPr>
              <w:t>“Se concederá a las entidades representativas de intereses de carácter general o corporativo afectados por la disposición la oportunidad de exponer su parecer, dentro del plazo de diez días, salvo cuando se opongan a ello razones de interés público o de urgencia debidamente consignadas en el anteproyecto.”</w:t>
            </w:r>
          </w:p>
          <w:p w14:paraId="0B64ADFA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</w:rPr>
            </w:pPr>
          </w:p>
        </w:tc>
      </w:tr>
      <w:tr w:rsidR="00EE5C72" w:rsidRPr="00006AAE" w14:paraId="5FB52610" w14:textId="77777777" w:rsidTr="00EE5C72">
        <w:trPr>
          <w:jc w:val="center"/>
        </w:trPr>
        <w:tc>
          <w:tcPr>
            <w:tcW w:w="5000" w:type="pct"/>
          </w:tcPr>
          <w:p w14:paraId="476C2B1E" w14:textId="77777777" w:rsidR="00EE5C72" w:rsidRPr="00006AAE" w:rsidRDefault="00EE5C72" w:rsidP="00006AAE">
            <w:pPr>
              <w:pStyle w:val="Textoindependiente3"/>
              <w:tabs>
                <w:tab w:val="left" w:pos="857"/>
                <w:tab w:val="left" w:pos="1168"/>
              </w:tabs>
              <w:rPr>
                <w:rFonts w:asciiTheme="majorHAnsi" w:eastAsia="Calibri" w:hAnsiTheme="majorHAnsi"/>
                <w:sz w:val="24"/>
                <w:szCs w:val="24"/>
                <w:lang w:eastAsia="en-US"/>
              </w:rPr>
            </w:pPr>
            <w:r w:rsidRPr="00006AAE">
              <w:rPr>
                <w:rFonts w:asciiTheme="majorHAnsi" w:eastAsia="Calibri" w:hAnsiTheme="majorHAnsi"/>
                <w:sz w:val="24"/>
                <w:szCs w:val="24"/>
                <w:lang w:eastAsia="en-US"/>
              </w:rPr>
              <w:t>8.  Que mediante oficios  SGS-DES-O-1958-2014 y SGS-DES-O-2046-2014 del 14 y 28 de noviembre de 2014, de conformidad con lo estipulado en el artículo 361, numeral 2, de la Ley General de Administración Pública, fue remitido a consulta de las entidades de seguros para sus comentarios y observaciones, la modificación al acuerdo SGS-DES-A-021-2013, con el fin de cambiar modificar los modelos 1 y 2 del estándar de negocios correspondientes al Balance General y Estado de Resultados y otros cambios menores.</w:t>
            </w:r>
          </w:p>
          <w:p w14:paraId="1BBEF890" w14:textId="77777777" w:rsidR="00EE5C72" w:rsidRDefault="00EE5C72" w:rsidP="00006AAE">
            <w:pPr>
              <w:pStyle w:val="Textoindependiente3"/>
              <w:tabs>
                <w:tab w:val="left" w:pos="857"/>
                <w:tab w:val="left" w:pos="1168"/>
              </w:tabs>
              <w:rPr>
                <w:rFonts w:asciiTheme="majorHAnsi" w:eastAsia="Calibri" w:hAnsiTheme="majorHAnsi"/>
                <w:sz w:val="24"/>
                <w:szCs w:val="24"/>
                <w:lang w:eastAsia="en-US"/>
              </w:rPr>
            </w:pPr>
          </w:p>
          <w:p w14:paraId="3B99F03A" w14:textId="0E3ED033" w:rsidR="00A15F1A" w:rsidRDefault="00A15F1A" w:rsidP="00006AAE">
            <w:pPr>
              <w:pStyle w:val="Textoindependiente3"/>
              <w:tabs>
                <w:tab w:val="left" w:pos="857"/>
                <w:tab w:val="left" w:pos="1168"/>
              </w:tabs>
              <w:rPr>
                <w:rFonts w:asciiTheme="majorHAnsi" w:eastAsia="Calibri" w:hAnsiTheme="majorHAnsi"/>
                <w:sz w:val="24"/>
                <w:szCs w:val="24"/>
                <w:lang w:eastAsia="en-US"/>
              </w:rPr>
            </w:pPr>
          </w:p>
          <w:p w14:paraId="4C7060CF" w14:textId="77777777" w:rsidR="00A15F1A" w:rsidRPr="00006AAE" w:rsidRDefault="00A15F1A" w:rsidP="00006AAE">
            <w:pPr>
              <w:pStyle w:val="Textoindependiente3"/>
              <w:tabs>
                <w:tab w:val="left" w:pos="857"/>
                <w:tab w:val="left" w:pos="1168"/>
              </w:tabs>
              <w:rPr>
                <w:rFonts w:asciiTheme="majorHAnsi" w:eastAsia="Calibri" w:hAnsiTheme="majorHAnsi"/>
                <w:sz w:val="24"/>
                <w:szCs w:val="24"/>
                <w:lang w:eastAsia="en-US"/>
              </w:rPr>
            </w:pPr>
          </w:p>
          <w:p w14:paraId="08527DEA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</w:rPr>
            </w:pPr>
            <w:r w:rsidRPr="00006AAE">
              <w:rPr>
                <w:rFonts w:asciiTheme="majorHAnsi" w:hAnsiTheme="majorHAnsi"/>
              </w:rPr>
              <w:t>9. Finalizado el plazo de consulta, los comentarios y observaciones recibidos por la Superintendencia fueron analizados e incorporados al acuerdo si correspondía, por lo que lo procedente es emitir el acuerdo de forma definitiva por parte del Superintendente.</w:t>
            </w:r>
          </w:p>
        </w:tc>
      </w:tr>
    </w:tbl>
    <w:p w14:paraId="0768F578" w14:textId="77777777" w:rsidR="00006AAE" w:rsidRDefault="00006AAE" w:rsidP="00006AAE">
      <w:pPr>
        <w:jc w:val="center"/>
        <w:rPr>
          <w:rFonts w:asciiTheme="majorHAnsi" w:hAnsiTheme="majorHAnsi"/>
          <w:b/>
          <w:color w:val="000000"/>
          <w:sz w:val="32"/>
          <w:szCs w:val="32"/>
        </w:rPr>
      </w:pPr>
    </w:p>
    <w:p w14:paraId="609DBD2E" w14:textId="77777777" w:rsidR="00006AAE" w:rsidRPr="00006AAE" w:rsidRDefault="00006AAE" w:rsidP="00006AAE">
      <w:pPr>
        <w:jc w:val="center"/>
        <w:rPr>
          <w:rFonts w:asciiTheme="majorHAnsi" w:hAnsiTheme="majorHAnsi"/>
          <w:b/>
          <w:color w:val="000000"/>
          <w:sz w:val="32"/>
          <w:szCs w:val="32"/>
        </w:rPr>
      </w:pPr>
      <w:r w:rsidRPr="00006AAE">
        <w:rPr>
          <w:rFonts w:asciiTheme="majorHAnsi" w:hAnsiTheme="majorHAnsi"/>
          <w:b/>
          <w:color w:val="000000"/>
          <w:sz w:val="32"/>
          <w:szCs w:val="32"/>
        </w:rPr>
        <w:t>Dispone:</w:t>
      </w:r>
    </w:p>
    <w:p w14:paraId="1E6F7D95" w14:textId="77777777" w:rsidR="00006AAE" w:rsidRPr="00006AAE" w:rsidRDefault="00006AAE" w:rsidP="00006AAE">
      <w:pPr>
        <w:jc w:val="center"/>
        <w:rPr>
          <w:rFonts w:asciiTheme="majorHAnsi" w:hAnsiTheme="majorHAnsi"/>
          <w:b/>
          <w:color w:val="000000"/>
        </w:rPr>
      </w:pPr>
    </w:p>
    <w:p w14:paraId="363177E0" w14:textId="77777777" w:rsidR="00006AAE" w:rsidRPr="00006AAE" w:rsidRDefault="00006AAE" w:rsidP="00006AAE">
      <w:pPr>
        <w:jc w:val="both"/>
        <w:rPr>
          <w:rFonts w:asciiTheme="majorHAnsi" w:hAnsiTheme="majorHAnsi"/>
          <w:color w:val="000000"/>
        </w:rPr>
      </w:pPr>
      <w:r w:rsidRPr="00006AAE">
        <w:rPr>
          <w:rFonts w:asciiTheme="majorHAnsi" w:hAnsiTheme="majorHAnsi"/>
          <w:b/>
          <w:color w:val="000000"/>
        </w:rPr>
        <w:t>Primero:</w:t>
      </w:r>
      <w:r w:rsidRPr="00006AAE">
        <w:rPr>
          <w:rFonts w:asciiTheme="majorHAnsi" w:hAnsiTheme="majorHAnsi"/>
          <w:color w:val="000000"/>
        </w:rPr>
        <w:t xml:space="preserve"> Modificar el artículo 2 del Acuerdo SGS-DES-A-021-2013 de forma tal que se lea de la siguiente manera:</w:t>
      </w:r>
    </w:p>
    <w:p w14:paraId="22D08F70" w14:textId="77777777" w:rsidR="00006AAE" w:rsidRPr="00006AAE" w:rsidRDefault="00006AAE" w:rsidP="00006AAE">
      <w:pPr>
        <w:jc w:val="both"/>
        <w:rPr>
          <w:rFonts w:asciiTheme="majorHAnsi" w:hAnsiTheme="majorHAnsi"/>
          <w:i/>
          <w:color w:val="000000"/>
        </w:rPr>
      </w:pPr>
    </w:p>
    <w:p w14:paraId="361B84F8" w14:textId="77777777" w:rsidR="00006AAE" w:rsidRPr="00006AAE" w:rsidRDefault="00006AAE" w:rsidP="00006AAE">
      <w:pPr>
        <w:jc w:val="both"/>
        <w:rPr>
          <w:rFonts w:asciiTheme="majorHAnsi" w:hAnsiTheme="majorHAnsi"/>
          <w:b/>
          <w:i/>
          <w:color w:val="000000"/>
        </w:rPr>
      </w:pPr>
      <w:r w:rsidRPr="00006AAE">
        <w:rPr>
          <w:rFonts w:asciiTheme="majorHAnsi" w:hAnsiTheme="majorHAnsi"/>
          <w:b/>
          <w:i/>
          <w:color w:val="000000"/>
        </w:rPr>
        <w:t>Artículo 2. Información que deben Enviar las Entidades de Seguros, Periodicidad, Plazo y Medio de Remisión</w:t>
      </w:r>
    </w:p>
    <w:p w14:paraId="58C8EA4B" w14:textId="77777777" w:rsidR="00006AAE" w:rsidRDefault="00006AAE" w:rsidP="00006AAE">
      <w:pPr>
        <w:jc w:val="both"/>
        <w:rPr>
          <w:rFonts w:asciiTheme="majorHAnsi" w:hAnsiTheme="majorHAnsi"/>
          <w:i/>
          <w:color w:val="000000"/>
        </w:rPr>
      </w:pPr>
      <w:r w:rsidRPr="00006AAE">
        <w:rPr>
          <w:rFonts w:asciiTheme="majorHAnsi" w:hAnsiTheme="majorHAnsi"/>
          <w:i/>
          <w:color w:val="000000"/>
        </w:rPr>
        <w:t>Las entidades de seguros supervisadas deben remitir a la Superintendencia la siguiente información, en las condiciones que se indican a continuación:</w:t>
      </w:r>
    </w:p>
    <w:p w14:paraId="6654260B" w14:textId="77777777" w:rsidR="00006AAE" w:rsidRPr="00006AAE" w:rsidRDefault="00006AAE" w:rsidP="00006AAE">
      <w:pPr>
        <w:jc w:val="both"/>
        <w:rPr>
          <w:rFonts w:asciiTheme="majorHAnsi" w:hAnsiTheme="majorHAnsi"/>
          <w:i/>
          <w:color w:val="000000"/>
        </w:rPr>
      </w:pPr>
    </w:p>
    <w:tbl>
      <w:tblPr>
        <w:tblW w:w="8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1980"/>
        <w:gridCol w:w="1842"/>
        <w:gridCol w:w="2269"/>
        <w:gridCol w:w="2737"/>
      </w:tblGrid>
      <w:tr w:rsidR="00006AAE" w:rsidRPr="00006AAE" w14:paraId="348AD902" w14:textId="77777777" w:rsidTr="000B31FC">
        <w:trPr>
          <w:cantSplit/>
          <w:trHeight w:val="43"/>
          <w:tblHeader/>
          <w:jc w:val="center"/>
        </w:trPr>
        <w:tc>
          <w:tcPr>
            <w:tcW w:w="1121" w:type="pct"/>
            <w:shd w:val="clear" w:color="auto" w:fill="D9D9D9" w:themeFill="background1" w:themeFillShade="D9"/>
            <w:noWrap/>
            <w:vAlign w:val="center"/>
          </w:tcPr>
          <w:p w14:paraId="4E614C6B" w14:textId="77777777" w:rsidR="00006AAE" w:rsidRPr="00006AAE" w:rsidRDefault="00006AAE" w:rsidP="00362C1D">
            <w:pPr>
              <w:widowControl w:val="0"/>
              <w:jc w:val="center"/>
              <w:rPr>
                <w:rFonts w:asciiTheme="majorHAnsi" w:hAnsiTheme="majorHAnsi"/>
                <w:b/>
                <w:i/>
                <w:snapToGrid w:val="0"/>
                <w:color w:val="FFFFFF" w:themeColor="background1"/>
              </w:rPr>
            </w:pPr>
            <w:r w:rsidRPr="00006AAE">
              <w:rPr>
                <w:rFonts w:asciiTheme="majorHAnsi" w:hAnsiTheme="majorHAnsi"/>
                <w:b/>
                <w:i/>
                <w:snapToGrid w:val="0"/>
              </w:rPr>
              <w:t>Información</w:t>
            </w:r>
          </w:p>
        </w:tc>
        <w:tc>
          <w:tcPr>
            <w:tcW w:w="1043" w:type="pct"/>
            <w:shd w:val="clear" w:color="auto" w:fill="D9D9D9" w:themeFill="background1" w:themeFillShade="D9"/>
            <w:noWrap/>
            <w:vAlign w:val="center"/>
          </w:tcPr>
          <w:p w14:paraId="05BD8023" w14:textId="77777777" w:rsidR="00006AAE" w:rsidRPr="00006AAE" w:rsidRDefault="00006AAE" w:rsidP="00362C1D">
            <w:pPr>
              <w:widowControl w:val="0"/>
              <w:jc w:val="center"/>
              <w:rPr>
                <w:rFonts w:asciiTheme="majorHAnsi" w:hAnsiTheme="majorHAnsi"/>
                <w:i/>
              </w:rPr>
            </w:pPr>
            <w:r w:rsidRPr="00006AAE">
              <w:rPr>
                <w:rFonts w:asciiTheme="majorHAnsi" w:hAnsiTheme="majorHAnsi"/>
                <w:b/>
                <w:i/>
                <w:snapToGrid w:val="0"/>
              </w:rPr>
              <w:t>Periodicidad</w:t>
            </w:r>
          </w:p>
        </w:tc>
        <w:tc>
          <w:tcPr>
            <w:tcW w:w="1285" w:type="pct"/>
            <w:shd w:val="clear" w:color="auto" w:fill="D9D9D9" w:themeFill="background1" w:themeFillShade="D9"/>
            <w:noWrap/>
            <w:vAlign w:val="center"/>
          </w:tcPr>
          <w:p w14:paraId="51E97B55" w14:textId="77777777" w:rsidR="00006AAE" w:rsidRPr="00006AAE" w:rsidRDefault="00006AAE" w:rsidP="00362C1D">
            <w:pPr>
              <w:widowControl w:val="0"/>
              <w:jc w:val="center"/>
              <w:rPr>
                <w:rFonts w:asciiTheme="majorHAnsi" w:hAnsiTheme="majorHAnsi"/>
                <w:b/>
                <w:i/>
                <w:snapToGrid w:val="0"/>
              </w:rPr>
            </w:pPr>
            <w:r w:rsidRPr="00006AAE">
              <w:rPr>
                <w:rFonts w:asciiTheme="majorHAnsi" w:hAnsiTheme="majorHAnsi"/>
                <w:b/>
                <w:i/>
                <w:snapToGrid w:val="0"/>
              </w:rPr>
              <w:t>Plazo de entrega</w:t>
            </w:r>
          </w:p>
        </w:tc>
        <w:tc>
          <w:tcPr>
            <w:tcW w:w="1550" w:type="pct"/>
            <w:shd w:val="clear" w:color="auto" w:fill="D9D9D9" w:themeFill="background1" w:themeFillShade="D9"/>
            <w:noWrap/>
            <w:vAlign w:val="center"/>
          </w:tcPr>
          <w:p w14:paraId="052D43B3" w14:textId="77777777" w:rsidR="00006AAE" w:rsidRPr="00006AAE" w:rsidRDefault="00006AAE" w:rsidP="00362C1D">
            <w:pPr>
              <w:widowControl w:val="0"/>
              <w:jc w:val="center"/>
              <w:rPr>
                <w:rFonts w:asciiTheme="majorHAnsi" w:hAnsiTheme="majorHAnsi"/>
                <w:b/>
                <w:i/>
                <w:snapToGrid w:val="0"/>
              </w:rPr>
            </w:pPr>
            <w:r w:rsidRPr="00006AAE">
              <w:rPr>
                <w:rFonts w:asciiTheme="majorHAnsi" w:hAnsiTheme="majorHAnsi"/>
                <w:b/>
                <w:i/>
                <w:snapToGrid w:val="0"/>
              </w:rPr>
              <w:t>Medio</w:t>
            </w:r>
          </w:p>
        </w:tc>
      </w:tr>
      <w:tr w:rsidR="00006AAE" w:rsidRPr="00006AAE" w14:paraId="534C130B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4DB3F74B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>Registro Único de Personas  Beneficiarias</w:t>
            </w:r>
          </w:p>
        </w:tc>
        <w:tc>
          <w:tcPr>
            <w:tcW w:w="1043" w:type="pct"/>
            <w:noWrap/>
          </w:tcPr>
          <w:p w14:paraId="0C22E2B9" w14:textId="77777777" w:rsidR="00006AAE" w:rsidRPr="00006AAE" w:rsidRDefault="00006AAE" w:rsidP="00362C1D">
            <w:pPr>
              <w:widowControl w:val="0"/>
              <w:ind w:left="94"/>
              <w:jc w:val="both"/>
              <w:rPr>
                <w:rFonts w:asciiTheme="majorHAnsi" w:hAnsiTheme="majorHAnsi"/>
                <w:i/>
              </w:rPr>
            </w:pPr>
            <w:r w:rsidRPr="00006AAE">
              <w:rPr>
                <w:rFonts w:asciiTheme="majorHAnsi" w:hAnsiTheme="majorHAnsi"/>
                <w:i/>
              </w:rPr>
              <w:t>Al menos una vez al mes</w:t>
            </w:r>
          </w:p>
        </w:tc>
        <w:tc>
          <w:tcPr>
            <w:tcW w:w="1285" w:type="pct"/>
            <w:noWrap/>
          </w:tcPr>
          <w:p w14:paraId="31608AF4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i/>
              </w:rPr>
            </w:pPr>
            <w:r w:rsidRPr="00006AAE">
              <w:rPr>
                <w:rFonts w:asciiTheme="majorHAnsi" w:hAnsiTheme="majorHAnsi"/>
                <w:i/>
              </w:rPr>
              <w:t>A más tardar diez días  hábiles después de finalizar cada mes</w:t>
            </w:r>
          </w:p>
        </w:tc>
        <w:tc>
          <w:tcPr>
            <w:tcW w:w="1550" w:type="pct"/>
            <w:noWrap/>
          </w:tcPr>
          <w:p w14:paraId="5FBF91DF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i/>
              </w:rPr>
            </w:pPr>
            <w:r w:rsidRPr="00006AAE">
              <w:rPr>
                <w:rFonts w:asciiTheme="majorHAnsi" w:hAnsiTheme="majorHAnsi"/>
                <w:i/>
              </w:rPr>
              <w:t>Web Service, a través de archivos *.xml o *.zip que contengan *.xml,, de conformidad con Estándar electrónico para Registro Único de Personas Beneficiarias, incluido en el Anexo 7</w:t>
            </w:r>
          </w:p>
        </w:tc>
      </w:tr>
      <w:tr w:rsidR="00006AAE" w:rsidRPr="00006AAE" w14:paraId="4568BB61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28837094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b/>
                <w:i/>
                <w:strike/>
                <w:sz w:val="24"/>
                <w:szCs w:val="24"/>
              </w:rPr>
            </w:pPr>
            <w:r w:rsidRPr="00006AAE">
              <w:rPr>
                <w:rFonts w:asciiTheme="majorHAnsi" w:hAnsiTheme="majorHAnsi"/>
                <w:i/>
                <w:sz w:val="24"/>
                <w:szCs w:val="24"/>
              </w:rPr>
              <w:lastRenderedPageBreak/>
              <w:t>Registro Público de Vehículos Asegurados con el Seguro Obligatorio de Vehículos Automotores</w:t>
            </w:r>
          </w:p>
        </w:tc>
        <w:tc>
          <w:tcPr>
            <w:tcW w:w="1043" w:type="pct"/>
            <w:noWrap/>
          </w:tcPr>
          <w:p w14:paraId="5582A09A" w14:textId="77777777" w:rsidR="00006AAE" w:rsidRPr="00006AAE" w:rsidRDefault="00006AAE" w:rsidP="00362C1D">
            <w:pPr>
              <w:widowControl w:val="0"/>
              <w:ind w:left="94"/>
              <w:jc w:val="both"/>
              <w:rPr>
                <w:rFonts w:asciiTheme="majorHAnsi" w:hAnsiTheme="majorHAnsi"/>
                <w:bCs/>
                <w:i/>
                <w:strike/>
              </w:rPr>
            </w:pPr>
            <w:r w:rsidRPr="00006AAE">
              <w:rPr>
                <w:rFonts w:asciiTheme="majorHAnsi" w:hAnsiTheme="majorHAnsi"/>
                <w:bCs/>
                <w:i/>
              </w:rPr>
              <w:t>Semanal</w:t>
            </w:r>
          </w:p>
        </w:tc>
        <w:tc>
          <w:tcPr>
            <w:tcW w:w="1285" w:type="pct"/>
            <w:noWrap/>
          </w:tcPr>
          <w:p w14:paraId="0F580EB0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  <w:strike/>
              </w:rPr>
            </w:pPr>
            <w:r w:rsidRPr="00006AAE">
              <w:rPr>
                <w:rFonts w:asciiTheme="majorHAnsi" w:hAnsiTheme="majorHAnsi"/>
                <w:bCs/>
                <w:i/>
              </w:rPr>
              <w:t>El tercer día hábil de la semana siguiente con corte de movimientos a las 11:59 p.m. del domingo anterior.</w:t>
            </w:r>
          </w:p>
        </w:tc>
        <w:tc>
          <w:tcPr>
            <w:tcW w:w="1550" w:type="pct"/>
            <w:noWrap/>
          </w:tcPr>
          <w:p w14:paraId="40382824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 xml:space="preserve">Carga a través de web service de archivos *.xml ó *.zip que contengan *.xml, de conformidad con el Estándar para Registro Seguro Obligatorio de Vehículos Automotores (SOA), incluido en el </w:t>
            </w:r>
            <w:r w:rsidRPr="00006AAE">
              <w:rPr>
                <w:rFonts w:asciiTheme="majorHAnsi" w:hAnsiTheme="majorHAnsi"/>
                <w:b/>
                <w:i/>
              </w:rPr>
              <w:t>Anexo 9</w:t>
            </w:r>
            <w:r w:rsidRPr="00006AAE">
              <w:rPr>
                <w:rFonts w:asciiTheme="majorHAnsi" w:hAnsiTheme="majorHAnsi"/>
                <w:i/>
              </w:rPr>
              <w:t xml:space="preserve">, </w:t>
            </w:r>
            <w:r w:rsidRPr="00006AAE">
              <w:rPr>
                <w:rFonts w:asciiTheme="majorHAnsi" w:hAnsiTheme="majorHAnsi"/>
                <w:bCs/>
                <w:i/>
              </w:rPr>
              <w:t>a través de SUGESE en Línea; o bien carga manual de los mismos archivos ante una eventualidad previamente justificada.</w:t>
            </w:r>
          </w:p>
        </w:tc>
      </w:tr>
      <w:tr w:rsidR="00006AAE" w:rsidRPr="00006AAE" w14:paraId="2648CD69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5DE94AF5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b/>
                <w:i/>
                <w:strike/>
                <w:sz w:val="24"/>
                <w:szCs w:val="24"/>
              </w:rPr>
            </w:pP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>Asegurados y Siniestralidad del Seguro Obligatorio de Vehículos Automotores</w:t>
            </w:r>
          </w:p>
        </w:tc>
        <w:tc>
          <w:tcPr>
            <w:tcW w:w="1043" w:type="pct"/>
            <w:noWrap/>
          </w:tcPr>
          <w:p w14:paraId="59ED8739" w14:textId="77777777" w:rsidR="00006AAE" w:rsidRPr="00006AAE" w:rsidRDefault="00006AAE" w:rsidP="00362C1D">
            <w:pPr>
              <w:widowControl w:val="0"/>
              <w:jc w:val="center"/>
              <w:rPr>
                <w:rFonts w:asciiTheme="majorHAnsi" w:hAnsiTheme="majorHAnsi" w:cstheme="minorHAnsi"/>
                <w:b/>
                <w:i/>
                <w:snapToGrid w:val="0"/>
              </w:rPr>
            </w:pPr>
            <w:r w:rsidRPr="00006AAE">
              <w:rPr>
                <w:rFonts w:asciiTheme="majorHAnsi" w:hAnsiTheme="majorHAnsi" w:cstheme="minorHAnsi"/>
                <w:i/>
                <w:snapToGrid w:val="0"/>
              </w:rPr>
              <w:t>Mensual</w:t>
            </w:r>
          </w:p>
          <w:p w14:paraId="086976F8" w14:textId="77777777" w:rsidR="00006AAE" w:rsidRPr="00006AAE" w:rsidRDefault="00006AAE" w:rsidP="00362C1D">
            <w:pPr>
              <w:widowControl w:val="0"/>
              <w:ind w:left="94"/>
              <w:jc w:val="both"/>
              <w:rPr>
                <w:rFonts w:asciiTheme="majorHAnsi" w:hAnsiTheme="majorHAnsi"/>
                <w:bCs/>
                <w:i/>
                <w:strike/>
              </w:rPr>
            </w:pPr>
          </w:p>
        </w:tc>
        <w:tc>
          <w:tcPr>
            <w:tcW w:w="1285" w:type="pct"/>
            <w:noWrap/>
          </w:tcPr>
          <w:p w14:paraId="5105B2BA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  <w:strike/>
              </w:rPr>
            </w:pPr>
            <w:r w:rsidRPr="00006AAE">
              <w:rPr>
                <w:rFonts w:asciiTheme="majorHAnsi" w:hAnsiTheme="majorHAnsi" w:cstheme="minorHAnsi"/>
                <w:bCs/>
                <w:i/>
              </w:rPr>
              <w:t>15 días hábiles después del cierre mensual,   según corresponda</w:t>
            </w:r>
          </w:p>
        </w:tc>
        <w:tc>
          <w:tcPr>
            <w:tcW w:w="1550" w:type="pct"/>
            <w:noWrap/>
          </w:tcPr>
          <w:p w14:paraId="62A670F8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i/>
                <w:strike/>
                <w:snapToGrid w:val="0"/>
              </w:rPr>
            </w:pPr>
            <w:r w:rsidRPr="00006AAE">
              <w:rPr>
                <w:rFonts w:asciiTheme="majorHAnsi" w:hAnsiTheme="majorHAnsi" w:cstheme="minorHAnsi"/>
                <w:i/>
                <w:snapToGrid w:val="0"/>
              </w:rPr>
              <w:t xml:space="preserve">En hoja electrónica, por correo electrónico, según formato establecido en el  </w:t>
            </w:r>
            <w:r w:rsidRPr="00006AAE">
              <w:rPr>
                <w:rFonts w:asciiTheme="majorHAnsi" w:hAnsiTheme="majorHAnsi" w:cstheme="minorHAnsi"/>
                <w:b/>
                <w:i/>
                <w:snapToGrid w:val="0"/>
              </w:rPr>
              <w:t>Anexo 10</w:t>
            </w:r>
            <w:r w:rsidRPr="00006AAE">
              <w:rPr>
                <w:rFonts w:asciiTheme="majorHAnsi" w:hAnsiTheme="majorHAnsi" w:cstheme="minorHAnsi"/>
                <w:i/>
                <w:snapToGrid w:val="0"/>
              </w:rPr>
              <w:t>.</w:t>
            </w:r>
          </w:p>
        </w:tc>
      </w:tr>
      <w:tr w:rsidR="00006AAE" w:rsidRPr="00006AAE" w14:paraId="61D8FF19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51FCFD86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 w:cstheme="minorHAnsi"/>
                <w:bCs/>
                <w:i/>
                <w:color w:val="000000" w:themeColor="text1"/>
              </w:rPr>
            </w:pPr>
            <w:r w:rsidRPr="00006AAE">
              <w:rPr>
                <w:rFonts w:asciiTheme="majorHAnsi" w:hAnsiTheme="majorHAnsi" w:cstheme="minorHAnsi"/>
                <w:bCs/>
                <w:i/>
                <w:color w:val="000000" w:themeColor="text1"/>
              </w:rPr>
              <w:t xml:space="preserve">Saldos Contables (según lo establecido en el Plan de Cuentas) y datos contables adicionales </w:t>
            </w:r>
          </w:p>
        </w:tc>
        <w:tc>
          <w:tcPr>
            <w:tcW w:w="1043" w:type="pct"/>
            <w:noWrap/>
          </w:tcPr>
          <w:p w14:paraId="7196E959" w14:textId="77777777" w:rsidR="00006AAE" w:rsidRPr="00006AAE" w:rsidRDefault="00006AAE" w:rsidP="00362C1D">
            <w:pPr>
              <w:widowControl w:val="0"/>
              <w:ind w:left="94"/>
              <w:jc w:val="both"/>
              <w:rPr>
                <w:rFonts w:asciiTheme="majorHAnsi" w:hAnsiTheme="majorHAnsi" w:cstheme="minorHAnsi"/>
                <w:b/>
                <w:i/>
                <w:snapToGrid w:val="0"/>
                <w:color w:val="000000" w:themeColor="text1"/>
              </w:rPr>
            </w:pPr>
            <w:r w:rsidRPr="00006AAE">
              <w:rPr>
                <w:rFonts w:asciiTheme="majorHAnsi" w:hAnsiTheme="majorHAnsi" w:cstheme="minorHAnsi"/>
                <w:i/>
                <w:snapToGrid w:val="0"/>
                <w:color w:val="000000" w:themeColor="text1"/>
              </w:rPr>
              <w:t>Mensual</w:t>
            </w:r>
          </w:p>
          <w:p w14:paraId="4582FC35" w14:textId="77777777" w:rsidR="00006AAE" w:rsidRPr="00006AAE" w:rsidRDefault="00006AAE" w:rsidP="00362C1D">
            <w:pPr>
              <w:widowControl w:val="0"/>
              <w:ind w:left="94"/>
              <w:jc w:val="both"/>
              <w:rPr>
                <w:rFonts w:asciiTheme="majorHAnsi" w:hAnsiTheme="majorHAnsi" w:cstheme="minorHAnsi"/>
                <w:b/>
                <w:i/>
                <w:snapToGrid w:val="0"/>
                <w:color w:val="000000" w:themeColor="text1"/>
              </w:rPr>
            </w:pPr>
          </w:p>
        </w:tc>
        <w:tc>
          <w:tcPr>
            <w:tcW w:w="1285" w:type="pct"/>
            <w:noWrap/>
          </w:tcPr>
          <w:p w14:paraId="4D126747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 w:cstheme="minorHAnsi"/>
                <w:bCs/>
                <w:i/>
                <w:color w:val="000000" w:themeColor="text1"/>
              </w:rPr>
            </w:pPr>
            <w:r w:rsidRPr="00006AAE">
              <w:rPr>
                <w:rFonts w:asciiTheme="majorHAnsi" w:hAnsiTheme="majorHAnsi" w:cstheme="minorHAnsi"/>
                <w:bCs/>
                <w:i/>
                <w:color w:val="000000" w:themeColor="text1"/>
              </w:rPr>
              <w:t>5 días hábiles después del cierre mensual,   según corresponda</w:t>
            </w:r>
          </w:p>
        </w:tc>
        <w:tc>
          <w:tcPr>
            <w:tcW w:w="1550" w:type="pct"/>
            <w:noWrap/>
          </w:tcPr>
          <w:p w14:paraId="5610E975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 w:cstheme="minorHAnsi"/>
                <w:i/>
                <w:snapToGrid w:val="0"/>
                <w:color w:val="000000" w:themeColor="text1"/>
              </w:rPr>
            </w:pPr>
            <w:r w:rsidRPr="00006AAE">
              <w:rPr>
                <w:rFonts w:asciiTheme="majorHAnsi" w:hAnsiTheme="majorHAnsi" w:cstheme="minorHAnsi"/>
                <w:i/>
                <w:snapToGrid w:val="0"/>
                <w:color w:val="000000" w:themeColor="text1"/>
              </w:rPr>
              <w:t xml:space="preserve">En hoja electrónica, por correo electrónico, según formato establecido en el  </w:t>
            </w:r>
            <w:r w:rsidRPr="00006AAE">
              <w:rPr>
                <w:rFonts w:asciiTheme="majorHAnsi" w:hAnsiTheme="majorHAnsi" w:cstheme="minorHAnsi"/>
                <w:b/>
                <w:i/>
                <w:snapToGrid w:val="0"/>
                <w:color w:val="000000" w:themeColor="text1"/>
              </w:rPr>
              <w:t>Anexo 1</w:t>
            </w:r>
            <w:r w:rsidRPr="00006AAE">
              <w:rPr>
                <w:rFonts w:asciiTheme="majorHAnsi" w:hAnsiTheme="majorHAnsi" w:cstheme="minorHAnsi"/>
                <w:i/>
                <w:snapToGrid w:val="0"/>
                <w:color w:val="000000" w:themeColor="text1"/>
              </w:rPr>
              <w:t>.</w:t>
            </w:r>
          </w:p>
        </w:tc>
      </w:tr>
      <w:tr w:rsidR="00006AAE" w:rsidRPr="00006AAE" w14:paraId="0E8BA1C5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5CBF5ADD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>Régimen de suficiencia de capital y solvencia</w:t>
            </w:r>
          </w:p>
        </w:tc>
        <w:tc>
          <w:tcPr>
            <w:tcW w:w="1043" w:type="pct"/>
            <w:noWrap/>
          </w:tcPr>
          <w:p w14:paraId="340DC8FF" w14:textId="77777777" w:rsidR="00006AAE" w:rsidRPr="00006AAE" w:rsidRDefault="00006AAE" w:rsidP="00362C1D">
            <w:pPr>
              <w:widowControl w:val="0"/>
              <w:ind w:left="94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Mensual</w:t>
            </w:r>
          </w:p>
        </w:tc>
        <w:tc>
          <w:tcPr>
            <w:tcW w:w="1285" w:type="pct"/>
            <w:noWrap/>
          </w:tcPr>
          <w:p w14:paraId="0FE4AA05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15 días hábiles después del cierre mensual</w:t>
            </w:r>
          </w:p>
        </w:tc>
        <w:tc>
          <w:tcPr>
            <w:tcW w:w="1550" w:type="pct"/>
            <w:noWrap/>
          </w:tcPr>
          <w:p w14:paraId="525B2AF4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 xml:space="preserve">En hoja electrónica, por correo electrónico, según formato establecido en el  </w:t>
            </w:r>
            <w:r w:rsidRPr="00006AAE">
              <w:rPr>
                <w:rFonts w:asciiTheme="majorHAnsi" w:hAnsiTheme="majorHAnsi"/>
                <w:b/>
                <w:bCs/>
                <w:i/>
              </w:rPr>
              <w:t>Anexo 4.</w:t>
            </w:r>
          </w:p>
        </w:tc>
      </w:tr>
      <w:tr w:rsidR="00006AAE" w:rsidRPr="00006AAE" w14:paraId="6CCF9741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1DC9AEDA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b/>
                <w:i/>
                <w:sz w:val="24"/>
                <w:szCs w:val="24"/>
              </w:rPr>
              <w:t>Modelo 1 SSS:</w:t>
            </w: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 xml:space="preserve"> Balance General (Activo, Pasivo y Patrimonio)</w:t>
            </w:r>
          </w:p>
        </w:tc>
        <w:tc>
          <w:tcPr>
            <w:tcW w:w="1043" w:type="pct"/>
            <w:noWrap/>
          </w:tcPr>
          <w:p w14:paraId="5D45A215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Trimestral</w:t>
            </w:r>
          </w:p>
        </w:tc>
        <w:tc>
          <w:tcPr>
            <w:tcW w:w="1285" w:type="pct"/>
            <w:noWrap/>
          </w:tcPr>
          <w:p w14:paraId="5367E502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15 días hábiles después del cierre de los meses de marzo, junio, setiembre y diciembre</w:t>
            </w:r>
          </w:p>
        </w:tc>
        <w:tc>
          <w:tcPr>
            <w:tcW w:w="1550" w:type="pct"/>
            <w:noWrap/>
          </w:tcPr>
          <w:p w14:paraId="53C94E59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 xml:space="preserve">Web Service, a través de archivos *.xml, de conformidad con Estándar de Negocio para Entidades de Seguros, incluido en el </w:t>
            </w:r>
            <w:r w:rsidRPr="00006AAE">
              <w:rPr>
                <w:rFonts w:asciiTheme="majorHAnsi" w:hAnsiTheme="majorHAnsi"/>
                <w:b/>
                <w:bCs/>
                <w:i/>
              </w:rPr>
              <w:t>Anexo 5</w:t>
            </w:r>
          </w:p>
        </w:tc>
      </w:tr>
      <w:tr w:rsidR="00006AAE" w:rsidRPr="00006AAE" w14:paraId="4DDE1CB4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72EA7A2B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b/>
                <w:i/>
                <w:sz w:val="24"/>
                <w:szCs w:val="24"/>
              </w:rPr>
              <w:lastRenderedPageBreak/>
              <w:t>Modelo 2 SSS:</w:t>
            </w: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 xml:space="preserve"> Estado de Resultados y Cuenta de Resultados Técnico Financiera</w:t>
            </w:r>
          </w:p>
        </w:tc>
        <w:tc>
          <w:tcPr>
            <w:tcW w:w="1043" w:type="pct"/>
            <w:noWrap/>
          </w:tcPr>
          <w:p w14:paraId="285DB0A5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Trimestral</w:t>
            </w:r>
          </w:p>
        </w:tc>
        <w:tc>
          <w:tcPr>
            <w:tcW w:w="1285" w:type="pct"/>
            <w:noWrap/>
          </w:tcPr>
          <w:p w14:paraId="2D4E6882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15 días hábiles después del cierre de los meses de marzo, junio, setiembre y diciembre</w:t>
            </w:r>
          </w:p>
        </w:tc>
        <w:tc>
          <w:tcPr>
            <w:tcW w:w="1550" w:type="pct"/>
            <w:noWrap/>
          </w:tcPr>
          <w:p w14:paraId="340C1067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 xml:space="preserve">Web Service, a través de archivos *.xml, de conformidad con Estándar de Negocio para Entidades de Seguros, incluido en el </w:t>
            </w:r>
            <w:r w:rsidRPr="00006AAE">
              <w:rPr>
                <w:rFonts w:asciiTheme="majorHAnsi" w:hAnsiTheme="majorHAnsi"/>
                <w:b/>
                <w:bCs/>
                <w:i/>
              </w:rPr>
              <w:t>Anexo 5</w:t>
            </w:r>
          </w:p>
        </w:tc>
      </w:tr>
      <w:tr w:rsidR="00006AAE" w:rsidRPr="00006AAE" w14:paraId="76C4B05B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5D0004B3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b/>
                <w:i/>
                <w:sz w:val="24"/>
                <w:szCs w:val="24"/>
              </w:rPr>
              <w:t>Modelo 3 SSS:</w:t>
            </w: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 xml:space="preserve"> Inversiones Financieras</w:t>
            </w:r>
          </w:p>
        </w:tc>
        <w:tc>
          <w:tcPr>
            <w:tcW w:w="1043" w:type="pct"/>
            <w:noWrap/>
          </w:tcPr>
          <w:p w14:paraId="64C122AA" w14:textId="77777777" w:rsidR="00006AAE" w:rsidRPr="00006AAE" w:rsidRDefault="00006AAE" w:rsidP="00362C1D">
            <w:pPr>
              <w:widowControl w:val="0"/>
              <w:ind w:left="94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Mensual</w:t>
            </w:r>
          </w:p>
        </w:tc>
        <w:tc>
          <w:tcPr>
            <w:tcW w:w="1285" w:type="pct"/>
            <w:noWrap/>
          </w:tcPr>
          <w:p w14:paraId="605BB337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  <w:highlight w:val="yellow"/>
              </w:rPr>
            </w:pPr>
            <w:r w:rsidRPr="00006AAE">
              <w:rPr>
                <w:rFonts w:asciiTheme="majorHAnsi" w:hAnsiTheme="majorHAnsi"/>
                <w:bCs/>
                <w:i/>
              </w:rPr>
              <w:t>5 días hábiles después del cierre de cada mes.</w:t>
            </w:r>
          </w:p>
        </w:tc>
        <w:tc>
          <w:tcPr>
            <w:tcW w:w="1550" w:type="pct"/>
            <w:noWrap/>
          </w:tcPr>
          <w:p w14:paraId="38F72E8E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 xml:space="preserve">Web Service, a través de archivos *.xml, de conformidad con Estándar de Negocio para Entidades de Seguros, incluido en el </w:t>
            </w:r>
            <w:r w:rsidRPr="00006AAE">
              <w:rPr>
                <w:rFonts w:asciiTheme="majorHAnsi" w:hAnsiTheme="majorHAnsi"/>
                <w:b/>
                <w:bCs/>
                <w:i/>
              </w:rPr>
              <w:t>Anexo 5.</w:t>
            </w:r>
          </w:p>
          <w:p w14:paraId="7DC1D4CD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</w:p>
          <w:p w14:paraId="100DA6CD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</w:p>
        </w:tc>
      </w:tr>
      <w:tr w:rsidR="00006AAE" w:rsidRPr="00006AAE" w14:paraId="21F2253E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72AE8180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b/>
                <w:i/>
                <w:sz w:val="24"/>
                <w:szCs w:val="24"/>
              </w:rPr>
              <w:t>Modelo 4 SSS:</w:t>
            </w: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 xml:space="preserve"> Estado de Cambios en el Patrimonio </w:t>
            </w:r>
          </w:p>
        </w:tc>
        <w:tc>
          <w:tcPr>
            <w:tcW w:w="1043" w:type="pct"/>
            <w:noWrap/>
          </w:tcPr>
          <w:p w14:paraId="2BAB01D0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Trimestral</w:t>
            </w:r>
          </w:p>
        </w:tc>
        <w:tc>
          <w:tcPr>
            <w:tcW w:w="1285" w:type="pct"/>
            <w:noWrap/>
          </w:tcPr>
          <w:p w14:paraId="5A715B35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15 días hábiles después del cierre de los meses de marzo, junio, setiembre y diciembre</w:t>
            </w:r>
          </w:p>
        </w:tc>
        <w:tc>
          <w:tcPr>
            <w:tcW w:w="1550" w:type="pct"/>
            <w:noWrap/>
          </w:tcPr>
          <w:p w14:paraId="49C4E781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 xml:space="preserve">Web Service, a través de archivos *.xml, de conformidad con Estándar de Negocio para Entidades de Seguros, incluido en el </w:t>
            </w:r>
            <w:r w:rsidRPr="00006AAE">
              <w:rPr>
                <w:rFonts w:asciiTheme="majorHAnsi" w:hAnsiTheme="majorHAnsi"/>
                <w:b/>
                <w:bCs/>
                <w:i/>
              </w:rPr>
              <w:t>Anexo 5.</w:t>
            </w:r>
          </w:p>
        </w:tc>
      </w:tr>
      <w:tr w:rsidR="00006AAE" w:rsidRPr="00006AAE" w14:paraId="4F3A303D" w14:textId="77777777" w:rsidTr="000B31FC">
        <w:trPr>
          <w:cantSplit/>
          <w:trHeight w:val="1509"/>
          <w:jc w:val="center"/>
        </w:trPr>
        <w:tc>
          <w:tcPr>
            <w:tcW w:w="1121" w:type="pct"/>
            <w:noWrap/>
          </w:tcPr>
          <w:p w14:paraId="618B8C25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b/>
                <w:i/>
                <w:sz w:val="24"/>
                <w:szCs w:val="24"/>
              </w:rPr>
              <w:t>Modelo 5 SSS:</w:t>
            </w: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 xml:space="preserve"> Saldos Contables</w:t>
            </w:r>
          </w:p>
        </w:tc>
        <w:tc>
          <w:tcPr>
            <w:tcW w:w="1043" w:type="pct"/>
            <w:noWrap/>
          </w:tcPr>
          <w:p w14:paraId="418C525D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>Mensual</w:t>
            </w:r>
          </w:p>
        </w:tc>
        <w:tc>
          <w:tcPr>
            <w:tcW w:w="1285" w:type="pct"/>
            <w:noWrap/>
          </w:tcPr>
          <w:p w14:paraId="3F409B58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>5 días hábiles después del cierre de cada mes.</w:t>
            </w:r>
          </w:p>
        </w:tc>
        <w:tc>
          <w:tcPr>
            <w:tcW w:w="1550" w:type="pct"/>
            <w:noWrap/>
          </w:tcPr>
          <w:p w14:paraId="2C94457A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 xml:space="preserve">Web Service, a través de archivos *.xml, de conformidad con Estándar de Negocio para Entidades de Seguros, incluido en el </w:t>
            </w:r>
            <w:r w:rsidRPr="00006AAE">
              <w:rPr>
                <w:rFonts w:asciiTheme="majorHAnsi" w:hAnsiTheme="majorHAnsi"/>
                <w:b/>
                <w:i/>
                <w:sz w:val="24"/>
                <w:szCs w:val="24"/>
              </w:rPr>
              <w:t>Anexo 5.</w:t>
            </w:r>
          </w:p>
        </w:tc>
      </w:tr>
      <w:tr w:rsidR="00006AAE" w:rsidRPr="00006AAE" w14:paraId="1B193C9D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0659629D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b/>
                <w:i/>
                <w:sz w:val="24"/>
                <w:szCs w:val="24"/>
              </w:rPr>
              <w:t>Modelo 6 SSS:</w:t>
            </w: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 xml:space="preserve"> Aporte a Bomberos </w:t>
            </w:r>
          </w:p>
        </w:tc>
        <w:tc>
          <w:tcPr>
            <w:tcW w:w="1043" w:type="pct"/>
            <w:noWrap/>
          </w:tcPr>
          <w:p w14:paraId="2E28DB55" w14:textId="77777777" w:rsidR="00006AAE" w:rsidRPr="00006AAE" w:rsidRDefault="00006AAE" w:rsidP="00362C1D">
            <w:pPr>
              <w:widowControl w:val="0"/>
              <w:ind w:left="94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Mensual</w:t>
            </w:r>
          </w:p>
        </w:tc>
        <w:tc>
          <w:tcPr>
            <w:tcW w:w="1285" w:type="pct"/>
            <w:noWrap/>
          </w:tcPr>
          <w:p w14:paraId="70730B7E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5 días hábiles después del cierre de cada mes.</w:t>
            </w:r>
          </w:p>
        </w:tc>
        <w:tc>
          <w:tcPr>
            <w:tcW w:w="1550" w:type="pct"/>
            <w:noWrap/>
          </w:tcPr>
          <w:p w14:paraId="088CC2C9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 xml:space="preserve">Web Service, a través de archivos *.xml, de conformidad con Estándar de Negocio para Entidades de Seguros, incluido en el </w:t>
            </w:r>
            <w:r w:rsidRPr="00006AAE">
              <w:rPr>
                <w:rFonts w:asciiTheme="majorHAnsi" w:hAnsiTheme="majorHAnsi"/>
                <w:b/>
                <w:bCs/>
                <w:i/>
              </w:rPr>
              <w:t>Anexo 5.</w:t>
            </w:r>
          </w:p>
        </w:tc>
      </w:tr>
      <w:tr w:rsidR="00006AAE" w:rsidRPr="00006AAE" w14:paraId="5097A26A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3237113A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b/>
                <w:i/>
                <w:sz w:val="24"/>
                <w:szCs w:val="24"/>
              </w:rPr>
              <w:lastRenderedPageBreak/>
              <w:t>Modelo 7 SSS:</w:t>
            </w: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 xml:space="preserve"> Canales de Comercialización </w:t>
            </w:r>
          </w:p>
        </w:tc>
        <w:tc>
          <w:tcPr>
            <w:tcW w:w="1043" w:type="pct"/>
            <w:noWrap/>
          </w:tcPr>
          <w:p w14:paraId="059CAEC6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Trimestral</w:t>
            </w:r>
          </w:p>
        </w:tc>
        <w:tc>
          <w:tcPr>
            <w:tcW w:w="1285" w:type="pct"/>
            <w:noWrap/>
          </w:tcPr>
          <w:p w14:paraId="66E98718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15 días hábiles después del cierre de los meses de marzo, junio, setiembre y diciembre</w:t>
            </w:r>
          </w:p>
        </w:tc>
        <w:tc>
          <w:tcPr>
            <w:tcW w:w="1550" w:type="pct"/>
            <w:noWrap/>
          </w:tcPr>
          <w:p w14:paraId="27F08128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 xml:space="preserve">Web Service, a través de archivos *.xml, de conformidad con Estándar de Negocio para Entidades de Seguros, incluido en el </w:t>
            </w:r>
            <w:r w:rsidRPr="00006AAE">
              <w:rPr>
                <w:rFonts w:asciiTheme="majorHAnsi" w:hAnsiTheme="majorHAnsi"/>
                <w:b/>
                <w:bCs/>
                <w:i/>
              </w:rPr>
              <w:t>Anexo 5.</w:t>
            </w:r>
          </w:p>
        </w:tc>
      </w:tr>
      <w:tr w:rsidR="00006AAE" w:rsidRPr="00006AAE" w14:paraId="3B8282A0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643E8FE7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b/>
                <w:i/>
                <w:sz w:val="24"/>
                <w:szCs w:val="24"/>
              </w:rPr>
              <w:t>Modelo 8 SSS:</w:t>
            </w: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 xml:space="preserve"> Producción y Población Asegurada</w:t>
            </w:r>
          </w:p>
        </w:tc>
        <w:tc>
          <w:tcPr>
            <w:tcW w:w="1043" w:type="pct"/>
            <w:noWrap/>
          </w:tcPr>
          <w:p w14:paraId="4F237120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Trimestral</w:t>
            </w:r>
          </w:p>
        </w:tc>
        <w:tc>
          <w:tcPr>
            <w:tcW w:w="1285" w:type="pct"/>
            <w:noWrap/>
          </w:tcPr>
          <w:p w14:paraId="1DB7BB28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  <w:color w:val="FF0000"/>
              </w:rPr>
            </w:pPr>
            <w:r w:rsidRPr="00006AAE">
              <w:rPr>
                <w:rFonts w:asciiTheme="majorHAnsi" w:hAnsiTheme="majorHAnsi"/>
                <w:bCs/>
                <w:i/>
              </w:rPr>
              <w:t>15 días hábiles después del cierre de los meses de marzo, junio, setiembre y diciembre</w:t>
            </w:r>
          </w:p>
        </w:tc>
        <w:tc>
          <w:tcPr>
            <w:tcW w:w="1550" w:type="pct"/>
            <w:noWrap/>
          </w:tcPr>
          <w:p w14:paraId="2C93C1E7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 xml:space="preserve">Web Service, a través de archivos *.xml, de conformidad con Estándar de Negocio para Entidades de Seguros, incluido en el </w:t>
            </w:r>
            <w:r w:rsidRPr="00006AAE">
              <w:rPr>
                <w:rFonts w:asciiTheme="majorHAnsi" w:hAnsiTheme="majorHAnsi"/>
                <w:b/>
                <w:bCs/>
                <w:i/>
              </w:rPr>
              <w:t>Anexo 5</w:t>
            </w:r>
          </w:p>
        </w:tc>
      </w:tr>
      <w:tr w:rsidR="00006AAE" w:rsidRPr="00006AAE" w14:paraId="782A5D97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18DA0773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b/>
                <w:i/>
                <w:sz w:val="24"/>
                <w:szCs w:val="24"/>
              </w:rPr>
              <w:t>Modelo 9:</w:t>
            </w: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 xml:space="preserve"> Run Off</w:t>
            </w:r>
          </w:p>
        </w:tc>
        <w:tc>
          <w:tcPr>
            <w:tcW w:w="1043" w:type="pct"/>
            <w:noWrap/>
          </w:tcPr>
          <w:p w14:paraId="7F5C79A6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Trimestral</w:t>
            </w:r>
          </w:p>
        </w:tc>
        <w:tc>
          <w:tcPr>
            <w:tcW w:w="1285" w:type="pct"/>
            <w:noWrap/>
          </w:tcPr>
          <w:p w14:paraId="19B3E253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15 días hábiles después del cierre de los meses de marzo, junio, setiembre y diciembre</w:t>
            </w:r>
          </w:p>
        </w:tc>
        <w:tc>
          <w:tcPr>
            <w:tcW w:w="1550" w:type="pct"/>
            <w:noWrap/>
          </w:tcPr>
          <w:p w14:paraId="24FE37EF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 xml:space="preserve">Web Service, a través de archivos *.xml, de conformidad con Estándar de Negocio para Entidades de Seguros, incluido en el </w:t>
            </w:r>
            <w:r w:rsidRPr="00006AAE">
              <w:rPr>
                <w:rFonts w:asciiTheme="majorHAnsi" w:hAnsiTheme="majorHAnsi"/>
                <w:b/>
                <w:bCs/>
                <w:i/>
              </w:rPr>
              <w:t>Anexo 5</w:t>
            </w:r>
          </w:p>
          <w:p w14:paraId="47B4A4FD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</w:p>
        </w:tc>
      </w:tr>
      <w:tr w:rsidR="00006AAE" w:rsidRPr="00006AAE" w14:paraId="28A89475" w14:textId="77777777" w:rsidTr="000B31FC">
        <w:trPr>
          <w:cantSplit/>
          <w:trHeight w:val="43"/>
          <w:jc w:val="center"/>
        </w:trPr>
        <w:tc>
          <w:tcPr>
            <w:tcW w:w="1121" w:type="pct"/>
            <w:noWrap/>
          </w:tcPr>
          <w:p w14:paraId="0C556857" w14:textId="77777777" w:rsidR="00006AAE" w:rsidRPr="00006AAE" w:rsidRDefault="00006AAE" w:rsidP="00362C1D">
            <w:pPr>
              <w:pStyle w:val="Textoindependiente"/>
              <w:spacing w:after="0" w:line="240" w:lineRule="auto"/>
              <w:rPr>
                <w:rFonts w:asciiTheme="majorHAnsi" w:hAnsiTheme="majorHAnsi"/>
                <w:i/>
                <w:sz w:val="24"/>
                <w:szCs w:val="24"/>
              </w:rPr>
            </w:pPr>
            <w:r w:rsidRPr="00006AAE">
              <w:rPr>
                <w:rFonts w:asciiTheme="majorHAnsi" w:hAnsiTheme="majorHAnsi"/>
                <w:b/>
                <w:i/>
                <w:sz w:val="24"/>
                <w:szCs w:val="24"/>
              </w:rPr>
              <w:t>Modelo 10 SSS:</w:t>
            </w:r>
            <w:r w:rsidRPr="00006AAE">
              <w:rPr>
                <w:rFonts w:asciiTheme="majorHAnsi" w:hAnsiTheme="majorHAnsi"/>
                <w:i/>
                <w:sz w:val="24"/>
                <w:szCs w:val="24"/>
              </w:rPr>
              <w:t xml:space="preserve"> Seguros paritarios</w:t>
            </w:r>
          </w:p>
        </w:tc>
        <w:tc>
          <w:tcPr>
            <w:tcW w:w="1043" w:type="pct"/>
            <w:noWrap/>
          </w:tcPr>
          <w:p w14:paraId="43907618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Trimestral</w:t>
            </w:r>
          </w:p>
        </w:tc>
        <w:tc>
          <w:tcPr>
            <w:tcW w:w="1285" w:type="pct"/>
            <w:noWrap/>
          </w:tcPr>
          <w:p w14:paraId="180F622B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>15 días hábiles después del cierre de los meses de marzo, junio, setiembre y diciembre</w:t>
            </w:r>
          </w:p>
        </w:tc>
        <w:tc>
          <w:tcPr>
            <w:tcW w:w="1550" w:type="pct"/>
            <w:noWrap/>
          </w:tcPr>
          <w:p w14:paraId="2135D13B" w14:textId="77777777" w:rsidR="00006AAE" w:rsidRPr="00006AAE" w:rsidRDefault="00006AAE" w:rsidP="00362C1D">
            <w:pPr>
              <w:widowControl w:val="0"/>
              <w:jc w:val="both"/>
              <w:rPr>
                <w:rFonts w:asciiTheme="majorHAnsi" w:hAnsiTheme="majorHAnsi"/>
                <w:bCs/>
                <w:i/>
              </w:rPr>
            </w:pPr>
            <w:r w:rsidRPr="00006AAE">
              <w:rPr>
                <w:rFonts w:asciiTheme="majorHAnsi" w:hAnsiTheme="majorHAnsi"/>
                <w:bCs/>
                <w:i/>
              </w:rPr>
              <w:t xml:space="preserve">Web Service, a través de archivos *.xml, de conformidad con Estándar de Negocio para Entidades de Seguros, incluido en el </w:t>
            </w:r>
            <w:r w:rsidRPr="00006AAE">
              <w:rPr>
                <w:rFonts w:asciiTheme="majorHAnsi" w:hAnsiTheme="majorHAnsi"/>
                <w:b/>
                <w:bCs/>
                <w:i/>
              </w:rPr>
              <w:t>Anexo 5</w:t>
            </w:r>
          </w:p>
        </w:tc>
      </w:tr>
    </w:tbl>
    <w:p w14:paraId="2ED13509" w14:textId="77777777" w:rsidR="00006AAE" w:rsidRPr="00006AAE" w:rsidRDefault="00006AAE" w:rsidP="00006AAE">
      <w:pPr>
        <w:jc w:val="both"/>
        <w:rPr>
          <w:rFonts w:asciiTheme="majorHAnsi" w:hAnsiTheme="majorHAnsi"/>
          <w:i/>
          <w:color w:val="00000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054"/>
      </w:tblGrid>
      <w:tr w:rsidR="00EE5C72" w:rsidRPr="00006AAE" w14:paraId="6A107F91" w14:textId="77777777" w:rsidTr="00EE5C72">
        <w:trPr>
          <w:jc w:val="center"/>
        </w:trPr>
        <w:tc>
          <w:tcPr>
            <w:tcW w:w="5000" w:type="pct"/>
          </w:tcPr>
          <w:p w14:paraId="53CC922C" w14:textId="70E42E1D" w:rsidR="00EE5C72" w:rsidRPr="00006AAE" w:rsidRDefault="00EE5C72" w:rsidP="00006AAE">
            <w:pPr>
              <w:jc w:val="both"/>
              <w:rPr>
                <w:rFonts w:asciiTheme="majorHAnsi" w:hAnsiTheme="majorHAnsi"/>
              </w:rPr>
            </w:pPr>
            <w:r w:rsidRPr="00006AAE">
              <w:rPr>
                <w:rFonts w:asciiTheme="majorHAnsi" w:hAnsiTheme="majorHAnsi"/>
                <w:i/>
                <w:color w:val="000000"/>
              </w:rPr>
              <w:t>La falta de presentación de esta documentación, la presentación fuera de plazo, la remisión incompleta, la presentación en formatos diferentes al establecido, la falta de veracidad de la misma o la formulación de estados que no reflejen la imagen fiel de la entidad al término del ejercicio de referencia, constituyen infracciones a la normativa vigente, y pueden  dar lugar a las correspondientes sanciones en los términos previstos en la Ley Reguladora del Mercado de Seguros.</w:t>
            </w:r>
            <w:r w:rsidR="00006AAE">
              <w:rPr>
                <w:rFonts w:asciiTheme="majorHAnsi" w:hAnsiTheme="majorHAnsi"/>
                <w:i/>
                <w:color w:val="000000"/>
              </w:rPr>
              <w:t>”</w:t>
            </w:r>
          </w:p>
        </w:tc>
      </w:tr>
    </w:tbl>
    <w:p w14:paraId="5CEDCA98" w14:textId="77777777" w:rsidR="00A15F1A" w:rsidRDefault="00A15F1A">
      <w:r>
        <w:br w:type="page"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054"/>
      </w:tblGrid>
      <w:tr w:rsidR="00EE5C72" w:rsidRPr="00006AAE" w14:paraId="6EE0CBF7" w14:textId="77777777" w:rsidTr="00EE5C72">
        <w:trPr>
          <w:jc w:val="center"/>
        </w:trPr>
        <w:tc>
          <w:tcPr>
            <w:tcW w:w="5000" w:type="pct"/>
          </w:tcPr>
          <w:p w14:paraId="5CC9618B" w14:textId="480402D7" w:rsidR="00D84E47" w:rsidRDefault="00D84E47" w:rsidP="00006AAE">
            <w:pPr>
              <w:jc w:val="both"/>
              <w:rPr>
                <w:rFonts w:asciiTheme="majorHAnsi" w:hAnsiTheme="majorHAnsi"/>
                <w:b/>
                <w:color w:val="000000"/>
              </w:rPr>
            </w:pPr>
          </w:p>
          <w:p w14:paraId="4E6DC6EE" w14:textId="77777777" w:rsidR="00006AAE" w:rsidRPr="00006AAE" w:rsidRDefault="00006AAE" w:rsidP="00006AAE">
            <w:pPr>
              <w:jc w:val="both"/>
              <w:rPr>
                <w:rFonts w:asciiTheme="majorHAnsi" w:hAnsiTheme="majorHAnsi"/>
                <w:b/>
                <w:color w:val="000000"/>
              </w:rPr>
            </w:pPr>
          </w:p>
          <w:p w14:paraId="15FAD8DC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color w:val="000000"/>
              </w:rPr>
            </w:pPr>
            <w:r w:rsidRPr="00006AAE">
              <w:rPr>
                <w:rFonts w:asciiTheme="majorHAnsi" w:hAnsiTheme="majorHAnsi"/>
                <w:b/>
                <w:color w:val="000000"/>
              </w:rPr>
              <w:t>Segundo:</w:t>
            </w:r>
            <w:r w:rsidRPr="00006AAE">
              <w:rPr>
                <w:rFonts w:asciiTheme="majorHAnsi" w:hAnsiTheme="majorHAnsi"/>
                <w:color w:val="000000"/>
              </w:rPr>
              <w:t xml:space="preserve"> Modificar los Anexos 4 y 5 del acuerdo SGS-DES-A-021-2013 para que se lean de la siguiente manera:</w:t>
            </w:r>
          </w:p>
          <w:p w14:paraId="535E3B13" w14:textId="77777777" w:rsidR="00EE5C72" w:rsidRPr="00006AAE" w:rsidRDefault="00EE5C72" w:rsidP="00006AAE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</w:p>
          <w:p w14:paraId="610D28DC" w14:textId="77777777" w:rsidR="00EE5C72" w:rsidRPr="00006AAE" w:rsidRDefault="00EE5C72" w:rsidP="00006AAE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</w:p>
          <w:p w14:paraId="50E55B69" w14:textId="77777777" w:rsidR="00EE5C72" w:rsidRPr="00006AAE" w:rsidRDefault="00EE5C72" w:rsidP="00006AAE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</w:p>
          <w:p w14:paraId="09F09CAC" w14:textId="77777777" w:rsidR="00EE5C72" w:rsidRPr="00006AAE" w:rsidRDefault="00EE5C72" w:rsidP="00006AAE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  <w:r w:rsidRPr="00006AAE">
              <w:rPr>
                <w:rFonts w:asciiTheme="majorHAnsi" w:hAnsiTheme="majorHAnsi"/>
                <w:b/>
                <w:color w:val="000000"/>
              </w:rPr>
              <w:t>Anexo 4. Régimen de Suficiencia de Capital y Solvencia</w:t>
            </w:r>
          </w:p>
          <w:p w14:paraId="6EB71792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color w:val="000000"/>
              </w:rPr>
            </w:pPr>
          </w:p>
          <w:p w14:paraId="011038E0" w14:textId="7D56EC23" w:rsidR="00EE5C72" w:rsidRPr="00006AAE" w:rsidRDefault="00B35E7A" w:rsidP="00006AAE">
            <w:pPr>
              <w:jc w:val="center"/>
              <w:rPr>
                <w:rFonts w:asciiTheme="majorHAnsi" w:hAnsiTheme="majorHAnsi"/>
                <w:color w:val="000000"/>
              </w:rPr>
            </w:pPr>
            <w:r>
              <w:rPr>
                <w:rFonts w:asciiTheme="majorHAnsi" w:hAnsiTheme="majorHAnsi"/>
                <w:color w:val="000000"/>
              </w:rPr>
              <w:object w:dxaOrig="1550" w:dyaOrig="991" w14:anchorId="0A874B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45pt;height:49.6pt" o:ole="">
                  <v:imagedata r:id="rId10" o:title=""/>
                </v:shape>
                <o:OLEObject Type="Embed" ProgID="Excel.SheetMacroEnabled.12" ShapeID="_x0000_i1025" DrawAspect="Icon" ObjectID="_1480408335" r:id="rId11"/>
              </w:object>
            </w:r>
          </w:p>
          <w:p w14:paraId="66628E2A" w14:textId="77777777" w:rsidR="00EE5C72" w:rsidRPr="00006AAE" w:rsidRDefault="00EE5C72" w:rsidP="00006AAE">
            <w:pPr>
              <w:jc w:val="center"/>
              <w:rPr>
                <w:rFonts w:asciiTheme="majorHAnsi" w:hAnsiTheme="majorHAnsi"/>
                <w:b/>
                <w:color w:val="000000"/>
              </w:rPr>
            </w:pPr>
            <w:r w:rsidRPr="00006AAE">
              <w:rPr>
                <w:rFonts w:asciiTheme="majorHAnsi" w:hAnsiTheme="majorHAnsi"/>
                <w:color w:val="000000"/>
              </w:rPr>
              <w:cr/>
            </w:r>
            <w:r w:rsidRPr="00006AAE">
              <w:rPr>
                <w:rFonts w:asciiTheme="majorHAnsi" w:hAnsiTheme="majorHAnsi"/>
                <w:b/>
                <w:color w:val="000000"/>
              </w:rPr>
              <w:t>Anexo 5. Estándar de Negocio para Entidades de Seguros</w:t>
            </w:r>
          </w:p>
          <w:p w14:paraId="6DF4C237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color w:val="000000"/>
              </w:rPr>
            </w:pPr>
          </w:p>
          <w:bookmarkStart w:id="1" w:name="_MON_1480230786"/>
          <w:bookmarkEnd w:id="1"/>
          <w:p w14:paraId="61CB9EEE" w14:textId="77777777" w:rsidR="00EE5C72" w:rsidRPr="00006AAE" w:rsidRDefault="00006AAE" w:rsidP="00006AAE">
            <w:pPr>
              <w:jc w:val="center"/>
              <w:rPr>
                <w:rFonts w:asciiTheme="majorHAnsi" w:hAnsiTheme="majorHAnsi"/>
                <w:color w:val="000000"/>
              </w:rPr>
            </w:pPr>
            <w:r w:rsidRPr="00006AAE">
              <w:rPr>
                <w:rFonts w:asciiTheme="majorHAnsi" w:hAnsiTheme="majorHAnsi"/>
                <w:color w:val="000000"/>
              </w:rPr>
              <w:object w:dxaOrig="1240" w:dyaOrig="792" w14:anchorId="46BE8DB7">
                <v:shape id="_x0000_i1026" type="#_x0000_t75" style="width:62.5pt;height:40.1pt" o:ole="">
                  <v:imagedata r:id="rId12" o:title=""/>
                </v:shape>
                <o:OLEObject Type="Embed" ProgID="Word.Document.12" ShapeID="_x0000_i1026" DrawAspect="Icon" ObjectID="_1480408336" r:id="rId13">
                  <o:FieldCodes>\s</o:FieldCodes>
                </o:OLEObject>
              </w:object>
            </w:r>
          </w:p>
          <w:bookmarkStart w:id="2" w:name="_MON_1480231572"/>
          <w:bookmarkEnd w:id="2"/>
          <w:p w14:paraId="5B9D007A" w14:textId="316AE3DF" w:rsidR="00EE5C72" w:rsidRPr="00006AAE" w:rsidRDefault="00006AAE" w:rsidP="00006AAE">
            <w:pPr>
              <w:jc w:val="center"/>
              <w:rPr>
                <w:rFonts w:asciiTheme="majorHAnsi" w:hAnsiTheme="majorHAnsi"/>
              </w:rPr>
            </w:pPr>
            <w:r w:rsidRPr="00006AAE">
              <w:rPr>
                <w:rFonts w:asciiTheme="majorHAnsi" w:hAnsiTheme="majorHAnsi"/>
                <w:color w:val="000000"/>
              </w:rPr>
              <w:object w:dxaOrig="1240" w:dyaOrig="792" w14:anchorId="174F87A4">
                <v:shape id="_x0000_i1027" type="#_x0000_t75" style="width:62.5pt;height:40.1pt" o:ole="">
                  <v:imagedata r:id="rId14" o:title=""/>
                </v:shape>
                <o:OLEObject Type="Embed" ProgID="Word.Document.12" ShapeID="_x0000_i1027" DrawAspect="Icon" ObjectID="_1480408337" r:id="rId15">
                  <o:FieldCodes>\s</o:FieldCodes>
                </o:OLEObject>
              </w:object>
            </w:r>
          </w:p>
          <w:p w14:paraId="28752721" w14:textId="77777777" w:rsidR="00D84E47" w:rsidRPr="00006AAE" w:rsidRDefault="00D84E47" w:rsidP="00006AAE">
            <w:pPr>
              <w:jc w:val="center"/>
              <w:rPr>
                <w:rFonts w:asciiTheme="majorHAnsi" w:hAnsiTheme="majorHAnsi"/>
                <w:color w:val="000000"/>
              </w:rPr>
            </w:pPr>
          </w:p>
          <w:p w14:paraId="3128375E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</w:rPr>
            </w:pPr>
          </w:p>
        </w:tc>
      </w:tr>
      <w:tr w:rsidR="00EE5C72" w:rsidRPr="00006AAE" w14:paraId="5FCD97C8" w14:textId="77777777" w:rsidTr="00EE5C72">
        <w:trPr>
          <w:trHeight w:val="200"/>
          <w:jc w:val="center"/>
        </w:trPr>
        <w:tc>
          <w:tcPr>
            <w:tcW w:w="5000" w:type="pct"/>
          </w:tcPr>
          <w:p w14:paraId="40FDB320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b/>
              </w:rPr>
            </w:pPr>
            <w:r w:rsidRPr="00006AAE">
              <w:rPr>
                <w:rFonts w:asciiTheme="majorHAnsi" w:hAnsiTheme="majorHAnsi"/>
                <w:b/>
                <w:color w:val="000000"/>
              </w:rPr>
              <w:t>Tercero:</w:t>
            </w:r>
            <w:r w:rsidRPr="00006AAE">
              <w:rPr>
                <w:rFonts w:asciiTheme="majorHAnsi" w:hAnsiTheme="majorHAnsi"/>
                <w:color w:val="000000"/>
              </w:rPr>
              <w:t xml:space="preserve"> Eliminar los Anexos 2, 3 y 6 del acuerdo SGS-DES-A-021-2013.</w:t>
            </w:r>
          </w:p>
        </w:tc>
      </w:tr>
      <w:tr w:rsidR="00EE5C72" w:rsidRPr="00006AAE" w14:paraId="649CAAE1" w14:textId="77777777" w:rsidTr="00EE5C72">
        <w:trPr>
          <w:trHeight w:val="200"/>
          <w:jc w:val="center"/>
        </w:trPr>
        <w:tc>
          <w:tcPr>
            <w:tcW w:w="5000" w:type="pct"/>
          </w:tcPr>
          <w:p w14:paraId="1982457F" w14:textId="77777777" w:rsidR="00D84E47" w:rsidRPr="00006AAE" w:rsidRDefault="00D84E47" w:rsidP="00006AAE">
            <w:pPr>
              <w:jc w:val="both"/>
              <w:rPr>
                <w:rFonts w:asciiTheme="majorHAnsi" w:hAnsiTheme="majorHAnsi"/>
                <w:b/>
                <w:color w:val="000000"/>
              </w:rPr>
            </w:pPr>
          </w:p>
          <w:p w14:paraId="6D44C698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color w:val="000000"/>
              </w:rPr>
            </w:pPr>
            <w:r w:rsidRPr="00006AAE">
              <w:rPr>
                <w:rFonts w:asciiTheme="majorHAnsi" w:hAnsiTheme="majorHAnsi"/>
                <w:b/>
                <w:color w:val="000000"/>
              </w:rPr>
              <w:t>Cuarto:</w:t>
            </w:r>
            <w:r w:rsidRPr="00006AAE">
              <w:rPr>
                <w:rFonts w:asciiTheme="majorHAnsi" w:hAnsiTheme="majorHAnsi"/>
                <w:color w:val="000000"/>
              </w:rPr>
              <w:t xml:space="preserve"> Actualizar la versión publicada del Acuerdo SGS-DES-A-021-2013 para incluir las modificaciones señaladas en este acuerdo.</w:t>
            </w:r>
          </w:p>
          <w:p w14:paraId="0283A77D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  <w:color w:val="000000"/>
              </w:rPr>
            </w:pPr>
          </w:p>
          <w:p w14:paraId="0FBD1A0A" w14:textId="77777777" w:rsidR="00EE5C72" w:rsidRPr="00006AAE" w:rsidRDefault="00EE5C72" w:rsidP="00006AAE">
            <w:pPr>
              <w:jc w:val="both"/>
              <w:rPr>
                <w:rFonts w:asciiTheme="majorHAnsi" w:hAnsiTheme="majorHAnsi"/>
              </w:rPr>
            </w:pPr>
            <w:r w:rsidRPr="00006AAE">
              <w:rPr>
                <w:rFonts w:asciiTheme="majorHAnsi" w:hAnsiTheme="majorHAnsi"/>
                <w:b/>
                <w:color w:val="000000"/>
              </w:rPr>
              <w:t>Rige a partir del 1 de enero del 2015.</w:t>
            </w:r>
          </w:p>
        </w:tc>
      </w:tr>
    </w:tbl>
    <w:p w14:paraId="695461E3" w14:textId="77777777" w:rsidR="00EE5C72" w:rsidRPr="00006AAE" w:rsidRDefault="00EE5C72" w:rsidP="00006AAE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653C2DBC" w14:textId="77777777" w:rsidR="00EE5C72" w:rsidRPr="00006AAE" w:rsidRDefault="00EE5C72" w:rsidP="00006AAE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50B37131" w14:textId="5988CCE6" w:rsidR="00EE5C72" w:rsidRPr="00A15F1A" w:rsidRDefault="00877B36" w:rsidP="00006AAE">
      <w:pPr>
        <w:jc w:val="both"/>
        <w:rPr>
          <w:rFonts w:asciiTheme="majorHAnsi" w:hAnsiTheme="majorHAnsi"/>
          <w:color w:val="000000"/>
          <w:sz w:val="22"/>
          <w:szCs w:val="22"/>
        </w:rPr>
      </w:pPr>
      <w:r w:rsidRPr="00A15F1A">
        <w:rPr>
          <w:rFonts w:asciiTheme="majorHAnsi" w:hAnsiTheme="majorHAnsi"/>
        </w:rPr>
        <w:t>Notifíquese.</w:t>
      </w:r>
    </w:p>
    <w:p w14:paraId="0F0A5439" w14:textId="77777777" w:rsidR="00EE5C72" w:rsidRPr="00006AAE" w:rsidRDefault="00EE5C72" w:rsidP="00006AAE">
      <w:pPr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2956CF34" w14:textId="77777777" w:rsidR="005A1442" w:rsidRPr="00006AAE" w:rsidRDefault="005A1442" w:rsidP="00006AAE">
      <w:pPr>
        <w:rPr>
          <w:rFonts w:asciiTheme="majorHAnsi" w:hAnsiTheme="majorHAnsi"/>
          <w:lang w:val="es-CR"/>
        </w:rPr>
      </w:pPr>
    </w:p>
    <w:p w14:paraId="0257B8DD" w14:textId="77777777" w:rsidR="005A1442" w:rsidRPr="00006AAE" w:rsidRDefault="005A1442" w:rsidP="00006AAE">
      <w:pPr>
        <w:rPr>
          <w:rFonts w:asciiTheme="majorHAnsi" w:hAnsiTheme="majorHAnsi"/>
          <w:lang w:val="es-CR"/>
        </w:rPr>
      </w:pPr>
      <w:r w:rsidRPr="00006AAE">
        <w:rPr>
          <w:rFonts w:asciiTheme="majorHAnsi" w:hAnsiTheme="majorHAnsi"/>
          <w:noProof/>
          <w:lang w:val="es-CR" w:eastAsia="es-CR"/>
        </w:rPr>
        <w:drawing>
          <wp:inline distT="0" distB="0" distL="0" distR="0" wp14:anchorId="6113501B" wp14:editId="3CF4F81F">
            <wp:extent cx="2499360" cy="524291"/>
            <wp:effectExtent l="0" t="0" r="0" b="9525"/>
            <wp:docPr id="1" name="0 Imagen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 Imagen" descr="image00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52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3DB118C" w14:textId="457A4B26" w:rsidR="005A1442" w:rsidRPr="00006AAE" w:rsidRDefault="005A1442" w:rsidP="00694E33">
      <w:pPr>
        <w:spacing w:after="200" w:line="276" w:lineRule="auto"/>
        <w:rPr>
          <w:rFonts w:asciiTheme="majorHAnsi" w:hAnsiTheme="majorHAnsi"/>
        </w:rPr>
      </w:pPr>
    </w:p>
    <w:sectPr w:rsidR="005A1442" w:rsidRPr="00006AAE" w:rsidSect="0038157B">
      <w:headerReference w:type="default" r:id="rId17"/>
      <w:footerReference w:type="default" r:id="rId18"/>
      <w:headerReference w:type="first" r:id="rId19"/>
      <w:footerReference w:type="first" r:id="rId20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8BE799" w14:textId="77777777" w:rsidR="00EE5C72" w:rsidRDefault="00EE5C72" w:rsidP="005A1442">
      <w:r>
        <w:separator/>
      </w:r>
    </w:p>
  </w:endnote>
  <w:endnote w:type="continuationSeparator" w:id="0">
    <w:p w14:paraId="07DBD87D" w14:textId="77777777" w:rsidR="00EE5C72" w:rsidRDefault="00EE5C72" w:rsidP="005A1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32626B" w14:textId="77777777" w:rsidR="005A1442" w:rsidRDefault="005A1442" w:rsidP="005A1442">
    <w:pPr>
      <w:pStyle w:val="Piedepgina"/>
      <w:pBdr>
        <w:top w:val="single" w:sz="4" w:space="1" w:color="auto"/>
      </w:pBdr>
      <w:rPr>
        <w:sz w:val="16"/>
        <w:szCs w:val="16"/>
      </w:rPr>
    </w:pPr>
  </w:p>
  <w:p w14:paraId="54F66149" w14:textId="77777777" w:rsidR="005A1442" w:rsidRDefault="005A1442" w:rsidP="005A1442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121F8C">
      <w:rPr>
        <w:rFonts w:ascii="Baskerville Old Face" w:hAnsi="Baskerville Old Face"/>
        <w:sz w:val="18"/>
        <w:szCs w:val="18"/>
      </w:rPr>
      <w:t>Teléfonos: 2243-5108</w:t>
    </w:r>
    <w:r>
      <w:rPr>
        <w:rFonts w:ascii="Baskerville Old Face" w:hAnsi="Baskerville Old Face"/>
        <w:sz w:val="18"/>
        <w:szCs w:val="18"/>
      </w:rPr>
      <w:t xml:space="preserve">, </w:t>
    </w:r>
    <w:r w:rsidRPr="00121F8C">
      <w:rPr>
        <w:rFonts w:ascii="Baskerville Old Face" w:hAnsi="Baskerville Old Face"/>
        <w:sz w:val="18"/>
        <w:szCs w:val="18"/>
      </w:rPr>
      <w:t>2243-5103  •  Fax: 2243-5151</w:t>
    </w:r>
  </w:p>
  <w:p w14:paraId="0AFF1320" w14:textId="77777777" w:rsidR="005A1442" w:rsidRDefault="005A1442" w:rsidP="005A1442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121F8C">
      <w:rPr>
        <w:rFonts w:ascii="Baskerville Old Face" w:hAnsi="Baskerville Old Face"/>
        <w:sz w:val="18"/>
        <w:szCs w:val="18"/>
      </w:rPr>
      <w:t>Dirección: Edificio Torre del Este, Piso 8</w:t>
    </w:r>
  </w:p>
  <w:p w14:paraId="768D71C9" w14:textId="77777777" w:rsidR="005A1442" w:rsidRPr="005A1442" w:rsidRDefault="0091366A" w:rsidP="005A1442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hyperlink r:id="rId1" w:history="1">
      <w:r w:rsidR="005A1442" w:rsidRPr="00121F8C">
        <w:rPr>
          <w:rStyle w:val="Hipervnculo"/>
          <w:rFonts w:ascii="Baskerville Old Face" w:hAnsi="Baskerville Old Face"/>
          <w:sz w:val="18"/>
          <w:szCs w:val="18"/>
        </w:rPr>
        <w:t>sugese@sugese.fi.cr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3F8E4" w14:textId="77777777" w:rsidR="0038157B" w:rsidRDefault="0038157B" w:rsidP="0038157B">
    <w:pPr>
      <w:pStyle w:val="Piedepgina"/>
      <w:pBdr>
        <w:top w:val="single" w:sz="4" w:space="1" w:color="auto"/>
      </w:pBdr>
      <w:rPr>
        <w:sz w:val="16"/>
        <w:szCs w:val="16"/>
      </w:rPr>
    </w:pPr>
  </w:p>
  <w:p w14:paraId="73FFF327" w14:textId="77777777" w:rsidR="0038157B" w:rsidRDefault="0038157B" w:rsidP="0038157B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121F8C">
      <w:rPr>
        <w:rFonts w:ascii="Baskerville Old Face" w:hAnsi="Baskerville Old Face"/>
        <w:sz w:val="18"/>
        <w:szCs w:val="18"/>
      </w:rPr>
      <w:t>Teléfonos: 2243-5108</w:t>
    </w:r>
    <w:r>
      <w:rPr>
        <w:rFonts w:ascii="Baskerville Old Face" w:hAnsi="Baskerville Old Face"/>
        <w:sz w:val="18"/>
        <w:szCs w:val="18"/>
      </w:rPr>
      <w:t xml:space="preserve">, </w:t>
    </w:r>
    <w:r w:rsidRPr="00121F8C">
      <w:rPr>
        <w:rFonts w:ascii="Baskerville Old Face" w:hAnsi="Baskerville Old Face"/>
        <w:sz w:val="18"/>
        <w:szCs w:val="18"/>
      </w:rPr>
      <w:t>2243-5103  •  Fax: 2243-5151</w:t>
    </w:r>
  </w:p>
  <w:p w14:paraId="3D202571" w14:textId="77777777" w:rsidR="0038157B" w:rsidRDefault="0038157B" w:rsidP="0038157B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121F8C">
      <w:rPr>
        <w:rFonts w:ascii="Baskerville Old Face" w:hAnsi="Baskerville Old Face"/>
        <w:sz w:val="18"/>
        <w:szCs w:val="18"/>
      </w:rPr>
      <w:t>Dirección: Edificio Torre del Este, Piso 8</w:t>
    </w:r>
  </w:p>
  <w:p w14:paraId="154926B6" w14:textId="77777777" w:rsidR="0038157B" w:rsidRPr="0038157B" w:rsidRDefault="0091366A" w:rsidP="0038157B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hyperlink r:id="rId1" w:history="1">
      <w:r w:rsidR="0038157B" w:rsidRPr="00121F8C">
        <w:rPr>
          <w:rStyle w:val="Hipervnculo"/>
          <w:rFonts w:ascii="Baskerville Old Face" w:hAnsi="Baskerville Old Face"/>
          <w:sz w:val="18"/>
          <w:szCs w:val="18"/>
        </w:rPr>
        <w:t>sugese@sugese.fi.cr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F8EB6" w14:textId="77777777" w:rsidR="00EE5C72" w:rsidRDefault="00EE5C72" w:rsidP="005A1442">
      <w:r>
        <w:separator/>
      </w:r>
    </w:p>
  </w:footnote>
  <w:footnote w:type="continuationSeparator" w:id="0">
    <w:p w14:paraId="13880E89" w14:textId="77777777" w:rsidR="00EE5C72" w:rsidRDefault="00EE5C72" w:rsidP="005A14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8F124A" w14:textId="77777777" w:rsidR="005A1442" w:rsidRDefault="00221996">
    <w:pPr>
      <w:pStyle w:val="Encabezado"/>
    </w:pP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714926" wp14:editId="650FEF60">
              <wp:simplePos x="0" y="0"/>
              <wp:positionH relativeFrom="column">
                <wp:posOffset>4530956</wp:posOffset>
              </wp:positionH>
              <wp:positionV relativeFrom="paragraph">
                <wp:posOffset>-283325</wp:posOffset>
              </wp:positionV>
              <wp:extent cx="1230341" cy="1303193"/>
              <wp:effectExtent l="0" t="0" r="8255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0341" cy="130319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116A91" w14:textId="77777777" w:rsidR="00221996" w:rsidRDefault="00B25C9B" w:rsidP="00221996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Cs/>
                              <w:i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i/>
                              <w:noProof/>
                              <w:color w:val="808080" w:themeColor="background1" w:themeShade="80"/>
                              <w:sz w:val="16"/>
                              <w:szCs w:val="16"/>
                              <w:lang w:eastAsia="es-CR"/>
                            </w:rPr>
                            <w:drawing>
                              <wp:inline distT="0" distB="0" distL="0" distR="0" wp14:anchorId="43586636" wp14:editId="31560B4C">
                                <wp:extent cx="460020" cy="810491"/>
                                <wp:effectExtent l="0" t="0" r="0" b="8890"/>
                                <wp:docPr id="4" name="0 Image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2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59006" cy="8087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5320D85" w14:textId="77777777" w:rsidR="00221996" w:rsidRPr="00374377" w:rsidRDefault="00221996" w:rsidP="00221996">
                          <w:pPr>
                            <w:pStyle w:val="Encabezado"/>
                            <w:jc w:val="center"/>
                            <w:rPr>
                              <w:rFonts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 w:rsidRPr="00374377">
                            <w:rPr>
                              <w:rFonts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Sistema de Gestión de Calidad </w:t>
                          </w:r>
                        </w:p>
                        <w:p w14:paraId="1C3DA726" w14:textId="77777777" w:rsidR="00221996" w:rsidRPr="00374377" w:rsidRDefault="00221996" w:rsidP="00221996">
                          <w:pPr>
                            <w:pStyle w:val="Encabezado"/>
                            <w:jc w:val="center"/>
                            <w:rPr>
                              <w:rFonts w:cstheme="minorHAnsi"/>
                              <w:sz w:val="12"/>
                              <w:szCs w:val="12"/>
                            </w:rPr>
                          </w:pPr>
                          <w:r w:rsidRPr="00374377">
                            <w:rPr>
                              <w:rFonts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  <w:t>Certificado INTE-ISO 9001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56.75pt;margin-top:-22.3pt;width:96.9pt;height:10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" stroked="f">
              <v:textbox>
                <w:txbxContent>
                  <w:p w14:paraId="56116A91" w14:textId="77777777" w:rsidR="00221996" w:rsidRDefault="00B25C9B" w:rsidP="00221996">
                    <w:pPr>
                      <w:pStyle w:val="Encabezado"/>
                      <w:jc w:val="center"/>
                      <w:rPr>
                        <w:rFonts w:ascii="Arial" w:hAnsi="Arial" w:cs="Arial"/>
                        <w:bCs/>
                        <w:i/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Cs/>
                        <w:i/>
                        <w:noProof/>
                        <w:color w:val="808080" w:themeColor="background1" w:themeShade="80"/>
                        <w:sz w:val="16"/>
                        <w:szCs w:val="16"/>
                        <w:lang w:eastAsia="es-CR"/>
                      </w:rPr>
                      <w:drawing>
                        <wp:inline distT="0" distB="0" distL="0" distR="0" wp14:anchorId="43586636" wp14:editId="31560B4C">
                          <wp:extent cx="460020" cy="810491"/>
                          <wp:effectExtent l="0" t="0" r="0" b="8890"/>
                          <wp:docPr id="4" name="0 Image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2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59006" cy="8087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5320D85" w14:textId="77777777" w:rsidR="00221996" w:rsidRPr="00374377" w:rsidRDefault="00221996" w:rsidP="00221996">
                    <w:pPr>
                      <w:pStyle w:val="Encabezado"/>
                      <w:jc w:val="center"/>
                      <w:rPr>
                        <w:rFonts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</w:pPr>
                    <w:r w:rsidRPr="00374377">
                      <w:rPr>
                        <w:rFonts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  <w:t xml:space="preserve">Sistema de Gestión de Calidad </w:t>
                    </w:r>
                  </w:p>
                  <w:p w14:paraId="1C3DA726" w14:textId="77777777" w:rsidR="00221996" w:rsidRPr="00374377" w:rsidRDefault="00221996" w:rsidP="00221996">
                    <w:pPr>
                      <w:pStyle w:val="Encabezado"/>
                      <w:jc w:val="center"/>
                      <w:rPr>
                        <w:rFonts w:cstheme="minorHAnsi"/>
                        <w:sz w:val="12"/>
                        <w:szCs w:val="12"/>
                      </w:rPr>
                    </w:pPr>
                    <w:r w:rsidRPr="00374377">
                      <w:rPr>
                        <w:rFonts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  <w:t>Certificado INTE-ISO 9001</w:t>
                    </w:r>
                  </w:p>
                </w:txbxContent>
              </v:textbox>
            </v:shape>
          </w:pict>
        </mc:Fallback>
      </mc:AlternateContent>
    </w:r>
    <w:r w:rsidR="005A1442">
      <w:rPr>
        <w:noProof/>
        <w:lang w:eastAsia="es-CR"/>
      </w:rPr>
      <w:drawing>
        <wp:inline distT="0" distB="0" distL="0" distR="0" wp14:anchorId="2F5F1509" wp14:editId="6DB6C7F8">
          <wp:extent cx="1209580" cy="971550"/>
          <wp:effectExtent l="19050" t="0" r="0" b="0"/>
          <wp:docPr id="2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BD8104" w14:textId="77777777" w:rsidR="0038157B" w:rsidRDefault="0038157B" w:rsidP="0038157B">
    <w:pPr>
      <w:pStyle w:val="Encabezado"/>
      <w:rPr>
        <w:rFonts w:asciiTheme="majorHAnsi" w:hAnsiTheme="majorHAnsi"/>
        <w:b/>
        <w:i/>
        <w:lang w:val="es-MX"/>
      </w:rPr>
    </w:pPr>
  </w:p>
  <w:p w14:paraId="1B0B5205" w14:textId="74911CD6" w:rsidR="0038157B" w:rsidRPr="00221460" w:rsidRDefault="00162D87" w:rsidP="0038157B">
    <w:pPr>
      <w:pStyle w:val="Encabezado"/>
      <w:rPr>
        <w:rFonts w:asciiTheme="majorHAnsi" w:hAnsiTheme="majorHAnsi"/>
        <w:b/>
        <w:i/>
        <w:lang w:val="es-MX"/>
      </w:rPr>
    </w:pPr>
    <w:r>
      <w:rPr>
        <w:rFonts w:asciiTheme="majorHAnsi" w:hAnsiTheme="majorHAnsi"/>
        <w:b/>
        <w:i/>
        <w:lang w:val="es-MX"/>
      </w:rPr>
      <w:t>SGS-DES-A</w:t>
    </w:r>
    <w:r w:rsidR="0038157B">
      <w:rPr>
        <w:rFonts w:asciiTheme="majorHAnsi" w:hAnsiTheme="majorHAnsi"/>
        <w:b/>
        <w:i/>
        <w:lang w:val="es-MX"/>
      </w:rPr>
      <w:t>-</w:t>
    </w:r>
    <w:r>
      <w:rPr>
        <w:rFonts w:asciiTheme="majorHAnsi" w:hAnsiTheme="majorHAnsi"/>
        <w:b/>
        <w:i/>
        <w:lang w:val="es-MX"/>
      </w:rPr>
      <w:t>042</w:t>
    </w:r>
    <w:r w:rsidR="0038157B">
      <w:rPr>
        <w:rFonts w:asciiTheme="majorHAnsi" w:hAnsiTheme="majorHAnsi"/>
        <w:b/>
        <w:i/>
        <w:lang w:val="es-MX"/>
      </w:rPr>
      <w:t>-201</w:t>
    </w:r>
    <w:r w:rsidR="00DF730A">
      <w:rPr>
        <w:rFonts w:asciiTheme="majorHAnsi" w:hAnsiTheme="majorHAnsi"/>
        <w:b/>
        <w:i/>
        <w:lang w:val="es-MX"/>
      </w:rPr>
      <w:t>4</w:t>
    </w:r>
  </w:p>
  <w:p w14:paraId="1C563BF2" w14:textId="77777777" w:rsidR="0038157B" w:rsidRPr="00221460" w:rsidRDefault="0038157B" w:rsidP="0038157B">
    <w:pPr>
      <w:pStyle w:val="Encabezado"/>
      <w:rPr>
        <w:rFonts w:asciiTheme="majorHAnsi" w:hAnsiTheme="majorHAnsi"/>
        <w:i/>
        <w:lang w:val="es-MX"/>
      </w:rPr>
    </w:pPr>
    <w:r w:rsidRPr="00221460">
      <w:rPr>
        <w:rFonts w:asciiTheme="majorHAnsi" w:hAnsiTheme="majorHAnsi"/>
        <w:i/>
        <w:lang w:val="es-MX"/>
      </w:rPr>
      <w:t xml:space="preserve">Página | </w:t>
    </w:r>
    <w:r w:rsidRPr="00221460">
      <w:rPr>
        <w:rFonts w:asciiTheme="majorHAnsi" w:hAnsiTheme="majorHAnsi"/>
        <w:i/>
        <w:lang w:val="es-MX"/>
      </w:rPr>
      <w:fldChar w:fldCharType="begin"/>
    </w:r>
    <w:r w:rsidRPr="00221460">
      <w:rPr>
        <w:rFonts w:asciiTheme="majorHAnsi" w:hAnsiTheme="majorHAnsi"/>
        <w:i/>
        <w:lang w:val="es-MX"/>
      </w:rPr>
      <w:instrText xml:space="preserve"> PAGE   \* MERGEFORMAT </w:instrText>
    </w:r>
    <w:r w:rsidRPr="00221460">
      <w:rPr>
        <w:rFonts w:asciiTheme="majorHAnsi" w:hAnsiTheme="majorHAnsi"/>
        <w:i/>
        <w:lang w:val="es-MX"/>
      </w:rPr>
      <w:fldChar w:fldCharType="separate"/>
    </w:r>
    <w:r w:rsidR="0091366A">
      <w:rPr>
        <w:rFonts w:asciiTheme="majorHAnsi" w:hAnsiTheme="majorHAnsi"/>
        <w:i/>
        <w:noProof/>
        <w:lang w:val="es-MX"/>
      </w:rPr>
      <w:t>2</w:t>
    </w:r>
    <w:r w:rsidRPr="00221460">
      <w:rPr>
        <w:rFonts w:asciiTheme="majorHAnsi" w:hAnsiTheme="majorHAnsi"/>
        <w:i/>
        <w:lang w:val="es-MX"/>
      </w:rPr>
      <w:fldChar w:fldCharType="end"/>
    </w:r>
  </w:p>
  <w:p w14:paraId="33467A3F" w14:textId="77777777" w:rsidR="0038157B" w:rsidRPr="0038157B" w:rsidRDefault="0038157B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97062" w14:textId="77777777" w:rsidR="0038157B" w:rsidRDefault="0038157B" w:rsidP="0038157B">
    <w:pPr>
      <w:pStyle w:val="Encabezado"/>
    </w:pP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225CCC" wp14:editId="794EC091">
              <wp:simplePos x="0" y="0"/>
              <wp:positionH relativeFrom="column">
                <wp:posOffset>4530956</wp:posOffset>
              </wp:positionH>
              <wp:positionV relativeFrom="paragraph">
                <wp:posOffset>-283325</wp:posOffset>
              </wp:positionV>
              <wp:extent cx="1230341" cy="1303193"/>
              <wp:effectExtent l="0" t="0" r="8255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0341" cy="130319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CAF396" w14:textId="77777777" w:rsidR="0038157B" w:rsidRDefault="0038157B" w:rsidP="0038157B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Cs/>
                              <w:i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Cs/>
                              <w:i/>
                              <w:noProof/>
                              <w:color w:val="808080" w:themeColor="background1" w:themeShade="80"/>
                              <w:sz w:val="16"/>
                              <w:szCs w:val="16"/>
                              <w:lang w:eastAsia="es-CR"/>
                            </w:rPr>
                            <w:drawing>
                              <wp:inline distT="0" distB="0" distL="0" distR="0" wp14:anchorId="4CFC28BE" wp14:editId="00B3DB77">
                                <wp:extent cx="460020" cy="810491"/>
                                <wp:effectExtent l="0" t="0" r="0" b="8890"/>
                                <wp:docPr id="6" name="0 Image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2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59006" cy="8087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28EFABF8" w14:textId="77777777" w:rsidR="0038157B" w:rsidRPr="00374377" w:rsidRDefault="0038157B" w:rsidP="0038157B">
                          <w:pPr>
                            <w:pStyle w:val="Encabezado"/>
                            <w:jc w:val="center"/>
                            <w:rPr>
                              <w:rFonts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  <w:r w:rsidRPr="00374377">
                            <w:rPr>
                              <w:rFonts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  <w:t xml:space="preserve">Sistema de Gestión de Calidad </w:t>
                          </w:r>
                        </w:p>
                        <w:p w14:paraId="0DA500EB" w14:textId="77777777" w:rsidR="0038157B" w:rsidRPr="00374377" w:rsidRDefault="0038157B" w:rsidP="0038157B">
                          <w:pPr>
                            <w:pStyle w:val="Encabezado"/>
                            <w:jc w:val="center"/>
                            <w:rPr>
                              <w:rFonts w:cstheme="minorHAnsi"/>
                              <w:sz w:val="12"/>
                              <w:szCs w:val="12"/>
                            </w:rPr>
                          </w:pPr>
                          <w:r w:rsidRPr="00374377">
                            <w:rPr>
                              <w:rFonts w:cstheme="minorHAnsi"/>
                              <w:bCs/>
                              <w:i/>
                              <w:color w:val="808080" w:themeColor="background1" w:themeShade="80"/>
                              <w:sz w:val="12"/>
                              <w:szCs w:val="12"/>
                            </w:rPr>
                            <w:t>Certificado INTE-ISO 9001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6.75pt;margin-top:-22.3pt;width:96.9pt;height:10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" stroked="f">
              <v:textbox>
                <w:txbxContent>
                  <w:p w14:paraId="74CAF396" w14:textId="77777777" w:rsidR="0038157B" w:rsidRDefault="0038157B" w:rsidP="0038157B">
                    <w:pPr>
                      <w:pStyle w:val="Encabezado"/>
                      <w:jc w:val="center"/>
                      <w:rPr>
                        <w:rFonts w:ascii="Arial" w:hAnsi="Arial" w:cs="Arial"/>
                        <w:bCs/>
                        <w:i/>
                        <w:color w:val="808080" w:themeColor="background1" w:themeShade="8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Cs/>
                        <w:i/>
                        <w:noProof/>
                        <w:color w:val="808080" w:themeColor="background1" w:themeShade="80"/>
                        <w:sz w:val="16"/>
                        <w:szCs w:val="16"/>
                        <w:lang w:eastAsia="es-CR"/>
                      </w:rPr>
                      <w:drawing>
                        <wp:inline distT="0" distB="0" distL="0" distR="0" wp14:anchorId="4CFC28BE" wp14:editId="00B3DB77">
                          <wp:extent cx="460020" cy="810491"/>
                          <wp:effectExtent l="0" t="0" r="0" b="8890"/>
                          <wp:docPr id="6" name="0 Imagen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2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59006" cy="8087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28EFABF8" w14:textId="77777777" w:rsidR="0038157B" w:rsidRPr="00374377" w:rsidRDefault="0038157B" w:rsidP="0038157B">
                    <w:pPr>
                      <w:pStyle w:val="Encabezado"/>
                      <w:jc w:val="center"/>
                      <w:rPr>
                        <w:rFonts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</w:pPr>
                    <w:r w:rsidRPr="00374377">
                      <w:rPr>
                        <w:rFonts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  <w:t xml:space="preserve">Sistema de Gestión de Calidad </w:t>
                    </w:r>
                  </w:p>
                  <w:p w14:paraId="0DA500EB" w14:textId="77777777" w:rsidR="0038157B" w:rsidRPr="00374377" w:rsidRDefault="0038157B" w:rsidP="0038157B">
                    <w:pPr>
                      <w:pStyle w:val="Encabezado"/>
                      <w:jc w:val="center"/>
                      <w:rPr>
                        <w:rFonts w:cstheme="minorHAnsi"/>
                        <w:sz w:val="12"/>
                        <w:szCs w:val="12"/>
                      </w:rPr>
                    </w:pPr>
                    <w:r w:rsidRPr="00374377">
                      <w:rPr>
                        <w:rFonts w:cstheme="minorHAnsi"/>
                        <w:bCs/>
                        <w:i/>
                        <w:color w:val="808080" w:themeColor="background1" w:themeShade="80"/>
                        <w:sz w:val="12"/>
                        <w:szCs w:val="12"/>
                      </w:rPr>
                      <w:t>Certificado INTE-ISO 9001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s-CR"/>
      </w:rPr>
      <w:drawing>
        <wp:inline distT="0" distB="0" distL="0" distR="0" wp14:anchorId="5D3E7F4C" wp14:editId="41A673EE">
          <wp:extent cx="1209580" cy="971550"/>
          <wp:effectExtent l="19050" t="0" r="0" b="0"/>
          <wp:docPr id="5" name="1 Imagen" descr="logo sugese reduci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 reducido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209580" cy="971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A9297C" w14:textId="77777777" w:rsidR="0038157B" w:rsidRDefault="0038157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442"/>
    <w:rsid w:val="00003EEF"/>
    <w:rsid w:val="00006AAE"/>
    <w:rsid w:val="000076D1"/>
    <w:rsid w:val="000105FD"/>
    <w:rsid w:val="000155EE"/>
    <w:rsid w:val="00015CC4"/>
    <w:rsid w:val="000230EC"/>
    <w:rsid w:val="00037F14"/>
    <w:rsid w:val="00043989"/>
    <w:rsid w:val="000476C1"/>
    <w:rsid w:val="00055413"/>
    <w:rsid w:val="00067CF6"/>
    <w:rsid w:val="000752F9"/>
    <w:rsid w:val="000760ED"/>
    <w:rsid w:val="00083A78"/>
    <w:rsid w:val="0008604D"/>
    <w:rsid w:val="000A2288"/>
    <w:rsid w:val="000B2E1D"/>
    <w:rsid w:val="000B31FC"/>
    <w:rsid w:val="000C7644"/>
    <w:rsid w:val="000D4883"/>
    <w:rsid w:val="000F4177"/>
    <w:rsid w:val="00112325"/>
    <w:rsid w:val="00133DA2"/>
    <w:rsid w:val="00135FBF"/>
    <w:rsid w:val="00140B90"/>
    <w:rsid w:val="00146B1D"/>
    <w:rsid w:val="001551CB"/>
    <w:rsid w:val="00162D87"/>
    <w:rsid w:val="00167B6E"/>
    <w:rsid w:val="0017138C"/>
    <w:rsid w:val="0018143B"/>
    <w:rsid w:val="001A29D3"/>
    <w:rsid w:val="001A6FE9"/>
    <w:rsid w:val="001B3C85"/>
    <w:rsid w:val="001B6EE9"/>
    <w:rsid w:val="001C344D"/>
    <w:rsid w:val="001D2BCA"/>
    <w:rsid w:val="001F362F"/>
    <w:rsid w:val="002048C0"/>
    <w:rsid w:val="002218A1"/>
    <w:rsid w:val="00221996"/>
    <w:rsid w:val="00222862"/>
    <w:rsid w:val="00234ECC"/>
    <w:rsid w:val="002440B8"/>
    <w:rsid w:val="00247E9E"/>
    <w:rsid w:val="00267429"/>
    <w:rsid w:val="0028286F"/>
    <w:rsid w:val="00286975"/>
    <w:rsid w:val="00291CE7"/>
    <w:rsid w:val="002A04A2"/>
    <w:rsid w:val="002C3B80"/>
    <w:rsid w:val="002C3DDE"/>
    <w:rsid w:val="002C572C"/>
    <w:rsid w:val="002C76DF"/>
    <w:rsid w:val="002D7832"/>
    <w:rsid w:val="002E02EC"/>
    <w:rsid w:val="002E6AFE"/>
    <w:rsid w:val="002F22F3"/>
    <w:rsid w:val="002F2345"/>
    <w:rsid w:val="002F51B5"/>
    <w:rsid w:val="00304DCB"/>
    <w:rsid w:val="0030537C"/>
    <w:rsid w:val="00305398"/>
    <w:rsid w:val="00333BA8"/>
    <w:rsid w:val="00336659"/>
    <w:rsid w:val="00343523"/>
    <w:rsid w:val="00343D0D"/>
    <w:rsid w:val="003623F7"/>
    <w:rsid w:val="0036345E"/>
    <w:rsid w:val="0036475D"/>
    <w:rsid w:val="00366016"/>
    <w:rsid w:val="003758F1"/>
    <w:rsid w:val="00376DE7"/>
    <w:rsid w:val="0038157B"/>
    <w:rsid w:val="00391C88"/>
    <w:rsid w:val="003A39BC"/>
    <w:rsid w:val="003A53B0"/>
    <w:rsid w:val="003B043B"/>
    <w:rsid w:val="003B6304"/>
    <w:rsid w:val="003B7CC2"/>
    <w:rsid w:val="003E469F"/>
    <w:rsid w:val="003E62CB"/>
    <w:rsid w:val="003E721F"/>
    <w:rsid w:val="004263F9"/>
    <w:rsid w:val="004277B9"/>
    <w:rsid w:val="00432474"/>
    <w:rsid w:val="00454C55"/>
    <w:rsid w:val="0047219D"/>
    <w:rsid w:val="004948D8"/>
    <w:rsid w:val="00495470"/>
    <w:rsid w:val="00496C81"/>
    <w:rsid w:val="004A03B7"/>
    <w:rsid w:val="004A495A"/>
    <w:rsid w:val="004B767D"/>
    <w:rsid w:val="004C4D3C"/>
    <w:rsid w:val="004D2EB0"/>
    <w:rsid w:val="004D7196"/>
    <w:rsid w:val="004E7104"/>
    <w:rsid w:val="004F5023"/>
    <w:rsid w:val="004F6969"/>
    <w:rsid w:val="0050151B"/>
    <w:rsid w:val="0050185B"/>
    <w:rsid w:val="00501E0F"/>
    <w:rsid w:val="005078E4"/>
    <w:rsid w:val="00514940"/>
    <w:rsid w:val="005241EE"/>
    <w:rsid w:val="00524C83"/>
    <w:rsid w:val="0053290C"/>
    <w:rsid w:val="00533746"/>
    <w:rsid w:val="005442FF"/>
    <w:rsid w:val="00545CD6"/>
    <w:rsid w:val="00556620"/>
    <w:rsid w:val="0056158A"/>
    <w:rsid w:val="0056224B"/>
    <w:rsid w:val="00576230"/>
    <w:rsid w:val="005A1442"/>
    <w:rsid w:val="005C5B11"/>
    <w:rsid w:val="005C69FA"/>
    <w:rsid w:val="005C7CD2"/>
    <w:rsid w:val="005D13DD"/>
    <w:rsid w:val="005E7FD4"/>
    <w:rsid w:val="005F395A"/>
    <w:rsid w:val="00602EC0"/>
    <w:rsid w:val="00604DED"/>
    <w:rsid w:val="00607A8D"/>
    <w:rsid w:val="00621BF4"/>
    <w:rsid w:val="00626ECF"/>
    <w:rsid w:val="00632C9E"/>
    <w:rsid w:val="006428F4"/>
    <w:rsid w:val="00646CD3"/>
    <w:rsid w:val="00650488"/>
    <w:rsid w:val="00650E64"/>
    <w:rsid w:val="00652E5B"/>
    <w:rsid w:val="0066556D"/>
    <w:rsid w:val="006655C3"/>
    <w:rsid w:val="006678C2"/>
    <w:rsid w:val="00671DEB"/>
    <w:rsid w:val="00672C4A"/>
    <w:rsid w:val="00673269"/>
    <w:rsid w:val="00674F4F"/>
    <w:rsid w:val="006772DD"/>
    <w:rsid w:val="006829C1"/>
    <w:rsid w:val="0068417D"/>
    <w:rsid w:val="006848D6"/>
    <w:rsid w:val="006943A2"/>
    <w:rsid w:val="00694E33"/>
    <w:rsid w:val="006A1A25"/>
    <w:rsid w:val="006B4EA1"/>
    <w:rsid w:val="006C624C"/>
    <w:rsid w:val="006C76B1"/>
    <w:rsid w:val="006D0952"/>
    <w:rsid w:val="006E01DB"/>
    <w:rsid w:val="006E1EC2"/>
    <w:rsid w:val="006F4D20"/>
    <w:rsid w:val="00706543"/>
    <w:rsid w:val="00712FFB"/>
    <w:rsid w:val="00715BD0"/>
    <w:rsid w:val="007170ED"/>
    <w:rsid w:val="00725048"/>
    <w:rsid w:val="00725493"/>
    <w:rsid w:val="00726CEB"/>
    <w:rsid w:val="007272CC"/>
    <w:rsid w:val="007324F8"/>
    <w:rsid w:val="007327C9"/>
    <w:rsid w:val="0074198B"/>
    <w:rsid w:val="007437E6"/>
    <w:rsid w:val="00746E52"/>
    <w:rsid w:val="007636BD"/>
    <w:rsid w:val="00771580"/>
    <w:rsid w:val="00792726"/>
    <w:rsid w:val="007A0A2A"/>
    <w:rsid w:val="007A1E7F"/>
    <w:rsid w:val="007A22EA"/>
    <w:rsid w:val="007A2A51"/>
    <w:rsid w:val="007B04A5"/>
    <w:rsid w:val="007C19A7"/>
    <w:rsid w:val="007D2DAF"/>
    <w:rsid w:val="007E41E5"/>
    <w:rsid w:val="007E46F1"/>
    <w:rsid w:val="007E66C6"/>
    <w:rsid w:val="008022A8"/>
    <w:rsid w:val="0080328F"/>
    <w:rsid w:val="00821436"/>
    <w:rsid w:val="008259A0"/>
    <w:rsid w:val="008370FF"/>
    <w:rsid w:val="0085586B"/>
    <w:rsid w:val="00857848"/>
    <w:rsid w:val="00857AD8"/>
    <w:rsid w:val="008605C0"/>
    <w:rsid w:val="00866B92"/>
    <w:rsid w:val="008704B7"/>
    <w:rsid w:val="008747C3"/>
    <w:rsid w:val="008778EF"/>
    <w:rsid w:val="00877B36"/>
    <w:rsid w:val="00895D99"/>
    <w:rsid w:val="008962DC"/>
    <w:rsid w:val="00896B04"/>
    <w:rsid w:val="008974D8"/>
    <w:rsid w:val="008A3070"/>
    <w:rsid w:val="008A591C"/>
    <w:rsid w:val="008D17A9"/>
    <w:rsid w:val="008D2116"/>
    <w:rsid w:val="008D2523"/>
    <w:rsid w:val="008D2BC8"/>
    <w:rsid w:val="00902FB0"/>
    <w:rsid w:val="0091366A"/>
    <w:rsid w:val="00915452"/>
    <w:rsid w:val="00922C3E"/>
    <w:rsid w:val="00931297"/>
    <w:rsid w:val="00947CCD"/>
    <w:rsid w:val="0095414B"/>
    <w:rsid w:val="009565BF"/>
    <w:rsid w:val="00964169"/>
    <w:rsid w:val="00975A49"/>
    <w:rsid w:val="00987B3B"/>
    <w:rsid w:val="009A2106"/>
    <w:rsid w:val="009A6A84"/>
    <w:rsid w:val="009B35A6"/>
    <w:rsid w:val="009D11AB"/>
    <w:rsid w:val="009D5FAF"/>
    <w:rsid w:val="00A07AB5"/>
    <w:rsid w:val="00A12AE9"/>
    <w:rsid w:val="00A15F1A"/>
    <w:rsid w:val="00A16168"/>
    <w:rsid w:val="00A2009B"/>
    <w:rsid w:val="00A33527"/>
    <w:rsid w:val="00A37C0C"/>
    <w:rsid w:val="00A46328"/>
    <w:rsid w:val="00A57156"/>
    <w:rsid w:val="00A66E6E"/>
    <w:rsid w:val="00A8710B"/>
    <w:rsid w:val="00AA35AB"/>
    <w:rsid w:val="00AB1CD0"/>
    <w:rsid w:val="00AB33C3"/>
    <w:rsid w:val="00AC0D3F"/>
    <w:rsid w:val="00AD00BB"/>
    <w:rsid w:val="00AE0313"/>
    <w:rsid w:val="00AF37F5"/>
    <w:rsid w:val="00B04011"/>
    <w:rsid w:val="00B12501"/>
    <w:rsid w:val="00B21C1A"/>
    <w:rsid w:val="00B2475F"/>
    <w:rsid w:val="00B25C9B"/>
    <w:rsid w:val="00B300E9"/>
    <w:rsid w:val="00B32651"/>
    <w:rsid w:val="00B35E7A"/>
    <w:rsid w:val="00B40526"/>
    <w:rsid w:val="00B45FD8"/>
    <w:rsid w:val="00B50514"/>
    <w:rsid w:val="00B826E2"/>
    <w:rsid w:val="00B910A3"/>
    <w:rsid w:val="00B95233"/>
    <w:rsid w:val="00B96A9E"/>
    <w:rsid w:val="00BA2A3A"/>
    <w:rsid w:val="00BA4095"/>
    <w:rsid w:val="00BA4EB8"/>
    <w:rsid w:val="00BB64F2"/>
    <w:rsid w:val="00BC2F23"/>
    <w:rsid w:val="00BD18FF"/>
    <w:rsid w:val="00BD251B"/>
    <w:rsid w:val="00BE08B6"/>
    <w:rsid w:val="00BE61CE"/>
    <w:rsid w:val="00BF28E2"/>
    <w:rsid w:val="00BF5BF7"/>
    <w:rsid w:val="00BF67A7"/>
    <w:rsid w:val="00C00485"/>
    <w:rsid w:val="00C05704"/>
    <w:rsid w:val="00C240F2"/>
    <w:rsid w:val="00C276E6"/>
    <w:rsid w:val="00C52BC9"/>
    <w:rsid w:val="00C64061"/>
    <w:rsid w:val="00C82150"/>
    <w:rsid w:val="00C846AA"/>
    <w:rsid w:val="00C85E4F"/>
    <w:rsid w:val="00CA7870"/>
    <w:rsid w:val="00CA7AE4"/>
    <w:rsid w:val="00CB0CC5"/>
    <w:rsid w:val="00CC4427"/>
    <w:rsid w:val="00CC5D7F"/>
    <w:rsid w:val="00CC7AE2"/>
    <w:rsid w:val="00CE3032"/>
    <w:rsid w:val="00CF181A"/>
    <w:rsid w:val="00D06152"/>
    <w:rsid w:val="00D13047"/>
    <w:rsid w:val="00D15050"/>
    <w:rsid w:val="00D15CCE"/>
    <w:rsid w:val="00D20E5C"/>
    <w:rsid w:val="00D27227"/>
    <w:rsid w:val="00D332E9"/>
    <w:rsid w:val="00D36B9F"/>
    <w:rsid w:val="00D6484A"/>
    <w:rsid w:val="00D70C14"/>
    <w:rsid w:val="00D74E1D"/>
    <w:rsid w:val="00D84595"/>
    <w:rsid w:val="00D84E47"/>
    <w:rsid w:val="00D92485"/>
    <w:rsid w:val="00D92CD1"/>
    <w:rsid w:val="00DA2D4F"/>
    <w:rsid w:val="00DA5032"/>
    <w:rsid w:val="00DB041E"/>
    <w:rsid w:val="00DB1CE2"/>
    <w:rsid w:val="00DB4D57"/>
    <w:rsid w:val="00DB63A8"/>
    <w:rsid w:val="00DC1346"/>
    <w:rsid w:val="00DC26B0"/>
    <w:rsid w:val="00DC2FD3"/>
    <w:rsid w:val="00DD035E"/>
    <w:rsid w:val="00DD1A0E"/>
    <w:rsid w:val="00DD480F"/>
    <w:rsid w:val="00DD4EE4"/>
    <w:rsid w:val="00DF1CE6"/>
    <w:rsid w:val="00DF2BE9"/>
    <w:rsid w:val="00DF3ABA"/>
    <w:rsid w:val="00DF730A"/>
    <w:rsid w:val="00E03D85"/>
    <w:rsid w:val="00E04EAD"/>
    <w:rsid w:val="00E06E7D"/>
    <w:rsid w:val="00E06F9A"/>
    <w:rsid w:val="00E157FF"/>
    <w:rsid w:val="00E20D65"/>
    <w:rsid w:val="00E25B90"/>
    <w:rsid w:val="00E2643F"/>
    <w:rsid w:val="00E320DA"/>
    <w:rsid w:val="00E37A14"/>
    <w:rsid w:val="00E40FF3"/>
    <w:rsid w:val="00E42E5A"/>
    <w:rsid w:val="00E43276"/>
    <w:rsid w:val="00E51B7E"/>
    <w:rsid w:val="00E645D5"/>
    <w:rsid w:val="00E67EDC"/>
    <w:rsid w:val="00E75421"/>
    <w:rsid w:val="00E8166D"/>
    <w:rsid w:val="00E86F7B"/>
    <w:rsid w:val="00E913C9"/>
    <w:rsid w:val="00E93FB0"/>
    <w:rsid w:val="00EA03A0"/>
    <w:rsid w:val="00EA0A06"/>
    <w:rsid w:val="00EA1A46"/>
    <w:rsid w:val="00EB1C88"/>
    <w:rsid w:val="00EB5517"/>
    <w:rsid w:val="00EC0737"/>
    <w:rsid w:val="00EE5C1F"/>
    <w:rsid w:val="00EE5C72"/>
    <w:rsid w:val="00EE6EF6"/>
    <w:rsid w:val="00EF0B3D"/>
    <w:rsid w:val="00EF5858"/>
    <w:rsid w:val="00F046DF"/>
    <w:rsid w:val="00F0751F"/>
    <w:rsid w:val="00F17004"/>
    <w:rsid w:val="00F1744F"/>
    <w:rsid w:val="00F178E2"/>
    <w:rsid w:val="00F17E74"/>
    <w:rsid w:val="00F30C6B"/>
    <w:rsid w:val="00F33704"/>
    <w:rsid w:val="00F34196"/>
    <w:rsid w:val="00F36332"/>
    <w:rsid w:val="00F41D5A"/>
    <w:rsid w:val="00F46E76"/>
    <w:rsid w:val="00F47064"/>
    <w:rsid w:val="00F5139D"/>
    <w:rsid w:val="00F611D6"/>
    <w:rsid w:val="00F615EE"/>
    <w:rsid w:val="00F6508B"/>
    <w:rsid w:val="00F84235"/>
    <w:rsid w:val="00F87AC4"/>
    <w:rsid w:val="00F952FA"/>
    <w:rsid w:val="00FA56C0"/>
    <w:rsid w:val="00FB6C78"/>
    <w:rsid w:val="00FC2DDB"/>
    <w:rsid w:val="00FC5636"/>
    <w:rsid w:val="00FC7C8A"/>
    <w:rsid w:val="00FD0685"/>
    <w:rsid w:val="00FE165F"/>
    <w:rsid w:val="00FE1C22"/>
    <w:rsid w:val="00FE3A47"/>
    <w:rsid w:val="00FF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6DC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1442"/>
  </w:style>
  <w:style w:type="paragraph" w:styleId="Piedepgina">
    <w:name w:val="footer"/>
    <w:basedOn w:val="Normal"/>
    <w:link w:val="PiedepginaCar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rsid w:val="005A1442"/>
  </w:style>
  <w:style w:type="paragraph" w:styleId="Textodeglobo">
    <w:name w:val="Balloon Text"/>
    <w:basedOn w:val="Normal"/>
    <w:link w:val="TextodegloboCar"/>
    <w:uiPriority w:val="99"/>
    <w:semiHidden/>
    <w:unhideWhenUsed/>
    <w:rsid w:val="005A1442"/>
    <w:rPr>
      <w:rFonts w:ascii="Tahoma" w:eastAsiaTheme="minorHAnsi" w:hAnsi="Tahoma" w:cs="Tahoma"/>
      <w:sz w:val="16"/>
      <w:szCs w:val="16"/>
      <w:lang w:val="es-C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44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5A1442"/>
    <w:rPr>
      <w:color w:val="0000FF"/>
      <w:u w:val="single"/>
    </w:rPr>
  </w:style>
  <w:style w:type="paragraph" w:styleId="Textoindependiente3">
    <w:name w:val="Body Text 3"/>
    <w:basedOn w:val="Normal"/>
    <w:link w:val="Textoindependiente3Car1"/>
    <w:rsid w:val="00EE5C72"/>
    <w:pPr>
      <w:widowControl w:val="0"/>
      <w:jc w:val="both"/>
    </w:pPr>
    <w:rPr>
      <w:sz w:val="28"/>
      <w:szCs w:val="16"/>
    </w:rPr>
  </w:style>
  <w:style w:type="character" w:customStyle="1" w:styleId="Textoindependiente3Car">
    <w:name w:val="Texto independiente 3 Car"/>
    <w:basedOn w:val="Fuentedeprrafopredeter"/>
    <w:uiPriority w:val="99"/>
    <w:semiHidden/>
    <w:rsid w:val="00EE5C72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1">
    <w:name w:val="Texto independiente 3 Car1"/>
    <w:link w:val="Textoindependiente3"/>
    <w:rsid w:val="00EE5C72"/>
    <w:rPr>
      <w:rFonts w:ascii="Times New Roman" w:eastAsia="Times New Roman" w:hAnsi="Times New Roman" w:cs="Times New Roman"/>
      <w:sz w:val="28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EE5C7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EE5C72"/>
    <w:rPr>
      <w:rFonts w:ascii="Calibri" w:eastAsia="Calibri" w:hAnsi="Calibri" w:cs="Times New Roman"/>
      <w:lang w:val="es-ES"/>
    </w:rPr>
  </w:style>
  <w:style w:type="paragraph" w:styleId="Textonotapie">
    <w:name w:val="footnote text"/>
    <w:basedOn w:val="Normal"/>
    <w:link w:val="TextonotapieCar"/>
    <w:uiPriority w:val="99"/>
    <w:rsid w:val="00EE5C72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E5C72"/>
    <w:rPr>
      <w:rFonts w:ascii="Times New Roman" w:eastAsia="Times New Roman" w:hAnsi="Times New Roman" w:cs="Times New Roman"/>
      <w:sz w:val="20"/>
      <w:szCs w:val="24"/>
      <w:lang w:val="es-ES" w:eastAsia="es-ES"/>
    </w:rPr>
  </w:style>
  <w:style w:type="character" w:styleId="Refdenotaalpie">
    <w:name w:val="footnote reference"/>
    <w:basedOn w:val="Fuentedeprrafopredeter"/>
    <w:uiPriority w:val="99"/>
    <w:rsid w:val="00EE5C72"/>
    <w:rPr>
      <w:vertAlign w:val="superscript"/>
    </w:rPr>
  </w:style>
  <w:style w:type="paragraph" w:styleId="Prrafodelista">
    <w:name w:val="List Paragraph"/>
    <w:basedOn w:val="Normal"/>
    <w:uiPriority w:val="34"/>
    <w:qFormat/>
    <w:rsid w:val="00EE5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1442"/>
  </w:style>
  <w:style w:type="paragraph" w:styleId="Piedepgina">
    <w:name w:val="footer"/>
    <w:basedOn w:val="Normal"/>
    <w:link w:val="PiedepginaCar"/>
    <w:unhideWhenUsed/>
    <w:rsid w:val="005A1442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rsid w:val="005A1442"/>
  </w:style>
  <w:style w:type="paragraph" w:styleId="Textodeglobo">
    <w:name w:val="Balloon Text"/>
    <w:basedOn w:val="Normal"/>
    <w:link w:val="TextodegloboCar"/>
    <w:uiPriority w:val="99"/>
    <w:semiHidden/>
    <w:unhideWhenUsed/>
    <w:rsid w:val="005A1442"/>
    <w:rPr>
      <w:rFonts w:ascii="Tahoma" w:eastAsiaTheme="minorHAnsi" w:hAnsi="Tahoma" w:cs="Tahoma"/>
      <w:sz w:val="16"/>
      <w:szCs w:val="16"/>
      <w:lang w:val="es-C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144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5A1442"/>
    <w:rPr>
      <w:color w:val="0000FF"/>
      <w:u w:val="single"/>
    </w:rPr>
  </w:style>
  <w:style w:type="paragraph" w:styleId="Textoindependiente3">
    <w:name w:val="Body Text 3"/>
    <w:basedOn w:val="Normal"/>
    <w:link w:val="Textoindependiente3Car1"/>
    <w:rsid w:val="00EE5C72"/>
    <w:pPr>
      <w:widowControl w:val="0"/>
      <w:jc w:val="both"/>
    </w:pPr>
    <w:rPr>
      <w:sz w:val="28"/>
      <w:szCs w:val="16"/>
    </w:rPr>
  </w:style>
  <w:style w:type="character" w:customStyle="1" w:styleId="Textoindependiente3Car">
    <w:name w:val="Texto independiente 3 Car"/>
    <w:basedOn w:val="Fuentedeprrafopredeter"/>
    <w:uiPriority w:val="99"/>
    <w:semiHidden/>
    <w:rsid w:val="00EE5C72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1">
    <w:name w:val="Texto independiente 3 Car1"/>
    <w:link w:val="Textoindependiente3"/>
    <w:rsid w:val="00EE5C72"/>
    <w:rPr>
      <w:rFonts w:ascii="Times New Roman" w:eastAsia="Times New Roman" w:hAnsi="Times New Roman" w:cs="Times New Roman"/>
      <w:sz w:val="28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unhideWhenUsed/>
    <w:rsid w:val="00EE5C72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EE5C72"/>
    <w:rPr>
      <w:rFonts w:ascii="Calibri" w:eastAsia="Calibri" w:hAnsi="Calibri" w:cs="Times New Roman"/>
      <w:lang w:val="es-ES"/>
    </w:rPr>
  </w:style>
  <w:style w:type="paragraph" w:styleId="Textonotapie">
    <w:name w:val="footnote text"/>
    <w:basedOn w:val="Normal"/>
    <w:link w:val="TextonotapieCar"/>
    <w:uiPriority w:val="99"/>
    <w:rsid w:val="00EE5C72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E5C72"/>
    <w:rPr>
      <w:rFonts w:ascii="Times New Roman" w:eastAsia="Times New Roman" w:hAnsi="Times New Roman" w:cs="Times New Roman"/>
      <w:sz w:val="20"/>
      <w:szCs w:val="24"/>
      <w:lang w:val="es-ES" w:eastAsia="es-ES"/>
    </w:rPr>
  </w:style>
  <w:style w:type="character" w:styleId="Refdenotaalpie">
    <w:name w:val="footnote reference"/>
    <w:basedOn w:val="Fuentedeprrafopredeter"/>
    <w:uiPriority w:val="99"/>
    <w:rsid w:val="00EE5C72"/>
    <w:rPr>
      <w:vertAlign w:val="superscript"/>
    </w:rPr>
  </w:style>
  <w:style w:type="paragraph" w:styleId="Prrafodelista">
    <w:name w:val="List Paragraph"/>
    <w:basedOn w:val="Normal"/>
    <w:uiPriority w:val="34"/>
    <w:qFormat/>
    <w:rsid w:val="00EE5C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2.doc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Excel_Macro-Enabled_Worksheet1.xlsm"/><Relationship Id="rId5" Type="http://schemas.microsoft.com/office/2007/relationships/stylesWithEffects" Target="stylesWithEffects.xml"/><Relationship Id="rId15" Type="http://schemas.openxmlformats.org/officeDocument/2006/relationships/package" Target="embeddings/Microsoft_Word_Document3.docx"/><Relationship Id="rId10" Type="http://schemas.openxmlformats.org/officeDocument/2006/relationships/image" Target="media/image1.emf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3.emf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0.jpg"/><Relationship Id="rId1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0.jp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bMk/LxOqbaEJCdTSgWSy9VPrwlc=</DigestValue>
    </Reference>
    <Reference URI="#idOfficeObject" Type="http://www.w3.org/2000/09/xmldsig#Object">
      <DigestMethod Algorithm="http://www.w3.org/2000/09/xmldsig#sha1"/>
      <DigestValue>l1+4xOmnj5LAE7MZL6NpB4GUMOk=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XB51PeZzBc5pacef+o87eUrbfIQ=</DigestValue>
    </Reference>
  </SignedInfo>
  <SignatureValue>JPsekSLvqRLXwaoWhpNbehfNRplOWltaVqHDcgw1G81wqyZpyzPNwdh+6/wOWx2UlxVFbll0Q4bD
NcxVzFL9g3zcsT7kVi0P6QWCk/s+ZwQTRrLopCG6mpTDqHnkAUNMTj11i3cJr+oHSFJO3E78VAv4
WX2+u3L4LZNeu890iuZfaQvrsgIjOwKDZYxvmHXUKY0Asfxbk+4PE7pl1S01f/1NgOC5+y1OVMWO
uYlZNCabtQnV4gVMaUjEjg9QRPlXBVnk5P+6z179MwOk9fmJh1rXLF3k1feO4PFexKEPEt5xLFXC
OKCcFDs14iiVi761sY4m27WUksqchwJGlF1eag==</SignatureValue>
  <KeyInfo>
    <X509Data>
      <X509Certificate>MIIFkTCCBHmgAwIBAgIKUljQ1wABAALykjANBgkqhkiG9w0BAQUFADCBmjEVMBMGA1UEBRMMNC0w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7/kobanCxxCBdsgD1EpisOWHBT0=</DigestValue>
      </Reference>
      <Reference URI="/word/media/image1.emf?ContentType=image/x-emf">
        <DigestMethod Algorithm="http://www.w3.org/2000/09/xmldsig#sha1"/>
        <DigestValue>ZuKAfSzs7sJb15ScpFfz97S+TiM=</DigestValue>
      </Reference>
      <Reference URI="/word/embeddings/Microsoft_Word_Document2.docx?ContentType=application/vnd.openxmlformats-officedocument.wordprocessingml.document">
        <DigestMethod Algorithm="http://www.w3.org/2000/09/xmldsig#sha1"/>
        <DigestValue>w4LRE577IKnpZ5wMLwkLDTC6sZ0=</DigestValue>
      </Reference>
      <Reference URI="/word/media/image2.emf?ContentType=image/x-emf">
        <DigestMethod Algorithm="http://www.w3.org/2000/09/xmldsig#sha1"/>
        <DigestValue>Y3zeJUCqdr7SjAe/E4aJmvHpBkg=</DigestValue>
      </Reference>
      <Reference URI="/word/media/image5.jpg?ContentType=image/jpeg">
        <DigestMethod Algorithm="http://www.w3.org/2000/09/xmldsig#sha1"/>
        <DigestValue>Fyi8YrIf7zjcRft90WMeR55jjxo=</DigestValue>
      </Reference>
      <Reference URI="/word/media/image6.jpeg?ContentType=image/jpeg">
        <DigestMethod Algorithm="http://www.w3.org/2000/09/xmldsig#sha1"/>
        <DigestValue>Dq+Wcmhq9Z83GdLIM6FN8WyDIuc=</DigestValue>
      </Reference>
      <Reference URI="/word/media/image3.emf?ContentType=image/x-emf">
        <DigestMethod Algorithm="http://www.w3.org/2000/09/xmldsig#sha1"/>
        <DigestValue>0E2tSBZSKIOAdp15Ml8OKUmFuL8=</DigestValue>
      </Reference>
      <Reference URI="/word/theme/theme1.xml?ContentType=application/vnd.openxmlformats-officedocument.theme+xml">
        <DigestMethod Algorithm="http://www.w3.org/2000/09/xmldsig#sha1"/>
        <DigestValue>Q8pihT3NxsPLwi5b/n6WOfsNII0=</DigestValue>
      </Reference>
      <Reference URI="/word/embeddings/Microsoft_Excel_Macro-Enabled_Worksheet1.xlsm?ContentType=application/vnd.ms-excel.sheet.macroEnabled.12">
        <DigestMethod Algorithm="http://www.w3.org/2000/09/xmldsig#sha1"/>
        <DigestValue>cIbILW4BX4qN8oJamOLUpLAOkhA=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stylesWithEffects.xml?ContentType=application/vnd.ms-word.stylesWithEffects+xml">
        <DigestMethod Algorithm="http://www.w3.org/2000/09/xmldsig#sha1"/>
        <DigestValue>eC0O8Wxba+XZXarlMwD/NeT9PJw=</DigestValue>
      </Reference>
      <Reference URI="/word/styles.xml?ContentType=application/vnd.openxmlformats-officedocument.wordprocessingml.styles+xml">
        <DigestMethod Algorithm="http://www.w3.org/2000/09/xmldsig#sha1"/>
        <DigestValue>D6PIKU+/jYmcccPvLk1BvsjzmFI=</DigestValue>
      </Reference>
      <Reference URI="/word/settings.xml?ContentType=application/vnd.openxmlformats-officedocument.wordprocessingml.settings+xml">
        <DigestMethod Algorithm="http://www.w3.org/2000/09/xmldsig#sha1"/>
        <DigestValue>aDdElM6ouaH6gdOeGTIzZpzb6Xg=</DigestValue>
      </Reference>
      <Reference URI="/word/media/image50.jpg?ContentType=image/jpeg">
        <DigestMethod Algorithm="http://www.w3.org/2000/09/xmldsig#sha1"/>
        <DigestValue>Fyi8YrIf7zjcRft90WMeR55jjxo=</DigestValue>
      </Reference>
      <Reference URI="/word/media/image4.png?ContentType=image/png">
        <DigestMethod Algorithm="http://www.w3.org/2000/09/xmldsig#sha1"/>
        <DigestValue>iLifPaKfOOVVMaqdWpE3EyqkaUI=</DigestValue>
      </Reference>
      <Reference URI="/word/footer2.xml?ContentType=application/vnd.openxmlformats-officedocument.wordprocessingml.footer+xml">
        <DigestMethod Algorithm="http://www.w3.org/2000/09/xmldsig#sha1"/>
        <DigestValue>EuJsvvAiYUGvyLUCryIfT13xzo0=</DigestValue>
      </Reference>
      <Reference URI="/word/header1.xml?ContentType=application/vnd.openxmlformats-officedocument.wordprocessingml.header+xml">
        <DigestMethod Algorithm="http://www.w3.org/2000/09/xmldsig#sha1"/>
        <DigestValue>rP+0npUQJqBt0d4Cvc8edGbvZ/8=</DigestValue>
      </Reference>
      <Reference URI="/word/endnotes.xml?ContentType=application/vnd.openxmlformats-officedocument.wordprocessingml.endnotes+xml">
        <DigestMethod Algorithm="http://www.w3.org/2000/09/xmldsig#sha1"/>
        <DigestValue>jhidthBTg2GAO817Y44b760vDLQ=</DigestValue>
      </Reference>
      <Reference URI="/word/document.xml?ContentType=application/vnd.openxmlformats-officedocument.wordprocessingml.document.main+xml">
        <DigestMethod Algorithm="http://www.w3.org/2000/09/xmldsig#sha1"/>
        <DigestValue>eyzDM50ripNG7oJ0forjHkQMgTA=</DigestValue>
      </Reference>
      <Reference URI="/word/footnotes.xml?ContentType=application/vnd.openxmlformats-officedocument.wordprocessingml.footnotes+xml">
        <DigestMethod Algorithm="http://www.w3.org/2000/09/xmldsig#sha1"/>
        <DigestValue>JSIEp35E8uEAacnuxRU/126fhLo=</DigestValue>
      </Reference>
      <Reference URI="/word/embeddings/Microsoft_Word_Document3.docx?ContentType=application/vnd.openxmlformats-officedocument.wordprocessingml.document">
        <DigestMethod Algorithm="http://www.w3.org/2000/09/xmldsig#sha1"/>
        <DigestValue>PRLD+gyuQDtdnP6dnCeA8MX8inU=</DigestValue>
      </Reference>
      <Reference URI="/word/footer1.xml?ContentType=application/vnd.openxmlformats-officedocument.wordprocessingml.footer+xml">
        <DigestMethod Algorithm="http://www.w3.org/2000/09/xmldsig#sha1"/>
        <DigestValue>mSyw17p3agL0qykwKUPp+dorP3M=</DigestValue>
      </Reference>
      <Reference URI="/word/header2.xml?ContentType=application/vnd.openxmlformats-officedocument.wordprocessingml.header+xml">
        <DigestMethod Algorithm="http://www.w3.org/2000/09/xmldsig#sha1"/>
        <DigestValue>uhOC2kpMV6FV4g3GNKcZdNYDOlo=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A9a/FnjPSIJEr5k50aptdRA9zjs=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A9a/FnjPSIJEr5k50aptdRA9zjs=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8Y2e3LWlyUNkhRT78wjSsq42Bc8=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8Y2e3LWlyUNkhRT78wjSsq42Bc8=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</Transform>
          <Transform Algorithm="http://www.w3.org/TR/2001/REC-xml-c14n-20010315"/>
        </Transforms>
        <DigestMethod Algorithm="http://www.w3.org/2000/09/xmldsig#sha1"/>
        <DigestValue>1a+kZbs9+zNb6FXkciWvuz63Ia0=</DigestValue>
      </Reference>
    </Manifest>
    <SignatureProperties>
      <SignatureProperty Id="idSignatureTime" Target="#idPackageSignature">
        <mdssi:SignatureTime>
          <mdssi:Format>YYYY-MM-DDThh:mm:ssTZD</mdssi:Format>
          <mdssi:Value>2014-12-18T17:25:24Z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Modificación SGS-DES-A-021-2013 ajustedes SSS </SignatureComments>
          <WindowsVersion>6.1</WindowsVersion>
          <OfficeVersion>14.0</OfficeVersion>
          <ApplicationVersion>14.0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2014-12-18T17:25:24Z</xd:SigningTime>
          <xd:SigningCertificate>
            <xd:Cert>
              <xd:CertDigest>
                <DigestMethod Algorithm="http://www.w3.org/2000/09/xmldsig#sha1"/>
                <DigestValue>hG+dFEpTuDxrjvGO6P0tJ5DDZDw=</DigestValue>
              </xd:CertDigest>
              <xd:IssuerSerial>
                <X509IssuerName>CN=CA SINPE - PERSONA FISICA, OU=DIVISION DE SERVICIOS FINANCIEROS, O=BANCO CENTRAL DE COSTA RICA, C=CR, SERIALNUMBER=4-000-004017</X509IssuerName>
                <X509SerialNumber>388872413570481525027474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SignatureTimeStamp>
            <CanonicalizationMethod Algorithm="http://www.w3.org/TR/2001/REC-xml-c14n-20010315"/>
            <xd:EncapsulatedTimeStamp>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</xd:EncapsulatedTimeStamp>
          </xd:SignatureTimeStamp>
          <xd:CompleteCertificateRefs>
            <xd:CertRefs>
              <xd:Cert>
                <xd:CertDigest>
                  <DigestMethod Algorithm="http://www.w3.org/2000/09/xmldsig#sha1"/>
                  <DigestValue>qWerd5oGmweCBWnUTpLoaB2h0r4=</DigestValue>
                </xd:CertDigest>
                <xd:IssuerSerial>
                  <X509IssuerName>CN=CA POLITICA PERSONA FISICA - COSTA RICA, OU=DCFD, O=MICIT, C=CR, SERIALNUMBER=CPJ-2-100-098311</X509IssuerName>
                  <X509SerialNumber>468315649193549518772797807762302239277842436</X509SerialNumber>
                </xd:IssuerSerial>
              </xd:Cert>
              <xd:Cert>
                <xd:CertDigest>
                  <DigestMethod Algorithm="http://www.w3.org/2000/09/xmldsig#sha1"/>
                  <DigestValue>LUgs4Am7xp/bOrjyGxZaLqZRMWc=</DigestValue>
                </xd:CertDigest>
                <xd:IssuerSerial>
                  <X509IssuerName>CN=CA RAIZ NACIONAL - COSTA RICA, C=CR, O=MICIT, OU=DCFD, SERIALNUMBER=CPJ-2-100-098311</X509IssuerName>
                  <X509SerialNumber>458409546684849037770754</X509SerialNumber>
                </xd:IssuerSerial>
              </xd:Cert>
              <xd:Cert>
                <xd:CertDigest>
                  <DigestMethod Algorithm="http://www.w3.org/2000/09/xmldsig#sha1"/>
                  <DigestValue>Hz1WgCbjcsEiJEUzozn4bf38+qs=</DigestValue>
                </xd:CertDigest>
                <xd:IssuerSerial>
                  <X509IssuerName>CN=CA RAIZ NACIONAL - COSTA RICA, C=CR, O=MICIT, OU=DCFD, SERIALNUMBER=CPJ-2-100-098311</X509IssuerName>
                  <X509SerialNumber>164790747737892938508956538822974288145</X509SerialNumber>
                </xd:IssuerSerial>
              </xd:Cert>
            </xd:CertRefs>
          </xd:CompleteCertificateRefs>
          <xd:CertificateValues>
            <xd:EncapsulatedX509Certificate>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MCoGCCsGAQUFBwIBFh5odHRwOi8vd3d3LmZpcm1hZGlnaXRhbC5nby5jci8wLwYIKwYBBQUHAgEWI2h0dHA6Ly93d3cubWljaXQuZ28uY3IvZmlybWFkaWdpdGFsMIIBoQYIYIE8AQEBAQMwggGTMIIBMgYIKwYBBQUHAgIwggEkHoIBIA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</xd:EncapsulatedX509Certificate>
            <xd:EncapsulatedX509Certificate>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</xd:EncapsulatedX509Certificate>
            <xd:EncapsulatedX509Certificate>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</xd:EncapsulatedX509Certificate>
          </xd:CertificateValues>
          <xd:CompleteRevocationRefs>
            <xd:OCSPRefs>
              <xd:OCSPRef>
                <xd:OCSPIdentifier>
                  <xd:ResponderID>
                    <xd:ByKey>QfDdrOKJ0bfl0zmQf7Lma3ppvKk=</xd:ByKey>
                  </xd:ResponderID>
                  <xd:ProducedAt>2014-12-17T15:15:21Z</xd:ProducedAt>
                </xd:OCSPIdentifier>
                <xd:DigestAlgAndValue>
                  <DigestMethod Algorithm="http://www.w3.org/2000/09/xmldsig#sha1"/>
                  <DigestValue>zFb+ATMB/Cx6NLGv6JbzS7kVA3U=</DigestValue>
                </xd:DigestAlgAndValue>
              </xd:OCSPRef>
            </xd:OCSPRefs>
            <xd:CRLRefs>
              <xd:CRLRef>
                <xd:DigestAlgAndValue>
                  <DigestMethod Algorithm="http://www.w3.org/2000/09/xmldsig#sha1"/>
                  <DigestValue>8RiHXDRf4fuICUWtUHGB3Z2Md+U=</DigestValue>
                </xd:DigestAlgAndValue>
                <xd:CRLIdentifier>
                  <xd:Issuer>CN=CA POLITICA PERSONA FISICA - COSTA RICA, OU=DCFD, O=MICIT, C=CR, SERIALNUMBER=CPJ-2-100-098311</xd:Issuer>
                  <xd:IssueTime>2014-11-03T16:43:13Z</xd:IssueTime>
                </xd:CRLIdentifier>
              </xd:CRLRef>
              <xd:CRLRef>
                <xd:DigestAlgAndValue>
                  <DigestMethod Algorithm="http://www.w3.org/2000/09/xmldsig#sha1"/>
                  <DigestValue>FhfWE9zm2EPZGS9Gy4bsbomYJa4=</DigestValue>
                </xd:DigestAlgAndValue>
                <xd:CRLIdentifier>
                  <xd:Issuer>CN=CA RAIZ NACIONAL - COSTA RICA, C=CR, O=MICIT, OU=DCFD, SERIALNUMBER=CPJ-2-100-098311</xd:Issuer>
                  <xd:IssueTime>2014-11-03T16:26:47Z</xd:IssueTime>
                </xd:CRLIdentifier>
              </xd:CRLRef>
            </xd:CRLRefs>
          </xd:CompleteRevocationRefs>
          <xd:RevocationValues>
            <xd:OCSPValues>
              <xd:EncapsulatedOCSPValue>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</xd:EncapsulatedOCSPValue>
            </xd:OCSPValues>
            <xd:CRLValues>
              <xd:EncapsulatedCRLValue>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</xd:EncapsulatedCRLValue>
              <xd:EncapsulatedCRLValue>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</xd:EncapsulatedCRLValue>
            </xd:CRLValues>
          </xd:RevocationValues>
          <xd:SigAndRefsTimeStamp>
            <CanonicalizationMethod Algorithm="http://www.w3.org/TR/2001/REC-xml-c14n-20010315"/>
            <xd:EncapsulatedTimeStamp>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688DBB-5B7A-4C10-A31D-FC9DC29C621F}"/>
</file>

<file path=customXml/itemProps2.xml><?xml version="1.0" encoding="utf-8"?>
<ds:datastoreItem xmlns:ds="http://schemas.openxmlformats.org/officeDocument/2006/customXml" ds:itemID="{EF4E1602-95FC-428F-93B7-A25BBD57B9DE}"/>
</file>

<file path=customXml/itemProps3.xml><?xml version="1.0" encoding="utf-8"?>
<ds:datastoreItem xmlns:ds="http://schemas.openxmlformats.org/officeDocument/2006/customXml" ds:itemID="{1C780EBA-2FEE-485A-AC1E-E7A0BDAF3F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1566</Words>
  <Characters>8617</Characters>
  <Application>Microsoft Office Word</Application>
  <DocSecurity>4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Modificación SGS-DES-A-021-2013 ajustedes SSS Estados Financieros.</vt:lpstr>
    </vt:vector>
  </TitlesOfParts>
  <Company>Superintendencia General de Seguros</Company>
  <LinksUpToDate>false</LinksUpToDate>
  <CharactersWithSpaces>10163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SGS-A-0042-2014   </dc:title>
  <dc:creator>SABORIO ROJAS JUAN CARLOS</dc:creator>
  <cp:lastModifiedBy>SABORIO ROJAS JUAN CARLOS</cp:lastModifiedBy>
  <cp:revision>2</cp:revision>
  <dcterms:created xsi:type="dcterms:W3CDTF">2014-12-18T17:45:00Z</dcterms:created>
  <dcterms:modified xsi:type="dcterms:W3CDTF">2014-12-18T17:45:00Z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0x0101008E9AF914DE39E5439DE635BD2775E56E</vt:lpwstr>
  </property>
  <property fmtid="{D5CDD505-2E9C-101B-9397-08002B2CF9AE}" pid="3" name="WorkflowChangePath">
    <vt:lpwstr>1b451566-358f-489f-bd8d-d4c5978ece0d,13;0de3a363-599f-4bf8-bc5a-92ece09ed8be,3;</vt:lpwstr>
  </property>
  <property fmtid="{D5CDD505-2E9C-101B-9397-08002B2CF9AE}" pid="4" name="_MarkAsFinal">
    <vt:bool>true</vt:bool>
  </property>
  <property fmtid="{D5CDD505-2E9C-101B-9397-08002B2CF9AE}" pid="5" name="Order">
    <vt:r8>360900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ocumentSetDescription">
    <vt:lpwstr/>
  </property>
  <property fmtid="{D5CDD505-2E9C-101B-9397-08002B2CF9AE}" pid="10" name="TriggerFlowInfo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</Properties>
</file>