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BC499" w14:textId="77777777" w:rsidR="00C00485" w:rsidRDefault="00C00485">
      <w:bookmarkStart w:id="0" w:name="_GoBack"/>
      <w:bookmarkEnd w:id="0"/>
    </w:p>
    <w:p w14:paraId="274BC49A" w14:textId="77777777" w:rsidR="0016515C" w:rsidRPr="00161651" w:rsidRDefault="0016515C" w:rsidP="0016515C">
      <w:pPr>
        <w:ind w:left="-567"/>
        <w:jc w:val="both"/>
        <w:rPr>
          <w:rFonts w:asciiTheme="majorHAnsi" w:hAnsiTheme="majorHAnsi"/>
          <w:i/>
          <w:color w:val="000000"/>
        </w:rPr>
      </w:pPr>
      <w:r w:rsidRPr="00161651">
        <w:rPr>
          <w:rFonts w:asciiTheme="majorHAnsi" w:hAnsiTheme="majorHAnsi"/>
          <w:i/>
          <w:color w:val="000000"/>
        </w:rPr>
        <w:t>Tomás Soley Pérez</w:t>
      </w:r>
    </w:p>
    <w:p w14:paraId="274BC49B" w14:textId="77777777" w:rsidR="0016515C" w:rsidRDefault="0016515C" w:rsidP="0016515C">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14:paraId="274BC49C" w14:textId="77777777" w:rsidR="006F4CAF" w:rsidRDefault="006F4CAF" w:rsidP="0016515C">
      <w:pPr>
        <w:ind w:left="-567"/>
        <w:jc w:val="both"/>
        <w:rPr>
          <w:rFonts w:asciiTheme="majorHAnsi" w:hAnsiTheme="majorHAnsi"/>
          <w:i/>
          <w:color w:val="000000"/>
        </w:rPr>
      </w:pPr>
    </w:p>
    <w:p w14:paraId="274BC49D" w14:textId="77777777" w:rsidR="00664692" w:rsidRDefault="00664692" w:rsidP="0016515C">
      <w:pPr>
        <w:ind w:left="-567"/>
        <w:jc w:val="both"/>
        <w:rPr>
          <w:rFonts w:asciiTheme="majorHAnsi" w:hAnsiTheme="majorHAnsi"/>
          <w:i/>
          <w:color w:val="000000"/>
        </w:rPr>
      </w:pPr>
    </w:p>
    <w:p w14:paraId="274BC49E" w14:textId="77777777" w:rsidR="00B3736D" w:rsidRPr="00B3736D" w:rsidRDefault="00B3736D" w:rsidP="00B3736D">
      <w:pPr>
        <w:jc w:val="center"/>
        <w:rPr>
          <w:rFonts w:asciiTheme="majorHAnsi" w:hAnsiTheme="majorHAnsi"/>
          <w:b/>
          <w:sz w:val="28"/>
          <w:szCs w:val="28"/>
          <w:lang w:val="es-ES_tradnl"/>
        </w:rPr>
      </w:pPr>
      <w:r w:rsidRPr="00B3736D">
        <w:rPr>
          <w:rFonts w:asciiTheme="majorHAnsi" w:hAnsiTheme="majorHAnsi"/>
          <w:b/>
          <w:sz w:val="28"/>
          <w:szCs w:val="28"/>
          <w:lang w:val="es-ES_tradnl"/>
        </w:rPr>
        <w:t>ACUERDO DE SUPERINTENDENTE</w:t>
      </w:r>
    </w:p>
    <w:p w14:paraId="274BC49F" w14:textId="77777777" w:rsidR="00B3736D" w:rsidRPr="00B3736D" w:rsidRDefault="00B3736D" w:rsidP="00B3736D">
      <w:pPr>
        <w:jc w:val="center"/>
        <w:rPr>
          <w:rFonts w:asciiTheme="majorHAnsi" w:hAnsiTheme="majorHAnsi"/>
          <w:b/>
          <w:i/>
          <w:color w:val="000000"/>
        </w:rPr>
      </w:pPr>
    </w:p>
    <w:p w14:paraId="274BC4A0" w14:textId="77777777" w:rsidR="00B3736D" w:rsidRPr="00B3736D" w:rsidRDefault="00B3736D" w:rsidP="00B3736D">
      <w:pPr>
        <w:jc w:val="center"/>
        <w:rPr>
          <w:rFonts w:asciiTheme="majorHAnsi" w:hAnsiTheme="majorHAnsi"/>
          <w:b/>
          <w:i/>
          <w:color w:val="000000"/>
        </w:rPr>
      </w:pPr>
    </w:p>
    <w:p w14:paraId="274BC4A1" w14:textId="77777777" w:rsidR="00B3736D" w:rsidRPr="00B3736D" w:rsidRDefault="00B3736D" w:rsidP="00B3736D">
      <w:pPr>
        <w:jc w:val="center"/>
        <w:rPr>
          <w:rFonts w:asciiTheme="majorHAnsi" w:hAnsiTheme="majorHAnsi"/>
          <w:b/>
          <w:i/>
          <w:color w:val="000000"/>
          <w:sz w:val="32"/>
        </w:rPr>
      </w:pPr>
      <w:r w:rsidRPr="00B3736D">
        <w:rPr>
          <w:rFonts w:asciiTheme="majorHAnsi" w:hAnsiTheme="majorHAnsi"/>
          <w:b/>
          <w:i/>
          <w:color w:val="000000"/>
          <w:sz w:val="32"/>
        </w:rPr>
        <w:t>SGS-DES-A-</w:t>
      </w:r>
      <w:r w:rsidR="007527CD">
        <w:rPr>
          <w:rFonts w:asciiTheme="majorHAnsi" w:hAnsiTheme="majorHAnsi"/>
          <w:b/>
          <w:i/>
          <w:color w:val="000000"/>
          <w:sz w:val="32"/>
        </w:rPr>
        <w:t>040</w:t>
      </w:r>
      <w:r w:rsidRPr="00B3736D">
        <w:rPr>
          <w:rFonts w:asciiTheme="majorHAnsi" w:hAnsiTheme="majorHAnsi"/>
          <w:b/>
          <w:i/>
          <w:color w:val="000000"/>
          <w:sz w:val="32"/>
        </w:rPr>
        <w:t>-2014</w:t>
      </w:r>
    </w:p>
    <w:p w14:paraId="274BC4A2" w14:textId="77777777" w:rsidR="00B3736D" w:rsidRPr="00B3736D" w:rsidRDefault="00B3736D" w:rsidP="00B3736D">
      <w:pPr>
        <w:jc w:val="both"/>
        <w:rPr>
          <w:rFonts w:asciiTheme="majorHAnsi" w:hAnsiTheme="majorHAnsi"/>
          <w:color w:val="000000"/>
        </w:rPr>
      </w:pPr>
    </w:p>
    <w:p w14:paraId="274BC4A3" w14:textId="77777777" w:rsidR="00B3736D" w:rsidRPr="00B3736D" w:rsidRDefault="00B3736D" w:rsidP="00B3736D">
      <w:pPr>
        <w:jc w:val="both"/>
        <w:rPr>
          <w:rFonts w:asciiTheme="majorHAnsi" w:hAnsiTheme="majorHAnsi"/>
          <w:color w:val="000000"/>
        </w:rPr>
      </w:pPr>
    </w:p>
    <w:p w14:paraId="274BC4A4" w14:textId="77777777" w:rsidR="00B3736D" w:rsidRPr="00B3736D" w:rsidRDefault="00B3736D" w:rsidP="00B3736D">
      <w:pPr>
        <w:jc w:val="center"/>
        <w:rPr>
          <w:rFonts w:asciiTheme="majorHAnsi" w:hAnsiTheme="majorHAnsi"/>
          <w:b/>
          <w:color w:val="000000"/>
        </w:rPr>
      </w:pPr>
      <w:r w:rsidRPr="00B3736D">
        <w:rPr>
          <w:rFonts w:asciiTheme="majorHAnsi" w:hAnsiTheme="majorHAnsi"/>
          <w:b/>
          <w:color w:val="000000"/>
        </w:rPr>
        <w:t xml:space="preserve">Modificación al acuerdo SGS-DES-A-021-2013 </w:t>
      </w:r>
      <w:r w:rsidRPr="00B3736D">
        <w:rPr>
          <w:rFonts w:asciiTheme="majorHAnsi" w:hAnsiTheme="majorHAnsi"/>
          <w:b/>
          <w:i/>
          <w:color w:val="000000"/>
        </w:rPr>
        <w:t>“Disposiciones para la Remisión de la Información Contable y Estadística a la Superintendencia General de Seguros por parte de las Entidades Supervisadas”</w:t>
      </w:r>
      <w:r w:rsidRPr="00B3736D">
        <w:rPr>
          <w:rFonts w:asciiTheme="majorHAnsi" w:hAnsiTheme="majorHAnsi"/>
          <w:b/>
          <w:color w:val="000000"/>
        </w:rPr>
        <w:t>, con el fin de cambiar estándar de negocio y periodicidad de entrega de información del RUB.</w:t>
      </w:r>
    </w:p>
    <w:p w14:paraId="274BC4A5" w14:textId="77777777" w:rsidR="00B3736D" w:rsidRPr="00B3736D" w:rsidRDefault="00B3736D" w:rsidP="00B3736D">
      <w:pPr>
        <w:jc w:val="both"/>
        <w:rPr>
          <w:rFonts w:asciiTheme="majorHAnsi" w:hAnsiTheme="majorHAnsi"/>
          <w:color w:val="000000"/>
        </w:rPr>
      </w:pPr>
    </w:p>
    <w:p w14:paraId="274BC4A6" w14:textId="77777777" w:rsidR="00B3736D" w:rsidRPr="00B3736D" w:rsidRDefault="00B3736D" w:rsidP="00B3736D">
      <w:pPr>
        <w:jc w:val="both"/>
        <w:rPr>
          <w:rFonts w:asciiTheme="majorHAnsi" w:hAnsiTheme="majorHAnsi"/>
          <w:color w:val="000000"/>
        </w:rPr>
      </w:pPr>
    </w:p>
    <w:p w14:paraId="274BC4A7" w14:textId="77777777" w:rsidR="00B3736D" w:rsidRPr="00B3736D" w:rsidRDefault="00B3736D" w:rsidP="00B3736D">
      <w:pPr>
        <w:jc w:val="both"/>
        <w:rPr>
          <w:rFonts w:asciiTheme="majorHAnsi" w:hAnsiTheme="majorHAnsi"/>
          <w:color w:val="000000"/>
        </w:rPr>
      </w:pPr>
    </w:p>
    <w:p w14:paraId="274BC4A8" w14:textId="77777777" w:rsidR="00B3736D" w:rsidRPr="00B3736D" w:rsidRDefault="00B3736D" w:rsidP="00B3736D">
      <w:pPr>
        <w:jc w:val="both"/>
        <w:rPr>
          <w:rFonts w:asciiTheme="majorHAnsi" w:hAnsiTheme="majorHAnsi"/>
          <w:color w:val="000000"/>
        </w:rPr>
      </w:pPr>
      <w:r w:rsidRPr="00B3736D">
        <w:rPr>
          <w:rFonts w:asciiTheme="majorHAnsi" w:hAnsiTheme="majorHAnsi"/>
          <w:color w:val="000000"/>
        </w:rPr>
        <w:t xml:space="preserve">El Superintendente General de Seguros, a las </w:t>
      </w:r>
      <w:r w:rsidR="007527CD">
        <w:rPr>
          <w:rFonts w:asciiTheme="majorHAnsi" w:hAnsiTheme="majorHAnsi"/>
          <w:color w:val="000000"/>
        </w:rPr>
        <w:t>doce</w:t>
      </w:r>
      <w:r w:rsidRPr="00B3736D">
        <w:rPr>
          <w:rFonts w:asciiTheme="majorHAnsi" w:hAnsiTheme="majorHAnsi"/>
          <w:color w:val="000000"/>
        </w:rPr>
        <w:t xml:space="preserve"> horas de </w:t>
      </w:r>
      <w:r w:rsidR="007527CD">
        <w:rPr>
          <w:rFonts w:asciiTheme="majorHAnsi" w:hAnsiTheme="majorHAnsi"/>
          <w:color w:val="000000"/>
        </w:rPr>
        <w:t>diecisiete</w:t>
      </w:r>
      <w:r w:rsidRPr="00B3736D">
        <w:rPr>
          <w:rFonts w:asciiTheme="majorHAnsi" w:hAnsiTheme="majorHAnsi"/>
          <w:color w:val="000000"/>
        </w:rPr>
        <w:t xml:space="preserve"> de noviembre de dos mil catorce.</w:t>
      </w:r>
    </w:p>
    <w:p w14:paraId="274BC4A9" w14:textId="77777777" w:rsidR="00B3736D" w:rsidRPr="00B3736D" w:rsidRDefault="00B3736D" w:rsidP="00B3736D">
      <w:pPr>
        <w:jc w:val="both"/>
        <w:rPr>
          <w:rFonts w:asciiTheme="majorHAnsi" w:hAnsiTheme="majorHAnsi"/>
          <w:color w:val="000000"/>
        </w:rPr>
      </w:pPr>
    </w:p>
    <w:p w14:paraId="274BC4AA" w14:textId="77777777" w:rsidR="00B3736D" w:rsidRPr="00B3736D" w:rsidRDefault="00B3736D" w:rsidP="00B3736D">
      <w:pPr>
        <w:jc w:val="center"/>
        <w:rPr>
          <w:rFonts w:asciiTheme="majorHAnsi" w:hAnsiTheme="majorHAnsi"/>
          <w:b/>
          <w:color w:val="000000"/>
        </w:rPr>
      </w:pPr>
      <w:r w:rsidRPr="00B3736D">
        <w:rPr>
          <w:rFonts w:asciiTheme="majorHAnsi" w:hAnsiTheme="majorHAnsi"/>
          <w:b/>
          <w:color w:val="000000"/>
        </w:rPr>
        <w:t>Considerando que:</w:t>
      </w:r>
    </w:p>
    <w:p w14:paraId="274BC4AB" w14:textId="77777777" w:rsidR="00B3736D" w:rsidRPr="00B3736D" w:rsidRDefault="00B3736D" w:rsidP="00B3736D">
      <w:pPr>
        <w:jc w:val="center"/>
        <w:rPr>
          <w:rFonts w:asciiTheme="majorHAnsi" w:hAnsiTheme="majorHAnsi"/>
          <w:b/>
          <w:color w:val="000000"/>
        </w:rPr>
      </w:pPr>
    </w:p>
    <w:p w14:paraId="274BC4AC"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 xml:space="preserve">La Superintendencia General de Seguros (en adelante Sugese) debe disponer de información, en los plazos, formatos y medios que le permita cumplir con el objetivo definido en el artículo 29, de la Ley Reguladora del Mercado de Seguros, Ley N° 8653, de </w:t>
      </w:r>
      <w:r w:rsidRPr="00B3736D">
        <w:rPr>
          <w:rFonts w:asciiTheme="majorHAnsi" w:hAnsiTheme="majorHAnsi"/>
          <w:i/>
          <w:color w:val="000000"/>
        </w:rPr>
        <w:t>“velar por la estabilidad y el eficiente funcionamiento del mercado de seguros, así como entregar la más amplia información a los asegurados”</w:t>
      </w:r>
      <w:r w:rsidRPr="00B3736D">
        <w:rPr>
          <w:rFonts w:asciiTheme="majorHAnsi" w:hAnsiTheme="majorHAnsi"/>
          <w:color w:val="000000"/>
        </w:rPr>
        <w:t>.</w:t>
      </w:r>
    </w:p>
    <w:p w14:paraId="274BC4AD" w14:textId="77777777" w:rsidR="00B3736D" w:rsidRPr="00B3736D" w:rsidRDefault="00B3736D" w:rsidP="00B3736D">
      <w:pPr>
        <w:ind w:left="426" w:hanging="426"/>
        <w:contextualSpacing/>
        <w:jc w:val="both"/>
        <w:rPr>
          <w:rFonts w:asciiTheme="majorHAnsi" w:hAnsiTheme="majorHAnsi"/>
          <w:color w:val="000000"/>
        </w:rPr>
      </w:pPr>
    </w:p>
    <w:p w14:paraId="274BC4AE"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 xml:space="preserve">De conformidad con el artículo 25 de la Ley N° 8653, párrafo final e incisos c), r) y t), las entidades aseguradoras y reaseguradoras están obligados a proporcionar a la Superintendencia la información correcta y completa, dentro de los plazos y las formalidades y medios requeridos. </w:t>
      </w:r>
    </w:p>
    <w:p w14:paraId="274BC4AF" w14:textId="77777777" w:rsidR="00B3736D" w:rsidRPr="00B3736D" w:rsidRDefault="00B3736D" w:rsidP="00B3736D">
      <w:pPr>
        <w:ind w:left="426" w:hanging="426"/>
        <w:jc w:val="both"/>
        <w:rPr>
          <w:rFonts w:asciiTheme="majorHAnsi" w:hAnsiTheme="majorHAnsi"/>
          <w:color w:val="000000"/>
        </w:rPr>
      </w:pPr>
    </w:p>
    <w:p w14:paraId="274BC4B0"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El artículo 96 de la Ley Reguladora del Contrato de Seguro, Ley N°8956, encomienda a la SUGESE, la creación de un registro de personas beneficiarias de pólizas de vida, que permita a los ciudadanos consultar si son beneficiarias de una póliza suscrita a su favor por una persona fallecida; para lo cual las entidades aseguradoras proveerán la información actualizada de dichos contratos.</w:t>
      </w:r>
    </w:p>
    <w:p w14:paraId="274BC4B1" w14:textId="77777777" w:rsidR="00B3736D" w:rsidRPr="00B3736D" w:rsidRDefault="00B3736D" w:rsidP="00B3736D">
      <w:pPr>
        <w:ind w:left="425"/>
        <w:contextualSpacing/>
        <w:jc w:val="both"/>
        <w:rPr>
          <w:rFonts w:asciiTheme="majorHAnsi" w:hAnsiTheme="majorHAnsi"/>
          <w:color w:val="000000"/>
        </w:rPr>
      </w:pPr>
    </w:p>
    <w:p w14:paraId="274BC4B2"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lastRenderedPageBreak/>
        <w:t>El artículo 96 de la Ley  N°8956, faculta al Consejo Nacional de Supervisión del Sistema Financiero (CONASSIF), para que establezca y defina reglamentariamente los requisitos para efectuar la consulta, los plazos, el esquema tarifario y los demás aspectos operativos del registro.</w:t>
      </w:r>
    </w:p>
    <w:p w14:paraId="274BC4B3" w14:textId="77777777" w:rsidR="00B3736D" w:rsidRPr="00B3736D" w:rsidRDefault="00B3736D" w:rsidP="00B3736D">
      <w:pPr>
        <w:ind w:left="426" w:hanging="426"/>
        <w:contextualSpacing/>
        <w:jc w:val="both"/>
        <w:rPr>
          <w:rFonts w:asciiTheme="majorHAnsi" w:hAnsiTheme="majorHAnsi"/>
          <w:color w:val="000000"/>
        </w:rPr>
      </w:pPr>
    </w:p>
    <w:p w14:paraId="274BC4B4"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 xml:space="preserve">Mediante artículo 9 del acta de la sesión 1085-2014 celebrada el 21 de enero del 2014, el CONASSIF aprobó el </w:t>
      </w:r>
      <w:r w:rsidRPr="00B3736D">
        <w:rPr>
          <w:rFonts w:asciiTheme="majorHAnsi" w:hAnsiTheme="majorHAnsi"/>
          <w:i/>
          <w:color w:val="000000"/>
        </w:rPr>
        <w:t>Reglamento sobre el Registro Único de Personas Beneficiarias</w:t>
      </w:r>
      <w:r w:rsidRPr="00B3736D">
        <w:rPr>
          <w:rFonts w:asciiTheme="majorHAnsi" w:hAnsiTheme="majorHAnsi"/>
          <w:color w:val="000000"/>
        </w:rPr>
        <w:t>, el cual fue publicado en la Gaceta número 40 del 26 de febrero de 2014.</w:t>
      </w:r>
    </w:p>
    <w:p w14:paraId="274BC4B5" w14:textId="77777777" w:rsidR="00B3736D" w:rsidRPr="00B3736D" w:rsidRDefault="00B3736D" w:rsidP="00B3736D">
      <w:pPr>
        <w:ind w:left="426" w:hanging="426"/>
        <w:jc w:val="both"/>
        <w:rPr>
          <w:rFonts w:asciiTheme="majorHAnsi" w:hAnsiTheme="majorHAnsi"/>
          <w:color w:val="000000"/>
        </w:rPr>
      </w:pPr>
    </w:p>
    <w:p w14:paraId="274BC4B6"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 xml:space="preserve">Tras recibir y analizar el primer bloque de información para el Registro por parte de las aseguradoras, se identificaron una serie de aspectos operativos que podrían obstaculizar una efectiva prestación del servicio; por ello fue modificado el artículo 4, Contenido del Registro, del  </w:t>
      </w:r>
      <w:r w:rsidRPr="00B3736D">
        <w:rPr>
          <w:rFonts w:asciiTheme="majorHAnsi" w:hAnsiTheme="majorHAnsi"/>
          <w:i/>
          <w:color w:val="000000"/>
        </w:rPr>
        <w:t>Reglamento de Registro sobre el Registro Único de Personas Beneficiarias</w:t>
      </w:r>
      <w:r w:rsidRPr="00B3736D">
        <w:rPr>
          <w:rFonts w:asciiTheme="majorHAnsi" w:hAnsiTheme="majorHAnsi"/>
          <w:color w:val="000000"/>
        </w:rPr>
        <w:t xml:space="preserve"> por parte del CONASSIF,  mediante el artículo 15, de la sesión 1130-2014 del 20 de octubre de 2014, cambio publicado en la Gaceta 218 del 12 de noviembre de 2014.</w:t>
      </w:r>
    </w:p>
    <w:p w14:paraId="274BC4B7" w14:textId="77777777" w:rsidR="00B3736D" w:rsidRPr="00B3736D" w:rsidRDefault="00B3736D" w:rsidP="00B3736D">
      <w:pPr>
        <w:ind w:left="426" w:hanging="426"/>
        <w:jc w:val="both"/>
        <w:rPr>
          <w:rFonts w:asciiTheme="majorHAnsi" w:hAnsiTheme="majorHAnsi"/>
          <w:color w:val="000000"/>
        </w:rPr>
      </w:pPr>
    </w:p>
    <w:p w14:paraId="274BC4B8"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Además, el CONASSIF, mediante artículo mencionado  en el apartado anterior,  reformó el artículo 6,  Suministro de Información, del reglamento en cita,  variando la periodicidad de la actualización de datos del Registro de parte de las aseguradoras,  de diaria a mensual.</w:t>
      </w:r>
    </w:p>
    <w:p w14:paraId="274BC4B9" w14:textId="77777777" w:rsidR="00B3736D" w:rsidRPr="00B3736D" w:rsidRDefault="00B3736D" w:rsidP="00B3736D">
      <w:pPr>
        <w:ind w:left="426" w:hanging="426"/>
        <w:jc w:val="both"/>
        <w:rPr>
          <w:rFonts w:asciiTheme="majorHAnsi" w:hAnsiTheme="majorHAnsi"/>
          <w:color w:val="000000"/>
        </w:rPr>
      </w:pPr>
    </w:p>
    <w:p w14:paraId="274BC4BA"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 xml:space="preserve">En virtud de que la reforma reglamentaria, supone una disminución en el volumen y frecuencia de la información a remitir debe, en ese sentido, modificarse el acuerdo de Superintendente SGS-DES-A-021-2013, </w:t>
      </w:r>
      <w:r w:rsidRPr="00B3736D">
        <w:rPr>
          <w:rFonts w:asciiTheme="majorHAnsi" w:hAnsiTheme="majorHAnsi"/>
          <w:i/>
          <w:color w:val="000000"/>
        </w:rPr>
        <w:t>“Disposiciones para la Remisión de la Información Contable y Estadística a la Superintendencia General de Seguros por parte de las Entidades Supervisadas”</w:t>
      </w:r>
      <w:r w:rsidRPr="00B3736D">
        <w:rPr>
          <w:rFonts w:asciiTheme="majorHAnsi" w:hAnsiTheme="majorHAnsi"/>
          <w:color w:val="000000"/>
        </w:rPr>
        <w:t xml:space="preserve"> y en particular el estándar electrónico asociado al servicio, incluido en dicha norma.</w:t>
      </w:r>
    </w:p>
    <w:p w14:paraId="274BC4BB" w14:textId="77777777" w:rsidR="00B3736D" w:rsidRPr="00B3736D" w:rsidRDefault="00B3736D" w:rsidP="00B3736D">
      <w:pPr>
        <w:ind w:left="426" w:hanging="426"/>
        <w:jc w:val="both"/>
        <w:rPr>
          <w:rFonts w:asciiTheme="majorHAnsi" w:hAnsiTheme="majorHAnsi"/>
          <w:color w:val="000000"/>
        </w:rPr>
      </w:pPr>
    </w:p>
    <w:p w14:paraId="274BC4BC"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t>Que mediante el oficio  SGS-DES-O-1505-2014 del 29 de agosto de 2014, de conformidad con lo estipulado en el artículo 361, numeral 2, de la Ley General de Administración Pública, fue remitido a consulta de las entidades de seguros para sus comentarios y observaciones, la modificación al acuerdo SGS-DES-A-021-2013, con el fin de cambiar estándar de negocio y periodicidad de entrega de información del RUB.</w:t>
      </w:r>
    </w:p>
    <w:p w14:paraId="274BC4BD" w14:textId="77777777" w:rsidR="00B3736D" w:rsidRPr="00B3736D" w:rsidRDefault="00B3736D" w:rsidP="00B3736D">
      <w:pPr>
        <w:ind w:left="426" w:hanging="426"/>
        <w:contextualSpacing/>
        <w:rPr>
          <w:rFonts w:asciiTheme="majorHAnsi" w:hAnsiTheme="majorHAnsi"/>
          <w:color w:val="000000"/>
        </w:rPr>
      </w:pPr>
    </w:p>
    <w:p w14:paraId="274BC4BE" w14:textId="77777777" w:rsidR="00B3736D" w:rsidRPr="00B3736D" w:rsidRDefault="00B3736D" w:rsidP="00B3736D">
      <w:pPr>
        <w:ind w:left="426" w:hanging="426"/>
        <w:jc w:val="both"/>
        <w:rPr>
          <w:rFonts w:asciiTheme="majorHAnsi" w:hAnsiTheme="majorHAnsi"/>
          <w:color w:val="000000"/>
        </w:rPr>
      </w:pPr>
    </w:p>
    <w:p w14:paraId="274BC4BF" w14:textId="77777777" w:rsidR="00B3736D" w:rsidRPr="00B3736D" w:rsidRDefault="00B3736D" w:rsidP="00B3736D">
      <w:pPr>
        <w:numPr>
          <w:ilvl w:val="0"/>
          <w:numId w:val="1"/>
        </w:numPr>
        <w:ind w:left="426" w:hanging="426"/>
        <w:contextualSpacing/>
        <w:jc w:val="both"/>
        <w:rPr>
          <w:rFonts w:asciiTheme="majorHAnsi" w:hAnsiTheme="majorHAnsi"/>
          <w:color w:val="000000"/>
        </w:rPr>
      </w:pPr>
      <w:r w:rsidRPr="00B3736D">
        <w:rPr>
          <w:rFonts w:asciiTheme="majorHAnsi" w:hAnsiTheme="majorHAnsi"/>
          <w:color w:val="000000"/>
        </w:rPr>
        <w:lastRenderedPageBreak/>
        <w:t>Finalizado el plazo de consulta, los comentarios y observaciones recibidos por la Superintendencia fueron analizados e incorporados al acuerdo, si correspondía, por lo que lo procedente es emitir el acuerdo de norma definitiva por parte del Superintendente.</w:t>
      </w:r>
    </w:p>
    <w:p w14:paraId="274BC4C0" w14:textId="77777777" w:rsidR="00B3736D" w:rsidRPr="00B3736D" w:rsidRDefault="00B3736D" w:rsidP="00B3736D">
      <w:pPr>
        <w:jc w:val="both"/>
        <w:rPr>
          <w:rFonts w:asciiTheme="majorHAnsi" w:hAnsiTheme="majorHAnsi"/>
          <w:color w:val="000000"/>
        </w:rPr>
      </w:pPr>
    </w:p>
    <w:p w14:paraId="274BC4C1" w14:textId="77777777" w:rsidR="00B3736D" w:rsidRPr="00B3736D" w:rsidRDefault="00B3736D" w:rsidP="00B3736D">
      <w:pPr>
        <w:jc w:val="center"/>
        <w:rPr>
          <w:rFonts w:asciiTheme="majorHAnsi" w:hAnsiTheme="majorHAnsi"/>
          <w:b/>
          <w:color w:val="000000"/>
        </w:rPr>
      </w:pPr>
      <w:r w:rsidRPr="00B3736D">
        <w:rPr>
          <w:rFonts w:asciiTheme="majorHAnsi" w:hAnsiTheme="majorHAnsi"/>
          <w:b/>
          <w:color w:val="000000"/>
        </w:rPr>
        <w:t>Dispone:</w:t>
      </w:r>
    </w:p>
    <w:p w14:paraId="274BC4C2" w14:textId="77777777" w:rsidR="00B3736D" w:rsidRPr="00B3736D" w:rsidRDefault="00B3736D" w:rsidP="00B3736D">
      <w:pPr>
        <w:jc w:val="center"/>
        <w:rPr>
          <w:rFonts w:asciiTheme="majorHAnsi" w:hAnsiTheme="majorHAnsi"/>
          <w:b/>
          <w:color w:val="000000"/>
        </w:rPr>
      </w:pPr>
    </w:p>
    <w:p w14:paraId="274BC4C3" w14:textId="77777777" w:rsidR="00B3736D" w:rsidRPr="00B3736D" w:rsidRDefault="00B3736D" w:rsidP="00B3736D">
      <w:pPr>
        <w:jc w:val="both"/>
        <w:rPr>
          <w:rFonts w:asciiTheme="majorHAnsi" w:hAnsiTheme="majorHAnsi"/>
          <w:color w:val="000000"/>
        </w:rPr>
      </w:pPr>
      <w:r w:rsidRPr="00B3736D">
        <w:rPr>
          <w:rFonts w:asciiTheme="majorHAnsi" w:hAnsiTheme="majorHAnsi"/>
          <w:b/>
          <w:color w:val="000000"/>
        </w:rPr>
        <w:t>PRIMERO:</w:t>
      </w:r>
      <w:r w:rsidRPr="00B3736D">
        <w:rPr>
          <w:rFonts w:asciiTheme="majorHAnsi" w:hAnsiTheme="majorHAnsi"/>
          <w:color w:val="000000"/>
        </w:rPr>
        <w:t xml:space="preserve"> Modificar la  primera línea del cuadro dispuesto en  el artículo 2 del acuerdo SGS-DES-A-021-2013 denominado </w:t>
      </w:r>
      <w:r w:rsidRPr="00B3736D">
        <w:rPr>
          <w:rFonts w:asciiTheme="majorHAnsi" w:hAnsiTheme="majorHAnsi"/>
          <w:i/>
          <w:color w:val="000000"/>
        </w:rPr>
        <w:t>“Disposiciones para la Remisión de la Información Contable y Estadística a la Superintendencia General de Seguros por parte de las Entidades Supervisadas”</w:t>
      </w:r>
      <w:r w:rsidRPr="00B3736D">
        <w:rPr>
          <w:rFonts w:asciiTheme="majorHAnsi" w:hAnsiTheme="majorHAnsi"/>
          <w:color w:val="000000"/>
        </w:rPr>
        <w:t>, según  se presenta  a continuación:</w:t>
      </w:r>
    </w:p>
    <w:p w14:paraId="274BC4C4" w14:textId="77777777" w:rsidR="00B3736D" w:rsidRPr="00B3736D" w:rsidRDefault="00B3736D" w:rsidP="00B3736D">
      <w:pPr>
        <w:jc w:val="both"/>
        <w:rPr>
          <w:rFonts w:asciiTheme="majorHAnsi" w:hAnsiTheme="majorHAnsi"/>
          <w:color w:val="000000"/>
        </w:rPr>
      </w:pPr>
    </w:p>
    <w:tbl>
      <w:tblPr>
        <w:tblpPr w:leftFromText="141" w:rightFromText="141" w:vertAnchor="text" w:horzAnchor="margin" w:tblpXSpec="center" w:tblpY="67"/>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992"/>
        <w:gridCol w:w="1623"/>
        <w:gridCol w:w="1984"/>
        <w:gridCol w:w="3379"/>
      </w:tblGrid>
      <w:tr w:rsidR="00B3736D" w:rsidRPr="00B3736D" w14:paraId="274BC4C9" w14:textId="77777777" w:rsidTr="00562056">
        <w:trPr>
          <w:cantSplit/>
          <w:trHeight w:val="30"/>
          <w:tblHeader/>
          <w:jc w:val="center"/>
        </w:trPr>
        <w:tc>
          <w:tcPr>
            <w:tcW w:w="1109"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274BC4C5" w14:textId="77777777" w:rsidR="00B3736D" w:rsidRPr="00B3736D" w:rsidRDefault="00B3736D" w:rsidP="00B3736D">
            <w:pPr>
              <w:widowControl w:val="0"/>
              <w:jc w:val="center"/>
              <w:rPr>
                <w:rFonts w:asciiTheme="majorHAnsi" w:hAnsiTheme="majorHAnsi"/>
                <w:b/>
                <w:i/>
                <w:snapToGrid w:val="0"/>
              </w:rPr>
            </w:pPr>
            <w:r w:rsidRPr="00B3736D">
              <w:rPr>
                <w:rFonts w:asciiTheme="majorHAnsi" w:hAnsiTheme="majorHAnsi"/>
                <w:b/>
                <w:i/>
                <w:snapToGrid w:val="0"/>
              </w:rPr>
              <w:t>Información</w:t>
            </w:r>
          </w:p>
        </w:tc>
        <w:tc>
          <w:tcPr>
            <w:tcW w:w="904"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274BC4C6" w14:textId="77777777" w:rsidR="00B3736D" w:rsidRPr="00B3736D" w:rsidRDefault="00B3736D" w:rsidP="00B3736D">
            <w:pPr>
              <w:widowControl w:val="0"/>
              <w:jc w:val="center"/>
              <w:rPr>
                <w:rFonts w:asciiTheme="majorHAnsi" w:hAnsiTheme="majorHAnsi"/>
                <w:b/>
                <w:i/>
                <w:snapToGrid w:val="0"/>
              </w:rPr>
            </w:pPr>
            <w:r w:rsidRPr="00B3736D">
              <w:rPr>
                <w:rFonts w:asciiTheme="majorHAnsi" w:hAnsiTheme="majorHAnsi"/>
                <w:b/>
                <w:i/>
                <w:snapToGrid w:val="0"/>
              </w:rPr>
              <w:t>Periodicidad</w:t>
            </w:r>
          </w:p>
        </w:tc>
        <w:tc>
          <w:tcPr>
            <w:tcW w:w="1105"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274BC4C7" w14:textId="77777777" w:rsidR="00B3736D" w:rsidRPr="00B3736D" w:rsidRDefault="00B3736D" w:rsidP="00B3736D">
            <w:pPr>
              <w:widowControl w:val="0"/>
              <w:jc w:val="center"/>
              <w:rPr>
                <w:rFonts w:asciiTheme="majorHAnsi" w:hAnsiTheme="majorHAnsi"/>
                <w:b/>
                <w:i/>
                <w:snapToGrid w:val="0"/>
              </w:rPr>
            </w:pPr>
            <w:r w:rsidRPr="00B3736D">
              <w:rPr>
                <w:rFonts w:asciiTheme="majorHAnsi" w:hAnsiTheme="majorHAnsi"/>
                <w:b/>
                <w:i/>
                <w:snapToGrid w:val="0"/>
              </w:rPr>
              <w:t>Plazo de entrega</w:t>
            </w:r>
          </w:p>
        </w:tc>
        <w:tc>
          <w:tcPr>
            <w:tcW w:w="1882"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274BC4C8" w14:textId="77777777" w:rsidR="00B3736D" w:rsidRPr="00B3736D" w:rsidRDefault="00B3736D" w:rsidP="00B3736D">
            <w:pPr>
              <w:widowControl w:val="0"/>
              <w:jc w:val="center"/>
              <w:rPr>
                <w:rFonts w:asciiTheme="majorHAnsi" w:hAnsiTheme="majorHAnsi"/>
                <w:b/>
                <w:i/>
                <w:snapToGrid w:val="0"/>
              </w:rPr>
            </w:pPr>
            <w:r w:rsidRPr="00B3736D">
              <w:rPr>
                <w:rFonts w:asciiTheme="majorHAnsi" w:hAnsiTheme="majorHAnsi"/>
                <w:b/>
                <w:i/>
                <w:snapToGrid w:val="0"/>
              </w:rPr>
              <w:t>Medio</w:t>
            </w:r>
          </w:p>
        </w:tc>
      </w:tr>
      <w:tr w:rsidR="00B3736D" w:rsidRPr="00B3736D" w14:paraId="274BC4CE" w14:textId="77777777" w:rsidTr="00562056">
        <w:trPr>
          <w:cantSplit/>
          <w:trHeight w:val="30"/>
          <w:jc w:val="center"/>
        </w:trPr>
        <w:tc>
          <w:tcPr>
            <w:tcW w:w="1109" w:type="pct"/>
            <w:tcBorders>
              <w:top w:val="single" w:sz="4" w:space="0" w:color="auto"/>
              <w:left w:val="single" w:sz="4" w:space="0" w:color="auto"/>
              <w:bottom w:val="single" w:sz="4" w:space="0" w:color="auto"/>
              <w:right w:val="single" w:sz="4" w:space="0" w:color="auto"/>
            </w:tcBorders>
            <w:noWrap/>
            <w:vAlign w:val="center"/>
            <w:hideMark/>
          </w:tcPr>
          <w:p w14:paraId="274BC4CA" w14:textId="77777777" w:rsidR="00B3736D" w:rsidRPr="00B3736D" w:rsidRDefault="00B3736D" w:rsidP="00B3736D">
            <w:pPr>
              <w:jc w:val="center"/>
              <w:rPr>
                <w:rFonts w:asciiTheme="majorHAnsi" w:hAnsiTheme="majorHAnsi"/>
                <w:b/>
                <w:bCs/>
                <w:i/>
                <w:lang w:val="es-ES_tradnl"/>
              </w:rPr>
            </w:pPr>
            <w:r w:rsidRPr="00B3736D">
              <w:rPr>
                <w:rFonts w:asciiTheme="majorHAnsi" w:hAnsiTheme="majorHAnsi"/>
                <w:b/>
                <w:bCs/>
                <w:i/>
                <w:lang w:val="es-ES_tradnl"/>
              </w:rPr>
              <w:t>Registro Único de Personas  Beneficiarias</w:t>
            </w:r>
          </w:p>
        </w:tc>
        <w:tc>
          <w:tcPr>
            <w:tcW w:w="904" w:type="pct"/>
            <w:tcBorders>
              <w:top w:val="single" w:sz="4" w:space="0" w:color="auto"/>
              <w:left w:val="single" w:sz="4" w:space="0" w:color="auto"/>
              <w:bottom w:val="single" w:sz="4" w:space="0" w:color="auto"/>
              <w:right w:val="single" w:sz="4" w:space="0" w:color="auto"/>
            </w:tcBorders>
            <w:noWrap/>
            <w:vAlign w:val="center"/>
            <w:hideMark/>
          </w:tcPr>
          <w:p w14:paraId="274BC4CB" w14:textId="77777777" w:rsidR="00B3736D" w:rsidRPr="00B3736D" w:rsidRDefault="00B3736D" w:rsidP="00B3736D">
            <w:pPr>
              <w:widowControl w:val="0"/>
              <w:ind w:left="94"/>
              <w:jc w:val="center"/>
              <w:rPr>
                <w:rFonts w:asciiTheme="majorHAnsi" w:hAnsiTheme="majorHAnsi"/>
                <w:bCs/>
                <w:i/>
                <w:color w:val="0000CC"/>
              </w:rPr>
            </w:pPr>
            <w:r w:rsidRPr="00B3736D">
              <w:rPr>
                <w:rFonts w:asciiTheme="majorHAnsi" w:hAnsiTheme="majorHAnsi"/>
                <w:bCs/>
                <w:i/>
              </w:rPr>
              <w:t>Al menos una vez al mes</w:t>
            </w:r>
          </w:p>
        </w:tc>
        <w:tc>
          <w:tcPr>
            <w:tcW w:w="1105" w:type="pct"/>
            <w:tcBorders>
              <w:top w:val="single" w:sz="4" w:space="0" w:color="auto"/>
              <w:left w:val="single" w:sz="4" w:space="0" w:color="auto"/>
              <w:bottom w:val="single" w:sz="4" w:space="0" w:color="auto"/>
              <w:right w:val="single" w:sz="4" w:space="0" w:color="auto"/>
            </w:tcBorders>
            <w:noWrap/>
            <w:vAlign w:val="center"/>
            <w:hideMark/>
          </w:tcPr>
          <w:p w14:paraId="274BC4CC" w14:textId="77777777" w:rsidR="00B3736D" w:rsidRPr="00B3736D" w:rsidRDefault="00B3736D" w:rsidP="00B3736D">
            <w:pPr>
              <w:widowControl w:val="0"/>
              <w:jc w:val="center"/>
              <w:rPr>
                <w:rFonts w:asciiTheme="majorHAnsi" w:hAnsiTheme="majorHAnsi"/>
                <w:bCs/>
                <w:i/>
                <w:color w:val="0000FF"/>
              </w:rPr>
            </w:pPr>
            <w:r w:rsidRPr="00B3736D">
              <w:rPr>
                <w:rFonts w:asciiTheme="majorHAnsi" w:hAnsiTheme="majorHAnsi"/>
                <w:bCs/>
                <w:i/>
              </w:rPr>
              <w:t>A más tardar diez días  hábiles después de finalizar cada mes</w:t>
            </w:r>
          </w:p>
        </w:tc>
        <w:tc>
          <w:tcPr>
            <w:tcW w:w="1882" w:type="pct"/>
            <w:tcBorders>
              <w:top w:val="single" w:sz="4" w:space="0" w:color="auto"/>
              <w:left w:val="single" w:sz="4" w:space="0" w:color="auto"/>
              <w:bottom w:val="single" w:sz="4" w:space="0" w:color="auto"/>
              <w:right w:val="single" w:sz="4" w:space="0" w:color="auto"/>
            </w:tcBorders>
            <w:noWrap/>
            <w:vAlign w:val="center"/>
            <w:hideMark/>
          </w:tcPr>
          <w:p w14:paraId="274BC4CD" w14:textId="77777777" w:rsidR="00B3736D" w:rsidRPr="00B3736D" w:rsidRDefault="00B3736D" w:rsidP="00B3736D">
            <w:pPr>
              <w:jc w:val="center"/>
              <w:rPr>
                <w:rFonts w:asciiTheme="majorHAnsi" w:hAnsiTheme="majorHAnsi"/>
                <w:lang w:val="es-CR" w:eastAsia="es-CR"/>
              </w:rPr>
            </w:pPr>
            <w:r w:rsidRPr="00B3736D">
              <w:rPr>
                <w:rFonts w:asciiTheme="majorHAnsi" w:hAnsiTheme="majorHAnsi"/>
                <w:bCs/>
                <w:i/>
              </w:rPr>
              <w:t xml:space="preserve">Web Service, a través de archivos *.xml o *.zip que contengan *.xml,, de conformidad con Estándar electrónico para Registro Único de Personas Beneficiarias, incluido en el </w:t>
            </w:r>
            <w:r w:rsidRPr="00B3736D">
              <w:rPr>
                <w:rFonts w:asciiTheme="majorHAnsi" w:hAnsiTheme="majorHAnsi"/>
                <w:i/>
              </w:rPr>
              <w:t>Anexo 7</w:t>
            </w:r>
          </w:p>
        </w:tc>
      </w:tr>
    </w:tbl>
    <w:p w14:paraId="274BC4CF" w14:textId="77777777" w:rsidR="00B3736D" w:rsidRPr="00B3736D" w:rsidRDefault="00B3736D" w:rsidP="00B3736D">
      <w:pPr>
        <w:jc w:val="both"/>
        <w:rPr>
          <w:rFonts w:asciiTheme="majorHAnsi" w:hAnsiTheme="majorHAnsi"/>
          <w:color w:val="000000"/>
        </w:rPr>
      </w:pPr>
    </w:p>
    <w:p w14:paraId="274BC4D0" w14:textId="77777777" w:rsidR="00B3736D" w:rsidRPr="00B3736D" w:rsidRDefault="00B3736D" w:rsidP="00B3736D">
      <w:pPr>
        <w:jc w:val="both"/>
        <w:rPr>
          <w:rFonts w:asciiTheme="majorHAnsi" w:hAnsiTheme="majorHAnsi"/>
          <w:color w:val="000000"/>
        </w:rPr>
      </w:pPr>
      <w:r w:rsidRPr="00B3736D">
        <w:rPr>
          <w:rFonts w:asciiTheme="majorHAnsi" w:hAnsiTheme="majorHAnsi"/>
          <w:b/>
          <w:color w:val="000000"/>
        </w:rPr>
        <w:t>SEGUNDO:</w:t>
      </w:r>
      <w:r w:rsidRPr="00B3736D">
        <w:rPr>
          <w:rFonts w:asciiTheme="majorHAnsi" w:hAnsiTheme="majorHAnsi"/>
          <w:color w:val="000000"/>
        </w:rPr>
        <w:t xml:space="preserve"> Modificar  el Anexo 7 al acuerdo SGS-DES-A-021-2013 denominado </w:t>
      </w:r>
      <w:r w:rsidRPr="00B3736D">
        <w:rPr>
          <w:rFonts w:asciiTheme="majorHAnsi" w:hAnsiTheme="majorHAnsi"/>
          <w:i/>
          <w:color w:val="000000"/>
        </w:rPr>
        <w:t>“Disposiciones para la Remisión de la Información Contable y Estadística a la Superintendencia General de Seguros por parte de las Entidades Supervisadas”</w:t>
      </w:r>
      <w:r w:rsidRPr="00B3736D">
        <w:rPr>
          <w:rFonts w:asciiTheme="majorHAnsi" w:hAnsiTheme="majorHAnsi"/>
          <w:color w:val="000000"/>
        </w:rPr>
        <w:t>, correspondiente al estándar electrónico para la remisión de información del Registro Único de Personas Beneficiarias.</w:t>
      </w:r>
    </w:p>
    <w:p w14:paraId="274BC4D1" w14:textId="77777777" w:rsidR="00B3736D" w:rsidRPr="00B3736D" w:rsidRDefault="00B3736D" w:rsidP="00B3736D">
      <w:pPr>
        <w:jc w:val="both"/>
        <w:rPr>
          <w:rFonts w:asciiTheme="majorHAnsi" w:hAnsiTheme="majorHAnsi"/>
          <w:color w:val="000000"/>
        </w:rPr>
      </w:pPr>
    </w:p>
    <w:p w14:paraId="274BC4D2" w14:textId="77777777" w:rsidR="00B3736D" w:rsidRPr="00B3736D" w:rsidRDefault="00B3736D" w:rsidP="00B3736D">
      <w:pPr>
        <w:jc w:val="center"/>
        <w:rPr>
          <w:rFonts w:asciiTheme="majorHAnsi" w:hAnsiTheme="majorHAnsi"/>
          <w:b/>
          <w:color w:val="000000"/>
        </w:rPr>
      </w:pPr>
      <w:r w:rsidRPr="00B3736D">
        <w:rPr>
          <w:rFonts w:asciiTheme="majorHAnsi" w:hAnsiTheme="majorHAnsi"/>
          <w:b/>
          <w:color w:val="000000"/>
        </w:rPr>
        <w:t>ANEXO 7</w:t>
      </w:r>
    </w:p>
    <w:p w14:paraId="274BC4D3" w14:textId="77777777" w:rsidR="00B3736D" w:rsidRPr="00B3736D" w:rsidRDefault="00B3736D" w:rsidP="00B3736D">
      <w:pPr>
        <w:jc w:val="center"/>
        <w:rPr>
          <w:rFonts w:asciiTheme="majorHAnsi" w:hAnsiTheme="majorHAnsi"/>
          <w:b/>
          <w:color w:val="000000"/>
        </w:rPr>
      </w:pPr>
      <w:r w:rsidRPr="00B3736D">
        <w:rPr>
          <w:rFonts w:asciiTheme="majorHAnsi" w:hAnsiTheme="majorHAnsi"/>
          <w:b/>
          <w:color w:val="000000"/>
        </w:rPr>
        <w:t>Estándar para Registro Único de Personas Beneficiarias</w:t>
      </w:r>
    </w:p>
    <w:p w14:paraId="274BC4D4" w14:textId="77777777" w:rsidR="00B3736D" w:rsidRPr="00B3736D" w:rsidRDefault="00B3736D" w:rsidP="00B3736D">
      <w:pPr>
        <w:jc w:val="center"/>
        <w:rPr>
          <w:rFonts w:asciiTheme="majorHAnsi" w:hAnsiTheme="majorHAnsi"/>
          <w:color w:val="000000"/>
        </w:rPr>
      </w:pPr>
      <w:r w:rsidRPr="00B3736D">
        <w:rPr>
          <w:rFonts w:asciiTheme="majorHAnsi" w:hAnsiTheme="majorHAnsi"/>
          <w:color w:val="000000"/>
        </w:rPr>
        <w:cr/>
      </w:r>
      <w:bookmarkStart w:id="1" w:name="_MON_1475588188"/>
      <w:bookmarkEnd w:id="1"/>
      <w:r w:rsidRPr="00B3736D">
        <w:rPr>
          <w:rFonts w:ascii="Arial Narrow" w:hAnsi="Arial Narrow"/>
          <w:b/>
          <w:sz w:val="18"/>
          <w:szCs w:val="18"/>
        </w:rPr>
        <w:object w:dxaOrig="2069" w:dyaOrig="1320" w14:anchorId="274BC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25pt;height:65.9pt" o:ole="">
            <v:imagedata r:id="rId11" o:title=""/>
          </v:shape>
          <o:OLEObject Type="Embed" ProgID="Word.Document.12" ShapeID="_x0000_i1025" DrawAspect="Icon" ObjectID="_1479298305" r:id="rId12">
            <o:FieldCodes>\s</o:FieldCodes>
          </o:OLEObject>
        </w:object>
      </w:r>
    </w:p>
    <w:p w14:paraId="274BC4D5" w14:textId="77777777" w:rsidR="00B3736D" w:rsidRPr="00B3736D" w:rsidRDefault="00B3736D" w:rsidP="00B3736D">
      <w:pPr>
        <w:jc w:val="both"/>
        <w:rPr>
          <w:rFonts w:asciiTheme="majorHAnsi" w:hAnsiTheme="majorHAnsi"/>
          <w:color w:val="000000"/>
        </w:rPr>
      </w:pPr>
    </w:p>
    <w:p w14:paraId="274BC4D6" w14:textId="77777777" w:rsidR="00B3736D" w:rsidRPr="00B3736D" w:rsidRDefault="00B3736D" w:rsidP="00B3736D">
      <w:pPr>
        <w:jc w:val="both"/>
        <w:rPr>
          <w:rFonts w:asciiTheme="majorHAnsi" w:hAnsiTheme="majorHAnsi"/>
          <w:color w:val="000000"/>
        </w:rPr>
      </w:pPr>
    </w:p>
    <w:p w14:paraId="274BC4D7" w14:textId="77777777" w:rsidR="00B3736D" w:rsidRPr="00B3736D" w:rsidRDefault="00B3736D" w:rsidP="00B3736D">
      <w:pPr>
        <w:jc w:val="both"/>
        <w:rPr>
          <w:rFonts w:asciiTheme="majorHAnsi" w:hAnsiTheme="majorHAnsi"/>
          <w:color w:val="000000"/>
        </w:rPr>
      </w:pPr>
    </w:p>
    <w:p w14:paraId="274BC4D8" w14:textId="77777777" w:rsidR="00B3736D" w:rsidRPr="00B3736D" w:rsidRDefault="00B3736D" w:rsidP="00B3736D">
      <w:pPr>
        <w:jc w:val="both"/>
        <w:rPr>
          <w:rFonts w:asciiTheme="majorHAnsi" w:hAnsiTheme="majorHAnsi"/>
          <w:color w:val="000000"/>
        </w:rPr>
      </w:pPr>
    </w:p>
    <w:p w14:paraId="274BC4D9" w14:textId="77777777" w:rsidR="00B3736D" w:rsidRPr="00B3736D" w:rsidRDefault="00B3736D" w:rsidP="00B3736D">
      <w:pPr>
        <w:jc w:val="both"/>
        <w:rPr>
          <w:rFonts w:asciiTheme="majorHAnsi" w:hAnsiTheme="majorHAnsi"/>
          <w:color w:val="000000"/>
        </w:rPr>
      </w:pPr>
      <w:r w:rsidRPr="00B3736D">
        <w:rPr>
          <w:rFonts w:asciiTheme="majorHAnsi" w:hAnsiTheme="majorHAnsi"/>
          <w:b/>
          <w:color w:val="000000"/>
        </w:rPr>
        <w:lastRenderedPageBreak/>
        <w:t>TERCERO:</w:t>
      </w:r>
      <w:r w:rsidRPr="00B3736D">
        <w:rPr>
          <w:rFonts w:asciiTheme="majorHAnsi" w:hAnsiTheme="majorHAnsi"/>
          <w:color w:val="000000"/>
        </w:rPr>
        <w:t xml:space="preserve"> Actualizar la versión publicada del Acuerdo SGS-DES-A-021-2013, para incluir las modificaciones señaladas en este acuerdo.</w:t>
      </w:r>
    </w:p>
    <w:p w14:paraId="274BC4DA" w14:textId="77777777" w:rsidR="00B3736D" w:rsidRPr="00B3736D" w:rsidRDefault="00B3736D" w:rsidP="00B3736D">
      <w:pPr>
        <w:jc w:val="both"/>
        <w:rPr>
          <w:rFonts w:asciiTheme="majorHAnsi" w:hAnsiTheme="majorHAnsi"/>
          <w:color w:val="000000"/>
        </w:rPr>
      </w:pPr>
    </w:p>
    <w:p w14:paraId="274BC4DB" w14:textId="77777777" w:rsidR="00B3736D" w:rsidRPr="00B3736D" w:rsidRDefault="00B3736D" w:rsidP="00B3736D">
      <w:pPr>
        <w:jc w:val="both"/>
        <w:rPr>
          <w:rFonts w:asciiTheme="majorHAnsi" w:hAnsiTheme="majorHAnsi"/>
          <w:b/>
          <w:color w:val="000000"/>
        </w:rPr>
      </w:pPr>
    </w:p>
    <w:p w14:paraId="274BC4DC" w14:textId="77777777" w:rsidR="00B3736D" w:rsidRPr="00B3736D" w:rsidRDefault="00B3736D" w:rsidP="00B3736D">
      <w:pPr>
        <w:jc w:val="both"/>
        <w:rPr>
          <w:rFonts w:asciiTheme="majorHAnsi" w:hAnsiTheme="majorHAnsi"/>
          <w:b/>
          <w:color w:val="000000"/>
        </w:rPr>
      </w:pPr>
      <w:r w:rsidRPr="00B3736D">
        <w:rPr>
          <w:rFonts w:asciiTheme="majorHAnsi" w:hAnsiTheme="majorHAnsi"/>
          <w:b/>
          <w:color w:val="000000"/>
        </w:rPr>
        <w:t>Rige un mes después de su notificación.</w:t>
      </w:r>
    </w:p>
    <w:p w14:paraId="274BC4DD" w14:textId="77777777" w:rsidR="00664692" w:rsidRDefault="00664692" w:rsidP="00664692">
      <w:pPr>
        <w:jc w:val="both"/>
        <w:rPr>
          <w:rFonts w:asciiTheme="majorHAnsi" w:hAnsiTheme="majorHAnsi"/>
          <w:color w:val="000000"/>
          <w:sz w:val="22"/>
          <w:szCs w:val="22"/>
        </w:rPr>
      </w:pPr>
    </w:p>
    <w:p w14:paraId="274BC4DE" w14:textId="77777777" w:rsidR="00664692" w:rsidRDefault="00664692" w:rsidP="00664692">
      <w:pPr>
        <w:autoSpaceDE w:val="0"/>
        <w:autoSpaceDN w:val="0"/>
        <w:adjustRightInd w:val="0"/>
        <w:rPr>
          <w:rFonts w:asciiTheme="majorHAnsi" w:hAnsiTheme="majorHAnsi"/>
          <w:lang w:val="es-CR"/>
        </w:rPr>
      </w:pPr>
    </w:p>
    <w:p w14:paraId="274BC4DF" w14:textId="77777777" w:rsidR="007527CD" w:rsidRDefault="007527CD" w:rsidP="00664692">
      <w:pPr>
        <w:autoSpaceDE w:val="0"/>
        <w:autoSpaceDN w:val="0"/>
        <w:adjustRightInd w:val="0"/>
        <w:rPr>
          <w:rFonts w:asciiTheme="majorHAnsi" w:hAnsiTheme="majorHAnsi"/>
          <w:lang w:val="es-CR"/>
        </w:rPr>
      </w:pPr>
      <w:r>
        <w:rPr>
          <w:rFonts w:asciiTheme="majorHAnsi" w:hAnsiTheme="majorHAnsi"/>
          <w:lang w:val="es-CR"/>
        </w:rPr>
        <w:t>Cordialmente,</w:t>
      </w:r>
    </w:p>
    <w:p w14:paraId="274BC4E0" w14:textId="77777777" w:rsidR="007527CD" w:rsidRDefault="007527CD" w:rsidP="00664692">
      <w:pPr>
        <w:autoSpaceDE w:val="0"/>
        <w:autoSpaceDN w:val="0"/>
        <w:adjustRightInd w:val="0"/>
        <w:rPr>
          <w:rFonts w:asciiTheme="majorHAnsi" w:hAnsiTheme="majorHAnsi"/>
          <w:lang w:val="es-CR"/>
        </w:rPr>
      </w:pPr>
    </w:p>
    <w:p w14:paraId="274BC4E1" w14:textId="77777777" w:rsidR="00664692" w:rsidRDefault="00664692" w:rsidP="00664692">
      <w:pPr>
        <w:rPr>
          <w:rFonts w:ascii="Cambria" w:hAnsi="Cambria"/>
          <w:lang w:val="es-CR"/>
        </w:rPr>
      </w:pPr>
      <w:r>
        <w:rPr>
          <w:noProof/>
          <w:lang w:val="es-CR" w:eastAsia="es-CR"/>
        </w:rPr>
        <w:drawing>
          <wp:inline distT="0" distB="0" distL="0" distR="0" wp14:anchorId="274BC4E6" wp14:editId="274BC4E7">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74BC4E2" w14:textId="77777777" w:rsidR="006F4CAF" w:rsidRDefault="006F4CAF" w:rsidP="0016515C">
      <w:pPr>
        <w:ind w:left="-567"/>
        <w:jc w:val="both"/>
        <w:rPr>
          <w:rFonts w:asciiTheme="majorHAnsi" w:hAnsiTheme="majorHAnsi"/>
          <w:i/>
          <w:color w:val="000000"/>
        </w:rPr>
      </w:pPr>
    </w:p>
    <w:p w14:paraId="274BC4E3" w14:textId="77777777" w:rsidR="00F5386D" w:rsidRDefault="00F5386D" w:rsidP="0016515C">
      <w:pPr>
        <w:ind w:left="-567"/>
        <w:jc w:val="both"/>
        <w:rPr>
          <w:rFonts w:asciiTheme="majorHAnsi" w:hAnsiTheme="majorHAnsi"/>
          <w:i/>
          <w:color w:val="000000"/>
        </w:rPr>
      </w:pPr>
    </w:p>
    <w:p w14:paraId="274BC4E4" w14:textId="77777777" w:rsidR="006F4CAF" w:rsidRPr="00161651" w:rsidRDefault="006F4CAF" w:rsidP="0016515C">
      <w:pPr>
        <w:ind w:left="-567"/>
        <w:jc w:val="both"/>
        <w:rPr>
          <w:rFonts w:asciiTheme="majorHAnsi" w:hAnsiTheme="majorHAnsi"/>
          <w:i/>
          <w:color w:val="000000"/>
        </w:rPr>
      </w:pPr>
    </w:p>
    <w:sectPr w:rsidR="006F4CAF" w:rsidRPr="00161651" w:rsidSect="00A83BA5">
      <w:headerReference w:type="default"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BC4EA" w14:textId="77777777" w:rsidR="00D858A4" w:rsidRDefault="00D858A4" w:rsidP="005A1442">
      <w:r>
        <w:separator/>
      </w:r>
    </w:p>
  </w:endnote>
  <w:endnote w:type="continuationSeparator" w:id="0">
    <w:p w14:paraId="274BC4EB" w14:textId="77777777" w:rsidR="00D858A4" w:rsidRDefault="00D858A4"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BC4F1" w14:textId="77777777" w:rsidR="005A1442" w:rsidRDefault="005A1442" w:rsidP="005A1442">
    <w:pPr>
      <w:pStyle w:val="Piedepgina"/>
      <w:pBdr>
        <w:top w:val="single" w:sz="4" w:space="1" w:color="auto"/>
      </w:pBdr>
      <w:rPr>
        <w:sz w:val="16"/>
        <w:szCs w:val="16"/>
      </w:rPr>
    </w:pPr>
  </w:p>
  <w:p w14:paraId="274BC4F2"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74BC4F3"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274BC4F4" w14:textId="77777777" w:rsidR="005A1442" w:rsidRPr="005A1442" w:rsidRDefault="00940213"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BC4F7" w14:textId="77777777" w:rsidR="00A83BA5" w:rsidRDefault="00A83BA5" w:rsidP="00A83BA5">
    <w:pPr>
      <w:pStyle w:val="Piedepgina"/>
      <w:pBdr>
        <w:top w:val="single" w:sz="4" w:space="1" w:color="auto"/>
      </w:pBdr>
      <w:rPr>
        <w:sz w:val="16"/>
        <w:szCs w:val="16"/>
      </w:rPr>
    </w:pPr>
  </w:p>
  <w:p w14:paraId="274BC4F8"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74BC4F9"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274BC4FA" w14:textId="77777777" w:rsidR="00A83BA5" w:rsidRPr="00A83BA5" w:rsidRDefault="00940213" w:rsidP="00A83BA5">
    <w:pPr>
      <w:pStyle w:val="Piedepgina"/>
      <w:tabs>
        <w:tab w:val="clear" w:pos="8838"/>
      </w:tabs>
      <w:jc w:val="right"/>
      <w:rPr>
        <w:rFonts w:ascii="Baskerville Old Face" w:hAnsi="Baskerville Old Face"/>
        <w:sz w:val="18"/>
        <w:szCs w:val="18"/>
      </w:rPr>
    </w:pPr>
    <w:hyperlink r:id="rId1" w:history="1">
      <w:r w:rsidR="00A83BA5"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BC4E8" w14:textId="77777777" w:rsidR="00D858A4" w:rsidRDefault="00D858A4" w:rsidP="005A1442">
      <w:r>
        <w:separator/>
      </w:r>
    </w:p>
  </w:footnote>
  <w:footnote w:type="continuationSeparator" w:id="0">
    <w:p w14:paraId="274BC4E9" w14:textId="77777777" w:rsidR="00D858A4" w:rsidRDefault="00D858A4"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BC4EC" w14:textId="77777777" w:rsidR="005A1442" w:rsidRDefault="00221996">
    <w:pPr>
      <w:pStyle w:val="Encabezado"/>
    </w:pPr>
    <w:r>
      <w:rPr>
        <w:noProof/>
        <w:lang w:eastAsia="es-CR"/>
      </w:rPr>
      <mc:AlternateContent>
        <mc:Choice Requires="wps">
          <w:drawing>
            <wp:anchor distT="0" distB="0" distL="114300" distR="114300" simplePos="0" relativeHeight="251659264" behindDoc="0" locked="0" layoutInCell="1" allowOverlap="1" wp14:anchorId="274BC4FB" wp14:editId="274BC4FC">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274BC503"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74BC509" wp14:editId="274BC50A">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74BC504"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74BC505"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B61D748" wp14:editId="738CCF2D">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005A1442">
      <w:rPr>
        <w:noProof/>
        <w:lang w:eastAsia="es-CR"/>
      </w:rPr>
      <w:drawing>
        <wp:inline distT="0" distB="0" distL="0" distR="0" wp14:anchorId="274BC4FD" wp14:editId="274BC4FE">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274BC4ED" w14:textId="77777777" w:rsidR="005B70A7" w:rsidRDefault="005B70A7">
    <w:pPr>
      <w:pStyle w:val="Encabezado"/>
    </w:pPr>
  </w:p>
  <w:p w14:paraId="274BC4EE" w14:textId="77777777" w:rsidR="005B70A7" w:rsidRPr="00221460" w:rsidRDefault="007527CD" w:rsidP="005B70A7">
    <w:pPr>
      <w:pStyle w:val="Encabezado"/>
      <w:rPr>
        <w:rFonts w:asciiTheme="majorHAnsi" w:hAnsiTheme="majorHAnsi"/>
        <w:b/>
        <w:i/>
        <w:lang w:val="es-MX"/>
      </w:rPr>
    </w:pPr>
    <w:r>
      <w:rPr>
        <w:rFonts w:asciiTheme="majorHAnsi" w:hAnsiTheme="majorHAnsi"/>
        <w:b/>
        <w:i/>
        <w:lang w:val="es-MX"/>
      </w:rPr>
      <w:t>SGS-DES-A-040</w:t>
    </w:r>
    <w:r w:rsidR="005B70A7">
      <w:rPr>
        <w:rFonts w:asciiTheme="majorHAnsi" w:hAnsiTheme="majorHAnsi"/>
        <w:b/>
        <w:i/>
        <w:lang w:val="es-MX"/>
      </w:rPr>
      <w:t>-201</w:t>
    </w:r>
    <w:r w:rsidR="00B73C42">
      <w:rPr>
        <w:rFonts w:asciiTheme="majorHAnsi" w:hAnsiTheme="majorHAnsi"/>
        <w:b/>
        <w:i/>
        <w:lang w:val="es-MX"/>
      </w:rPr>
      <w:t>4</w:t>
    </w:r>
  </w:p>
  <w:p w14:paraId="274BC4EF" w14:textId="77777777" w:rsidR="005B70A7" w:rsidRPr="00221460" w:rsidRDefault="005B70A7"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940213">
      <w:rPr>
        <w:rFonts w:asciiTheme="majorHAnsi" w:hAnsiTheme="majorHAnsi"/>
        <w:i/>
        <w:noProof/>
        <w:lang w:val="es-MX"/>
      </w:rPr>
      <w:t>4</w:t>
    </w:r>
    <w:r w:rsidRPr="00221460">
      <w:rPr>
        <w:rFonts w:asciiTheme="majorHAnsi" w:hAnsiTheme="majorHAnsi"/>
        <w:i/>
        <w:lang w:val="es-MX"/>
      </w:rPr>
      <w:fldChar w:fldCharType="end"/>
    </w:r>
  </w:p>
  <w:p w14:paraId="274BC4F0" w14:textId="77777777" w:rsidR="005B70A7" w:rsidRPr="005B70A7" w:rsidRDefault="005B70A7">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BC4F5" w14:textId="77777777" w:rsidR="00A83BA5" w:rsidRDefault="00A83BA5" w:rsidP="00A83BA5">
    <w:pPr>
      <w:pStyle w:val="Encabezado"/>
    </w:pPr>
    <w:r>
      <w:rPr>
        <w:noProof/>
        <w:lang w:eastAsia="es-CR"/>
      </w:rPr>
      <mc:AlternateContent>
        <mc:Choice Requires="wps">
          <w:drawing>
            <wp:anchor distT="0" distB="0" distL="114300" distR="114300" simplePos="0" relativeHeight="251661312" behindDoc="0" locked="0" layoutInCell="1" allowOverlap="1" wp14:anchorId="274BC4FF" wp14:editId="274BC500">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274BC506"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74BC50B" wp14:editId="274BC50C">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74BC507"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74BC508"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64E3DFEE" wp14:editId="15128B80">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274BC501" wp14:editId="274BC502">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274BC4F6" w14:textId="77777777" w:rsidR="00A83BA5" w:rsidRDefault="00A83B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D314B"/>
    <w:multiLevelType w:val="hybridMultilevel"/>
    <w:tmpl w:val="BF50087C"/>
    <w:lvl w:ilvl="0" w:tplc="D52ED0CA">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85D10"/>
    <w:rsid w:val="00391C88"/>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A03B7"/>
    <w:rsid w:val="004A495A"/>
    <w:rsid w:val="004B767D"/>
    <w:rsid w:val="004C3B15"/>
    <w:rsid w:val="004C4D3C"/>
    <w:rsid w:val="004D2EB0"/>
    <w:rsid w:val="004D7196"/>
    <w:rsid w:val="004E7104"/>
    <w:rsid w:val="004F3099"/>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CAF"/>
    <w:rsid w:val="006F4D20"/>
    <w:rsid w:val="00706543"/>
    <w:rsid w:val="00712FFB"/>
    <w:rsid w:val="00715BD0"/>
    <w:rsid w:val="007170ED"/>
    <w:rsid w:val="00717F1A"/>
    <w:rsid w:val="00725048"/>
    <w:rsid w:val="00725493"/>
    <w:rsid w:val="00726CEB"/>
    <w:rsid w:val="007272CC"/>
    <w:rsid w:val="007324F8"/>
    <w:rsid w:val="007327C9"/>
    <w:rsid w:val="0074198B"/>
    <w:rsid w:val="007437E6"/>
    <w:rsid w:val="00746E52"/>
    <w:rsid w:val="007527CD"/>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21436"/>
    <w:rsid w:val="008259A0"/>
    <w:rsid w:val="008370FF"/>
    <w:rsid w:val="0085586B"/>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15452"/>
    <w:rsid w:val="00922C3E"/>
    <w:rsid w:val="00940213"/>
    <w:rsid w:val="00947CCD"/>
    <w:rsid w:val="0095414B"/>
    <w:rsid w:val="009565BF"/>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3BA5"/>
    <w:rsid w:val="00A8710B"/>
    <w:rsid w:val="00AA35AB"/>
    <w:rsid w:val="00AB1CD0"/>
    <w:rsid w:val="00AB33C3"/>
    <w:rsid w:val="00AC0D3F"/>
    <w:rsid w:val="00AD00BB"/>
    <w:rsid w:val="00AE0313"/>
    <w:rsid w:val="00B04011"/>
    <w:rsid w:val="00B12501"/>
    <w:rsid w:val="00B21C1A"/>
    <w:rsid w:val="00B2475F"/>
    <w:rsid w:val="00B25C9B"/>
    <w:rsid w:val="00B300E9"/>
    <w:rsid w:val="00B32651"/>
    <w:rsid w:val="00B32EEB"/>
    <w:rsid w:val="00B3736D"/>
    <w:rsid w:val="00B40526"/>
    <w:rsid w:val="00B45FD8"/>
    <w:rsid w:val="00B50514"/>
    <w:rsid w:val="00B70578"/>
    <w:rsid w:val="00B73C42"/>
    <w:rsid w:val="00B826E2"/>
    <w:rsid w:val="00B910A3"/>
    <w:rsid w:val="00B95233"/>
    <w:rsid w:val="00B96A9E"/>
    <w:rsid w:val="00BA2A3A"/>
    <w:rsid w:val="00BA4095"/>
    <w:rsid w:val="00BA4EB8"/>
    <w:rsid w:val="00BB64F2"/>
    <w:rsid w:val="00BC2F23"/>
    <w:rsid w:val="00BC5BBE"/>
    <w:rsid w:val="00BD18FF"/>
    <w:rsid w:val="00BE08B6"/>
    <w:rsid w:val="00BE61CE"/>
    <w:rsid w:val="00BF28E2"/>
    <w:rsid w:val="00BF5BF7"/>
    <w:rsid w:val="00BF67A7"/>
    <w:rsid w:val="00C00485"/>
    <w:rsid w:val="00C05704"/>
    <w:rsid w:val="00C240F2"/>
    <w:rsid w:val="00C276E6"/>
    <w:rsid w:val="00C52BC9"/>
    <w:rsid w:val="00C64061"/>
    <w:rsid w:val="00C73E1C"/>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4B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rsid w:val="004C3B15"/>
    <w:rPr>
      <w:sz w:val="20"/>
    </w:rPr>
  </w:style>
  <w:style w:type="character" w:customStyle="1" w:styleId="TextonotapieCar">
    <w:name w:val="Texto nota pie Car"/>
    <w:basedOn w:val="Fuentedeprrafopredeter"/>
    <w:link w:val="Textonotapie"/>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rsid w:val="004C3B15"/>
    <w:rPr>
      <w:sz w:val="20"/>
    </w:rPr>
  </w:style>
  <w:style w:type="character" w:customStyle="1" w:styleId="TextonotapieCar">
    <w:name w:val="Texto nota pie Car"/>
    <w:basedOn w:val="Fuentedeprrafopredeter"/>
    <w:link w:val="Textonotapie"/>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1.doc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0.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hikKEAVWGgdbRhMe9o7KOlcsBDw=</DigestValue>
    </Reference>
    <Reference URI="#idOfficeObject" Type="http://www.w3.org/2000/09/xmldsig#Object">
      <DigestMethod Algorithm="http://www.w3.org/2000/09/xmldsig#sha1"/>
      <DigestValue>7zFaxaEIgTrJFtsPluoyhLDQHUI=</DigestValue>
    </Reference>
    <Reference URI="#idSignedProperties" Type="http://uri.etsi.org/01903#SignedProperties">
      <Transforms>
        <Transform Algorithm="http://www.w3.org/TR/2001/REC-xml-c14n-20010315"/>
      </Transforms>
      <DigestMethod Algorithm="http://www.w3.org/2000/09/xmldsig#sha1"/>
      <DigestValue>w5kZBTKJM4ItcoY6+Tv1VRuWmfo=</DigestValue>
    </Reference>
  </SignedInfo>
  <SignatureValue>UlSTcR0z11luiCHVutsCtMAHZXre9A6G87aiV7d1gH9wtuZRtSIpcIqf9WyC4crGRm13kSy/YWY+
+JOffRUlvxkxC/ZMU1aoinfxSaKctmbG7Xz5x+u6OJvR8O1fG5op1eD56oR5sjo8/26kpt6/M9F0
ThU7w22H+GqvFj2fdFEJZNds4CNfC2/DZemmLe83GwyX1mHKSO9mXBLf1+j4TvAD57r+QbC+S/6x
EN0JVkey63NZCvaQLa+Wf5gMQugPqDUmsY2MKwY1yTy5D31rDgRBnlKvyDJMOMi/2fg+NOxz4qLm
sAIkbojMu4ICeFXvtQYzX99gzZtQK5rlt+7Usg==</SignatureValue>
  <KeyInfo>
    <X509Data>
      <X509Certificate>MIIFkTCCBHmgAwIBAgIKUljQ1wABAALykjANBgkqhkiG9w0BAQUFADCBmjEVMBMGA1UEBRMMNC0w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</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zc1/q2WodslX0pAdux4ZQmR9PMU=</DigestValue>
      </Reference>
      <Reference URI="/word/theme/theme1.xml?ContentType=application/vnd.openxmlformats-officedocument.theme+xml">
        <DigestMethod Algorithm="http://www.w3.org/2000/09/xmldsig#sha1"/>
        <DigestValue>Q8pihT3NxsPLwi5b/n6WOfsNII0=</DigestValue>
      </Reference>
      <Reference URI="/word/media/image4.jpeg?ContentType=image/jpeg">
        <DigestMethod Algorithm="http://www.w3.org/2000/09/xmldsig#sha1"/>
        <DigestValue>Dq+Wcmhq9Z83GdLIM6FN8WyDIuc=</DigestValue>
      </Reference>
      <Reference URI="/word/media/image1.emf?ContentType=image/x-emf">
        <DigestMethod Algorithm="http://www.w3.org/2000/09/xmldsig#sha1"/>
        <DigestValue>n4/6J8p/nGOloGVbDYhPRhB3bB0=</DigestValue>
      </Reference>
      <Reference URI="/word/media/image2.png?ContentType=image/png">
        <DigestMethod Algorithm="http://www.w3.org/2000/09/xmldsig#sha1"/>
        <DigestValue>iLifPaKfOOVVMaqdWpE3EyqkaUI=</DigestValue>
      </Reference>
      <Reference URI="/word/embeddings/Microsoft_Word_Document1.docx?ContentType=application/vnd.openxmlformats-officedocument.wordprocessingml.document">
        <DigestMethod Algorithm="http://www.w3.org/2000/09/xmldsig#sha1"/>
        <DigestValue>5eWGljZMyX3HKn8LkqICAmHsxH8=</DigestValue>
      </Reference>
      <Reference URI="/word/settings.xml?ContentType=application/vnd.openxmlformats-officedocument.wordprocessingml.settings+xml">
        <DigestMethod Algorithm="http://www.w3.org/2000/09/xmldsig#sha1"/>
        <DigestValue>2Tl0cnXDrz8z7my+b6+koPghICc=</DigestValue>
      </Reference>
      <Reference URI="/word/numbering.xml?ContentType=application/vnd.openxmlformats-officedocument.wordprocessingml.numbering+xml">
        <DigestMethod Algorithm="http://www.w3.org/2000/09/xmldsig#sha1"/>
        <DigestValue>z5r7Vz4AFfZM4UDSZYGcTku88aE=</DigestValue>
      </Reference>
      <Reference URI="/word/styles.xml?ContentType=application/vnd.openxmlformats-officedocument.wordprocessingml.styles+xml">
        <DigestMethod Algorithm="http://www.w3.org/2000/09/xmldsig#sha1"/>
        <DigestValue>Zn10Pi+PeiyD+0RJ+ZEJB499Nak=</DigestValue>
      </Reference>
      <Reference URI="/word/stylesWithEffects.xml?ContentType=application/vnd.ms-word.stylesWithEffects+xml">
        <DigestMethod Algorithm="http://www.w3.org/2000/09/xmldsig#sha1"/>
        <DigestValue>gkdnk+jeZVYVo1Oc3Hcwa/F08KU=</DigestValue>
      </Reference>
      <Reference URI="/word/fontTable.xml?ContentType=application/vnd.openxmlformats-officedocument.wordprocessingml.fontTable+xml">
        <DigestMethod Algorithm="http://www.w3.org/2000/09/xmldsig#sha1"/>
        <DigestValue>UE9muHCrRvjr/emS/FzG8ii8YLA=</DigestValue>
      </Reference>
      <Reference URI="/word/media/image3.jpg?ContentType=image/jpeg">
        <DigestMethod Algorithm="http://www.w3.org/2000/09/xmldsig#sha1"/>
        <DigestValue>Fyi8YrIf7zjcRft90WMeR55jjxo=</DigestValue>
      </Reference>
      <Reference URI="/word/endnotes.xml?ContentType=application/vnd.openxmlformats-officedocument.wordprocessingml.endnotes+xml">
        <DigestMethod Algorithm="http://www.w3.org/2000/09/xmldsig#sha1"/>
        <DigestValue>7brgzlEdw19Fk4YBKSciMeVTfB0=</DigestValue>
      </Reference>
      <Reference URI="/word/footnotes.xml?ContentType=application/vnd.openxmlformats-officedocument.wordprocessingml.footnotes+xml">
        <DigestMethod Algorithm="http://www.w3.org/2000/09/xmldsig#sha1"/>
        <DigestValue>8FTFR15Pdkm9NUFJZwRdn7nZTrA=</DigestValue>
      </Reference>
      <Reference URI="/word/document.xml?ContentType=application/vnd.openxmlformats-officedocument.wordprocessingml.document.main+xml">
        <DigestMethod Algorithm="http://www.w3.org/2000/09/xmldsig#sha1"/>
        <DigestValue>G8l9iawWvyZp/tkmPNJ2S1rdrrU=</DigestValue>
      </Reference>
      <Reference URI="/word/header2.xml?ContentType=application/vnd.openxmlformats-officedocument.wordprocessingml.header+xml">
        <DigestMethod Algorithm="http://www.w3.org/2000/09/xmldsig#sha1"/>
        <DigestValue>v1vgXY9ETGpivg2TEicAKk+q7K0=</DigestValue>
      </Reference>
      <Reference URI="/word/media/image30.jpg?ContentType=image/jpeg">
        <DigestMethod Algorithm="http://www.w3.org/2000/09/xmldsig#sha1"/>
        <DigestValue>Fyi8YrIf7zjcRft90WMeR55jjxo=</DigestValue>
      </Reference>
      <Reference URI="/word/footer1.xml?ContentType=application/vnd.openxmlformats-officedocument.wordprocessingml.footer+xml">
        <DigestMethod Algorithm="http://www.w3.org/2000/09/xmldsig#sha1"/>
        <DigestValue>g+X/KyCtGzdzXiRYmuc4L1Rno0A=</DigestValue>
      </Reference>
      <Reference URI="/word/header1.xml?ContentType=application/vnd.openxmlformats-officedocument.wordprocessingml.header+xml">
        <DigestMethod Algorithm="http://www.w3.org/2000/09/xmldsig#sha1"/>
        <DigestValue>gsE7M41ya8ZXVNRYZpN/LhJysBU=</DigestValue>
      </Reference>
      <Reference URI="/word/footer2.xml?ContentType=application/vnd.openxmlformats-officedocument.wordprocessingml.footer+xml">
        <DigestMethod Algorithm="http://www.w3.org/2000/09/xmldsig#sha1"/>
        <DigestValue>/c4lXEMZQUay5jHfHfR4yYLD0i8=</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A9a/FnjPSIJEr5k50aptdRA9zjs=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A9a/FnjPSIJEr5k50aptdRA9zjs=</DigestValue>
      </Reference>
      <Reference URI="/word/_rels/header2.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Transform>
          <Transform Algorithm="http://www.w3.org/TR/2001/REC-xml-c14n-20010315"/>
        </Transforms>
        <DigestMethod Algorithm="http://www.w3.org/2000/09/xmldsig#sha1"/>
        <DigestValue>ljTTGtw+/ZX3A3ul9NRKP2gww5c=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Transform>
          <Transform Algorithm="http://www.w3.org/TR/2001/REC-xml-c14n-20010315"/>
        </Transforms>
        <DigestMethod Algorithm="http://www.w3.org/2000/09/xmldsig#sha1"/>
        <DigestValue>ljTTGtw+/ZX3A3ul9NRKP2gww5c=</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7"/>
            <mdssi:RelationshipReference SourceId="rId12"/>
            <mdssi:RelationshipReference SourceId="rId17"/>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q41ddkWAjW9Fxjpk30zzosZkT8A=</DigestValue>
      </Reference>
    </Manifest>
    <SignatureProperties>
      <SignatureProperty Id="idSignatureTime" Target="#idPackageSignature">
        <mdssi:SignatureTime>
          <mdssi:Format>YYYY-MM-DDThh:mm:ssTZD</mdssi:Format>
          <mdssi:Value>2014-11-18T04:28:19Z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Cambiar estándar de negocio y periodicidad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2014-11-18T04:28:19Z</xd:SigningTime>
          <xd:SigningCertificate>
            <xd:Cert>
              <xd:CertDigest>
                <DigestMethod Algorithm="http://www.w3.org/2000/09/xmldsig#sha1"/>
                <DigestValue>hG+dFEpTuDxrjvGO6P0tJ5DDZDw=</DigestValue>
              </xd:CertDigest>
              <xd:IssuerSerial>
                <X509IssuerName>CN=CA SINPE - PERSONA FISICA, OU=DIVISION DE SERVICIOS FINANCIEROS, O=BANCO CENTRAL DE COSTA RICA, C=CR, SERIALNUMBER=4-000-004017</X509IssuerName>
                <X509SerialNumber>388872413570481525027474</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JlgYJKoZIhvcNAQcCoIIJhzCCCYMCAQMxCzAJBgUrDgMCGgUAMGIGCyqGSIb3DQEJEAEEoFMEUTBPAgEBBghggTwBAQEBBTAhMAkGBSsOAwIaBQAEFN1sZiNRNLSOcD6LI7abhRnOFUw6AgMxTP8YDzIwMTQxMTE4MDQyODI1WjAEgAIB9AEB/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qNsdxy8Pxs7+IpKalr7lv1XyfL2R5syoFRun3iPwUh9n0p8Hf95hCOvX2Q5oXmo8gFwFEeyJlBmdrfRJySXI3wVZtqVXzl1N8eoGu5ACUl5DzqR9D0qXa2ZQ3mC44WFRlsQeBksW6dYre63e6Q9GR5lUVEdKHcQ6iriOObcwugTRA6krGTS5vaojHef2sGW7tBgETU8dMKAyxLFsPUw6KoW4C2Oxirp6smr6qHilccZgZ8mkDCmqCIaWF1u8fDBMyjwZMkxkAC/jazI4Fjg1tFUDQwEzfN8VVCsq3eoJY+YkBsVLlOjEtpilAItHuluIEVM1IXI66/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xMTE4MDQyODI1WjAjBgkqhkiG9w0BCQQxFgQUJOhGJA0axIU8/Pagtzo0jwbU/KEwKwYLKoZIhvcNAQkQAgwxHDAaMBgwFgQUUpI2iOELIULzcMUtuK4/KyTk6kMwDQYJKoZIhvcNAQEBBQAEggEATkZZ1yti+M0qXJX/tZJGYriQyw3f8oAZ5KZ8ncHXhysPG+LYUG9HqwPBFBpC6lQQn/W+GKiB2uOS1tHzEWu+056l3eAg0nDfSYmt/xF0ttx9zGK1U83PGclbOKzlinjMLVvHrs445Gn7mGLRNMYjST7XG5B9yOysbxn3eVIp2aTaCC/V9+pZs/FDxOUS2N/h5C224nobw2KQdSRrtT/8pN/1KoKxlkni7mPwiuKa2elxUnzFQBBKXVbCaqvblsMYTB7QRWbLhxlYUR884tsDL5+46PQIi2oXGBpRUwDc8ja3n145CrywJtQCVOo+eMNYj1/VIiN19KKIGNythb6F+g==</xd:EncapsulatedTimeStamp>
          </xd:SignatureTimeStamp>
          <xd:CompleteCertificateRefs>
            <xd:CertRefs>
              <xd:Cert>
                <xd:CertDigest>
                  <DigestMethod Algorithm="http://www.w3.org/2000/09/xmldsig#sha1"/>
                  <DigestValue>qWerd5oGmweCBWnUTpLoaB2h0r4=</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0/09/xmldsig#sha1"/>
                  <DigestValue>LUgs4Am7xp/bOrjyGxZaLqZRMWc=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0/09/xmldsig#sha1"/>
                  <DigestValue>Hz1WgCbjcsEiJEUzozn4bf38+qs=</DigestValue>
                </xd:CertDigest>
                <xd:IssuerSerial>
                  <X509IssuerName>CN=CA RAIZ NACIONAL - COSTA RICA, C=CR, O=MICIT, OU=DCFD, SERIALNUMBER=CPJ-2-100-098311</X509IssuerName>
                  <X509SerialNumber>164790747737892938508956538822974288145</X509SerialNumber>
                </xd:IssuerSerial>
              </xd:Cert>
            </xd:CertRefs>
          </xd:CompleteCertificateRef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CompleteRevocationRefs>
            <xd:OCSPRefs>
              <xd:OCSPRef>
                <xd:OCSPIdentifier>
                  <xd:ResponderID>
                    <xd:ByKey>oQ1GySjr9hIcY8q9hyB4dHKPZeI=</xd:ByKey>
                  </xd:ResponderID>
                  <xd:ProducedAt>2014-11-18T03:57:20Z</xd:ProducedAt>
                </xd:OCSPIdentifier>
                <xd:DigestAlgAndValue>
                  <DigestMethod Algorithm="http://www.w3.org/2000/09/xmldsig#sha1"/>
                  <DigestValue>Q3e9DgGe+G4qc2zvF9xgnaWxtKk=</DigestValue>
                </xd:DigestAlgAndValue>
              </xd:OCSPRef>
            </xd:OCSPRefs>
            <xd:CRLRefs>
              <xd:CRLRef>
                <xd:DigestAlgAndValue>
                  <DigestMethod Algorithm="http://www.w3.org/2000/09/xmldsig#sha1"/>
                  <DigestValue>8RiHXDRf4fuICUWtUHGB3Z2Md+U=</DigestValue>
                </xd:DigestAlgAndValue>
                <xd:CRLIdentifier>
                  <xd:Issuer>CN=CA POLITICA PERSONA FISICA - COSTA RICA, OU=DCFD, O=MICIT, C=CR, SERIALNUMBER=CPJ-2-100-098311</xd:Issuer>
                  <xd:IssueTime>2014-11-03T16:43:13Z</xd:IssueTime>
                </xd:CRLIdentifier>
              </xd:CRLRef>
              <xd:CRLRef>
                <xd:DigestAlgAndValue>
                  <DigestMethod Algorithm="http://www.w3.org/2000/09/xmldsig#sha1"/>
                  <DigestValue>FhfWE9zm2EPZGS9Gy4bsbomYJa4=</DigestValue>
                </xd:DigestAlgAndValue>
                <xd:CRLIdentifier>
                  <xd:Issuer>CN=CA RAIZ NACIONAL - COSTA RICA, C=CR, O=MICIT, OU=DCFD, SERIALNUMBER=CPJ-2-100-098311</xd:Issuer>
                  <xd:IssueTime>2014-11-03T16:26:47Z</xd:IssueTime>
                </xd:CRLIdentifier>
              </xd:CRLRef>
            </xd:CRLRefs>
          </xd:CompleteRevocationRefs>
          <xd:RevocationValues>
            <xd:OCSPValues>
              <xd:EncapsulatedOCSPValue>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</xd:EncapsulatedOCSPValue>
            </xd:OCSPValues>
            <xd:CRLValues>
              <xd:EncapsulatedCRLValue>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</xd:EncapsulatedCRLValue>
              <xd:EncapsulatedCRLValue>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</xd:EncapsulatedCRLValue>
            </xd:CRLValues>
          </xd:RevocationValues>
          <xd:SigAndRefsTimeStamp>
            <CanonicalizationMethod Algorithm="http://www.w3.org/TR/2001/REC-xml-c14n-20010315"/>
            <xd:EncapsulatedTimeStamp>MIIJlgYJKoZIhvcNAQcCoIIJhzCCCYMCAQMxCzAJBgUrDgMCGgUAMGIGCyqGSIb3DQEJEAEEoFMEUTBPAgEBBghggTwBAQEBBTAhMAkGBSsOAwIaBQAEFI4qx92cFm9C7TCGi5vFDGV+BKHbAgMxTQAYDzIwMTQxMTE4MDQyODI2WjAEgAIB9AEB/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qNsdxy8Pxs7+IpKalr7lv1XyfL2R5syoFRun3iPwUh9n0p8Hf95hCOvX2Q5oXmo8gFwFEeyJlBmdrfRJySXI3wVZtqVXzl1N8eoGu5ACUl5DzqR9D0qXa2ZQ3mC44WFRlsQeBksW6dYre63e6Q9GR5lUVEdKHcQ6iriOObcwugTRA6krGTS5vaojHef2sGW7tBgETU8dMKAyxLFsPUw6KoW4C2Oxirp6smr6qHilccZgZ8mkDCmqCIaWF1u8fDBMyjwZMkxkAC/jazI4Fjg1tFUDQwEzfN8VVCsq3eoJY+YkBsVLlOjEtpilAItHuluIEVM1IXI66/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xMTE4MDQyODI2WjAjBgkqhkiG9w0BCQQxFgQUSxOa8xn11OJaOLnnS0fr1XXfrFgwKwYLKoZIhvcNAQkQAgwxHDAaMBgwFgQUUpI2iOELIULzcMUtuK4/KyTk6kMwDQYJKoZIhvcNAQEBBQAEggEAe8JCZIfjtkS1sRpRBJ2Mu4RWKnye30JiI7v8/sakYkkeWwY0sARsiiqnArJ29tLibCbFw4dMvmhnhYmoJBXuI7+SnLtLOOxkJ3hD3ei3WByogUMhlRFZYODpiocgwN2ddb9SFcHqbDS789aaM35jN/AViiSbzU4HIfHEXMy3hGY1Hkh0T8LVzYYx0gSeBG5QQIh+k1kCfylOoN0gNJs8MXQw6qXFsZp6FalK1tGg6ltJQcM2DZoYdJPtmL5VlAHY1aDVsIUfEAXHX59JF+QRTQgimR3//WVyMFNlwLAbplF3FpWeG/foRNqehp86NKvaHi7xqQQtgu5FOvXgaP9gc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9C535-9953-41C0-9AF2-C74C79D1D997}"/>
</file>

<file path=customXml/itemProps2.xml><?xml version="1.0" encoding="utf-8"?>
<ds:datastoreItem xmlns:ds="http://schemas.openxmlformats.org/officeDocument/2006/customXml" ds:itemID="{E7D904B2-DDAE-4997-BA82-8DBAE859B244}"/>
</file>

<file path=customXml/itemProps3.xml><?xml version="1.0" encoding="utf-8"?>
<ds:datastoreItem xmlns:ds="http://schemas.openxmlformats.org/officeDocument/2006/customXml" ds:itemID="{DBAC50CB-527F-4EA1-86FF-6D7270A9FC0F}"/>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4525</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Cambiar estándar de negocio y periodicidad de entrega de información del RUB</vt:lpstr>
    </vt:vector>
  </TitlesOfParts>
  <Company>Superintendencia General de Seguros</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SGS-A-0040-2014   </dc:title>
  <dc:creator>VARGAS GARRO TATIANA</dc:creator>
  <cp:lastModifiedBy>SABORIO ROJAS JUAN CARLOS</cp:lastModifiedBy>
  <cp:revision>2</cp:revision>
  <dcterms:created xsi:type="dcterms:W3CDTF">2014-12-05T21:25:00Z</dcterms:created>
  <dcterms:modified xsi:type="dcterms:W3CDTF">2014-12-05T21:25:00Z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0de3a363-599f-4bf8-bc5a-92ece09ed8be,3;f4a10232-97ae-4210-89ca-c946541e7af0,6;</vt:lpwstr>
  </property>
  <property fmtid="{D5CDD505-2E9C-101B-9397-08002B2CF9AE}" pid="4" name="_MarkAsFinal">
    <vt:bool>true</vt:bool>
  </property>
  <property fmtid="{D5CDD505-2E9C-101B-9397-08002B2CF9AE}" pid="5" name="Order">
    <vt:r8>360600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