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sigs" ContentType="application/vnd.openxmlformats-package.digital-signature-origin"/>
  <Default Extension="jpg" ContentType="image/jpeg"/>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C4CF1D" w14:textId="77777777" w:rsidR="00C00485" w:rsidRDefault="00C00485">
      <w:bookmarkStart w:id="0" w:name="_GoBack"/>
      <w:bookmarkEnd w:id="0"/>
    </w:p>
    <w:p w14:paraId="08C4CF1E" w14:textId="77777777" w:rsidR="00B61426" w:rsidRPr="00161651" w:rsidRDefault="00B61426" w:rsidP="00B61426">
      <w:pPr>
        <w:ind w:left="-567"/>
        <w:jc w:val="both"/>
        <w:rPr>
          <w:rFonts w:asciiTheme="majorHAnsi" w:hAnsiTheme="majorHAnsi"/>
          <w:i/>
          <w:color w:val="000000"/>
        </w:rPr>
      </w:pPr>
      <w:r w:rsidRPr="00161651">
        <w:rPr>
          <w:rFonts w:asciiTheme="majorHAnsi" w:hAnsiTheme="majorHAnsi"/>
          <w:i/>
          <w:color w:val="000000"/>
        </w:rPr>
        <w:t>Tomás Soley Pérez</w:t>
      </w:r>
    </w:p>
    <w:p w14:paraId="08C4CF1F" w14:textId="77777777" w:rsidR="00B61426" w:rsidRPr="00161651" w:rsidRDefault="00B61426" w:rsidP="00B61426">
      <w:pPr>
        <w:ind w:left="-567"/>
        <w:jc w:val="both"/>
        <w:rPr>
          <w:rFonts w:asciiTheme="majorHAnsi" w:hAnsiTheme="majorHAnsi"/>
          <w:i/>
          <w:color w:val="000000"/>
        </w:rPr>
      </w:pPr>
      <w:r w:rsidRPr="00161651">
        <w:rPr>
          <w:rFonts w:asciiTheme="majorHAnsi" w:hAnsiTheme="majorHAnsi"/>
          <w:i/>
          <w:color w:val="000000"/>
        </w:rPr>
        <w:t xml:space="preserve">Superintendente de Seguros </w:t>
      </w:r>
    </w:p>
    <w:p w14:paraId="08C4CF20" w14:textId="77777777" w:rsidR="005A1442" w:rsidRDefault="005A1442" w:rsidP="005A1442">
      <w:pPr>
        <w:ind w:hanging="567"/>
        <w:jc w:val="both"/>
        <w:rPr>
          <w:rFonts w:asciiTheme="majorHAnsi" w:hAnsiTheme="majorHAnsi"/>
          <w:b/>
          <w:i/>
          <w:color w:val="000000"/>
        </w:rPr>
      </w:pPr>
    </w:p>
    <w:p w14:paraId="08C4CF21" w14:textId="77777777" w:rsidR="00E76C75" w:rsidRDefault="00E76C75" w:rsidP="00E76C75">
      <w:pPr>
        <w:pStyle w:val="Textoindependiente"/>
        <w:rPr>
          <w:rFonts w:asciiTheme="majorHAnsi" w:hAnsiTheme="majorHAnsi"/>
          <w:bCs w:val="0"/>
          <w:sz w:val="28"/>
          <w:szCs w:val="28"/>
        </w:rPr>
      </w:pPr>
      <w:r w:rsidRPr="007F0D8F">
        <w:rPr>
          <w:rFonts w:asciiTheme="majorHAnsi" w:hAnsiTheme="majorHAnsi"/>
          <w:bCs w:val="0"/>
          <w:sz w:val="28"/>
          <w:szCs w:val="28"/>
        </w:rPr>
        <w:t>ACUERDO DE SUPERINTENDENTE</w:t>
      </w:r>
    </w:p>
    <w:p w14:paraId="08C4CF22" w14:textId="77777777" w:rsidR="00E76C75" w:rsidRDefault="00E76C75" w:rsidP="00E76C75">
      <w:pPr>
        <w:jc w:val="center"/>
        <w:rPr>
          <w:rFonts w:asciiTheme="majorHAnsi" w:hAnsiTheme="majorHAnsi"/>
          <w:b/>
          <w:i/>
          <w:color w:val="000000"/>
        </w:rPr>
      </w:pPr>
    </w:p>
    <w:p w14:paraId="08C4CF23" w14:textId="77777777" w:rsidR="00E76C75" w:rsidRDefault="00E76C75" w:rsidP="00E76C75">
      <w:pPr>
        <w:jc w:val="center"/>
        <w:rPr>
          <w:rFonts w:asciiTheme="majorHAnsi" w:hAnsiTheme="majorHAnsi"/>
          <w:b/>
          <w:i/>
          <w:color w:val="000000"/>
        </w:rPr>
      </w:pPr>
    </w:p>
    <w:p w14:paraId="08C4CF24" w14:textId="77777777" w:rsidR="00E76C75" w:rsidRPr="000D4BBF" w:rsidRDefault="00E76C75" w:rsidP="00E76C75">
      <w:pPr>
        <w:jc w:val="center"/>
        <w:rPr>
          <w:rFonts w:asciiTheme="majorHAnsi" w:hAnsiTheme="majorHAnsi"/>
          <w:b/>
          <w:i/>
          <w:color w:val="000000"/>
        </w:rPr>
      </w:pPr>
      <w:r w:rsidRPr="000D4BBF">
        <w:rPr>
          <w:rFonts w:asciiTheme="majorHAnsi" w:hAnsiTheme="majorHAnsi"/>
          <w:b/>
          <w:i/>
          <w:color w:val="000000"/>
        </w:rPr>
        <w:t>SGS-</w:t>
      </w:r>
      <w:r>
        <w:rPr>
          <w:rFonts w:asciiTheme="majorHAnsi" w:hAnsiTheme="majorHAnsi"/>
          <w:b/>
          <w:i/>
          <w:color w:val="000000"/>
        </w:rPr>
        <w:t>DES-A</w:t>
      </w:r>
      <w:r w:rsidRPr="000D4BBF">
        <w:rPr>
          <w:rFonts w:asciiTheme="majorHAnsi" w:hAnsiTheme="majorHAnsi"/>
          <w:b/>
          <w:i/>
          <w:color w:val="000000"/>
        </w:rPr>
        <w:t>-</w:t>
      </w:r>
      <w:r w:rsidR="00A87A56">
        <w:rPr>
          <w:rFonts w:asciiTheme="majorHAnsi" w:hAnsiTheme="majorHAnsi"/>
          <w:b/>
          <w:i/>
          <w:color w:val="000000"/>
        </w:rPr>
        <w:t>039</w:t>
      </w:r>
      <w:r w:rsidRPr="000D4BBF">
        <w:rPr>
          <w:rFonts w:asciiTheme="majorHAnsi" w:hAnsiTheme="majorHAnsi"/>
          <w:b/>
          <w:i/>
          <w:color w:val="000000"/>
        </w:rPr>
        <w:t>-2014</w:t>
      </w:r>
    </w:p>
    <w:p w14:paraId="08C4CF25" w14:textId="77777777" w:rsidR="00E76C75" w:rsidRPr="000D4BBF" w:rsidRDefault="00E76C75" w:rsidP="00E76C75">
      <w:pPr>
        <w:jc w:val="center"/>
        <w:rPr>
          <w:rFonts w:asciiTheme="majorHAnsi" w:hAnsiTheme="majorHAnsi"/>
          <w:color w:val="000000"/>
        </w:rPr>
      </w:pPr>
    </w:p>
    <w:p w14:paraId="08C4CF26" w14:textId="77777777" w:rsidR="00E76C75" w:rsidRPr="000D4BBF" w:rsidRDefault="00E76C75" w:rsidP="00E76C75">
      <w:pPr>
        <w:jc w:val="center"/>
        <w:rPr>
          <w:rFonts w:asciiTheme="majorHAnsi" w:hAnsiTheme="majorHAnsi"/>
          <w:color w:val="000000"/>
        </w:rPr>
      </w:pPr>
    </w:p>
    <w:p w14:paraId="08C4CF27" w14:textId="77777777" w:rsidR="00E76C75" w:rsidRPr="000D4BBF" w:rsidRDefault="00E76C75" w:rsidP="00E76C75">
      <w:pPr>
        <w:jc w:val="center"/>
        <w:rPr>
          <w:rFonts w:asciiTheme="majorHAnsi" w:hAnsiTheme="majorHAnsi"/>
          <w:b/>
          <w:color w:val="000000"/>
        </w:rPr>
      </w:pPr>
      <w:r w:rsidRPr="000D4BBF">
        <w:rPr>
          <w:rFonts w:asciiTheme="majorHAnsi" w:hAnsiTheme="majorHAnsi"/>
          <w:b/>
          <w:color w:val="000000"/>
        </w:rPr>
        <w:t xml:space="preserve">Modificación al acuerdo SGS-DES-A-021-2013 </w:t>
      </w:r>
      <w:r w:rsidRPr="000D4BBF">
        <w:rPr>
          <w:rFonts w:asciiTheme="majorHAnsi" w:hAnsiTheme="majorHAnsi"/>
          <w:b/>
          <w:i/>
          <w:color w:val="000000"/>
        </w:rPr>
        <w:t>“Disposiciones para la Remisión de la Información Contable y Estadística a la Superintendencia General de Seguros por parte de las Entidades Supervisadas”</w:t>
      </w:r>
      <w:r w:rsidRPr="000D4BBF">
        <w:rPr>
          <w:rFonts w:asciiTheme="majorHAnsi" w:hAnsiTheme="majorHAnsi"/>
          <w:b/>
          <w:color w:val="000000"/>
        </w:rPr>
        <w:t xml:space="preserve">, </w:t>
      </w:r>
      <w:r w:rsidRPr="00FB2599">
        <w:rPr>
          <w:rFonts w:asciiTheme="majorHAnsi" w:hAnsiTheme="majorHAnsi"/>
          <w:b/>
          <w:color w:val="000000"/>
        </w:rPr>
        <w:t>para la remisión de información para el  Registro Seguro Obligatorio de Vehículos Automotores (SOA) y la información sobre siniestralidad del SOA</w:t>
      </w:r>
      <w:r w:rsidRPr="000D4BBF">
        <w:rPr>
          <w:rFonts w:asciiTheme="majorHAnsi" w:hAnsiTheme="majorHAnsi"/>
          <w:b/>
          <w:color w:val="000000"/>
        </w:rPr>
        <w:t>.</w:t>
      </w:r>
    </w:p>
    <w:p w14:paraId="08C4CF28" w14:textId="77777777" w:rsidR="00E76C75" w:rsidRDefault="00E76C75" w:rsidP="00E76C75">
      <w:pPr>
        <w:jc w:val="both"/>
        <w:rPr>
          <w:rFonts w:asciiTheme="majorHAnsi" w:hAnsiTheme="majorHAnsi"/>
          <w:color w:val="000000"/>
        </w:rPr>
      </w:pPr>
    </w:p>
    <w:p w14:paraId="08C4CF29" w14:textId="77777777" w:rsidR="00E76C75" w:rsidRDefault="00E76C75" w:rsidP="00E76C75">
      <w:pPr>
        <w:jc w:val="both"/>
        <w:rPr>
          <w:rFonts w:asciiTheme="majorHAnsi" w:hAnsiTheme="majorHAnsi"/>
          <w:color w:val="000000"/>
        </w:rPr>
      </w:pPr>
    </w:p>
    <w:p w14:paraId="08C4CF2A" w14:textId="77777777" w:rsidR="00E76C75" w:rsidRDefault="00E76C75" w:rsidP="00E76C75">
      <w:pPr>
        <w:jc w:val="both"/>
        <w:rPr>
          <w:rFonts w:asciiTheme="majorHAnsi" w:hAnsiTheme="majorHAnsi"/>
          <w:color w:val="000000"/>
        </w:rPr>
      </w:pPr>
    </w:p>
    <w:p w14:paraId="08C4CF2B" w14:textId="77777777" w:rsidR="00E76C75" w:rsidRDefault="00E76C75" w:rsidP="00E76C75">
      <w:pPr>
        <w:jc w:val="both"/>
        <w:rPr>
          <w:rFonts w:asciiTheme="majorHAnsi" w:hAnsiTheme="majorHAnsi"/>
          <w:color w:val="000000"/>
        </w:rPr>
      </w:pPr>
      <w:r w:rsidRPr="00A21485">
        <w:rPr>
          <w:rFonts w:asciiTheme="majorHAnsi" w:hAnsiTheme="majorHAnsi"/>
          <w:color w:val="000000"/>
        </w:rPr>
        <w:t xml:space="preserve">El Superintendente General de Seguros, a las </w:t>
      </w:r>
      <w:r w:rsidR="00A87A56">
        <w:rPr>
          <w:rFonts w:asciiTheme="majorHAnsi" w:hAnsiTheme="majorHAnsi"/>
          <w:color w:val="000000"/>
        </w:rPr>
        <w:t>nueve</w:t>
      </w:r>
      <w:r w:rsidRPr="00A21485">
        <w:rPr>
          <w:rFonts w:asciiTheme="majorHAnsi" w:hAnsiTheme="majorHAnsi"/>
          <w:color w:val="000000"/>
        </w:rPr>
        <w:t xml:space="preserve"> horas del </w:t>
      </w:r>
      <w:r w:rsidR="00A87A56">
        <w:rPr>
          <w:rFonts w:asciiTheme="majorHAnsi" w:hAnsiTheme="majorHAnsi"/>
          <w:color w:val="000000"/>
        </w:rPr>
        <w:t>diecisiete</w:t>
      </w:r>
      <w:r w:rsidRPr="00A21485">
        <w:rPr>
          <w:rFonts w:asciiTheme="majorHAnsi" w:hAnsiTheme="majorHAnsi"/>
          <w:color w:val="000000"/>
        </w:rPr>
        <w:t xml:space="preserve"> </w:t>
      </w:r>
      <w:r>
        <w:rPr>
          <w:rFonts w:asciiTheme="majorHAnsi" w:hAnsiTheme="majorHAnsi"/>
          <w:color w:val="000000"/>
        </w:rPr>
        <w:t xml:space="preserve">de noviembre de dos mil </w:t>
      </w:r>
      <w:r w:rsidR="00A87A56">
        <w:rPr>
          <w:rFonts w:asciiTheme="majorHAnsi" w:hAnsiTheme="majorHAnsi"/>
          <w:color w:val="000000"/>
        </w:rPr>
        <w:t>ca</w:t>
      </w:r>
      <w:r>
        <w:rPr>
          <w:rFonts w:asciiTheme="majorHAnsi" w:hAnsiTheme="majorHAnsi"/>
          <w:color w:val="000000"/>
        </w:rPr>
        <w:t>torce</w:t>
      </w:r>
    </w:p>
    <w:p w14:paraId="08C4CF2C" w14:textId="77777777" w:rsidR="00E76C75" w:rsidRDefault="00E76C75" w:rsidP="00E76C75">
      <w:pPr>
        <w:jc w:val="both"/>
        <w:rPr>
          <w:rFonts w:asciiTheme="majorHAnsi" w:hAnsiTheme="majorHAnsi"/>
          <w:color w:val="000000"/>
        </w:rPr>
      </w:pPr>
    </w:p>
    <w:p w14:paraId="08C4CF2D" w14:textId="77777777" w:rsidR="00E76C75" w:rsidRPr="00A21485" w:rsidRDefault="00E76C75" w:rsidP="00E76C75">
      <w:pPr>
        <w:jc w:val="center"/>
        <w:rPr>
          <w:rFonts w:asciiTheme="majorHAnsi" w:hAnsiTheme="majorHAnsi"/>
          <w:b/>
          <w:color w:val="000000"/>
        </w:rPr>
      </w:pPr>
      <w:r w:rsidRPr="00A21485">
        <w:rPr>
          <w:rFonts w:asciiTheme="majorHAnsi" w:hAnsiTheme="majorHAnsi"/>
          <w:b/>
          <w:color w:val="000000"/>
        </w:rPr>
        <w:t>Considerando que:</w:t>
      </w:r>
    </w:p>
    <w:p w14:paraId="08C4CF2E" w14:textId="77777777" w:rsidR="00E76C75" w:rsidRPr="00A21485" w:rsidRDefault="00E76C75" w:rsidP="00E76C75">
      <w:pPr>
        <w:jc w:val="both"/>
        <w:rPr>
          <w:rFonts w:asciiTheme="majorHAnsi" w:hAnsiTheme="majorHAnsi"/>
          <w:color w:val="000000"/>
        </w:rPr>
      </w:pPr>
      <w:r w:rsidRPr="00A21485">
        <w:rPr>
          <w:rFonts w:asciiTheme="majorHAnsi" w:hAnsiTheme="majorHAnsi"/>
          <w:color w:val="000000"/>
        </w:rPr>
        <w:t xml:space="preserve"> </w:t>
      </w:r>
    </w:p>
    <w:p w14:paraId="08C4CF2F" w14:textId="77777777" w:rsidR="00E76C75" w:rsidRPr="00BC08E3" w:rsidRDefault="00E76C75" w:rsidP="00E76C75">
      <w:pPr>
        <w:pStyle w:val="Prrafodelista"/>
        <w:numPr>
          <w:ilvl w:val="0"/>
          <w:numId w:val="3"/>
        </w:numPr>
        <w:ind w:left="567" w:hanging="567"/>
        <w:jc w:val="both"/>
        <w:rPr>
          <w:rFonts w:asciiTheme="majorHAnsi" w:hAnsiTheme="majorHAnsi"/>
          <w:i/>
          <w:color w:val="000000"/>
        </w:rPr>
      </w:pPr>
      <w:r w:rsidRPr="00A21485">
        <w:rPr>
          <w:rFonts w:asciiTheme="majorHAnsi" w:hAnsiTheme="majorHAnsi"/>
          <w:color w:val="000000"/>
        </w:rPr>
        <w:t xml:space="preserve">La Superintendencia General de Seguros (en adelante </w:t>
      </w:r>
      <w:proofErr w:type="spellStart"/>
      <w:r w:rsidRPr="00A21485">
        <w:rPr>
          <w:rFonts w:asciiTheme="majorHAnsi" w:hAnsiTheme="majorHAnsi"/>
          <w:color w:val="000000"/>
        </w:rPr>
        <w:t>S</w:t>
      </w:r>
      <w:r>
        <w:rPr>
          <w:rFonts w:asciiTheme="majorHAnsi" w:hAnsiTheme="majorHAnsi"/>
          <w:color w:val="000000"/>
        </w:rPr>
        <w:t>ugese</w:t>
      </w:r>
      <w:proofErr w:type="spellEnd"/>
      <w:r w:rsidRPr="00A21485">
        <w:rPr>
          <w:rFonts w:asciiTheme="majorHAnsi" w:hAnsiTheme="majorHAnsi"/>
          <w:color w:val="000000"/>
        </w:rPr>
        <w:t xml:space="preserve">) debe disponer de información, en los plazos, formatos y medios que le permita cumplir con el objetivo definido en el artículo 29, de la Ley Reguladora del Mercado de Seguros, Ley N° 8653, de </w:t>
      </w:r>
      <w:r w:rsidRPr="00BC08E3">
        <w:rPr>
          <w:rFonts w:asciiTheme="majorHAnsi" w:hAnsiTheme="majorHAnsi"/>
          <w:i/>
          <w:color w:val="000000"/>
        </w:rPr>
        <w:t>“velar por la estabilidad y el eficiente funcionamiento del mercado de seguros, así como entregar la más amplia información a los asegurados”.</w:t>
      </w:r>
    </w:p>
    <w:p w14:paraId="08C4CF30" w14:textId="77777777" w:rsidR="00E76C75" w:rsidRPr="00A21485" w:rsidRDefault="00E76C75" w:rsidP="00E76C75">
      <w:pPr>
        <w:pStyle w:val="Prrafodelista"/>
        <w:ind w:left="567" w:hanging="567"/>
        <w:jc w:val="both"/>
        <w:rPr>
          <w:rFonts w:asciiTheme="majorHAnsi" w:hAnsiTheme="majorHAnsi"/>
          <w:color w:val="000000"/>
        </w:rPr>
      </w:pPr>
    </w:p>
    <w:p w14:paraId="08C4CF31" w14:textId="77777777" w:rsidR="00E76C75" w:rsidRPr="00A21485" w:rsidRDefault="00E76C75" w:rsidP="00E76C75">
      <w:pPr>
        <w:pStyle w:val="Prrafodelista"/>
        <w:numPr>
          <w:ilvl w:val="0"/>
          <w:numId w:val="3"/>
        </w:numPr>
        <w:ind w:left="567" w:hanging="567"/>
        <w:jc w:val="both"/>
        <w:rPr>
          <w:rFonts w:asciiTheme="majorHAnsi" w:hAnsiTheme="majorHAnsi"/>
          <w:color w:val="000000"/>
        </w:rPr>
      </w:pPr>
      <w:r w:rsidRPr="00A21485">
        <w:rPr>
          <w:rFonts w:asciiTheme="majorHAnsi" w:hAnsiTheme="majorHAnsi"/>
          <w:color w:val="000000"/>
        </w:rPr>
        <w:t xml:space="preserve">De conformidad con el artículo 25 incisos c), r) y t) de la Ley N° 8653, las entidades aseguradoras y reaseguradoras están obligados a proporcionar a la Superintendencia la información correcta y completa. Adicionalmente el último párrafo del artículo mencionado establece que </w:t>
      </w:r>
      <w:r w:rsidRPr="00A21485">
        <w:rPr>
          <w:rFonts w:asciiTheme="majorHAnsi" w:hAnsiTheme="majorHAnsi"/>
          <w:i/>
          <w:color w:val="000000"/>
        </w:rPr>
        <w:t>“Para las obligaciones señaladas en este artículo,  el Consejo Nacional y la Superintendencia, según corresponda, podrán emitir la normativa necesaria que determine el contenido de las obligaciones, la periodicidad, las condiciones, los formatos, los términos, la operatividad y en general, cualquier aspecto necesario para su efectivo cumplimiento, supervisión, verificación y sanción en caso de inobservancia.”</w:t>
      </w:r>
    </w:p>
    <w:p w14:paraId="08C4CF32" w14:textId="77777777" w:rsidR="00E76C75" w:rsidRDefault="00E76C75" w:rsidP="00E76C75">
      <w:pPr>
        <w:pStyle w:val="Prrafodelista"/>
        <w:ind w:left="567" w:hanging="567"/>
        <w:rPr>
          <w:rFonts w:asciiTheme="majorHAnsi" w:hAnsiTheme="majorHAnsi"/>
          <w:color w:val="000000"/>
        </w:rPr>
      </w:pPr>
    </w:p>
    <w:p w14:paraId="08C4CF33" w14:textId="77777777" w:rsidR="00E76C75" w:rsidRPr="00A21485" w:rsidRDefault="00E76C75" w:rsidP="00E76C75">
      <w:pPr>
        <w:ind w:left="567" w:hanging="567"/>
        <w:jc w:val="both"/>
        <w:rPr>
          <w:rFonts w:asciiTheme="majorHAnsi" w:hAnsiTheme="majorHAnsi"/>
          <w:color w:val="000000"/>
        </w:rPr>
      </w:pPr>
    </w:p>
    <w:p w14:paraId="08C4CF34" w14:textId="77777777" w:rsidR="00E76C75" w:rsidRDefault="00E76C75" w:rsidP="00E76C75">
      <w:pPr>
        <w:pStyle w:val="Prrafodelista"/>
        <w:numPr>
          <w:ilvl w:val="0"/>
          <w:numId w:val="3"/>
        </w:numPr>
        <w:ind w:left="567" w:hanging="567"/>
        <w:jc w:val="both"/>
        <w:rPr>
          <w:rFonts w:asciiTheme="majorHAnsi" w:hAnsiTheme="majorHAnsi"/>
          <w:color w:val="000000"/>
        </w:rPr>
      </w:pPr>
      <w:r w:rsidRPr="00A21485">
        <w:rPr>
          <w:rFonts w:asciiTheme="majorHAnsi" w:hAnsiTheme="majorHAnsi"/>
          <w:color w:val="000000"/>
        </w:rPr>
        <w:lastRenderedPageBreak/>
        <w:t>La remisión de  información de manera periódica, constituye una herramienta fundamental para las labores de supervisión y control desarrolladas por la Superintendencia en cumplimiento de lo requerido por el ordenamiento jurídico.  De acuerdo con el principio 9 de IAIS, relacionado con la Revisión del supervisor, para una supervisión efectiva, la entidad supervisora debe obtener la información necesaria para llevar a cabo sus labores de supervisar y analizar a las aseguradoras y evaluar el mercado de seguros.  Para cumplir con lo señalado en ese mismo principio se indican como prácticas adecuadas las siguientes:  establecer requisitos para la presentación de información financiera y estadística, informes actuariales, informes de solvencia y otro tipo de información, en forma regular, sistemática e integral para la totalidad de las entidades participantes;  definir el alcance, contenido y frecuencia de los referidos informes e información; solicitar información adicional de manera más frecuente y detallada según ello sea oportuno y establecer procedimientos y pautas escritas para la realización de informes entregados al supervisor.</w:t>
      </w:r>
    </w:p>
    <w:p w14:paraId="08C4CF35" w14:textId="77777777" w:rsidR="00E76C75" w:rsidRPr="00A21485" w:rsidRDefault="00E76C75" w:rsidP="00E76C75">
      <w:pPr>
        <w:pStyle w:val="Prrafodelista"/>
        <w:ind w:left="567" w:hanging="567"/>
        <w:jc w:val="both"/>
        <w:rPr>
          <w:rFonts w:asciiTheme="majorHAnsi" w:hAnsiTheme="majorHAnsi"/>
          <w:color w:val="000000"/>
        </w:rPr>
      </w:pPr>
    </w:p>
    <w:p w14:paraId="08C4CF36" w14:textId="77777777" w:rsidR="00E76C75" w:rsidRDefault="00E76C75" w:rsidP="00E76C75">
      <w:pPr>
        <w:pStyle w:val="Prrafodelista"/>
        <w:numPr>
          <w:ilvl w:val="0"/>
          <w:numId w:val="3"/>
        </w:numPr>
        <w:ind w:left="567" w:hanging="567"/>
        <w:jc w:val="both"/>
        <w:rPr>
          <w:rFonts w:asciiTheme="majorHAnsi" w:hAnsiTheme="majorHAnsi"/>
          <w:color w:val="000000"/>
        </w:rPr>
      </w:pPr>
      <w:r w:rsidRPr="00A21485">
        <w:rPr>
          <w:rFonts w:asciiTheme="majorHAnsi" w:hAnsiTheme="majorHAnsi"/>
          <w:color w:val="000000"/>
        </w:rPr>
        <w:t xml:space="preserve">Según el artículo 29 de la Ley N° 8653, al Superintendente le será aplicable el artículo 180 de la Ley Reguladora del Mercado de Valores, el cual dispone a la Superintendencia General de Seguros poder utilizar medios electrónicos o magnéticos de transmisión y almacenamiento de datos, para solicitar información a las entidades supervisadas y para mantener sus archivos, actas y demás documentos. La información así mantenida tiene valor probatorio equivalente al de los documentos para todos los efectos legales. </w:t>
      </w:r>
    </w:p>
    <w:p w14:paraId="08C4CF37" w14:textId="77777777" w:rsidR="00E76C75" w:rsidRPr="00A21485" w:rsidRDefault="00E76C75" w:rsidP="00E76C75">
      <w:pPr>
        <w:ind w:left="567" w:hanging="567"/>
        <w:jc w:val="both"/>
        <w:rPr>
          <w:rFonts w:asciiTheme="majorHAnsi" w:hAnsiTheme="majorHAnsi"/>
          <w:color w:val="000000"/>
        </w:rPr>
      </w:pPr>
    </w:p>
    <w:p w14:paraId="08C4CF38" w14:textId="77777777" w:rsidR="00E76C75" w:rsidRDefault="00E76C75" w:rsidP="00E76C75">
      <w:pPr>
        <w:pStyle w:val="Prrafodelista"/>
        <w:numPr>
          <w:ilvl w:val="0"/>
          <w:numId w:val="3"/>
        </w:numPr>
        <w:ind w:left="567" w:hanging="567"/>
        <w:jc w:val="both"/>
        <w:rPr>
          <w:rFonts w:asciiTheme="majorHAnsi" w:hAnsiTheme="majorHAnsi"/>
          <w:color w:val="000000"/>
        </w:rPr>
      </w:pPr>
      <w:r w:rsidRPr="00A21485">
        <w:rPr>
          <w:rFonts w:asciiTheme="majorHAnsi" w:hAnsiTheme="majorHAnsi"/>
          <w:color w:val="000000"/>
        </w:rPr>
        <w:t xml:space="preserve">El Superintendente de Seguros, mediante acuerdo SGS-DES-A-021-2013, de diecisiete horas del veintitrés de mayo de dos mil trece, emitió las </w:t>
      </w:r>
      <w:r w:rsidRPr="00BC08E3">
        <w:rPr>
          <w:rFonts w:asciiTheme="majorHAnsi" w:hAnsiTheme="majorHAnsi"/>
          <w:i/>
          <w:color w:val="000000"/>
        </w:rPr>
        <w:t>Disposiciones para la Remisión de la Información Contable y Estadística a la Superintendencia General de Seguros por parte de las Entidades Supervisadas</w:t>
      </w:r>
      <w:r w:rsidRPr="00A21485">
        <w:rPr>
          <w:rFonts w:asciiTheme="majorHAnsi" w:hAnsiTheme="majorHAnsi"/>
          <w:color w:val="000000"/>
        </w:rPr>
        <w:t>,  cuyo alcance se refiere a la remisión de información contable y estadística y es aplicable a las entidades de seguros y a los intermediarios de seguros supervisados por la Superintendencia General de Seguros.</w:t>
      </w:r>
    </w:p>
    <w:p w14:paraId="08C4CF39" w14:textId="77777777" w:rsidR="00E76C75" w:rsidRPr="00A21485" w:rsidRDefault="00E76C75" w:rsidP="00E76C75">
      <w:pPr>
        <w:ind w:left="567" w:hanging="567"/>
        <w:jc w:val="both"/>
        <w:rPr>
          <w:rFonts w:asciiTheme="majorHAnsi" w:hAnsiTheme="majorHAnsi"/>
          <w:color w:val="000000"/>
        </w:rPr>
      </w:pPr>
    </w:p>
    <w:p w14:paraId="08C4CF3A" w14:textId="77777777" w:rsidR="00E76C75" w:rsidRDefault="00E76C75" w:rsidP="00E76C75">
      <w:pPr>
        <w:pStyle w:val="Prrafodelista"/>
        <w:numPr>
          <w:ilvl w:val="0"/>
          <w:numId w:val="3"/>
        </w:numPr>
        <w:ind w:left="567" w:hanging="567"/>
        <w:jc w:val="both"/>
        <w:rPr>
          <w:rFonts w:asciiTheme="majorHAnsi" w:hAnsiTheme="majorHAnsi"/>
          <w:color w:val="000000"/>
        </w:rPr>
      </w:pPr>
      <w:r w:rsidRPr="00A21485">
        <w:rPr>
          <w:rFonts w:asciiTheme="majorHAnsi" w:hAnsiTheme="majorHAnsi"/>
          <w:color w:val="000000"/>
        </w:rPr>
        <w:t xml:space="preserve">Que la Superintendencia General de Seguros, dispone en su sitio en Internet, </w:t>
      </w:r>
      <w:hyperlink r:id="rId11" w:history="1">
        <w:r w:rsidRPr="007E4BC1">
          <w:rPr>
            <w:rStyle w:val="Hipervnculo"/>
            <w:rFonts w:asciiTheme="majorHAnsi" w:hAnsiTheme="majorHAnsi"/>
          </w:rPr>
          <w:t>www.sugese.fi.cr</w:t>
        </w:r>
      </w:hyperlink>
      <w:r>
        <w:rPr>
          <w:rFonts w:asciiTheme="majorHAnsi" w:hAnsiTheme="majorHAnsi"/>
          <w:color w:val="000000"/>
        </w:rPr>
        <w:t xml:space="preserve"> </w:t>
      </w:r>
      <w:r w:rsidRPr="00A21485">
        <w:rPr>
          <w:rFonts w:asciiTheme="majorHAnsi" w:hAnsiTheme="majorHAnsi"/>
          <w:color w:val="000000"/>
        </w:rPr>
        <w:t xml:space="preserve">, de un portal o plataforma de negocios, denominado </w:t>
      </w:r>
      <w:proofErr w:type="spellStart"/>
      <w:r w:rsidRPr="00A21485">
        <w:rPr>
          <w:rFonts w:asciiTheme="majorHAnsi" w:hAnsiTheme="majorHAnsi"/>
          <w:color w:val="000000"/>
        </w:rPr>
        <w:t>Sugese</w:t>
      </w:r>
      <w:proofErr w:type="spellEnd"/>
      <w:r w:rsidRPr="00A21485">
        <w:rPr>
          <w:rFonts w:asciiTheme="majorHAnsi" w:hAnsiTheme="majorHAnsi"/>
          <w:color w:val="000000"/>
        </w:rPr>
        <w:t xml:space="preserve"> en Línea, que le permite gestionar, de forma más ágil y eficiente los trámites que hacen los supervisados o el público en general ante la Superintendencia,  así como facilitar el cumplimiento de las funciones establecidas en la Ley.</w:t>
      </w:r>
    </w:p>
    <w:p w14:paraId="08C4CF3B" w14:textId="77777777" w:rsidR="00E76C75" w:rsidRPr="00A21485" w:rsidRDefault="00E76C75" w:rsidP="00E76C75">
      <w:pPr>
        <w:pStyle w:val="Prrafodelista"/>
        <w:ind w:left="567" w:hanging="567"/>
        <w:rPr>
          <w:rFonts w:asciiTheme="majorHAnsi" w:hAnsiTheme="majorHAnsi"/>
          <w:color w:val="000000"/>
        </w:rPr>
      </w:pPr>
    </w:p>
    <w:p w14:paraId="08C4CF3C" w14:textId="77777777" w:rsidR="00E76C75" w:rsidRPr="00A21485" w:rsidRDefault="00E76C75" w:rsidP="00E76C75">
      <w:pPr>
        <w:ind w:left="567" w:hanging="567"/>
        <w:jc w:val="both"/>
        <w:rPr>
          <w:rFonts w:asciiTheme="majorHAnsi" w:hAnsiTheme="majorHAnsi"/>
          <w:color w:val="000000"/>
        </w:rPr>
      </w:pPr>
    </w:p>
    <w:p w14:paraId="08C4CF3D" w14:textId="77777777" w:rsidR="00E76C75" w:rsidRDefault="00E76C75" w:rsidP="00E76C75">
      <w:pPr>
        <w:pStyle w:val="Prrafodelista"/>
        <w:numPr>
          <w:ilvl w:val="0"/>
          <w:numId w:val="3"/>
        </w:numPr>
        <w:ind w:left="567" w:hanging="567"/>
        <w:jc w:val="both"/>
        <w:rPr>
          <w:rFonts w:asciiTheme="majorHAnsi" w:hAnsiTheme="majorHAnsi"/>
          <w:color w:val="000000"/>
        </w:rPr>
      </w:pPr>
      <w:r w:rsidRPr="00A21485">
        <w:rPr>
          <w:rFonts w:asciiTheme="majorHAnsi" w:hAnsiTheme="majorHAnsi"/>
          <w:color w:val="000000"/>
        </w:rPr>
        <w:lastRenderedPageBreak/>
        <w:t xml:space="preserve">La reforma integral a la Ley de Tránsito por Vías Públicas Terrestres y Seguridad Vial (N° 9078) publicada en el diario oficial La Gaceta del 04 de octubre de 2012, impuso a la Superintendencia en su artículo 61, la obligación de crear y mantener un registro público de vehículos asegurados con el seguro obligatorio, así como el deber de garantizar el acceso oportuno a la información de éste y estableció, asimismo, la obligación de las entidades aseguradoras de remitir a la Superintendencia la información necesaria para cumplir la finalidad de la ley. </w:t>
      </w:r>
    </w:p>
    <w:p w14:paraId="08C4CF3E" w14:textId="77777777" w:rsidR="00E76C75" w:rsidRPr="00A21485" w:rsidRDefault="00E76C75" w:rsidP="00E76C75">
      <w:pPr>
        <w:pStyle w:val="Prrafodelista"/>
        <w:ind w:left="567" w:hanging="567"/>
        <w:jc w:val="both"/>
        <w:rPr>
          <w:rFonts w:asciiTheme="majorHAnsi" w:hAnsiTheme="majorHAnsi"/>
          <w:color w:val="000000"/>
        </w:rPr>
      </w:pPr>
    </w:p>
    <w:p w14:paraId="08C4CF3F" w14:textId="77777777" w:rsidR="00E76C75" w:rsidRDefault="00E76C75" w:rsidP="00E76C75">
      <w:pPr>
        <w:pStyle w:val="Prrafodelista"/>
        <w:numPr>
          <w:ilvl w:val="0"/>
          <w:numId w:val="3"/>
        </w:numPr>
        <w:ind w:left="567" w:hanging="567"/>
        <w:jc w:val="both"/>
        <w:rPr>
          <w:rFonts w:asciiTheme="majorHAnsi" w:hAnsiTheme="majorHAnsi"/>
          <w:color w:val="000000"/>
        </w:rPr>
      </w:pPr>
      <w:r w:rsidRPr="00A21485">
        <w:rPr>
          <w:rFonts w:asciiTheme="majorHAnsi" w:hAnsiTheme="majorHAnsi"/>
          <w:color w:val="000000"/>
        </w:rPr>
        <w:t xml:space="preserve">La información del Registro Seguro Obligatorio de Vehículos Automotores (SOA) puede ser remitida por las aseguradoras a través de la plataforma </w:t>
      </w:r>
      <w:proofErr w:type="spellStart"/>
      <w:r w:rsidRPr="00BC08E3">
        <w:rPr>
          <w:rFonts w:asciiTheme="majorHAnsi" w:hAnsiTheme="majorHAnsi"/>
          <w:i/>
          <w:color w:val="000000"/>
        </w:rPr>
        <w:t>Sugese</w:t>
      </w:r>
      <w:proofErr w:type="spellEnd"/>
      <w:r w:rsidRPr="00BC08E3">
        <w:rPr>
          <w:rFonts w:asciiTheme="majorHAnsi" w:hAnsiTheme="majorHAnsi"/>
          <w:i/>
          <w:color w:val="000000"/>
        </w:rPr>
        <w:t xml:space="preserve"> en Línea</w:t>
      </w:r>
      <w:r w:rsidRPr="00A21485">
        <w:rPr>
          <w:rFonts w:asciiTheme="majorHAnsi" w:hAnsiTheme="majorHAnsi"/>
          <w:color w:val="000000"/>
        </w:rPr>
        <w:t>, por medio de la cual envían y procesan la información requerida por la Superintendencia.</w:t>
      </w:r>
    </w:p>
    <w:p w14:paraId="08C4CF40" w14:textId="77777777" w:rsidR="00E76C75" w:rsidRPr="00A21485" w:rsidRDefault="00E76C75" w:rsidP="00E76C75">
      <w:pPr>
        <w:ind w:left="567" w:hanging="567"/>
        <w:jc w:val="both"/>
        <w:rPr>
          <w:rFonts w:asciiTheme="majorHAnsi" w:hAnsiTheme="majorHAnsi"/>
          <w:color w:val="000000"/>
        </w:rPr>
      </w:pPr>
    </w:p>
    <w:p w14:paraId="08C4CF41" w14:textId="77777777" w:rsidR="00E76C75" w:rsidRDefault="00E76C75" w:rsidP="00E76C75">
      <w:pPr>
        <w:pStyle w:val="Prrafodelista"/>
        <w:numPr>
          <w:ilvl w:val="0"/>
          <w:numId w:val="3"/>
        </w:numPr>
        <w:ind w:left="567" w:hanging="567"/>
        <w:jc w:val="both"/>
        <w:rPr>
          <w:rFonts w:asciiTheme="majorHAnsi" w:hAnsiTheme="majorHAnsi"/>
          <w:color w:val="000000"/>
        </w:rPr>
      </w:pPr>
      <w:r w:rsidRPr="00A21485">
        <w:rPr>
          <w:rFonts w:asciiTheme="majorHAnsi" w:hAnsiTheme="majorHAnsi"/>
          <w:color w:val="000000"/>
        </w:rPr>
        <w:t xml:space="preserve">Mediante oficio SGS-DES-O-1726-2013 del 14 de octubre de 2013, se envió a consulta de las aseguradoras el proyecto de modificación al acuerdo de marras, en los términos del inciso 2) del artículo 361 de la Ley General de la Administración Pública, para lo cual se concedió un  plazo de diez días.  </w:t>
      </w:r>
    </w:p>
    <w:p w14:paraId="08C4CF42" w14:textId="77777777" w:rsidR="00E76C75" w:rsidRPr="00A21485" w:rsidRDefault="00E76C75" w:rsidP="00E76C75">
      <w:pPr>
        <w:ind w:left="567" w:hanging="567"/>
        <w:jc w:val="both"/>
        <w:rPr>
          <w:rFonts w:asciiTheme="majorHAnsi" w:hAnsiTheme="majorHAnsi"/>
          <w:color w:val="000000"/>
        </w:rPr>
      </w:pPr>
    </w:p>
    <w:p w14:paraId="08C4CF43" w14:textId="77777777" w:rsidR="00E76C75" w:rsidRDefault="00E76C75" w:rsidP="00E76C75">
      <w:pPr>
        <w:pStyle w:val="Prrafodelista"/>
        <w:numPr>
          <w:ilvl w:val="0"/>
          <w:numId w:val="3"/>
        </w:numPr>
        <w:ind w:left="567" w:hanging="567"/>
        <w:jc w:val="both"/>
        <w:rPr>
          <w:rFonts w:asciiTheme="majorHAnsi" w:hAnsiTheme="majorHAnsi"/>
          <w:color w:val="000000"/>
        </w:rPr>
      </w:pPr>
      <w:r w:rsidRPr="00A21485">
        <w:rPr>
          <w:rFonts w:asciiTheme="majorHAnsi" w:hAnsiTheme="majorHAnsi"/>
          <w:color w:val="000000"/>
        </w:rPr>
        <w:t xml:space="preserve">Las observaciones recibidas durante el periodo de consulta de oficio SGS-DES-O-1726-2013, obligaron a replantear la forma y contenido de las solicitudes de información a las aseguradoras para el Registro Seguro Obligatorio de Vehículos Automotores (SOA) y a solicitar la colaboración del Registro Nacional de la Propiedad para contar con información oportuna y confiable del parque automotor del país. Lo anterior, llevó a cambios significativos en el estándar de negocio del Registro mencionado, que </w:t>
      </w:r>
      <w:r>
        <w:rPr>
          <w:rFonts w:asciiTheme="majorHAnsi" w:hAnsiTheme="majorHAnsi"/>
          <w:color w:val="000000"/>
        </w:rPr>
        <w:t>hizo necesaria</w:t>
      </w:r>
      <w:r w:rsidRPr="00A21485">
        <w:rPr>
          <w:rFonts w:asciiTheme="majorHAnsi" w:hAnsiTheme="majorHAnsi"/>
          <w:color w:val="000000"/>
        </w:rPr>
        <w:t xml:space="preserve"> una nueva consulta del tema a las entidades supervisadas, en atención al inciso 2) del artículo 361 de la Ley General de la Administración Pública.</w:t>
      </w:r>
    </w:p>
    <w:p w14:paraId="08C4CF44" w14:textId="77777777" w:rsidR="00E76C75" w:rsidRDefault="00E76C75" w:rsidP="00E76C75">
      <w:pPr>
        <w:ind w:left="567" w:hanging="567"/>
        <w:jc w:val="both"/>
        <w:rPr>
          <w:rFonts w:asciiTheme="majorHAnsi" w:hAnsiTheme="majorHAnsi"/>
          <w:color w:val="000000"/>
        </w:rPr>
      </w:pPr>
    </w:p>
    <w:p w14:paraId="08C4CF45" w14:textId="77777777" w:rsidR="00E76C75" w:rsidRDefault="00E76C75" w:rsidP="00E76C75">
      <w:pPr>
        <w:pStyle w:val="Prrafodelista"/>
        <w:numPr>
          <w:ilvl w:val="0"/>
          <w:numId w:val="3"/>
        </w:numPr>
        <w:ind w:left="567" w:hanging="567"/>
        <w:jc w:val="both"/>
        <w:rPr>
          <w:rFonts w:asciiTheme="majorHAnsi" w:hAnsiTheme="majorHAnsi"/>
          <w:color w:val="000000"/>
        </w:rPr>
      </w:pPr>
      <w:r w:rsidRPr="00A21485">
        <w:rPr>
          <w:rFonts w:asciiTheme="majorHAnsi" w:hAnsiTheme="majorHAnsi"/>
          <w:color w:val="000000"/>
        </w:rPr>
        <w:t>Para la  Superintendencia y para el público en general, es importante conocer el grado de siniestralidad por accidentes de tránsito en el país y en particular por tipo de vehículo, de forma tal que se concientice a la población de la importancia del pago de seguro y el grado de afectación por este tipo de accidentes que tienen algunas categoría vehiculares.  Por lo tanto, es adecuado llevar un registro estadístico sobre la siniestralidad del SOA, para lo cual se requiere que las aseguradoras que ofrecen el SOA remitan periódicamente la información sobre los accidentes de tránsito ocurridos en el territorio nacional, por tipo de vehículo.</w:t>
      </w:r>
    </w:p>
    <w:p w14:paraId="08C4CF46" w14:textId="77777777" w:rsidR="00E76C75" w:rsidRPr="00A21485" w:rsidRDefault="00E76C75" w:rsidP="00E76C75">
      <w:pPr>
        <w:pStyle w:val="Prrafodelista"/>
        <w:ind w:left="567"/>
        <w:jc w:val="both"/>
        <w:rPr>
          <w:rFonts w:asciiTheme="majorHAnsi" w:hAnsiTheme="majorHAnsi"/>
          <w:color w:val="000000"/>
        </w:rPr>
      </w:pPr>
    </w:p>
    <w:p w14:paraId="08C4CF47" w14:textId="77777777" w:rsidR="00E76C75" w:rsidRPr="00A21485" w:rsidRDefault="00E76C75" w:rsidP="00E76C75">
      <w:pPr>
        <w:pStyle w:val="Prrafodelista"/>
        <w:numPr>
          <w:ilvl w:val="0"/>
          <w:numId w:val="3"/>
        </w:numPr>
        <w:ind w:left="567" w:hanging="567"/>
        <w:jc w:val="both"/>
        <w:rPr>
          <w:rFonts w:asciiTheme="majorHAnsi" w:hAnsiTheme="majorHAnsi"/>
          <w:color w:val="000000"/>
        </w:rPr>
      </w:pPr>
      <w:r w:rsidRPr="00A21485">
        <w:rPr>
          <w:rFonts w:asciiTheme="majorHAnsi" w:hAnsiTheme="majorHAnsi"/>
          <w:color w:val="000000"/>
        </w:rPr>
        <w:lastRenderedPageBreak/>
        <w:t xml:space="preserve">Mediante el oficio SGS-DES-O-1602-2014 del 17 de setiembre de 2014, en atención de lo  establecido en el artículo 361 inciso 2 de la Ley General de Administración Pública, el Superintendente envió a consulta del medio la modificación del acuerdo de Superintendente SGS-DES-A-021-2013 </w:t>
      </w:r>
      <w:r w:rsidRPr="00FB2599">
        <w:rPr>
          <w:rFonts w:asciiTheme="majorHAnsi" w:hAnsiTheme="majorHAnsi"/>
          <w:i/>
          <w:color w:val="000000"/>
        </w:rPr>
        <w:t>“Disposiciones para la Remisión de la Información Contable y Estadística a la Superintendencia General de Seguros por parte de las Entidades Supervisadas”</w:t>
      </w:r>
      <w:r w:rsidRPr="00A21485">
        <w:rPr>
          <w:rFonts w:asciiTheme="majorHAnsi" w:hAnsiTheme="majorHAnsi"/>
          <w:color w:val="000000"/>
        </w:rPr>
        <w:t>, para la remisión de información para el  Registro Seguro Obligatorio de Vehículos Automotores (SOA) y la información sobre siniestralidad del SOA,  por espacio de diez (10) días hábiles. Una vez recibidas las observaciones del medio, éstas fueron analizadas e incorporadas, cuando correspondía a la versión final del acuerdo, por lo que procede la aprobación de la modificación.</w:t>
      </w:r>
    </w:p>
    <w:p w14:paraId="08C4CF48" w14:textId="77777777" w:rsidR="00E76C75" w:rsidRPr="00A21485" w:rsidRDefault="00E76C75" w:rsidP="00E76C75">
      <w:pPr>
        <w:jc w:val="both"/>
        <w:rPr>
          <w:rFonts w:asciiTheme="majorHAnsi" w:hAnsiTheme="majorHAnsi"/>
          <w:color w:val="000000"/>
        </w:rPr>
      </w:pPr>
    </w:p>
    <w:p w14:paraId="08C4CF49" w14:textId="77777777" w:rsidR="00E76C75" w:rsidRPr="00FB2599" w:rsidRDefault="00E76C75" w:rsidP="00E76C75">
      <w:pPr>
        <w:jc w:val="center"/>
        <w:rPr>
          <w:rFonts w:asciiTheme="majorHAnsi" w:hAnsiTheme="majorHAnsi"/>
          <w:b/>
          <w:color w:val="000000"/>
        </w:rPr>
      </w:pPr>
      <w:r w:rsidRPr="00FB2599">
        <w:rPr>
          <w:rFonts w:asciiTheme="majorHAnsi" w:hAnsiTheme="majorHAnsi"/>
          <w:b/>
          <w:color w:val="000000"/>
        </w:rPr>
        <w:t>DISPONE:</w:t>
      </w:r>
    </w:p>
    <w:p w14:paraId="08C4CF4A" w14:textId="77777777" w:rsidR="00E76C75" w:rsidRDefault="00E76C75" w:rsidP="00E76C75">
      <w:pPr>
        <w:jc w:val="both"/>
        <w:rPr>
          <w:rFonts w:asciiTheme="majorHAnsi" w:hAnsiTheme="majorHAnsi"/>
          <w:color w:val="000000"/>
        </w:rPr>
      </w:pPr>
    </w:p>
    <w:p w14:paraId="08C4CF4B" w14:textId="77777777" w:rsidR="00E76C75" w:rsidRDefault="00E76C75" w:rsidP="00E76C75">
      <w:pPr>
        <w:jc w:val="both"/>
        <w:rPr>
          <w:rFonts w:asciiTheme="majorHAnsi" w:hAnsiTheme="majorHAnsi"/>
          <w:color w:val="000000"/>
        </w:rPr>
      </w:pPr>
      <w:r w:rsidRPr="00FB2599">
        <w:rPr>
          <w:rFonts w:asciiTheme="majorHAnsi" w:hAnsiTheme="majorHAnsi"/>
          <w:b/>
          <w:color w:val="000000"/>
        </w:rPr>
        <w:t>Primero:</w:t>
      </w:r>
      <w:r w:rsidRPr="00FB2599">
        <w:rPr>
          <w:rFonts w:asciiTheme="majorHAnsi" w:hAnsiTheme="majorHAnsi"/>
          <w:color w:val="000000"/>
        </w:rPr>
        <w:t xml:space="preserve"> Agregar al cuadro dispuesto en el artículo 2 del acuerdo SGS-DES-A-021-2013 denominado </w:t>
      </w:r>
      <w:r w:rsidRPr="00AD1E26">
        <w:rPr>
          <w:rFonts w:asciiTheme="majorHAnsi" w:hAnsiTheme="majorHAnsi"/>
          <w:i/>
          <w:color w:val="000000"/>
        </w:rPr>
        <w:t>Disposiciones para la Remisión de la Información Contable y Estadística a la Superintendencia General de Seguros por parte de las Entidades Supervisadas</w:t>
      </w:r>
      <w:r w:rsidRPr="00FB2599">
        <w:rPr>
          <w:rFonts w:asciiTheme="majorHAnsi" w:hAnsiTheme="majorHAnsi"/>
          <w:color w:val="000000"/>
        </w:rPr>
        <w:t xml:space="preserve">, las líneas que se presentan  a continuación:  </w:t>
      </w:r>
    </w:p>
    <w:p w14:paraId="08C4CF4C" w14:textId="77777777" w:rsidR="00E76C75" w:rsidRPr="00A21485" w:rsidRDefault="00E76C75" w:rsidP="00E76C75">
      <w:pPr>
        <w:jc w:val="both"/>
        <w:rPr>
          <w:rFonts w:asciiTheme="majorHAnsi" w:hAnsiTheme="majorHAnsi"/>
          <w:color w:val="000000"/>
        </w:rPr>
      </w:pPr>
    </w:p>
    <w:tbl>
      <w:tblPr>
        <w:tblW w:w="8769" w:type="dxa"/>
        <w:jc w:val="center"/>
        <w:tblInd w:w="-2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2694"/>
        <w:gridCol w:w="1489"/>
        <w:gridCol w:w="1845"/>
        <w:gridCol w:w="2741"/>
      </w:tblGrid>
      <w:tr w:rsidR="00E76C75" w:rsidRPr="00AD1E26" w14:paraId="08C4CF51" w14:textId="77777777" w:rsidTr="00A93CE5">
        <w:trPr>
          <w:cantSplit/>
          <w:trHeight w:val="38"/>
          <w:tblHeader/>
          <w:jc w:val="center"/>
        </w:trPr>
        <w:tc>
          <w:tcPr>
            <w:tcW w:w="1536" w:type="pct"/>
            <w:shd w:val="clear" w:color="auto" w:fill="D9D9D9" w:themeFill="background1" w:themeFillShade="D9"/>
            <w:noWrap/>
          </w:tcPr>
          <w:p w14:paraId="08C4CF4D" w14:textId="77777777" w:rsidR="00E76C75" w:rsidRPr="00AD1E26" w:rsidRDefault="00E76C75" w:rsidP="00A93CE5">
            <w:pPr>
              <w:widowControl w:val="0"/>
              <w:jc w:val="center"/>
              <w:rPr>
                <w:rFonts w:asciiTheme="majorHAnsi" w:hAnsiTheme="majorHAnsi"/>
                <w:b/>
                <w:i/>
                <w:snapToGrid w:val="0"/>
                <w:sz w:val="20"/>
                <w:szCs w:val="20"/>
              </w:rPr>
            </w:pPr>
            <w:r w:rsidRPr="00AD1E26">
              <w:rPr>
                <w:rFonts w:asciiTheme="majorHAnsi" w:hAnsiTheme="majorHAnsi"/>
                <w:b/>
                <w:i/>
                <w:snapToGrid w:val="0"/>
                <w:sz w:val="20"/>
                <w:szCs w:val="20"/>
              </w:rPr>
              <w:t>Información</w:t>
            </w:r>
          </w:p>
        </w:tc>
        <w:tc>
          <w:tcPr>
            <w:tcW w:w="849" w:type="pct"/>
            <w:shd w:val="clear" w:color="auto" w:fill="D9D9D9" w:themeFill="background1" w:themeFillShade="D9"/>
            <w:noWrap/>
          </w:tcPr>
          <w:p w14:paraId="08C4CF4E" w14:textId="77777777" w:rsidR="00E76C75" w:rsidRPr="00AD1E26" w:rsidRDefault="00E76C75" w:rsidP="00A93CE5">
            <w:pPr>
              <w:widowControl w:val="0"/>
              <w:jc w:val="center"/>
              <w:rPr>
                <w:rFonts w:asciiTheme="majorHAnsi" w:hAnsiTheme="majorHAnsi"/>
                <w:i/>
                <w:sz w:val="20"/>
                <w:szCs w:val="20"/>
              </w:rPr>
            </w:pPr>
            <w:r w:rsidRPr="00AD1E26">
              <w:rPr>
                <w:rFonts w:asciiTheme="majorHAnsi" w:hAnsiTheme="majorHAnsi"/>
                <w:b/>
                <w:i/>
                <w:snapToGrid w:val="0"/>
                <w:sz w:val="20"/>
                <w:szCs w:val="20"/>
              </w:rPr>
              <w:t>Periodicidad</w:t>
            </w:r>
          </w:p>
        </w:tc>
        <w:tc>
          <w:tcPr>
            <w:tcW w:w="1052" w:type="pct"/>
            <w:shd w:val="clear" w:color="auto" w:fill="D9D9D9" w:themeFill="background1" w:themeFillShade="D9"/>
            <w:noWrap/>
          </w:tcPr>
          <w:p w14:paraId="08C4CF4F" w14:textId="77777777" w:rsidR="00E76C75" w:rsidRPr="00AD1E26" w:rsidRDefault="00E76C75" w:rsidP="00A93CE5">
            <w:pPr>
              <w:widowControl w:val="0"/>
              <w:jc w:val="center"/>
              <w:rPr>
                <w:rFonts w:asciiTheme="majorHAnsi" w:hAnsiTheme="majorHAnsi"/>
                <w:b/>
                <w:i/>
                <w:snapToGrid w:val="0"/>
                <w:sz w:val="20"/>
                <w:szCs w:val="20"/>
              </w:rPr>
            </w:pPr>
            <w:r w:rsidRPr="00AD1E26">
              <w:rPr>
                <w:rFonts w:asciiTheme="majorHAnsi" w:hAnsiTheme="majorHAnsi"/>
                <w:b/>
                <w:i/>
                <w:snapToGrid w:val="0"/>
                <w:sz w:val="20"/>
                <w:szCs w:val="20"/>
              </w:rPr>
              <w:t>Plazo de entrega</w:t>
            </w:r>
          </w:p>
        </w:tc>
        <w:tc>
          <w:tcPr>
            <w:tcW w:w="1563" w:type="pct"/>
            <w:shd w:val="clear" w:color="auto" w:fill="D9D9D9" w:themeFill="background1" w:themeFillShade="D9"/>
            <w:noWrap/>
          </w:tcPr>
          <w:p w14:paraId="08C4CF50" w14:textId="77777777" w:rsidR="00E76C75" w:rsidRPr="00AD1E26" w:rsidRDefault="00E76C75" w:rsidP="00A93CE5">
            <w:pPr>
              <w:widowControl w:val="0"/>
              <w:jc w:val="center"/>
              <w:rPr>
                <w:rFonts w:asciiTheme="majorHAnsi" w:hAnsiTheme="majorHAnsi"/>
                <w:b/>
                <w:i/>
                <w:snapToGrid w:val="0"/>
                <w:sz w:val="20"/>
                <w:szCs w:val="20"/>
              </w:rPr>
            </w:pPr>
            <w:r w:rsidRPr="00AD1E26">
              <w:rPr>
                <w:rFonts w:asciiTheme="majorHAnsi" w:hAnsiTheme="majorHAnsi"/>
                <w:b/>
                <w:i/>
                <w:snapToGrid w:val="0"/>
                <w:sz w:val="20"/>
                <w:szCs w:val="20"/>
              </w:rPr>
              <w:t>Medio</w:t>
            </w:r>
          </w:p>
        </w:tc>
      </w:tr>
      <w:tr w:rsidR="00E76C75" w:rsidRPr="00AD1E26" w14:paraId="08C4CF56" w14:textId="77777777" w:rsidTr="00A93CE5">
        <w:trPr>
          <w:cantSplit/>
          <w:trHeight w:val="38"/>
          <w:jc w:val="center"/>
        </w:trPr>
        <w:tc>
          <w:tcPr>
            <w:tcW w:w="1536" w:type="pct"/>
            <w:shd w:val="clear" w:color="auto" w:fill="auto"/>
            <w:noWrap/>
          </w:tcPr>
          <w:p w14:paraId="08C4CF52" w14:textId="77777777" w:rsidR="00E76C75" w:rsidRPr="00AD1E26" w:rsidRDefault="00E76C75" w:rsidP="00A93CE5">
            <w:pPr>
              <w:pStyle w:val="Textoindependiente"/>
              <w:rPr>
                <w:rFonts w:asciiTheme="majorHAnsi" w:hAnsiTheme="majorHAnsi"/>
                <w:i/>
                <w:sz w:val="20"/>
                <w:szCs w:val="20"/>
              </w:rPr>
            </w:pPr>
            <w:r w:rsidRPr="00AD1E26">
              <w:rPr>
                <w:rFonts w:asciiTheme="majorHAnsi" w:hAnsiTheme="majorHAnsi"/>
                <w:i/>
                <w:sz w:val="20"/>
                <w:szCs w:val="20"/>
              </w:rPr>
              <w:t>Registro Público de Vehículos Asegurados con el Seguro Obligatorio de Vehículos Automotores</w:t>
            </w:r>
          </w:p>
        </w:tc>
        <w:tc>
          <w:tcPr>
            <w:tcW w:w="849" w:type="pct"/>
            <w:shd w:val="clear" w:color="auto" w:fill="auto"/>
            <w:noWrap/>
          </w:tcPr>
          <w:p w14:paraId="08C4CF53" w14:textId="77777777" w:rsidR="00E76C75" w:rsidRPr="00AD1E26" w:rsidRDefault="00E76C75" w:rsidP="00A93CE5">
            <w:pPr>
              <w:widowControl w:val="0"/>
              <w:jc w:val="center"/>
              <w:rPr>
                <w:rFonts w:asciiTheme="majorHAnsi" w:hAnsiTheme="majorHAnsi"/>
                <w:bCs/>
                <w:i/>
                <w:sz w:val="20"/>
                <w:szCs w:val="20"/>
              </w:rPr>
            </w:pPr>
            <w:r w:rsidRPr="00AD1E26">
              <w:rPr>
                <w:rFonts w:asciiTheme="majorHAnsi" w:hAnsiTheme="majorHAnsi"/>
                <w:bCs/>
                <w:i/>
                <w:sz w:val="20"/>
                <w:szCs w:val="20"/>
              </w:rPr>
              <w:t>Semanal</w:t>
            </w:r>
          </w:p>
        </w:tc>
        <w:tc>
          <w:tcPr>
            <w:tcW w:w="1052" w:type="pct"/>
            <w:shd w:val="clear" w:color="auto" w:fill="auto"/>
            <w:noWrap/>
          </w:tcPr>
          <w:p w14:paraId="08C4CF54" w14:textId="77777777" w:rsidR="00E76C75" w:rsidRPr="00AD1E26" w:rsidRDefault="00E76C75" w:rsidP="00A93CE5">
            <w:pPr>
              <w:widowControl w:val="0"/>
              <w:jc w:val="both"/>
              <w:rPr>
                <w:rFonts w:asciiTheme="majorHAnsi" w:hAnsiTheme="majorHAnsi"/>
                <w:bCs/>
                <w:i/>
                <w:sz w:val="20"/>
                <w:szCs w:val="20"/>
              </w:rPr>
            </w:pPr>
            <w:r w:rsidRPr="00AD1E26">
              <w:rPr>
                <w:rFonts w:asciiTheme="majorHAnsi" w:hAnsiTheme="majorHAnsi"/>
                <w:bCs/>
                <w:i/>
                <w:sz w:val="20"/>
                <w:szCs w:val="20"/>
              </w:rPr>
              <w:t>El tercer día hábil de la semana siguiente con corte de movimientos a las 11:59 p.m. del domingo anterior.</w:t>
            </w:r>
          </w:p>
        </w:tc>
        <w:tc>
          <w:tcPr>
            <w:tcW w:w="1563" w:type="pct"/>
            <w:shd w:val="clear" w:color="auto" w:fill="auto"/>
            <w:noWrap/>
          </w:tcPr>
          <w:p w14:paraId="08C4CF55" w14:textId="77777777" w:rsidR="00E76C75" w:rsidRPr="00AD1E26" w:rsidRDefault="00E76C75" w:rsidP="00A93CE5">
            <w:pPr>
              <w:widowControl w:val="0"/>
              <w:jc w:val="both"/>
              <w:rPr>
                <w:rFonts w:asciiTheme="majorHAnsi" w:hAnsiTheme="majorHAnsi"/>
                <w:bCs/>
                <w:i/>
                <w:sz w:val="20"/>
                <w:szCs w:val="20"/>
              </w:rPr>
            </w:pPr>
            <w:r w:rsidRPr="00AD1E26">
              <w:rPr>
                <w:rFonts w:asciiTheme="majorHAnsi" w:hAnsiTheme="majorHAnsi"/>
                <w:bCs/>
                <w:i/>
                <w:sz w:val="20"/>
                <w:szCs w:val="20"/>
              </w:rPr>
              <w:t xml:space="preserve">Carga a través de web </w:t>
            </w:r>
            <w:proofErr w:type="spellStart"/>
            <w:r w:rsidRPr="00AD1E26">
              <w:rPr>
                <w:rFonts w:asciiTheme="majorHAnsi" w:hAnsiTheme="majorHAnsi"/>
                <w:bCs/>
                <w:i/>
                <w:sz w:val="20"/>
                <w:szCs w:val="20"/>
              </w:rPr>
              <w:t>service</w:t>
            </w:r>
            <w:proofErr w:type="spellEnd"/>
            <w:r w:rsidRPr="00AD1E26">
              <w:rPr>
                <w:rFonts w:asciiTheme="majorHAnsi" w:hAnsiTheme="majorHAnsi"/>
                <w:bCs/>
                <w:i/>
                <w:sz w:val="20"/>
                <w:szCs w:val="20"/>
              </w:rPr>
              <w:t xml:space="preserve"> de archivos *.</w:t>
            </w:r>
            <w:proofErr w:type="spellStart"/>
            <w:r w:rsidRPr="00AD1E26">
              <w:rPr>
                <w:rFonts w:asciiTheme="majorHAnsi" w:hAnsiTheme="majorHAnsi"/>
                <w:bCs/>
                <w:i/>
                <w:sz w:val="20"/>
                <w:szCs w:val="20"/>
              </w:rPr>
              <w:t>xml</w:t>
            </w:r>
            <w:proofErr w:type="spellEnd"/>
            <w:r w:rsidRPr="00AD1E26">
              <w:rPr>
                <w:rFonts w:asciiTheme="majorHAnsi" w:hAnsiTheme="majorHAnsi"/>
                <w:bCs/>
                <w:i/>
                <w:sz w:val="20"/>
                <w:szCs w:val="20"/>
              </w:rPr>
              <w:t xml:space="preserve"> </w:t>
            </w:r>
            <w:proofErr w:type="spellStart"/>
            <w:r w:rsidRPr="00AD1E26">
              <w:rPr>
                <w:rFonts w:asciiTheme="majorHAnsi" w:hAnsiTheme="majorHAnsi"/>
                <w:bCs/>
                <w:i/>
                <w:sz w:val="20"/>
                <w:szCs w:val="20"/>
              </w:rPr>
              <w:t>ó</w:t>
            </w:r>
            <w:proofErr w:type="spellEnd"/>
            <w:r w:rsidRPr="00AD1E26">
              <w:rPr>
                <w:rFonts w:asciiTheme="majorHAnsi" w:hAnsiTheme="majorHAnsi"/>
                <w:bCs/>
                <w:i/>
                <w:sz w:val="20"/>
                <w:szCs w:val="20"/>
              </w:rPr>
              <w:t xml:space="preserve"> *.</w:t>
            </w:r>
            <w:proofErr w:type="spellStart"/>
            <w:r w:rsidRPr="00AD1E26">
              <w:rPr>
                <w:rFonts w:asciiTheme="majorHAnsi" w:hAnsiTheme="majorHAnsi"/>
                <w:bCs/>
                <w:i/>
                <w:sz w:val="20"/>
                <w:szCs w:val="20"/>
              </w:rPr>
              <w:t>zip</w:t>
            </w:r>
            <w:proofErr w:type="spellEnd"/>
            <w:r w:rsidRPr="00AD1E26">
              <w:rPr>
                <w:rFonts w:asciiTheme="majorHAnsi" w:hAnsiTheme="majorHAnsi"/>
                <w:bCs/>
                <w:i/>
                <w:sz w:val="20"/>
                <w:szCs w:val="20"/>
              </w:rPr>
              <w:t xml:space="preserve"> que contengan *.</w:t>
            </w:r>
            <w:proofErr w:type="spellStart"/>
            <w:r w:rsidRPr="00AD1E26">
              <w:rPr>
                <w:rFonts w:asciiTheme="majorHAnsi" w:hAnsiTheme="majorHAnsi"/>
                <w:bCs/>
                <w:i/>
                <w:sz w:val="20"/>
                <w:szCs w:val="20"/>
              </w:rPr>
              <w:t>xml</w:t>
            </w:r>
            <w:proofErr w:type="spellEnd"/>
            <w:r w:rsidRPr="00AD1E26">
              <w:rPr>
                <w:rFonts w:asciiTheme="majorHAnsi" w:hAnsiTheme="majorHAnsi"/>
                <w:bCs/>
                <w:i/>
                <w:sz w:val="20"/>
                <w:szCs w:val="20"/>
              </w:rPr>
              <w:t xml:space="preserve">, de conformidad con el Estándar para Registro Seguro Obligatorio de Vehículos Automotores (SOA), incluido en el </w:t>
            </w:r>
            <w:r w:rsidRPr="00AD1E26">
              <w:rPr>
                <w:rFonts w:asciiTheme="majorHAnsi" w:hAnsiTheme="majorHAnsi"/>
                <w:b/>
                <w:i/>
                <w:sz w:val="20"/>
                <w:szCs w:val="20"/>
              </w:rPr>
              <w:t>Anexo 9</w:t>
            </w:r>
            <w:r w:rsidRPr="00AD1E26">
              <w:rPr>
                <w:rFonts w:asciiTheme="majorHAnsi" w:hAnsiTheme="majorHAnsi"/>
                <w:i/>
                <w:sz w:val="20"/>
                <w:szCs w:val="20"/>
              </w:rPr>
              <w:t xml:space="preserve">, </w:t>
            </w:r>
            <w:r w:rsidRPr="00AD1E26">
              <w:rPr>
                <w:rFonts w:asciiTheme="majorHAnsi" w:hAnsiTheme="majorHAnsi"/>
                <w:bCs/>
                <w:i/>
                <w:sz w:val="20"/>
                <w:szCs w:val="20"/>
              </w:rPr>
              <w:t>a través de SUGESE en Línea; o bien carga manual de los mismos archivos ante una eventualidad previamente justificada.</w:t>
            </w:r>
          </w:p>
        </w:tc>
      </w:tr>
      <w:tr w:rsidR="00E76C75" w:rsidRPr="00AD1E26" w14:paraId="08C4CF5C" w14:textId="77777777" w:rsidTr="00A93CE5">
        <w:trPr>
          <w:cantSplit/>
          <w:trHeight w:val="38"/>
          <w:jc w:val="center"/>
        </w:trPr>
        <w:tc>
          <w:tcPr>
            <w:tcW w:w="1536" w:type="pct"/>
            <w:shd w:val="clear" w:color="auto" w:fill="auto"/>
            <w:noWrap/>
          </w:tcPr>
          <w:p w14:paraId="08C4CF57" w14:textId="77777777" w:rsidR="00E76C75" w:rsidRPr="00AD1E26" w:rsidRDefault="00E76C75" w:rsidP="00A93CE5">
            <w:pPr>
              <w:pStyle w:val="Textoindependiente"/>
              <w:rPr>
                <w:rFonts w:asciiTheme="majorHAnsi" w:hAnsiTheme="majorHAnsi"/>
                <w:i/>
                <w:sz w:val="20"/>
                <w:szCs w:val="20"/>
              </w:rPr>
            </w:pPr>
            <w:r w:rsidRPr="00AD1E26">
              <w:rPr>
                <w:rFonts w:asciiTheme="majorHAnsi" w:hAnsiTheme="majorHAnsi"/>
                <w:i/>
                <w:sz w:val="20"/>
                <w:szCs w:val="20"/>
              </w:rPr>
              <w:t>Asegurados y Siniestralidad del Seguro Obligatorio de Vehículos Automotores</w:t>
            </w:r>
          </w:p>
        </w:tc>
        <w:tc>
          <w:tcPr>
            <w:tcW w:w="849" w:type="pct"/>
            <w:shd w:val="clear" w:color="auto" w:fill="auto"/>
            <w:noWrap/>
          </w:tcPr>
          <w:p w14:paraId="08C4CF58" w14:textId="77777777" w:rsidR="00E76C75" w:rsidRPr="00AD1E26" w:rsidRDefault="00E76C75" w:rsidP="00A93CE5">
            <w:pPr>
              <w:widowControl w:val="0"/>
              <w:jc w:val="center"/>
              <w:rPr>
                <w:rFonts w:asciiTheme="majorHAnsi" w:hAnsiTheme="majorHAnsi" w:cstheme="minorHAnsi"/>
                <w:b/>
                <w:i/>
                <w:snapToGrid w:val="0"/>
                <w:sz w:val="20"/>
                <w:szCs w:val="20"/>
              </w:rPr>
            </w:pPr>
            <w:r w:rsidRPr="00AD1E26">
              <w:rPr>
                <w:rFonts w:asciiTheme="majorHAnsi" w:hAnsiTheme="majorHAnsi" w:cstheme="minorHAnsi"/>
                <w:i/>
                <w:snapToGrid w:val="0"/>
                <w:sz w:val="20"/>
                <w:szCs w:val="20"/>
              </w:rPr>
              <w:t>Mensual</w:t>
            </w:r>
          </w:p>
          <w:p w14:paraId="08C4CF59" w14:textId="77777777" w:rsidR="00E76C75" w:rsidRPr="00AD1E26" w:rsidRDefault="00E76C75" w:rsidP="00A93CE5">
            <w:pPr>
              <w:widowControl w:val="0"/>
              <w:jc w:val="center"/>
              <w:rPr>
                <w:rFonts w:asciiTheme="majorHAnsi" w:hAnsiTheme="majorHAnsi"/>
                <w:bCs/>
                <w:i/>
                <w:sz w:val="20"/>
                <w:szCs w:val="20"/>
              </w:rPr>
            </w:pPr>
          </w:p>
        </w:tc>
        <w:tc>
          <w:tcPr>
            <w:tcW w:w="1052" w:type="pct"/>
            <w:shd w:val="clear" w:color="auto" w:fill="auto"/>
            <w:noWrap/>
          </w:tcPr>
          <w:p w14:paraId="08C4CF5A" w14:textId="77777777" w:rsidR="00E76C75" w:rsidRPr="00AD1E26" w:rsidRDefault="00E76C75" w:rsidP="00A93CE5">
            <w:pPr>
              <w:widowControl w:val="0"/>
              <w:jc w:val="both"/>
              <w:rPr>
                <w:rFonts w:asciiTheme="majorHAnsi" w:hAnsiTheme="majorHAnsi"/>
                <w:bCs/>
                <w:i/>
                <w:sz w:val="20"/>
                <w:szCs w:val="20"/>
              </w:rPr>
            </w:pPr>
            <w:r w:rsidRPr="00AD1E26">
              <w:rPr>
                <w:rFonts w:asciiTheme="majorHAnsi" w:hAnsiTheme="majorHAnsi" w:cstheme="minorHAnsi"/>
                <w:bCs/>
                <w:i/>
                <w:sz w:val="20"/>
                <w:szCs w:val="20"/>
              </w:rPr>
              <w:t>15 días hábiles después del cierre mensual,   según corresponda</w:t>
            </w:r>
          </w:p>
        </w:tc>
        <w:tc>
          <w:tcPr>
            <w:tcW w:w="1563" w:type="pct"/>
            <w:shd w:val="clear" w:color="auto" w:fill="auto"/>
            <w:noWrap/>
          </w:tcPr>
          <w:p w14:paraId="08C4CF5B" w14:textId="77777777" w:rsidR="00E76C75" w:rsidRPr="00AD1E26" w:rsidRDefault="00E76C75" w:rsidP="00A93CE5">
            <w:pPr>
              <w:widowControl w:val="0"/>
              <w:jc w:val="both"/>
              <w:rPr>
                <w:rFonts w:asciiTheme="majorHAnsi" w:hAnsiTheme="majorHAnsi"/>
                <w:bCs/>
                <w:i/>
                <w:sz w:val="20"/>
                <w:szCs w:val="20"/>
              </w:rPr>
            </w:pPr>
            <w:r w:rsidRPr="00AD1E26">
              <w:rPr>
                <w:rFonts w:asciiTheme="majorHAnsi" w:hAnsiTheme="majorHAnsi" w:cstheme="minorHAnsi"/>
                <w:i/>
                <w:snapToGrid w:val="0"/>
                <w:sz w:val="20"/>
                <w:szCs w:val="20"/>
              </w:rPr>
              <w:t xml:space="preserve">En hoja electrónica, por correo electrónico, según formato establecido en el  </w:t>
            </w:r>
            <w:r w:rsidRPr="00AD1E26">
              <w:rPr>
                <w:rFonts w:asciiTheme="majorHAnsi" w:hAnsiTheme="majorHAnsi" w:cstheme="minorHAnsi"/>
                <w:b/>
                <w:i/>
                <w:snapToGrid w:val="0"/>
                <w:sz w:val="20"/>
                <w:szCs w:val="20"/>
              </w:rPr>
              <w:t>Anexo 10</w:t>
            </w:r>
            <w:r w:rsidRPr="00AD1E26">
              <w:rPr>
                <w:rFonts w:asciiTheme="majorHAnsi" w:hAnsiTheme="majorHAnsi" w:cstheme="minorHAnsi"/>
                <w:i/>
                <w:snapToGrid w:val="0"/>
                <w:sz w:val="20"/>
                <w:szCs w:val="20"/>
              </w:rPr>
              <w:t>.</w:t>
            </w:r>
          </w:p>
        </w:tc>
      </w:tr>
    </w:tbl>
    <w:p w14:paraId="08C4CF5D" w14:textId="77777777" w:rsidR="00E76C75" w:rsidRPr="00A21485" w:rsidRDefault="00E76C75" w:rsidP="00E76C75">
      <w:pPr>
        <w:jc w:val="both"/>
        <w:rPr>
          <w:rFonts w:asciiTheme="majorHAnsi" w:hAnsiTheme="majorHAnsi"/>
          <w:color w:val="000000"/>
        </w:rPr>
      </w:pPr>
    </w:p>
    <w:p w14:paraId="08C4CF5E" w14:textId="77777777" w:rsidR="00E76C75" w:rsidRDefault="00E76C75" w:rsidP="00E76C75">
      <w:pPr>
        <w:jc w:val="both"/>
        <w:rPr>
          <w:rFonts w:asciiTheme="majorHAnsi" w:hAnsiTheme="majorHAnsi"/>
          <w:color w:val="000000"/>
        </w:rPr>
      </w:pPr>
      <w:r w:rsidRPr="00890D00">
        <w:rPr>
          <w:rFonts w:asciiTheme="majorHAnsi" w:hAnsiTheme="majorHAnsi"/>
          <w:b/>
          <w:color w:val="000000"/>
        </w:rPr>
        <w:t>Segundo:</w:t>
      </w:r>
      <w:r w:rsidRPr="00890D00">
        <w:rPr>
          <w:rFonts w:asciiTheme="majorHAnsi" w:hAnsiTheme="majorHAnsi"/>
          <w:color w:val="000000"/>
        </w:rPr>
        <w:t xml:space="preserve"> Adicionar el Anexo 9 al acuerdo SGS-DES-A-021-2013 denominado </w:t>
      </w:r>
      <w:r w:rsidRPr="00890D00">
        <w:rPr>
          <w:rFonts w:asciiTheme="majorHAnsi" w:hAnsiTheme="majorHAnsi"/>
          <w:i/>
          <w:color w:val="000000"/>
        </w:rPr>
        <w:t>Disposiciones para la Remisión de la Información Contable y Estadística a la Superintendencia General de Seguros por parte de las Entidades Supervisadas</w:t>
      </w:r>
      <w:r w:rsidRPr="00890D00">
        <w:rPr>
          <w:rFonts w:asciiTheme="majorHAnsi" w:hAnsiTheme="majorHAnsi"/>
          <w:color w:val="000000"/>
        </w:rPr>
        <w:t xml:space="preserve">, </w:t>
      </w:r>
      <w:r w:rsidRPr="00890D00">
        <w:rPr>
          <w:rFonts w:asciiTheme="majorHAnsi" w:hAnsiTheme="majorHAnsi"/>
          <w:color w:val="000000"/>
        </w:rPr>
        <w:lastRenderedPageBreak/>
        <w:t>correspondiente al estándar electrónico para la remisión de información de las pólizas de Seguro Obligatorio de Vehículos Automotores:</w:t>
      </w:r>
    </w:p>
    <w:p w14:paraId="08C4CF5F" w14:textId="77777777" w:rsidR="00E76C75" w:rsidRPr="00A21485" w:rsidRDefault="00E76C75" w:rsidP="00E76C75">
      <w:pPr>
        <w:jc w:val="both"/>
        <w:rPr>
          <w:rFonts w:asciiTheme="majorHAnsi" w:hAnsiTheme="majorHAnsi"/>
          <w:color w:val="000000"/>
        </w:rPr>
      </w:pPr>
    </w:p>
    <w:p w14:paraId="08C4CF60" w14:textId="77777777" w:rsidR="00E76C75" w:rsidRDefault="00E76C75" w:rsidP="00E76C75">
      <w:pPr>
        <w:jc w:val="center"/>
        <w:rPr>
          <w:rFonts w:asciiTheme="majorHAnsi" w:hAnsiTheme="majorHAnsi"/>
          <w:b/>
          <w:color w:val="000000"/>
        </w:rPr>
      </w:pPr>
    </w:p>
    <w:p w14:paraId="08C4CF61" w14:textId="77777777" w:rsidR="00E76C75" w:rsidRDefault="00E76C75" w:rsidP="00E76C75">
      <w:pPr>
        <w:jc w:val="center"/>
        <w:rPr>
          <w:rFonts w:asciiTheme="majorHAnsi" w:hAnsiTheme="majorHAnsi"/>
          <w:b/>
          <w:color w:val="000000"/>
        </w:rPr>
      </w:pPr>
    </w:p>
    <w:p w14:paraId="08C4CF62" w14:textId="77777777" w:rsidR="00E76C75" w:rsidRPr="00C37476" w:rsidRDefault="00E76C75" w:rsidP="00E76C75">
      <w:pPr>
        <w:jc w:val="center"/>
        <w:rPr>
          <w:rFonts w:asciiTheme="majorHAnsi" w:hAnsiTheme="majorHAnsi"/>
          <w:b/>
          <w:i/>
          <w:color w:val="000000"/>
        </w:rPr>
      </w:pPr>
      <w:r w:rsidRPr="00C37476">
        <w:rPr>
          <w:rFonts w:asciiTheme="majorHAnsi" w:hAnsiTheme="majorHAnsi"/>
          <w:b/>
          <w:i/>
          <w:color w:val="000000"/>
        </w:rPr>
        <w:t>ANEXO 9</w:t>
      </w:r>
    </w:p>
    <w:p w14:paraId="08C4CF63" w14:textId="77777777" w:rsidR="00E76C75" w:rsidRPr="00C37476" w:rsidRDefault="00E76C75" w:rsidP="00E76C75">
      <w:pPr>
        <w:jc w:val="center"/>
        <w:rPr>
          <w:rFonts w:asciiTheme="majorHAnsi" w:hAnsiTheme="majorHAnsi"/>
          <w:b/>
          <w:i/>
          <w:color w:val="000000"/>
        </w:rPr>
      </w:pPr>
      <w:r w:rsidRPr="00C37476">
        <w:rPr>
          <w:rFonts w:asciiTheme="majorHAnsi" w:hAnsiTheme="majorHAnsi"/>
          <w:b/>
          <w:i/>
          <w:color w:val="000000"/>
        </w:rPr>
        <w:t>Estándar Electrónico para el Registro Seguro Obligatorio de Vehículos Automotores (SOA).</w:t>
      </w:r>
    </w:p>
    <w:p w14:paraId="08C4CF64" w14:textId="77777777" w:rsidR="00E76C75" w:rsidRPr="00C37476" w:rsidRDefault="00E76C75" w:rsidP="00E76C75">
      <w:pPr>
        <w:jc w:val="both"/>
        <w:rPr>
          <w:rFonts w:asciiTheme="majorHAnsi" w:hAnsiTheme="majorHAnsi"/>
          <w:i/>
          <w:color w:val="000000"/>
        </w:rPr>
      </w:pPr>
      <w:r w:rsidRPr="00C37476">
        <w:rPr>
          <w:rFonts w:asciiTheme="majorHAnsi" w:hAnsiTheme="majorHAnsi"/>
          <w:i/>
          <w:color w:val="000000"/>
        </w:rPr>
        <w:t xml:space="preserve"> </w:t>
      </w:r>
    </w:p>
    <w:bookmarkStart w:id="1" w:name="_MON_1477073600"/>
    <w:bookmarkEnd w:id="1"/>
    <w:p w14:paraId="08C4CF65" w14:textId="77777777" w:rsidR="00E76C75" w:rsidRDefault="00E76C75" w:rsidP="00E76C75">
      <w:pPr>
        <w:jc w:val="center"/>
        <w:rPr>
          <w:rFonts w:asciiTheme="majorHAnsi" w:hAnsiTheme="majorHAnsi"/>
          <w:color w:val="000000"/>
        </w:rPr>
      </w:pPr>
      <w:r w:rsidRPr="00C37476">
        <w:rPr>
          <w:rFonts w:ascii="Arial Narrow" w:hAnsi="Arial Narrow" w:cs="Calibri"/>
          <w:b/>
          <w:bCs/>
          <w:i/>
          <w:sz w:val="18"/>
          <w:szCs w:val="18"/>
        </w:rPr>
        <w:object w:dxaOrig="1241" w:dyaOrig="803" w14:anchorId="08C4CF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8pt;height:40.1pt" o:ole="">
            <v:imagedata r:id="rId12" o:title=""/>
          </v:shape>
          <o:OLEObject Type="Embed" ProgID="Word.Document.12" ShapeID="_x0000_i1025" DrawAspect="Icon" ObjectID="_1477836827" r:id="rId13">
            <o:FieldCodes>\s</o:FieldCodes>
          </o:OLEObject>
        </w:object>
      </w:r>
    </w:p>
    <w:p w14:paraId="08C4CF66" w14:textId="77777777" w:rsidR="00E76C75" w:rsidRDefault="00E76C75" w:rsidP="00E76C75">
      <w:pPr>
        <w:jc w:val="both"/>
        <w:rPr>
          <w:rFonts w:asciiTheme="majorHAnsi" w:hAnsiTheme="majorHAnsi"/>
          <w:color w:val="000000"/>
        </w:rPr>
      </w:pPr>
    </w:p>
    <w:p w14:paraId="08C4CF67" w14:textId="77777777" w:rsidR="00E76C75" w:rsidRDefault="00E76C75" w:rsidP="00E76C75">
      <w:pPr>
        <w:jc w:val="both"/>
        <w:rPr>
          <w:rFonts w:asciiTheme="majorHAnsi" w:hAnsiTheme="majorHAnsi"/>
          <w:b/>
          <w:color w:val="000000"/>
        </w:rPr>
      </w:pPr>
    </w:p>
    <w:p w14:paraId="08C4CF68" w14:textId="77777777" w:rsidR="00E76C75" w:rsidRDefault="00E76C75" w:rsidP="00E76C75">
      <w:pPr>
        <w:jc w:val="both"/>
        <w:rPr>
          <w:rFonts w:asciiTheme="majorHAnsi" w:hAnsiTheme="majorHAnsi"/>
          <w:color w:val="000000"/>
        </w:rPr>
      </w:pPr>
      <w:r w:rsidRPr="000278CC">
        <w:rPr>
          <w:rFonts w:asciiTheme="majorHAnsi" w:hAnsiTheme="majorHAnsi"/>
          <w:b/>
          <w:color w:val="000000"/>
        </w:rPr>
        <w:t>Tercero:</w:t>
      </w:r>
      <w:r w:rsidRPr="000278CC">
        <w:rPr>
          <w:rFonts w:asciiTheme="majorHAnsi" w:hAnsiTheme="majorHAnsi"/>
          <w:color w:val="000000"/>
        </w:rPr>
        <w:t xml:space="preserve"> Adicionar el Anexo 10 al acuerdo SGS-DES-A-021-2013 denominado </w:t>
      </w:r>
      <w:r w:rsidRPr="00AD1E26">
        <w:rPr>
          <w:rFonts w:asciiTheme="majorHAnsi" w:hAnsiTheme="majorHAnsi"/>
          <w:i/>
          <w:color w:val="000000"/>
        </w:rPr>
        <w:t>Disposiciones para la Remisión de la Información Contable y Estadística a la Superintendencia General de Seguros por parte de las Entidades Supervisadas</w:t>
      </w:r>
      <w:r w:rsidRPr="000278CC">
        <w:rPr>
          <w:rFonts w:asciiTheme="majorHAnsi" w:hAnsiTheme="majorHAnsi"/>
          <w:color w:val="000000"/>
        </w:rPr>
        <w:t>, correspondiente al formato para el envío de la información del Número de Asegurados y  Siniestralidad del Seguro Obligatorio de Vehículos Automotores (SOA):</w:t>
      </w:r>
    </w:p>
    <w:p w14:paraId="08C4CF69" w14:textId="77777777" w:rsidR="00E76C75" w:rsidRDefault="00E76C75" w:rsidP="00E76C75">
      <w:pPr>
        <w:jc w:val="both"/>
        <w:rPr>
          <w:rFonts w:asciiTheme="majorHAnsi" w:hAnsiTheme="majorHAnsi"/>
          <w:color w:val="000000"/>
        </w:rPr>
      </w:pPr>
    </w:p>
    <w:p w14:paraId="08C4CF6A" w14:textId="77777777" w:rsidR="00E76C75" w:rsidRDefault="00E76C75" w:rsidP="00E76C75">
      <w:pPr>
        <w:jc w:val="both"/>
        <w:rPr>
          <w:rFonts w:asciiTheme="majorHAnsi" w:hAnsiTheme="majorHAnsi"/>
          <w:color w:val="000000"/>
        </w:rPr>
      </w:pPr>
    </w:p>
    <w:p w14:paraId="08C4CF6B" w14:textId="77777777" w:rsidR="00E76C75" w:rsidRPr="00C37476" w:rsidRDefault="00E76C75" w:rsidP="00E76C75">
      <w:pPr>
        <w:jc w:val="center"/>
        <w:rPr>
          <w:rFonts w:asciiTheme="majorHAnsi" w:hAnsiTheme="majorHAnsi"/>
          <w:b/>
          <w:i/>
          <w:color w:val="000000"/>
        </w:rPr>
      </w:pPr>
      <w:r w:rsidRPr="00C37476">
        <w:rPr>
          <w:rFonts w:asciiTheme="majorHAnsi" w:hAnsiTheme="majorHAnsi"/>
          <w:b/>
          <w:i/>
          <w:color w:val="000000"/>
        </w:rPr>
        <w:t>ANEXO 10</w:t>
      </w:r>
    </w:p>
    <w:p w14:paraId="08C4CF6C" w14:textId="77777777" w:rsidR="00E76C75" w:rsidRPr="00C37476" w:rsidRDefault="00E76C75" w:rsidP="00E76C75">
      <w:pPr>
        <w:jc w:val="center"/>
        <w:rPr>
          <w:rFonts w:asciiTheme="majorHAnsi" w:hAnsiTheme="majorHAnsi"/>
          <w:b/>
          <w:i/>
          <w:color w:val="000000"/>
        </w:rPr>
      </w:pPr>
      <w:r w:rsidRPr="00C37476">
        <w:rPr>
          <w:rFonts w:asciiTheme="majorHAnsi" w:hAnsiTheme="majorHAnsi"/>
          <w:b/>
          <w:i/>
          <w:color w:val="000000"/>
        </w:rPr>
        <w:t>Asegurados y Siniestralidad del Seguro Obligatorio para los  Vehículos Automotores (SOA)</w:t>
      </w:r>
    </w:p>
    <w:p w14:paraId="08C4CF6D" w14:textId="77777777" w:rsidR="00E76C75" w:rsidRPr="00C37476" w:rsidRDefault="00E76C75" w:rsidP="00E76C75">
      <w:pPr>
        <w:jc w:val="center"/>
        <w:rPr>
          <w:rFonts w:asciiTheme="majorHAnsi" w:hAnsiTheme="majorHAnsi"/>
          <w:b/>
          <w:i/>
          <w:color w:val="000000"/>
        </w:rPr>
      </w:pPr>
      <w:r w:rsidRPr="00C37476">
        <w:rPr>
          <w:rFonts w:asciiTheme="majorHAnsi" w:hAnsiTheme="majorHAnsi"/>
          <w:b/>
          <w:i/>
          <w:color w:val="000000"/>
        </w:rPr>
        <w:t>Cifras correspondientes al Mes ______</w:t>
      </w:r>
    </w:p>
    <w:p w14:paraId="08C4CF6E" w14:textId="77777777" w:rsidR="00E76C75" w:rsidRPr="00C37476" w:rsidRDefault="00E76C75" w:rsidP="00E76C75">
      <w:pPr>
        <w:jc w:val="both"/>
        <w:rPr>
          <w:rFonts w:asciiTheme="majorHAnsi" w:hAnsiTheme="majorHAnsi"/>
          <w:i/>
          <w:color w:val="000000"/>
        </w:rPr>
      </w:pPr>
    </w:p>
    <w:tbl>
      <w:tblPr>
        <w:tblStyle w:val="Listaclara"/>
        <w:tblW w:w="8655" w:type="dxa"/>
        <w:jc w:val="center"/>
        <w:tblInd w:w="-2424" w:type="dxa"/>
        <w:tblLayout w:type="fixed"/>
        <w:tblLook w:val="04A0" w:firstRow="1" w:lastRow="0" w:firstColumn="1" w:lastColumn="0" w:noHBand="0" w:noVBand="1"/>
      </w:tblPr>
      <w:tblGrid>
        <w:gridCol w:w="2744"/>
        <w:gridCol w:w="1458"/>
        <w:gridCol w:w="90"/>
        <w:gridCol w:w="603"/>
        <w:gridCol w:w="826"/>
        <w:gridCol w:w="88"/>
        <w:gridCol w:w="1330"/>
        <w:gridCol w:w="1516"/>
      </w:tblGrid>
      <w:tr w:rsidR="00E76C75" w:rsidRPr="00C37476" w14:paraId="08C4CF74" w14:textId="77777777" w:rsidTr="00A93CE5">
        <w:trPr>
          <w:cnfStyle w:val="100000000000" w:firstRow="1" w:lastRow="0" w:firstColumn="0" w:lastColumn="0" w:oddVBand="0" w:evenVBand="0" w:oddHBand="0"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2744" w:type="dxa"/>
            <w:shd w:val="clear" w:color="auto" w:fill="808080" w:themeFill="background1" w:themeFillShade="80"/>
            <w:vAlign w:val="center"/>
          </w:tcPr>
          <w:p w14:paraId="08C4CF6F" w14:textId="77777777" w:rsidR="00E76C75" w:rsidRPr="00C37476" w:rsidRDefault="00E76C75" w:rsidP="00A93CE5">
            <w:pPr>
              <w:jc w:val="center"/>
              <w:rPr>
                <w:rFonts w:asciiTheme="majorHAnsi" w:hAnsiTheme="majorHAnsi"/>
                <w:b w:val="0"/>
                <w:i/>
              </w:rPr>
            </w:pPr>
            <w:r w:rsidRPr="00C37476">
              <w:rPr>
                <w:rFonts w:asciiTheme="majorHAnsi" w:hAnsiTheme="majorHAnsi"/>
                <w:b w:val="0"/>
                <w:i/>
              </w:rPr>
              <w:t>Tipo de vehículo</w:t>
            </w:r>
          </w:p>
        </w:tc>
        <w:tc>
          <w:tcPr>
            <w:tcW w:w="1548" w:type="dxa"/>
            <w:gridSpan w:val="2"/>
            <w:shd w:val="clear" w:color="auto" w:fill="808080" w:themeFill="background1" w:themeFillShade="80"/>
            <w:vAlign w:val="center"/>
          </w:tcPr>
          <w:p w14:paraId="08C4CF70" w14:textId="77777777" w:rsidR="00E76C75" w:rsidRPr="00C37476" w:rsidRDefault="00E76C75" w:rsidP="00A93CE5">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i/>
              </w:rPr>
            </w:pPr>
            <w:r w:rsidRPr="00C37476">
              <w:rPr>
                <w:rFonts w:asciiTheme="majorHAnsi" w:hAnsiTheme="majorHAnsi"/>
                <w:b w:val="0"/>
                <w:i/>
              </w:rPr>
              <w:t xml:space="preserve">Número de Asegurados </w:t>
            </w:r>
            <w:r w:rsidRPr="00C37476">
              <w:rPr>
                <w:rFonts w:asciiTheme="majorHAnsi" w:hAnsiTheme="majorHAnsi"/>
                <w:b w:val="0"/>
                <w:i/>
                <w:vertAlign w:val="superscript"/>
              </w:rPr>
              <w:t>1/</w:t>
            </w:r>
          </w:p>
        </w:tc>
        <w:tc>
          <w:tcPr>
            <w:tcW w:w="1429" w:type="dxa"/>
            <w:gridSpan w:val="2"/>
            <w:shd w:val="clear" w:color="auto" w:fill="808080" w:themeFill="background1" w:themeFillShade="80"/>
            <w:vAlign w:val="center"/>
          </w:tcPr>
          <w:p w14:paraId="08C4CF71" w14:textId="77777777" w:rsidR="00E76C75" w:rsidRPr="00C37476" w:rsidRDefault="00E76C75" w:rsidP="00A93CE5">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i/>
              </w:rPr>
            </w:pPr>
            <w:r w:rsidRPr="00C37476">
              <w:rPr>
                <w:rFonts w:asciiTheme="majorHAnsi" w:hAnsiTheme="majorHAnsi"/>
                <w:b w:val="0"/>
                <w:i/>
              </w:rPr>
              <w:t>Número de accidentes de tránsito cubiertos por SOA</w:t>
            </w:r>
            <w:r w:rsidRPr="00C37476">
              <w:rPr>
                <w:rFonts w:asciiTheme="majorHAnsi" w:hAnsiTheme="majorHAnsi"/>
                <w:b w:val="0"/>
                <w:i/>
                <w:vertAlign w:val="superscript"/>
              </w:rPr>
              <w:t>2/</w:t>
            </w:r>
          </w:p>
        </w:tc>
        <w:tc>
          <w:tcPr>
            <w:tcW w:w="1418" w:type="dxa"/>
            <w:gridSpan w:val="2"/>
            <w:shd w:val="clear" w:color="auto" w:fill="808080" w:themeFill="background1" w:themeFillShade="80"/>
            <w:vAlign w:val="center"/>
          </w:tcPr>
          <w:p w14:paraId="08C4CF72" w14:textId="77777777" w:rsidR="00E76C75" w:rsidRPr="00C37476" w:rsidRDefault="00E76C75" w:rsidP="00A93CE5">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i/>
              </w:rPr>
            </w:pPr>
            <w:r w:rsidRPr="00C37476">
              <w:rPr>
                <w:rFonts w:asciiTheme="majorHAnsi" w:hAnsiTheme="majorHAnsi"/>
                <w:b w:val="0"/>
                <w:i/>
              </w:rPr>
              <w:t>Número de personas fallecidas</w:t>
            </w:r>
          </w:p>
        </w:tc>
        <w:tc>
          <w:tcPr>
            <w:tcW w:w="1516" w:type="dxa"/>
            <w:shd w:val="clear" w:color="auto" w:fill="808080" w:themeFill="background1" w:themeFillShade="80"/>
            <w:vAlign w:val="center"/>
          </w:tcPr>
          <w:p w14:paraId="08C4CF73" w14:textId="77777777" w:rsidR="00E76C75" w:rsidRPr="00C37476" w:rsidRDefault="00E76C75" w:rsidP="00A93CE5">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i/>
              </w:rPr>
            </w:pPr>
            <w:r w:rsidRPr="00C37476">
              <w:rPr>
                <w:rFonts w:asciiTheme="majorHAnsi" w:hAnsiTheme="majorHAnsi"/>
                <w:b w:val="0"/>
                <w:i/>
              </w:rPr>
              <w:t>Número de personas lesionadas</w:t>
            </w:r>
            <w:r w:rsidRPr="00C37476">
              <w:rPr>
                <w:rFonts w:asciiTheme="majorHAnsi" w:hAnsiTheme="majorHAnsi"/>
                <w:b w:val="0"/>
                <w:i/>
                <w:vertAlign w:val="superscript"/>
              </w:rPr>
              <w:t>3/</w:t>
            </w:r>
          </w:p>
        </w:tc>
      </w:tr>
      <w:tr w:rsidR="00E76C75" w:rsidRPr="00C37476" w14:paraId="08C4CF7A" w14:textId="77777777" w:rsidTr="00A93CE5">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2744" w:type="dxa"/>
          </w:tcPr>
          <w:p w14:paraId="08C4CF75" w14:textId="77777777" w:rsidR="00E76C75" w:rsidRPr="00C37476" w:rsidRDefault="00E76C75" w:rsidP="00A93CE5">
            <w:pPr>
              <w:rPr>
                <w:rFonts w:asciiTheme="majorHAnsi" w:hAnsiTheme="majorHAnsi"/>
                <w:b w:val="0"/>
                <w:i/>
              </w:rPr>
            </w:pPr>
            <w:r w:rsidRPr="00C37476">
              <w:rPr>
                <w:rFonts w:asciiTheme="majorHAnsi" w:hAnsiTheme="majorHAnsi"/>
                <w:b w:val="0"/>
                <w:i/>
              </w:rPr>
              <w:t>Particular</w:t>
            </w:r>
          </w:p>
        </w:tc>
        <w:tc>
          <w:tcPr>
            <w:tcW w:w="1458" w:type="dxa"/>
          </w:tcPr>
          <w:p w14:paraId="08C4CF76" w14:textId="77777777" w:rsidR="00E76C75" w:rsidRPr="00C37476" w:rsidRDefault="00E76C75" w:rsidP="00A93CE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rPr>
            </w:pPr>
          </w:p>
        </w:tc>
        <w:tc>
          <w:tcPr>
            <w:tcW w:w="693" w:type="dxa"/>
            <w:gridSpan w:val="2"/>
          </w:tcPr>
          <w:p w14:paraId="08C4CF77" w14:textId="77777777" w:rsidR="00E76C75" w:rsidRPr="00C37476" w:rsidRDefault="00E76C75" w:rsidP="00A93CE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rPr>
            </w:pPr>
          </w:p>
        </w:tc>
        <w:tc>
          <w:tcPr>
            <w:tcW w:w="914" w:type="dxa"/>
            <w:gridSpan w:val="2"/>
          </w:tcPr>
          <w:p w14:paraId="08C4CF78" w14:textId="77777777" w:rsidR="00E76C75" w:rsidRPr="00C37476" w:rsidRDefault="00E76C75" w:rsidP="00A93CE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rPr>
            </w:pPr>
          </w:p>
        </w:tc>
        <w:tc>
          <w:tcPr>
            <w:tcW w:w="2846" w:type="dxa"/>
            <w:gridSpan w:val="2"/>
          </w:tcPr>
          <w:p w14:paraId="08C4CF79" w14:textId="77777777" w:rsidR="00E76C75" w:rsidRPr="00C37476" w:rsidRDefault="00E76C75" w:rsidP="00A93CE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rPr>
            </w:pPr>
          </w:p>
        </w:tc>
      </w:tr>
      <w:tr w:rsidR="00E76C75" w:rsidRPr="00C37476" w14:paraId="08C4CF80" w14:textId="77777777" w:rsidTr="00A93CE5">
        <w:trPr>
          <w:trHeight w:val="173"/>
          <w:jc w:val="center"/>
        </w:trPr>
        <w:tc>
          <w:tcPr>
            <w:cnfStyle w:val="001000000000" w:firstRow="0" w:lastRow="0" w:firstColumn="1" w:lastColumn="0" w:oddVBand="0" w:evenVBand="0" w:oddHBand="0" w:evenHBand="0" w:firstRowFirstColumn="0" w:firstRowLastColumn="0" w:lastRowFirstColumn="0" w:lastRowLastColumn="0"/>
            <w:tcW w:w="2744" w:type="dxa"/>
          </w:tcPr>
          <w:p w14:paraId="08C4CF7B" w14:textId="77777777" w:rsidR="00E76C75" w:rsidRPr="00C37476" w:rsidRDefault="00E76C75" w:rsidP="00A93CE5">
            <w:pPr>
              <w:rPr>
                <w:rFonts w:asciiTheme="majorHAnsi" w:hAnsiTheme="majorHAnsi"/>
                <w:b w:val="0"/>
                <w:i/>
              </w:rPr>
            </w:pPr>
            <w:r w:rsidRPr="00C37476">
              <w:rPr>
                <w:rFonts w:asciiTheme="majorHAnsi" w:hAnsiTheme="majorHAnsi"/>
                <w:b w:val="0"/>
                <w:i/>
              </w:rPr>
              <w:t>Carga Liviana</w:t>
            </w:r>
          </w:p>
        </w:tc>
        <w:tc>
          <w:tcPr>
            <w:tcW w:w="1458" w:type="dxa"/>
          </w:tcPr>
          <w:p w14:paraId="08C4CF7C" w14:textId="77777777" w:rsidR="00E76C75" w:rsidRPr="00C37476" w:rsidRDefault="00E76C75" w:rsidP="00A93CE5">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p>
        </w:tc>
        <w:tc>
          <w:tcPr>
            <w:tcW w:w="693" w:type="dxa"/>
            <w:gridSpan w:val="2"/>
          </w:tcPr>
          <w:p w14:paraId="08C4CF7D" w14:textId="77777777" w:rsidR="00E76C75" w:rsidRPr="00C37476" w:rsidRDefault="00E76C75" w:rsidP="00A93CE5">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p>
        </w:tc>
        <w:tc>
          <w:tcPr>
            <w:tcW w:w="914" w:type="dxa"/>
            <w:gridSpan w:val="2"/>
          </w:tcPr>
          <w:p w14:paraId="08C4CF7E" w14:textId="77777777" w:rsidR="00E76C75" w:rsidRPr="00C37476" w:rsidRDefault="00E76C75" w:rsidP="00A93CE5">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p>
        </w:tc>
        <w:tc>
          <w:tcPr>
            <w:tcW w:w="2846" w:type="dxa"/>
            <w:gridSpan w:val="2"/>
          </w:tcPr>
          <w:p w14:paraId="08C4CF7F" w14:textId="77777777" w:rsidR="00E76C75" w:rsidRPr="00C37476" w:rsidRDefault="00E76C75" w:rsidP="00A93CE5">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p>
        </w:tc>
      </w:tr>
      <w:tr w:rsidR="00E76C75" w:rsidRPr="00C37476" w14:paraId="08C4CF86" w14:textId="77777777" w:rsidTr="00A93CE5">
        <w:trPr>
          <w:cnfStyle w:val="000000100000" w:firstRow="0" w:lastRow="0" w:firstColumn="0" w:lastColumn="0" w:oddVBand="0" w:evenVBand="0" w:oddHBand="1" w:evenHBand="0" w:firstRowFirstColumn="0" w:firstRowLastColumn="0" w:lastRowFirstColumn="0" w:lastRowLastColumn="0"/>
          <w:trHeight w:val="173"/>
          <w:jc w:val="center"/>
        </w:trPr>
        <w:tc>
          <w:tcPr>
            <w:cnfStyle w:val="001000000000" w:firstRow="0" w:lastRow="0" w:firstColumn="1" w:lastColumn="0" w:oddVBand="0" w:evenVBand="0" w:oddHBand="0" w:evenHBand="0" w:firstRowFirstColumn="0" w:firstRowLastColumn="0" w:lastRowFirstColumn="0" w:lastRowLastColumn="0"/>
            <w:tcW w:w="2744" w:type="dxa"/>
          </w:tcPr>
          <w:p w14:paraId="08C4CF81" w14:textId="77777777" w:rsidR="00E76C75" w:rsidRPr="00C37476" w:rsidRDefault="00E76C75" w:rsidP="00A93CE5">
            <w:pPr>
              <w:rPr>
                <w:rFonts w:asciiTheme="majorHAnsi" w:hAnsiTheme="majorHAnsi"/>
                <w:b w:val="0"/>
                <w:i/>
              </w:rPr>
            </w:pPr>
            <w:r w:rsidRPr="00C37476">
              <w:rPr>
                <w:rFonts w:asciiTheme="majorHAnsi" w:hAnsiTheme="majorHAnsi"/>
                <w:b w:val="0"/>
                <w:i/>
              </w:rPr>
              <w:t>Carga Pesada</w:t>
            </w:r>
          </w:p>
        </w:tc>
        <w:tc>
          <w:tcPr>
            <w:tcW w:w="1458" w:type="dxa"/>
          </w:tcPr>
          <w:p w14:paraId="08C4CF82" w14:textId="77777777" w:rsidR="00E76C75" w:rsidRPr="00C37476" w:rsidRDefault="00E76C75" w:rsidP="00A93CE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rPr>
            </w:pPr>
          </w:p>
        </w:tc>
        <w:tc>
          <w:tcPr>
            <w:tcW w:w="693" w:type="dxa"/>
            <w:gridSpan w:val="2"/>
          </w:tcPr>
          <w:p w14:paraId="08C4CF83" w14:textId="77777777" w:rsidR="00E76C75" w:rsidRPr="00C37476" w:rsidRDefault="00E76C75" w:rsidP="00A93CE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rPr>
            </w:pPr>
          </w:p>
        </w:tc>
        <w:tc>
          <w:tcPr>
            <w:tcW w:w="914" w:type="dxa"/>
            <w:gridSpan w:val="2"/>
          </w:tcPr>
          <w:p w14:paraId="08C4CF84" w14:textId="77777777" w:rsidR="00E76C75" w:rsidRPr="00C37476" w:rsidRDefault="00E76C75" w:rsidP="00A93CE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rPr>
            </w:pPr>
          </w:p>
        </w:tc>
        <w:tc>
          <w:tcPr>
            <w:tcW w:w="2846" w:type="dxa"/>
            <w:gridSpan w:val="2"/>
          </w:tcPr>
          <w:p w14:paraId="08C4CF85" w14:textId="77777777" w:rsidR="00E76C75" w:rsidRPr="00C37476" w:rsidRDefault="00E76C75" w:rsidP="00A93CE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rPr>
            </w:pPr>
          </w:p>
        </w:tc>
      </w:tr>
      <w:tr w:rsidR="00E76C75" w:rsidRPr="00C37476" w14:paraId="08C4CF8C" w14:textId="77777777" w:rsidTr="00A93CE5">
        <w:trPr>
          <w:trHeight w:val="165"/>
          <w:jc w:val="center"/>
        </w:trPr>
        <w:tc>
          <w:tcPr>
            <w:cnfStyle w:val="001000000000" w:firstRow="0" w:lastRow="0" w:firstColumn="1" w:lastColumn="0" w:oddVBand="0" w:evenVBand="0" w:oddHBand="0" w:evenHBand="0" w:firstRowFirstColumn="0" w:firstRowLastColumn="0" w:lastRowFirstColumn="0" w:lastRowLastColumn="0"/>
            <w:tcW w:w="2744" w:type="dxa"/>
          </w:tcPr>
          <w:p w14:paraId="08C4CF87" w14:textId="77777777" w:rsidR="00E76C75" w:rsidRPr="00C37476" w:rsidRDefault="00E76C75" w:rsidP="00A93CE5">
            <w:pPr>
              <w:rPr>
                <w:rFonts w:asciiTheme="majorHAnsi" w:hAnsiTheme="majorHAnsi"/>
                <w:b w:val="0"/>
                <w:i/>
              </w:rPr>
            </w:pPr>
            <w:r w:rsidRPr="00C37476">
              <w:rPr>
                <w:rFonts w:asciiTheme="majorHAnsi" w:hAnsiTheme="majorHAnsi"/>
                <w:b w:val="0"/>
                <w:i/>
              </w:rPr>
              <w:t>Motos</w:t>
            </w:r>
          </w:p>
        </w:tc>
        <w:tc>
          <w:tcPr>
            <w:tcW w:w="1458" w:type="dxa"/>
          </w:tcPr>
          <w:p w14:paraId="08C4CF88" w14:textId="77777777" w:rsidR="00E76C75" w:rsidRPr="00C37476" w:rsidRDefault="00E76C75" w:rsidP="00A93CE5">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p>
        </w:tc>
        <w:tc>
          <w:tcPr>
            <w:tcW w:w="693" w:type="dxa"/>
            <w:gridSpan w:val="2"/>
          </w:tcPr>
          <w:p w14:paraId="08C4CF89" w14:textId="77777777" w:rsidR="00E76C75" w:rsidRPr="00C37476" w:rsidRDefault="00E76C75" w:rsidP="00A93CE5">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p>
        </w:tc>
        <w:tc>
          <w:tcPr>
            <w:tcW w:w="914" w:type="dxa"/>
            <w:gridSpan w:val="2"/>
          </w:tcPr>
          <w:p w14:paraId="08C4CF8A" w14:textId="77777777" w:rsidR="00E76C75" w:rsidRPr="00C37476" w:rsidRDefault="00E76C75" w:rsidP="00A93CE5">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p>
        </w:tc>
        <w:tc>
          <w:tcPr>
            <w:tcW w:w="2846" w:type="dxa"/>
            <w:gridSpan w:val="2"/>
          </w:tcPr>
          <w:p w14:paraId="08C4CF8B" w14:textId="77777777" w:rsidR="00E76C75" w:rsidRPr="00C37476" w:rsidRDefault="00E76C75" w:rsidP="00A93CE5">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p>
        </w:tc>
      </w:tr>
      <w:tr w:rsidR="00E76C75" w:rsidRPr="00C37476" w14:paraId="08C4CF92" w14:textId="77777777" w:rsidTr="00A93CE5">
        <w:trPr>
          <w:cnfStyle w:val="000000100000" w:firstRow="0" w:lastRow="0" w:firstColumn="0" w:lastColumn="0" w:oddVBand="0" w:evenVBand="0" w:oddHBand="1" w:evenHBand="0" w:firstRowFirstColumn="0" w:firstRowLastColumn="0" w:lastRowFirstColumn="0" w:lastRowLastColumn="0"/>
          <w:trHeight w:val="173"/>
          <w:jc w:val="center"/>
        </w:trPr>
        <w:tc>
          <w:tcPr>
            <w:cnfStyle w:val="001000000000" w:firstRow="0" w:lastRow="0" w:firstColumn="1" w:lastColumn="0" w:oddVBand="0" w:evenVBand="0" w:oddHBand="0" w:evenHBand="0" w:firstRowFirstColumn="0" w:firstRowLastColumn="0" w:lastRowFirstColumn="0" w:lastRowLastColumn="0"/>
            <w:tcW w:w="2744" w:type="dxa"/>
          </w:tcPr>
          <w:p w14:paraId="08C4CF8D" w14:textId="77777777" w:rsidR="00E76C75" w:rsidRPr="00C37476" w:rsidRDefault="00E76C75" w:rsidP="00A93CE5">
            <w:pPr>
              <w:rPr>
                <w:rFonts w:asciiTheme="majorHAnsi" w:hAnsiTheme="majorHAnsi"/>
                <w:b w:val="0"/>
                <w:i/>
              </w:rPr>
            </w:pPr>
            <w:r w:rsidRPr="00C37476">
              <w:rPr>
                <w:rFonts w:asciiTheme="majorHAnsi" w:hAnsiTheme="majorHAnsi"/>
                <w:b w:val="0"/>
                <w:i/>
              </w:rPr>
              <w:t>Taxis</w:t>
            </w:r>
          </w:p>
        </w:tc>
        <w:tc>
          <w:tcPr>
            <w:tcW w:w="1458" w:type="dxa"/>
          </w:tcPr>
          <w:p w14:paraId="08C4CF8E" w14:textId="77777777" w:rsidR="00E76C75" w:rsidRPr="00C37476" w:rsidRDefault="00E76C75" w:rsidP="00A93CE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rPr>
            </w:pPr>
          </w:p>
        </w:tc>
        <w:tc>
          <w:tcPr>
            <w:tcW w:w="693" w:type="dxa"/>
            <w:gridSpan w:val="2"/>
          </w:tcPr>
          <w:p w14:paraId="08C4CF8F" w14:textId="77777777" w:rsidR="00E76C75" w:rsidRPr="00C37476" w:rsidRDefault="00E76C75" w:rsidP="00A93CE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rPr>
            </w:pPr>
          </w:p>
        </w:tc>
        <w:tc>
          <w:tcPr>
            <w:tcW w:w="914" w:type="dxa"/>
            <w:gridSpan w:val="2"/>
          </w:tcPr>
          <w:p w14:paraId="08C4CF90" w14:textId="77777777" w:rsidR="00E76C75" w:rsidRPr="00C37476" w:rsidRDefault="00E76C75" w:rsidP="00A93CE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rPr>
            </w:pPr>
          </w:p>
        </w:tc>
        <w:tc>
          <w:tcPr>
            <w:tcW w:w="2846" w:type="dxa"/>
            <w:gridSpan w:val="2"/>
          </w:tcPr>
          <w:p w14:paraId="08C4CF91" w14:textId="77777777" w:rsidR="00E76C75" w:rsidRPr="00C37476" w:rsidRDefault="00E76C75" w:rsidP="00A93CE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rPr>
            </w:pPr>
          </w:p>
        </w:tc>
      </w:tr>
      <w:tr w:rsidR="00E76C75" w:rsidRPr="00C37476" w14:paraId="08C4CF98" w14:textId="77777777" w:rsidTr="00A93CE5">
        <w:trPr>
          <w:trHeight w:val="173"/>
          <w:jc w:val="center"/>
        </w:trPr>
        <w:tc>
          <w:tcPr>
            <w:cnfStyle w:val="001000000000" w:firstRow="0" w:lastRow="0" w:firstColumn="1" w:lastColumn="0" w:oddVBand="0" w:evenVBand="0" w:oddHBand="0" w:evenHBand="0" w:firstRowFirstColumn="0" w:firstRowLastColumn="0" w:lastRowFirstColumn="0" w:lastRowLastColumn="0"/>
            <w:tcW w:w="2744" w:type="dxa"/>
          </w:tcPr>
          <w:p w14:paraId="08C4CF93" w14:textId="77777777" w:rsidR="00E76C75" w:rsidRPr="00C37476" w:rsidRDefault="00E76C75" w:rsidP="00A93CE5">
            <w:pPr>
              <w:rPr>
                <w:rFonts w:asciiTheme="majorHAnsi" w:hAnsiTheme="majorHAnsi"/>
                <w:b w:val="0"/>
                <w:i/>
              </w:rPr>
            </w:pPr>
            <w:r w:rsidRPr="00C37476">
              <w:rPr>
                <w:rFonts w:asciiTheme="majorHAnsi" w:hAnsiTheme="majorHAnsi"/>
                <w:b w:val="0"/>
                <w:i/>
              </w:rPr>
              <w:t>Equipo Especial</w:t>
            </w:r>
          </w:p>
        </w:tc>
        <w:tc>
          <w:tcPr>
            <w:tcW w:w="1458" w:type="dxa"/>
          </w:tcPr>
          <w:p w14:paraId="08C4CF94" w14:textId="77777777" w:rsidR="00E76C75" w:rsidRPr="00C37476" w:rsidRDefault="00E76C75" w:rsidP="00A93CE5">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p>
        </w:tc>
        <w:tc>
          <w:tcPr>
            <w:tcW w:w="693" w:type="dxa"/>
            <w:gridSpan w:val="2"/>
          </w:tcPr>
          <w:p w14:paraId="08C4CF95" w14:textId="77777777" w:rsidR="00E76C75" w:rsidRPr="00C37476" w:rsidRDefault="00E76C75" w:rsidP="00A93CE5">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p>
        </w:tc>
        <w:tc>
          <w:tcPr>
            <w:tcW w:w="914" w:type="dxa"/>
            <w:gridSpan w:val="2"/>
          </w:tcPr>
          <w:p w14:paraId="08C4CF96" w14:textId="77777777" w:rsidR="00E76C75" w:rsidRPr="00C37476" w:rsidRDefault="00E76C75" w:rsidP="00A93CE5">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p>
        </w:tc>
        <w:tc>
          <w:tcPr>
            <w:tcW w:w="2846" w:type="dxa"/>
            <w:gridSpan w:val="2"/>
          </w:tcPr>
          <w:p w14:paraId="08C4CF97" w14:textId="77777777" w:rsidR="00E76C75" w:rsidRPr="00C37476" w:rsidRDefault="00E76C75" w:rsidP="00A93CE5">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p>
        </w:tc>
      </w:tr>
      <w:tr w:rsidR="00E76C75" w:rsidRPr="00C37476" w14:paraId="08C4CF9E" w14:textId="77777777" w:rsidTr="00A93CE5">
        <w:trPr>
          <w:cnfStyle w:val="000000100000" w:firstRow="0" w:lastRow="0" w:firstColumn="0" w:lastColumn="0" w:oddVBand="0" w:evenVBand="0" w:oddHBand="1" w:evenHBand="0"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2744" w:type="dxa"/>
          </w:tcPr>
          <w:p w14:paraId="08C4CF99" w14:textId="77777777" w:rsidR="00E76C75" w:rsidRPr="00C37476" w:rsidRDefault="00E76C75" w:rsidP="00A93CE5">
            <w:pPr>
              <w:rPr>
                <w:rFonts w:asciiTheme="majorHAnsi" w:hAnsiTheme="majorHAnsi"/>
                <w:b w:val="0"/>
                <w:i/>
              </w:rPr>
            </w:pPr>
            <w:r w:rsidRPr="00C37476">
              <w:rPr>
                <w:rFonts w:asciiTheme="majorHAnsi" w:hAnsiTheme="majorHAnsi"/>
                <w:b w:val="0"/>
                <w:i/>
              </w:rPr>
              <w:t xml:space="preserve">Autobuses, busetas, </w:t>
            </w:r>
            <w:r w:rsidRPr="00C37476">
              <w:rPr>
                <w:rFonts w:asciiTheme="majorHAnsi" w:hAnsiTheme="majorHAnsi"/>
                <w:b w:val="0"/>
                <w:i/>
              </w:rPr>
              <w:lastRenderedPageBreak/>
              <w:t>microbuses transporte remunerado de personas</w:t>
            </w:r>
          </w:p>
        </w:tc>
        <w:tc>
          <w:tcPr>
            <w:tcW w:w="1458" w:type="dxa"/>
          </w:tcPr>
          <w:p w14:paraId="08C4CF9A" w14:textId="77777777" w:rsidR="00E76C75" w:rsidRPr="00C37476" w:rsidRDefault="00E76C75" w:rsidP="00A93CE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rPr>
            </w:pPr>
          </w:p>
        </w:tc>
        <w:tc>
          <w:tcPr>
            <w:tcW w:w="693" w:type="dxa"/>
            <w:gridSpan w:val="2"/>
          </w:tcPr>
          <w:p w14:paraId="08C4CF9B" w14:textId="77777777" w:rsidR="00E76C75" w:rsidRPr="00C37476" w:rsidRDefault="00E76C75" w:rsidP="00A93CE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rPr>
            </w:pPr>
          </w:p>
        </w:tc>
        <w:tc>
          <w:tcPr>
            <w:tcW w:w="914" w:type="dxa"/>
            <w:gridSpan w:val="2"/>
          </w:tcPr>
          <w:p w14:paraId="08C4CF9C" w14:textId="77777777" w:rsidR="00E76C75" w:rsidRPr="00C37476" w:rsidRDefault="00E76C75" w:rsidP="00A93CE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rPr>
            </w:pPr>
          </w:p>
        </w:tc>
        <w:tc>
          <w:tcPr>
            <w:tcW w:w="2846" w:type="dxa"/>
            <w:gridSpan w:val="2"/>
          </w:tcPr>
          <w:p w14:paraId="08C4CF9D" w14:textId="77777777" w:rsidR="00E76C75" w:rsidRPr="00C37476" w:rsidRDefault="00E76C75" w:rsidP="00A93CE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rPr>
            </w:pPr>
          </w:p>
        </w:tc>
      </w:tr>
      <w:tr w:rsidR="00E76C75" w:rsidRPr="00C37476" w14:paraId="08C4CFA4" w14:textId="77777777" w:rsidTr="00A93CE5">
        <w:trPr>
          <w:trHeight w:val="339"/>
          <w:jc w:val="center"/>
        </w:trPr>
        <w:tc>
          <w:tcPr>
            <w:cnfStyle w:val="001000000000" w:firstRow="0" w:lastRow="0" w:firstColumn="1" w:lastColumn="0" w:oddVBand="0" w:evenVBand="0" w:oddHBand="0" w:evenHBand="0" w:firstRowFirstColumn="0" w:firstRowLastColumn="0" w:lastRowFirstColumn="0" w:lastRowLastColumn="0"/>
            <w:tcW w:w="2744" w:type="dxa"/>
          </w:tcPr>
          <w:p w14:paraId="08C4CF9F" w14:textId="77777777" w:rsidR="00E76C75" w:rsidRPr="00C37476" w:rsidRDefault="00E76C75" w:rsidP="00A93CE5">
            <w:pPr>
              <w:rPr>
                <w:rFonts w:asciiTheme="majorHAnsi" w:hAnsiTheme="majorHAnsi"/>
                <w:b w:val="0"/>
                <w:i/>
              </w:rPr>
            </w:pPr>
            <w:r w:rsidRPr="00C37476">
              <w:rPr>
                <w:rFonts w:asciiTheme="majorHAnsi" w:hAnsiTheme="majorHAnsi"/>
                <w:b w:val="0"/>
                <w:i/>
              </w:rPr>
              <w:lastRenderedPageBreak/>
              <w:t>Autobuses, busetas o microbuses destinados al uso particular</w:t>
            </w:r>
          </w:p>
        </w:tc>
        <w:tc>
          <w:tcPr>
            <w:tcW w:w="1458" w:type="dxa"/>
          </w:tcPr>
          <w:p w14:paraId="08C4CFA0" w14:textId="77777777" w:rsidR="00E76C75" w:rsidRPr="00C37476" w:rsidRDefault="00E76C75" w:rsidP="00A93CE5">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p>
        </w:tc>
        <w:tc>
          <w:tcPr>
            <w:tcW w:w="693" w:type="dxa"/>
            <w:gridSpan w:val="2"/>
          </w:tcPr>
          <w:p w14:paraId="08C4CFA1" w14:textId="77777777" w:rsidR="00E76C75" w:rsidRPr="00C37476" w:rsidRDefault="00E76C75" w:rsidP="00A93CE5">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p>
        </w:tc>
        <w:tc>
          <w:tcPr>
            <w:tcW w:w="914" w:type="dxa"/>
            <w:gridSpan w:val="2"/>
          </w:tcPr>
          <w:p w14:paraId="08C4CFA2" w14:textId="77777777" w:rsidR="00E76C75" w:rsidRPr="00C37476" w:rsidRDefault="00E76C75" w:rsidP="00A93CE5">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p>
        </w:tc>
        <w:tc>
          <w:tcPr>
            <w:tcW w:w="2846" w:type="dxa"/>
            <w:gridSpan w:val="2"/>
          </w:tcPr>
          <w:p w14:paraId="08C4CFA3" w14:textId="77777777" w:rsidR="00E76C75" w:rsidRPr="00C37476" w:rsidRDefault="00E76C75" w:rsidP="00A93CE5">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p>
        </w:tc>
      </w:tr>
      <w:tr w:rsidR="00E76C75" w:rsidRPr="00C37476" w14:paraId="08C4CFAA" w14:textId="77777777" w:rsidTr="00A93CE5">
        <w:trPr>
          <w:cnfStyle w:val="000000100000" w:firstRow="0" w:lastRow="0" w:firstColumn="0" w:lastColumn="0" w:oddVBand="0" w:evenVBand="0" w:oddHBand="1" w:evenHBand="0"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2744" w:type="dxa"/>
          </w:tcPr>
          <w:p w14:paraId="08C4CFA5" w14:textId="77777777" w:rsidR="00E76C75" w:rsidRPr="00C37476" w:rsidRDefault="00E76C75" w:rsidP="00A93CE5">
            <w:pPr>
              <w:rPr>
                <w:rFonts w:asciiTheme="majorHAnsi" w:hAnsiTheme="majorHAnsi"/>
                <w:b w:val="0"/>
                <w:i/>
              </w:rPr>
            </w:pPr>
            <w:proofErr w:type="spellStart"/>
            <w:r w:rsidRPr="00C37476">
              <w:rPr>
                <w:rFonts w:asciiTheme="majorHAnsi" w:hAnsiTheme="majorHAnsi"/>
                <w:b w:val="0"/>
                <w:i/>
              </w:rPr>
              <w:t>Bicimotos</w:t>
            </w:r>
            <w:proofErr w:type="spellEnd"/>
            <w:r w:rsidRPr="00C37476">
              <w:rPr>
                <w:rFonts w:asciiTheme="majorHAnsi" w:hAnsiTheme="majorHAnsi"/>
                <w:b w:val="0"/>
                <w:i/>
              </w:rPr>
              <w:t xml:space="preserve">, </w:t>
            </w:r>
            <w:proofErr w:type="spellStart"/>
            <w:r w:rsidRPr="00C37476">
              <w:rPr>
                <w:rFonts w:asciiTheme="majorHAnsi" w:hAnsiTheme="majorHAnsi"/>
                <w:b w:val="0"/>
                <w:i/>
              </w:rPr>
              <w:t>cuadraciclos</w:t>
            </w:r>
            <w:proofErr w:type="spellEnd"/>
            <w:r w:rsidRPr="00C37476">
              <w:rPr>
                <w:rFonts w:asciiTheme="majorHAnsi" w:hAnsiTheme="majorHAnsi"/>
                <w:b w:val="0"/>
                <w:i/>
              </w:rPr>
              <w:t xml:space="preserve"> y UTV.</w:t>
            </w:r>
          </w:p>
        </w:tc>
        <w:tc>
          <w:tcPr>
            <w:tcW w:w="1458" w:type="dxa"/>
          </w:tcPr>
          <w:p w14:paraId="08C4CFA6" w14:textId="77777777" w:rsidR="00E76C75" w:rsidRPr="00C37476" w:rsidRDefault="00E76C75" w:rsidP="00A93CE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rPr>
            </w:pPr>
          </w:p>
        </w:tc>
        <w:tc>
          <w:tcPr>
            <w:tcW w:w="693" w:type="dxa"/>
            <w:gridSpan w:val="2"/>
          </w:tcPr>
          <w:p w14:paraId="08C4CFA7" w14:textId="77777777" w:rsidR="00E76C75" w:rsidRPr="00C37476" w:rsidRDefault="00E76C75" w:rsidP="00A93CE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rPr>
            </w:pPr>
          </w:p>
        </w:tc>
        <w:tc>
          <w:tcPr>
            <w:tcW w:w="914" w:type="dxa"/>
            <w:gridSpan w:val="2"/>
          </w:tcPr>
          <w:p w14:paraId="08C4CFA8" w14:textId="77777777" w:rsidR="00E76C75" w:rsidRPr="00C37476" w:rsidRDefault="00E76C75" w:rsidP="00A93CE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rPr>
            </w:pPr>
          </w:p>
        </w:tc>
        <w:tc>
          <w:tcPr>
            <w:tcW w:w="2846" w:type="dxa"/>
            <w:gridSpan w:val="2"/>
          </w:tcPr>
          <w:p w14:paraId="08C4CFA9" w14:textId="77777777" w:rsidR="00E76C75" w:rsidRPr="00C37476" w:rsidRDefault="00E76C75" w:rsidP="00A93CE5">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i/>
              </w:rPr>
            </w:pPr>
          </w:p>
        </w:tc>
      </w:tr>
      <w:tr w:rsidR="00E76C75" w:rsidRPr="00C37476" w14:paraId="08C4CFB0" w14:textId="77777777" w:rsidTr="00A93CE5">
        <w:trPr>
          <w:trHeight w:val="173"/>
          <w:jc w:val="center"/>
        </w:trPr>
        <w:tc>
          <w:tcPr>
            <w:cnfStyle w:val="001000000000" w:firstRow="0" w:lastRow="0" w:firstColumn="1" w:lastColumn="0" w:oddVBand="0" w:evenVBand="0" w:oddHBand="0" w:evenHBand="0" w:firstRowFirstColumn="0" w:firstRowLastColumn="0" w:lastRowFirstColumn="0" w:lastRowLastColumn="0"/>
            <w:tcW w:w="2744" w:type="dxa"/>
          </w:tcPr>
          <w:p w14:paraId="08C4CFAB" w14:textId="77777777" w:rsidR="00E76C75" w:rsidRPr="00C37476" w:rsidRDefault="00E76C75" w:rsidP="00A93CE5">
            <w:pPr>
              <w:rPr>
                <w:rFonts w:asciiTheme="majorHAnsi" w:hAnsiTheme="majorHAnsi"/>
                <w:b w:val="0"/>
                <w:i/>
              </w:rPr>
            </w:pPr>
            <w:r w:rsidRPr="00C37476">
              <w:rPr>
                <w:rFonts w:asciiTheme="majorHAnsi" w:hAnsiTheme="majorHAnsi"/>
                <w:b w:val="0"/>
                <w:i/>
              </w:rPr>
              <w:t xml:space="preserve">No identificado </w:t>
            </w:r>
            <w:r w:rsidRPr="00C37476">
              <w:rPr>
                <w:rFonts w:asciiTheme="majorHAnsi" w:hAnsiTheme="majorHAnsi"/>
                <w:b w:val="0"/>
                <w:i/>
                <w:vertAlign w:val="superscript"/>
              </w:rPr>
              <w:t>4/</w:t>
            </w:r>
          </w:p>
        </w:tc>
        <w:tc>
          <w:tcPr>
            <w:tcW w:w="1458" w:type="dxa"/>
          </w:tcPr>
          <w:p w14:paraId="08C4CFAC" w14:textId="77777777" w:rsidR="00E76C75" w:rsidRPr="00C37476" w:rsidRDefault="00E76C75" w:rsidP="00A93CE5">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p>
        </w:tc>
        <w:tc>
          <w:tcPr>
            <w:tcW w:w="693" w:type="dxa"/>
            <w:gridSpan w:val="2"/>
          </w:tcPr>
          <w:p w14:paraId="08C4CFAD" w14:textId="77777777" w:rsidR="00E76C75" w:rsidRPr="00C37476" w:rsidRDefault="00E76C75" w:rsidP="00A93CE5">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p>
        </w:tc>
        <w:tc>
          <w:tcPr>
            <w:tcW w:w="914" w:type="dxa"/>
            <w:gridSpan w:val="2"/>
          </w:tcPr>
          <w:p w14:paraId="08C4CFAE" w14:textId="77777777" w:rsidR="00E76C75" w:rsidRPr="00C37476" w:rsidRDefault="00E76C75" w:rsidP="00A93CE5">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p>
        </w:tc>
        <w:tc>
          <w:tcPr>
            <w:tcW w:w="2846" w:type="dxa"/>
            <w:gridSpan w:val="2"/>
          </w:tcPr>
          <w:p w14:paraId="08C4CFAF" w14:textId="77777777" w:rsidR="00E76C75" w:rsidRPr="00C37476" w:rsidRDefault="00E76C75" w:rsidP="00A93CE5">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i/>
              </w:rPr>
            </w:pPr>
          </w:p>
        </w:tc>
      </w:tr>
    </w:tbl>
    <w:p w14:paraId="08C4CFB1" w14:textId="77777777" w:rsidR="00E76C75" w:rsidRPr="00C37476" w:rsidRDefault="00E76C75" w:rsidP="00E76C75">
      <w:pPr>
        <w:jc w:val="both"/>
        <w:rPr>
          <w:rFonts w:asciiTheme="majorHAnsi" w:hAnsiTheme="majorHAnsi"/>
          <w:i/>
          <w:color w:val="000000"/>
        </w:rPr>
      </w:pPr>
    </w:p>
    <w:p w14:paraId="08C4CFB2" w14:textId="77777777" w:rsidR="00E76C75" w:rsidRPr="00C37476" w:rsidRDefault="00E76C75" w:rsidP="00E76C75">
      <w:pPr>
        <w:widowControl w:val="0"/>
        <w:rPr>
          <w:rFonts w:asciiTheme="majorHAnsi" w:hAnsiTheme="majorHAnsi"/>
          <w:bCs/>
          <w:i/>
        </w:rPr>
      </w:pPr>
      <w:r w:rsidRPr="00C37476">
        <w:rPr>
          <w:rFonts w:asciiTheme="majorHAnsi" w:hAnsiTheme="majorHAnsi"/>
          <w:bCs/>
          <w:i/>
        </w:rPr>
        <w:t>Notas</w:t>
      </w:r>
    </w:p>
    <w:p w14:paraId="08C4CFB3" w14:textId="77777777" w:rsidR="00E76C75" w:rsidRPr="00C37476" w:rsidRDefault="00E76C75" w:rsidP="00E76C75">
      <w:pPr>
        <w:widowControl w:val="0"/>
        <w:jc w:val="both"/>
        <w:rPr>
          <w:rFonts w:asciiTheme="majorHAnsi" w:hAnsiTheme="majorHAnsi"/>
          <w:bCs/>
          <w:i/>
        </w:rPr>
      </w:pPr>
      <w:r w:rsidRPr="00C37476">
        <w:rPr>
          <w:rFonts w:asciiTheme="majorHAnsi" w:hAnsiTheme="majorHAnsi"/>
          <w:bCs/>
          <w:i/>
          <w:vertAlign w:val="superscript"/>
        </w:rPr>
        <w:t>1/</w:t>
      </w:r>
      <w:r w:rsidRPr="00C37476">
        <w:rPr>
          <w:rFonts w:asciiTheme="majorHAnsi" w:hAnsiTheme="majorHAnsi"/>
          <w:bCs/>
          <w:i/>
        </w:rPr>
        <w:t>Número de asegurados: cantidad de vehículos automotores asegurados por Seguro Obligatorio de Vehículos Automotores.</w:t>
      </w:r>
    </w:p>
    <w:p w14:paraId="08C4CFB4" w14:textId="77777777" w:rsidR="00E76C75" w:rsidRPr="00C37476" w:rsidRDefault="00E76C75" w:rsidP="00E76C75">
      <w:pPr>
        <w:widowControl w:val="0"/>
        <w:jc w:val="both"/>
        <w:rPr>
          <w:rFonts w:asciiTheme="majorHAnsi" w:hAnsiTheme="majorHAnsi"/>
          <w:bCs/>
          <w:i/>
        </w:rPr>
      </w:pPr>
      <w:r w:rsidRPr="00C37476">
        <w:rPr>
          <w:rFonts w:asciiTheme="majorHAnsi" w:hAnsiTheme="majorHAnsi"/>
          <w:bCs/>
          <w:i/>
          <w:vertAlign w:val="superscript"/>
        </w:rPr>
        <w:t>2/</w:t>
      </w:r>
      <w:r w:rsidRPr="00C37476">
        <w:rPr>
          <w:rFonts w:asciiTheme="majorHAnsi" w:hAnsiTheme="majorHAnsi"/>
          <w:bCs/>
          <w:i/>
        </w:rPr>
        <w:t xml:space="preserve">Número de accidentes de tránsito cubiertos por SOA: Se entiende por accidente de tránsito la acción culposa cometida por los conductores de los vehículos, sus pasajeros o los peatones, al transitar por las vías públicas terrestres. En el accidente de tránsito cubierto por el SOA debe estar involucrado al menos un vehículo y producirse muerte o lesiones de personas, las cuales generan a la entidad aseguradora la obligación de satisfacer al asegurado o a sus beneficiarios las prestaciones médicas o económicas garantizadas por el Seguro. </w:t>
      </w:r>
    </w:p>
    <w:p w14:paraId="08C4CFB5" w14:textId="77777777" w:rsidR="00E76C75" w:rsidRPr="00C37476" w:rsidRDefault="00E76C75" w:rsidP="00E76C75">
      <w:pPr>
        <w:widowControl w:val="0"/>
        <w:jc w:val="both"/>
        <w:rPr>
          <w:rFonts w:asciiTheme="majorHAnsi" w:hAnsiTheme="majorHAnsi"/>
          <w:bCs/>
          <w:i/>
        </w:rPr>
      </w:pPr>
      <w:r w:rsidRPr="00C37476">
        <w:rPr>
          <w:rFonts w:asciiTheme="majorHAnsi" w:hAnsiTheme="majorHAnsi"/>
          <w:bCs/>
          <w:i/>
          <w:vertAlign w:val="superscript"/>
        </w:rPr>
        <w:t>3/</w:t>
      </w:r>
      <w:r w:rsidRPr="00C37476">
        <w:rPr>
          <w:rFonts w:asciiTheme="majorHAnsi" w:hAnsiTheme="majorHAnsi"/>
          <w:bCs/>
          <w:i/>
        </w:rPr>
        <w:t>Número de personas lesionadas: es el número de personas que resultan lesionadas de los accidentes de tránsito.  Estas lesiones pueden ser permanentes total o parcial, o puede corresponder a lesiones en las que solo se incurre en gastos de atención y otros.</w:t>
      </w:r>
    </w:p>
    <w:p w14:paraId="08C4CFB6" w14:textId="77777777" w:rsidR="00E76C75" w:rsidRPr="00C37476" w:rsidRDefault="00E76C75" w:rsidP="00E76C75">
      <w:pPr>
        <w:jc w:val="both"/>
        <w:rPr>
          <w:rFonts w:asciiTheme="majorHAnsi" w:hAnsiTheme="majorHAnsi"/>
          <w:i/>
        </w:rPr>
      </w:pPr>
      <w:r w:rsidRPr="00C37476">
        <w:rPr>
          <w:rFonts w:asciiTheme="majorHAnsi" w:hAnsiTheme="majorHAnsi"/>
          <w:bCs/>
          <w:i/>
          <w:vertAlign w:val="superscript"/>
        </w:rPr>
        <w:t>4/</w:t>
      </w:r>
      <w:r w:rsidRPr="00C37476">
        <w:rPr>
          <w:rFonts w:asciiTheme="majorHAnsi" w:hAnsiTheme="majorHAnsi"/>
          <w:bCs/>
          <w:i/>
        </w:rPr>
        <w:t xml:space="preserve">No identificado: corresponde a </w:t>
      </w:r>
      <w:r w:rsidRPr="00C37476">
        <w:rPr>
          <w:rFonts w:asciiTheme="majorHAnsi" w:hAnsiTheme="majorHAnsi"/>
          <w:i/>
          <w:lang w:val="es-CR"/>
        </w:rPr>
        <w:t>aquellos casos en que no se cuenta con información del tipo de vehículo involucrado en el accidente.</w:t>
      </w:r>
    </w:p>
    <w:p w14:paraId="08C4CFB7" w14:textId="77777777" w:rsidR="00E76C75" w:rsidRDefault="00E76C75" w:rsidP="00E76C75">
      <w:pPr>
        <w:jc w:val="both"/>
        <w:rPr>
          <w:rFonts w:asciiTheme="majorHAnsi" w:hAnsiTheme="majorHAnsi"/>
          <w:color w:val="000000"/>
        </w:rPr>
      </w:pPr>
    </w:p>
    <w:p w14:paraId="08C4CFB8" w14:textId="77777777" w:rsidR="00E76C75" w:rsidRPr="00A21485" w:rsidRDefault="00E76C75" w:rsidP="00E76C75">
      <w:pPr>
        <w:jc w:val="both"/>
        <w:rPr>
          <w:rFonts w:asciiTheme="majorHAnsi" w:hAnsiTheme="majorHAnsi"/>
          <w:color w:val="000000"/>
        </w:rPr>
      </w:pPr>
      <w:r w:rsidRPr="00C37476">
        <w:rPr>
          <w:rFonts w:asciiTheme="majorHAnsi" w:hAnsiTheme="majorHAnsi"/>
          <w:b/>
          <w:color w:val="000000"/>
        </w:rPr>
        <w:t>Cuarto:</w:t>
      </w:r>
      <w:r w:rsidRPr="00C37476">
        <w:rPr>
          <w:rFonts w:asciiTheme="majorHAnsi" w:hAnsiTheme="majorHAnsi"/>
          <w:color w:val="000000"/>
        </w:rPr>
        <w:t xml:space="preserve"> Adicionar al acuerdo SGS-DES-A-021-2013 denominado </w:t>
      </w:r>
      <w:r w:rsidRPr="00C37476">
        <w:rPr>
          <w:rFonts w:asciiTheme="majorHAnsi" w:hAnsiTheme="majorHAnsi"/>
          <w:i/>
          <w:color w:val="000000"/>
        </w:rPr>
        <w:t>Disposiciones para la Remisión de la Información Contable y Estadística a la Superintendencia General de Seguros por parte de las Entidades Supervisadas</w:t>
      </w:r>
      <w:r w:rsidRPr="00C37476">
        <w:rPr>
          <w:rFonts w:asciiTheme="majorHAnsi" w:hAnsiTheme="majorHAnsi"/>
          <w:color w:val="000000"/>
        </w:rPr>
        <w:t>, la siguiente disposición transitoria:</w:t>
      </w:r>
      <w:r w:rsidRPr="00C37476">
        <w:rPr>
          <w:rFonts w:asciiTheme="majorHAnsi" w:hAnsiTheme="majorHAnsi"/>
          <w:color w:val="000000"/>
        </w:rPr>
        <w:cr/>
      </w:r>
    </w:p>
    <w:p w14:paraId="08C4CFB9" w14:textId="77777777" w:rsidR="00E76C75" w:rsidRPr="004E28A9" w:rsidRDefault="00E76C75" w:rsidP="00E76C75">
      <w:pPr>
        <w:jc w:val="both"/>
        <w:rPr>
          <w:rFonts w:asciiTheme="majorHAnsi" w:hAnsiTheme="majorHAnsi"/>
          <w:i/>
        </w:rPr>
      </w:pPr>
      <w:r>
        <w:rPr>
          <w:rFonts w:asciiTheme="majorHAnsi" w:hAnsiTheme="majorHAnsi"/>
          <w:b/>
          <w:i/>
        </w:rPr>
        <w:t>“</w:t>
      </w:r>
      <w:r w:rsidRPr="004E28A9">
        <w:rPr>
          <w:rFonts w:asciiTheme="majorHAnsi" w:hAnsiTheme="majorHAnsi"/>
          <w:b/>
          <w:i/>
        </w:rPr>
        <w:t>Transitorio IV:</w:t>
      </w:r>
      <w:r w:rsidRPr="004E28A9">
        <w:rPr>
          <w:rFonts w:asciiTheme="majorHAnsi" w:hAnsiTheme="majorHAnsi"/>
          <w:i/>
        </w:rPr>
        <w:t xml:space="preserve"> </w:t>
      </w:r>
      <w:r w:rsidRPr="004E28A9">
        <w:rPr>
          <w:rFonts w:asciiTheme="majorHAnsi" w:hAnsiTheme="majorHAnsi"/>
          <w:bCs/>
          <w:i/>
        </w:rPr>
        <w:t xml:space="preserve">Las entidades que a la fecha comercialicen el  Seguro Obligatorio de Vehículos Automotores deberán entregar a la Superintendencia la información de todas las  pólizas de dicho producto al 18 de enero de 2015. Dicha información debe ser entregada,  en un dispositivo  electrónico de almacenamiento de datos, </w:t>
      </w:r>
      <w:r w:rsidRPr="004E28A9">
        <w:rPr>
          <w:rFonts w:asciiTheme="majorHAnsi" w:hAnsiTheme="majorHAnsi"/>
          <w:bCs/>
          <w:i/>
          <w:strike/>
        </w:rPr>
        <w:t xml:space="preserve"> </w:t>
      </w:r>
      <w:r w:rsidRPr="004E28A9">
        <w:rPr>
          <w:rFonts w:asciiTheme="majorHAnsi" w:hAnsiTheme="majorHAnsi"/>
          <w:bCs/>
          <w:i/>
        </w:rPr>
        <w:t>a más tardar  a las a las 5:00 p.m. del 21 de enero de 2015, posterior a esa fecha se incorporarán los movimientos de acuerdo con lo dispuesto en el artículo 2 de este acuerdo</w:t>
      </w:r>
      <w:r>
        <w:rPr>
          <w:rFonts w:asciiTheme="majorHAnsi" w:hAnsiTheme="majorHAnsi"/>
          <w:bCs/>
          <w:i/>
        </w:rPr>
        <w:t>, el primer corte que debe entregarse es el correspondiente al 1° de febrero de 2015</w:t>
      </w:r>
      <w:r w:rsidRPr="004E28A9">
        <w:rPr>
          <w:rFonts w:asciiTheme="majorHAnsi" w:hAnsiTheme="majorHAnsi"/>
          <w:bCs/>
          <w:i/>
        </w:rPr>
        <w:t>.  El servicio de Registro de SOA estará disponible a partir del 2 de febrero de 2015 para las aseguradoras y para los usuarios finales a partir del 5 de febrero de 2015.</w:t>
      </w:r>
    </w:p>
    <w:p w14:paraId="08C4CFBA" w14:textId="77777777" w:rsidR="00E76C75" w:rsidRDefault="00E76C75" w:rsidP="00E76C75">
      <w:pPr>
        <w:jc w:val="both"/>
        <w:rPr>
          <w:rFonts w:asciiTheme="majorHAnsi" w:hAnsiTheme="majorHAnsi"/>
          <w:color w:val="000000"/>
        </w:rPr>
      </w:pPr>
    </w:p>
    <w:p w14:paraId="08C4CFBB" w14:textId="77777777" w:rsidR="00E76C75" w:rsidRPr="00A21485" w:rsidRDefault="00E76C75" w:rsidP="00E76C75">
      <w:pPr>
        <w:jc w:val="both"/>
        <w:rPr>
          <w:rFonts w:asciiTheme="majorHAnsi" w:hAnsiTheme="majorHAnsi"/>
          <w:color w:val="000000"/>
        </w:rPr>
      </w:pPr>
      <w:r w:rsidRPr="004E28A9">
        <w:rPr>
          <w:rFonts w:asciiTheme="majorHAnsi" w:hAnsiTheme="majorHAnsi"/>
          <w:b/>
          <w:color w:val="000000"/>
        </w:rPr>
        <w:t>Quinto:</w:t>
      </w:r>
      <w:r w:rsidRPr="00A21485">
        <w:rPr>
          <w:rFonts w:asciiTheme="majorHAnsi" w:hAnsiTheme="majorHAnsi"/>
          <w:color w:val="000000"/>
        </w:rPr>
        <w:t xml:space="preserve"> Actualizar la versión publicada del Acuerdo SGS-DES-A-021-2013 para incluir las modificaciones señaladas en este acuerdo.</w:t>
      </w:r>
    </w:p>
    <w:p w14:paraId="08C4CFBC" w14:textId="77777777" w:rsidR="00E76C75" w:rsidRDefault="00E76C75" w:rsidP="00E76C75">
      <w:pPr>
        <w:jc w:val="both"/>
        <w:rPr>
          <w:rFonts w:asciiTheme="majorHAnsi" w:hAnsiTheme="majorHAnsi"/>
          <w:color w:val="000000"/>
        </w:rPr>
      </w:pPr>
    </w:p>
    <w:p w14:paraId="08C4CFBD" w14:textId="77777777" w:rsidR="00E76C75" w:rsidRDefault="00E76C75" w:rsidP="00E76C75">
      <w:pPr>
        <w:jc w:val="both"/>
        <w:rPr>
          <w:rFonts w:asciiTheme="majorHAnsi" w:hAnsiTheme="majorHAnsi"/>
          <w:color w:val="000000"/>
        </w:rPr>
      </w:pPr>
    </w:p>
    <w:p w14:paraId="08C4CFBE" w14:textId="77777777" w:rsidR="00E76C75" w:rsidRPr="00F03E5B" w:rsidRDefault="00E76C75" w:rsidP="00E76C75">
      <w:pPr>
        <w:jc w:val="both"/>
        <w:rPr>
          <w:rFonts w:asciiTheme="majorHAnsi" w:hAnsiTheme="majorHAnsi"/>
          <w:b/>
          <w:color w:val="000000"/>
        </w:rPr>
      </w:pPr>
      <w:r w:rsidRPr="00F03E5B">
        <w:rPr>
          <w:rFonts w:asciiTheme="majorHAnsi" w:hAnsiTheme="majorHAnsi"/>
          <w:b/>
          <w:color w:val="000000"/>
        </w:rPr>
        <w:t xml:space="preserve">Rige a partir del  </w:t>
      </w:r>
      <w:r>
        <w:rPr>
          <w:rFonts w:asciiTheme="majorHAnsi" w:hAnsiTheme="majorHAnsi"/>
          <w:b/>
          <w:color w:val="000000"/>
        </w:rPr>
        <w:t>16</w:t>
      </w:r>
      <w:r w:rsidRPr="00F03E5B">
        <w:rPr>
          <w:rFonts w:asciiTheme="majorHAnsi" w:hAnsiTheme="majorHAnsi"/>
          <w:b/>
          <w:color w:val="000000"/>
        </w:rPr>
        <w:t xml:space="preserve"> de enero de 2015.</w:t>
      </w:r>
    </w:p>
    <w:p w14:paraId="08C4CFBF" w14:textId="77777777" w:rsidR="00E76C75" w:rsidRDefault="00E76C75" w:rsidP="00E76C75">
      <w:pPr>
        <w:jc w:val="both"/>
        <w:rPr>
          <w:rFonts w:ascii="Cambria" w:hAnsi="Cambria"/>
        </w:rPr>
      </w:pPr>
    </w:p>
    <w:p w14:paraId="08C4CFC0" w14:textId="77777777" w:rsidR="00A87A56" w:rsidRDefault="00A87A56" w:rsidP="00E76C75">
      <w:pPr>
        <w:jc w:val="both"/>
        <w:rPr>
          <w:rFonts w:ascii="Cambria" w:hAnsi="Cambria"/>
        </w:rPr>
      </w:pPr>
    </w:p>
    <w:p w14:paraId="08C4CFC1" w14:textId="77777777" w:rsidR="00A87A56" w:rsidRPr="00A21485" w:rsidRDefault="00A87A56" w:rsidP="00E76C75">
      <w:pPr>
        <w:jc w:val="both"/>
        <w:rPr>
          <w:rFonts w:ascii="Cambria" w:hAnsi="Cambria"/>
        </w:rPr>
      </w:pPr>
    </w:p>
    <w:p w14:paraId="08C4CFC2" w14:textId="77777777" w:rsidR="00E76C75" w:rsidRPr="000D4BBF" w:rsidRDefault="00E76C75" w:rsidP="00E76C75">
      <w:pPr>
        <w:jc w:val="both"/>
        <w:rPr>
          <w:rFonts w:ascii="Cambria" w:hAnsi="Cambria"/>
          <w:lang w:val="es-CR"/>
        </w:rPr>
      </w:pPr>
      <w:r w:rsidRPr="000D4BBF">
        <w:rPr>
          <w:noProof/>
          <w:lang w:val="es-CR" w:eastAsia="es-CR"/>
        </w:rPr>
        <w:drawing>
          <wp:inline distT="0" distB="0" distL="0" distR="0" wp14:anchorId="08C4CFCA" wp14:editId="08C4CFCB">
            <wp:extent cx="2499360" cy="524291"/>
            <wp:effectExtent l="0" t="0" r="0" b="9525"/>
            <wp:docPr id="7"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8C4CFC3" w14:textId="77777777" w:rsidR="00E76C75" w:rsidRDefault="00E76C75" w:rsidP="00E76C75">
      <w:pPr>
        <w:spacing w:after="200" w:line="276" w:lineRule="auto"/>
        <w:jc w:val="both"/>
      </w:pPr>
    </w:p>
    <w:p w14:paraId="08C4CFC4" w14:textId="77777777" w:rsidR="00E76C75" w:rsidRDefault="00E76C75" w:rsidP="00E76C75">
      <w:pPr>
        <w:spacing w:after="200" w:line="276" w:lineRule="auto"/>
        <w:jc w:val="both"/>
      </w:pPr>
    </w:p>
    <w:p w14:paraId="08C4CFC5" w14:textId="77777777" w:rsidR="004C0FA3" w:rsidRDefault="004C0FA3" w:rsidP="004C0FA3">
      <w:pPr>
        <w:jc w:val="both"/>
        <w:rPr>
          <w:rFonts w:asciiTheme="majorHAnsi" w:hAnsiTheme="majorHAnsi"/>
          <w:b/>
          <w:i/>
          <w:color w:val="000000"/>
        </w:rPr>
      </w:pPr>
    </w:p>
    <w:p w14:paraId="08C4CFC6" w14:textId="77777777" w:rsidR="00A64D5A" w:rsidRDefault="00A64D5A" w:rsidP="004C0FA3">
      <w:pPr>
        <w:jc w:val="both"/>
        <w:rPr>
          <w:rFonts w:asciiTheme="majorHAnsi" w:hAnsiTheme="majorHAnsi"/>
          <w:b/>
          <w:i/>
          <w:color w:val="000000"/>
        </w:rPr>
      </w:pPr>
    </w:p>
    <w:p w14:paraId="08C4CFC7" w14:textId="77777777" w:rsidR="00824AE6" w:rsidRDefault="00824AE6" w:rsidP="00824AE6">
      <w:pPr>
        <w:jc w:val="both"/>
        <w:rPr>
          <w:rFonts w:asciiTheme="majorHAnsi" w:hAnsiTheme="majorHAnsi"/>
          <w:color w:val="000000"/>
          <w:sz w:val="22"/>
          <w:szCs w:val="22"/>
        </w:rPr>
      </w:pPr>
    </w:p>
    <w:p w14:paraId="08C4CFC8" w14:textId="77777777" w:rsidR="00A64D5A" w:rsidRDefault="00A64D5A" w:rsidP="004C0FA3">
      <w:pPr>
        <w:jc w:val="both"/>
        <w:rPr>
          <w:rFonts w:asciiTheme="majorHAnsi" w:hAnsiTheme="majorHAnsi"/>
          <w:b/>
          <w:i/>
          <w:color w:val="000000"/>
        </w:rPr>
      </w:pPr>
    </w:p>
    <w:sectPr w:rsidR="00A64D5A" w:rsidSect="00A83BA5">
      <w:headerReference w:type="default" r:id="rId15"/>
      <w:footerReference w:type="default" r:id="rId16"/>
      <w:headerReference w:type="first" r:id="rId17"/>
      <w:footerReference w:type="first" r:id="rId1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C4CFCE" w14:textId="77777777" w:rsidR="00F43651" w:rsidRDefault="00F43651" w:rsidP="005A1442">
      <w:r>
        <w:separator/>
      </w:r>
    </w:p>
  </w:endnote>
  <w:endnote w:type="continuationSeparator" w:id="0">
    <w:p w14:paraId="08C4CFCF" w14:textId="77777777" w:rsidR="00F43651" w:rsidRDefault="00F43651"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4CFD5" w14:textId="77777777" w:rsidR="005A1442" w:rsidRDefault="005A1442" w:rsidP="005A1442">
    <w:pPr>
      <w:pStyle w:val="Piedepgina"/>
      <w:pBdr>
        <w:top w:val="single" w:sz="4" w:space="1" w:color="auto"/>
      </w:pBdr>
      <w:rPr>
        <w:sz w:val="16"/>
        <w:szCs w:val="16"/>
      </w:rPr>
    </w:pPr>
  </w:p>
  <w:p w14:paraId="08C4CFD6" w14:textId="77777777" w:rsidR="005A1442" w:rsidRDefault="005A1442"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08C4CFD7" w14:textId="77777777" w:rsidR="005A1442" w:rsidRDefault="005A1442"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08C4CFD8" w14:textId="77777777" w:rsidR="005A1442" w:rsidRPr="005A1442" w:rsidRDefault="001A0B40" w:rsidP="005A1442">
    <w:pPr>
      <w:pStyle w:val="Piedepgina"/>
      <w:tabs>
        <w:tab w:val="clear" w:pos="8838"/>
      </w:tabs>
      <w:jc w:val="right"/>
      <w:rPr>
        <w:rFonts w:ascii="Baskerville Old Face" w:hAnsi="Baskerville Old Face"/>
        <w:sz w:val="18"/>
        <w:szCs w:val="18"/>
      </w:rPr>
    </w:pPr>
    <w:hyperlink r:id="rId1" w:history="1">
      <w:r w:rsidR="005A1442" w:rsidRPr="00121F8C">
        <w:rPr>
          <w:rStyle w:val="Hipervnculo"/>
          <w:rFonts w:ascii="Baskerville Old Face" w:hAnsi="Baskerville Old Face"/>
          <w:sz w:val="18"/>
          <w:szCs w:val="18"/>
        </w:rPr>
        <w:t>sugese@sugese.fi.cr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4CFDB" w14:textId="77777777" w:rsidR="00A83BA5" w:rsidRDefault="00A83BA5" w:rsidP="00A83BA5">
    <w:pPr>
      <w:pStyle w:val="Piedepgina"/>
      <w:pBdr>
        <w:top w:val="single" w:sz="4" w:space="1" w:color="auto"/>
      </w:pBdr>
      <w:rPr>
        <w:sz w:val="16"/>
        <w:szCs w:val="16"/>
      </w:rPr>
    </w:pPr>
  </w:p>
  <w:p w14:paraId="08C4CFDC" w14:textId="77777777" w:rsidR="00A83BA5" w:rsidRDefault="00A83BA5" w:rsidP="00A83BA5">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08C4CFDD" w14:textId="77777777" w:rsidR="00A83BA5" w:rsidRDefault="00A83BA5" w:rsidP="00A83BA5">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08C4CFDE" w14:textId="77777777" w:rsidR="00A83BA5" w:rsidRPr="00A83BA5" w:rsidRDefault="001A0B40" w:rsidP="00A83BA5">
    <w:pPr>
      <w:pStyle w:val="Piedepgina"/>
      <w:tabs>
        <w:tab w:val="clear" w:pos="8838"/>
      </w:tabs>
      <w:jc w:val="right"/>
      <w:rPr>
        <w:rFonts w:ascii="Baskerville Old Face" w:hAnsi="Baskerville Old Face"/>
        <w:sz w:val="18"/>
        <w:szCs w:val="18"/>
      </w:rPr>
    </w:pPr>
    <w:hyperlink r:id="rId1" w:history="1">
      <w:r w:rsidR="00A83BA5"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C4CFCC" w14:textId="77777777" w:rsidR="00F43651" w:rsidRDefault="00F43651" w:rsidP="005A1442">
      <w:r>
        <w:separator/>
      </w:r>
    </w:p>
  </w:footnote>
  <w:footnote w:type="continuationSeparator" w:id="0">
    <w:p w14:paraId="08C4CFCD" w14:textId="77777777" w:rsidR="00F43651" w:rsidRDefault="00F43651" w:rsidP="005A14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4CFD0" w14:textId="77777777" w:rsidR="005A1442" w:rsidRDefault="00221996">
    <w:pPr>
      <w:pStyle w:val="Encabezado"/>
    </w:pPr>
    <w:r>
      <w:rPr>
        <w:noProof/>
        <w:lang w:eastAsia="es-CR"/>
      </w:rPr>
      <mc:AlternateContent>
        <mc:Choice Requires="wps">
          <w:drawing>
            <wp:anchor distT="0" distB="0" distL="114300" distR="114300" simplePos="0" relativeHeight="251659264" behindDoc="0" locked="0" layoutInCell="1" allowOverlap="1" wp14:anchorId="08C4CFDF" wp14:editId="08C4CFE0">
              <wp:simplePos x="0" y="0"/>
              <wp:positionH relativeFrom="column">
                <wp:posOffset>4530956</wp:posOffset>
              </wp:positionH>
              <wp:positionV relativeFrom="paragraph">
                <wp:posOffset>-283325</wp:posOffset>
              </wp:positionV>
              <wp:extent cx="1230341" cy="1303193"/>
              <wp:effectExtent l="0" t="0" r="8255"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14:paraId="08C4CFE7" w14:textId="77777777" w:rsidR="00221996" w:rsidRDefault="00B25C9B" w:rsidP="00221996">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08C4CFED" wp14:editId="08C4CFEE">
                                <wp:extent cx="460020" cy="810491"/>
                                <wp:effectExtent l="0" t="0" r="0" b="889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08C4CFE8" w14:textId="77777777" w:rsidR="00221996" w:rsidRPr="00374377" w:rsidRDefault="00221996" w:rsidP="00221996">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08C4CFE9" w14:textId="77777777" w:rsidR="00221996" w:rsidRPr="00374377" w:rsidRDefault="00221996" w:rsidP="00221996">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356.75pt;margin-top:-22.3pt;width:96.9pt;height:10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" stroked="f">
              <v:textbox>
                <w:txbxContent>
                  <w:p w:rsidR="00221996" w:rsidRDefault="00B25C9B" w:rsidP="00221996">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300CE76E" wp14:editId="7A173DCD">
                          <wp:extent cx="460020" cy="810491"/>
                          <wp:effectExtent l="0" t="0" r="0" b="889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rsidR="00221996" w:rsidRPr="00374377" w:rsidRDefault="00221996" w:rsidP="00221996">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rsidR="00221996" w:rsidRPr="00374377" w:rsidRDefault="00221996" w:rsidP="00221996">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v:shape>
          </w:pict>
        </mc:Fallback>
      </mc:AlternateContent>
    </w:r>
    <w:r w:rsidR="005A1442">
      <w:rPr>
        <w:noProof/>
        <w:lang w:eastAsia="es-CR"/>
      </w:rPr>
      <w:drawing>
        <wp:inline distT="0" distB="0" distL="0" distR="0" wp14:anchorId="08C4CFE1" wp14:editId="08C4CFE2">
          <wp:extent cx="1209580" cy="971550"/>
          <wp:effectExtent l="19050" t="0" r="0" b="0"/>
          <wp:docPr id="2"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3"/>
                  <a:stretch>
                    <a:fillRect/>
                  </a:stretch>
                </pic:blipFill>
                <pic:spPr>
                  <a:xfrm>
                    <a:off x="0" y="0"/>
                    <a:ext cx="1209580" cy="971550"/>
                  </a:xfrm>
                  <a:prstGeom prst="rect">
                    <a:avLst/>
                  </a:prstGeom>
                </pic:spPr>
              </pic:pic>
            </a:graphicData>
          </a:graphic>
        </wp:inline>
      </w:drawing>
    </w:r>
  </w:p>
  <w:p w14:paraId="08C4CFD1" w14:textId="77777777" w:rsidR="005B70A7" w:rsidRDefault="005B70A7">
    <w:pPr>
      <w:pStyle w:val="Encabezado"/>
    </w:pPr>
  </w:p>
  <w:p w14:paraId="08C4CFD2" w14:textId="77777777" w:rsidR="005B70A7" w:rsidRPr="00221460" w:rsidRDefault="005B70A7" w:rsidP="005B70A7">
    <w:pPr>
      <w:pStyle w:val="Encabezado"/>
      <w:rPr>
        <w:rFonts w:asciiTheme="majorHAnsi" w:hAnsiTheme="majorHAnsi"/>
        <w:b/>
        <w:i/>
        <w:lang w:val="es-MX"/>
      </w:rPr>
    </w:pPr>
    <w:r>
      <w:rPr>
        <w:rFonts w:asciiTheme="majorHAnsi" w:hAnsiTheme="majorHAnsi"/>
        <w:b/>
        <w:i/>
        <w:lang w:val="es-MX"/>
      </w:rPr>
      <w:t>SGS-DES-</w:t>
    </w:r>
    <w:r w:rsidR="00A87A56">
      <w:rPr>
        <w:rFonts w:asciiTheme="majorHAnsi" w:hAnsiTheme="majorHAnsi"/>
        <w:b/>
        <w:i/>
        <w:lang w:val="es-MX"/>
      </w:rPr>
      <w:t>A</w:t>
    </w:r>
    <w:r>
      <w:rPr>
        <w:rFonts w:asciiTheme="majorHAnsi" w:hAnsiTheme="majorHAnsi"/>
        <w:b/>
        <w:i/>
        <w:lang w:val="es-MX"/>
      </w:rPr>
      <w:t>-</w:t>
    </w:r>
    <w:r w:rsidR="00A87A56">
      <w:rPr>
        <w:rFonts w:asciiTheme="majorHAnsi" w:hAnsiTheme="majorHAnsi"/>
        <w:b/>
        <w:i/>
        <w:lang w:val="es-MX"/>
      </w:rPr>
      <w:t>0</w:t>
    </w:r>
    <w:r w:rsidR="004C0FA3">
      <w:rPr>
        <w:rFonts w:asciiTheme="majorHAnsi" w:hAnsiTheme="majorHAnsi"/>
        <w:b/>
        <w:i/>
        <w:lang w:val="es-MX"/>
      </w:rPr>
      <w:t>3</w:t>
    </w:r>
    <w:r w:rsidR="00A87A56">
      <w:rPr>
        <w:rFonts w:asciiTheme="majorHAnsi" w:hAnsiTheme="majorHAnsi"/>
        <w:b/>
        <w:i/>
        <w:lang w:val="es-MX"/>
      </w:rPr>
      <w:t>9</w:t>
    </w:r>
    <w:r>
      <w:rPr>
        <w:rFonts w:asciiTheme="majorHAnsi" w:hAnsiTheme="majorHAnsi"/>
        <w:b/>
        <w:i/>
        <w:lang w:val="es-MX"/>
      </w:rPr>
      <w:t>-201</w:t>
    </w:r>
    <w:r w:rsidR="00173350">
      <w:rPr>
        <w:rFonts w:asciiTheme="majorHAnsi" w:hAnsiTheme="majorHAnsi"/>
        <w:b/>
        <w:i/>
        <w:lang w:val="es-MX"/>
      </w:rPr>
      <w:t>4</w:t>
    </w:r>
  </w:p>
  <w:p w14:paraId="08C4CFD3" w14:textId="77777777" w:rsidR="005B70A7" w:rsidRPr="00221460" w:rsidRDefault="005B70A7" w:rsidP="005B70A7">
    <w:pPr>
      <w:pStyle w:val="Encabezado"/>
      <w:rPr>
        <w:rFonts w:asciiTheme="majorHAnsi" w:hAnsiTheme="majorHAnsi"/>
        <w:i/>
        <w:lang w:val="es-MX"/>
      </w:rPr>
    </w:pPr>
    <w:r w:rsidRPr="00221460">
      <w:rPr>
        <w:rFonts w:asciiTheme="majorHAnsi" w:hAnsiTheme="majorHAnsi"/>
        <w:i/>
        <w:lang w:val="es-MX"/>
      </w:rPr>
      <w:t xml:space="preserve">Página | </w:t>
    </w:r>
    <w:r w:rsidRPr="00221460">
      <w:rPr>
        <w:rFonts w:asciiTheme="majorHAnsi" w:hAnsiTheme="majorHAnsi"/>
        <w:i/>
        <w:lang w:val="es-MX"/>
      </w:rPr>
      <w:fldChar w:fldCharType="begin"/>
    </w:r>
    <w:r w:rsidRPr="00221460">
      <w:rPr>
        <w:rFonts w:asciiTheme="majorHAnsi" w:hAnsiTheme="majorHAnsi"/>
        <w:i/>
        <w:lang w:val="es-MX"/>
      </w:rPr>
      <w:instrText xml:space="preserve"> PAGE   \* MERGEFORMAT </w:instrText>
    </w:r>
    <w:r w:rsidRPr="00221460">
      <w:rPr>
        <w:rFonts w:asciiTheme="majorHAnsi" w:hAnsiTheme="majorHAnsi"/>
        <w:i/>
        <w:lang w:val="es-MX"/>
      </w:rPr>
      <w:fldChar w:fldCharType="separate"/>
    </w:r>
    <w:r w:rsidR="001A0B40">
      <w:rPr>
        <w:rFonts w:asciiTheme="majorHAnsi" w:hAnsiTheme="majorHAnsi"/>
        <w:i/>
        <w:noProof/>
        <w:lang w:val="es-MX"/>
      </w:rPr>
      <w:t>2</w:t>
    </w:r>
    <w:r w:rsidRPr="00221460">
      <w:rPr>
        <w:rFonts w:asciiTheme="majorHAnsi" w:hAnsiTheme="majorHAnsi"/>
        <w:i/>
        <w:lang w:val="es-MX"/>
      </w:rPr>
      <w:fldChar w:fldCharType="end"/>
    </w:r>
  </w:p>
  <w:p w14:paraId="08C4CFD4" w14:textId="77777777" w:rsidR="005B70A7" w:rsidRPr="005B70A7" w:rsidRDefault="005B70A7">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4CFD9" w14:textId="77777777" w:rsidR="00A83BA5" w:rsidRDefault="00A83BA5" w:rsidP="00A83BA5">
    <w:pPr>
      <w:pStyle w:val="Encabezado"/>
    </w:pPr>
    <w:r>
      <w:rPr>
        <w:noProof/>
        <w:lang w:eastAsia="es-CR"/>
      </w:rPr>
      <mc:AlternateContent>
        <mc:Choice Requires="wps">
          <w:drawing>
            <wp:anchor distT="0" distB="0" distL="114300" distR="114300" simplePos="0" relativeHeight="251661312" behindDoc="0" locked="0" layoutInCell="1" allowOverlap="1" wp14:anchorId="08C4CFE3" wp14:editId="08C4CFE4">
              <wp:simplePos x="0" y="0"/>
              <wp:positionH relativeFrom="column">
                <wp:posOffset>4530956</wp:posOffset>
              </wp:positionH>
              <wp:positionV relativeFrom="paragraph">
                <wp:posOffset>-283325</wp:posOffset>
              </wp:positionV>
              <wp:extent cx="1230341" cy="1303193"/>
              <wp:effectExtent l="0" t="0" r="8255"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14:paraId="08C4CFEA" w14:textId="77777777" w:rsidR="00A83BA5" w:rsidRDefault="00A83BA5" w:rsidP="00A83BA5">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08C4CFEF" wp14:editId="08C4CFF0">
                                <wp:extent cx="460020" cy="810491"/>
                                <wp:effectExtent l="0" t="0" r="0" b="889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08C4CFEB" w14:textId="77777777" w:rsidR="00A83BA5" w:rsidRPr="00374377" w:rsidRDefault="00A83BA5" w:rsidP="00A83BA5">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08C4CFEC" w14:textId="77777777" w:rsidR="00A83BA5" w:rsidRPr="00374377" w:rsidRDefault="00A83BA5" w:rsidP="00A83BA5">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56.75pt;margin-top:-22.3pt;width:96.9pt;height:10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" stroked="f">
              <v:textbox>
                <w:txbxContent>
                  <w:p w:rsidR="00A83BA5" w:rsidRDefault="00A83BA5" w:rsidP="00A83BA5">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26A21275" wp14:editId="32AAEB5F">
                          <wp:extent cx="460020" cy="810491"/>
                          <wp:effectExtent l="0" t="0" r="0" b="889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rsidR="00A83BA5" w:rsidRPr="00374377" w:rsidRDefault="00A83BA5" w:rsidP="00A83BA5">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rsidR="00A83BA5" w:rsidRPr="00374377" w:rsidRDefault="00A83BA5" w:rsidP="00A83BA5">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v:shape>
          </w:pict>
        </mc:Fallback>
      </mc:AlternateContent>
    </w:r>
    <w:r>
      <w:rPr>
        <w:noProof/>
        <w:lang w:eastAsia="es-CR"/>
      </w:rPr>
      <w:drawing>
        <wp:inline distT="0" distB="0" distL="0" distR="0" wp14:anchorId="08C4CFE5" wp14:editId="08C4CFE6">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3"/>
                  <a:stretch>
                    <a:fillRect/>
                  </a:stretch>
                </pic:blipFill>
                <pic:spPr>
                  <a:xfrm>
                    <a:off x="0" y="0"/>
                    <a:ext cx="1209580" cy="971550"/>
                  </a:xfrm>
                  <a:prstGeom prst="rect">
                    <a:avLst/>
                  </a:prstGeom>
                </pic:spPr>
              </pic:pic>
            </a:graphicData>
          </a:graphic>
        </wp:inline>
      </w:drawing>
    </w:r>
  </w:p>
  <w:p w14:paraId="08C4CFDA" w14:textId="77777777" w:rsidR="00A83BA5" w:rsidRDefault="00A83BA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C3711"/>
    <w:multiLevelType w:val="hybridMultilevel"/>
    <w:tmpl w:val="657CD2BE"/>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nsid w:val="668706C1"/>
    <w:multiLevelType w:val="hybridMultilevel"/>
    <w:tmpl w:val="099AA602"/>
    <w:lvl w:ilvl="0" w:tplc="3B1E559A">
      <w:start w:val="1"/>
      <w:numFmt w:val="decimal"/>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796E457F"/>
    <w:multiLevelType w:val="hybridMultilevel"/>
    <w:tmpl w:val="FBB4C70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442"/>
    <w:rsid w:val="00003EEF"/>
    <w:rsid w:val="000076D1"/>
    <w:rsid w:val="000105FD"/>
    <w:rsid w:val="00015CC4"/>
    <w:rsid w:val="000230EC"/>
    <w:rsid w:val="00037F14"/>
    <w:rsid w:val="00040021"/>
    <w:rsid w:val="00043989"/>
    <w:rsid w:val="000476C1"/>
    <w:rsid w:val="00055413"/>
    <w:rsid w:val="00067CF6"/>
    <w:rsid w:val="000752F9"/>
    <w:rsid w:val="000760ED"/>
    <w:rsid w:val="00083A78"/>
    <w:rsid w:val="0008604D"/>
    <w:rsid w:val="000A2288"/>
    <w:rsid w:val="000B2E1D"/>
    <w:rsid w:val="000C7644"/>
    <w:rsid w:val="000D4883"/>
    <w:rsid w:val="000D4E5B"/>
    <w:rsid w:val="000E4AA6"/>
    <w:rsid w:val="000E78B1"/>
    <w:rsid w:val="000F4177"/>
    <w:rsid w:val="00112325"/>
    <w:rsid w:val="00133018"/>
    <w:rsid w:val="00133DA2"/>
    <w:rsid w:val="00135FBF"/>
    <w:rsid w:val="00140B90"/>
    <w:rsid w:val="00146B1D"/>
    <w:rsid w:val="001551CB"/>
    <w:rsid w:val="0016515C"/>
    <w:rsid w:val="00167B6E"/>
    <w:rsid w:val="0017138C"/>
    <w:rsid w:val="00173350"/>
    <w:rsid w:val="0018143B"/>
    <w:rsid w:val="001A0B40"/>
    <w:rsid w:val="001A29D3"/>
    <w:rsid w:val="001A6FE9"/>
    <w:rsid w:val="001B3C85"/>
    <w:rsid w:val="001B6EE9"/>
    <w:rsid w:val="001C344D"/>
    <w:rsid w:val="001D2BCA"/>
    <w:rsid w:val="001F362F"/>
    <w:rsid w:val="002048C0"/>
    <w:rsid w:val="00221996"/>
    <w:rsid w:val="00222862"/>
    <w:rsid w:val="00234ECC"/>
    <w:rsid w:val="002440B8"/>
    <w:rsid w:val="00247E9E"/>
    <w:rsid w:val="00267429"/>
    <w:rsid w:val="0028286F"/>
    <w:rsid w:val="00286975"/>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33BA8"/>
    <w:rsid w:val="00336659"/>
    <w:rsid w:val="00343523"/>
    <w:rsid w:val="00343D0D"/>
    <w:rsid w:val="003623F7"/>
    <w:rsid w:val="0036475D"/>
    <w:rsid w:val="00366016"/>
    <w:rsid w:val="003758F1"/>
    <w:rsid w:val="00376DE7"/>
    <w:rsid w:val="00391C88"/>
    <w:rsid w:val="003A39BC"/>
    <w:rsid w:val="003A53B0"/>
    <w:rsid w:val="003B043B"/>
    <w:rsid w:val="003B6304"/>
    <w:rsid w:val="003B721F"/>
    <w:rsid w:val="003B7CC2"/>
    <w:rsid w:val="003E469F"/>
    <w:rsid w:val="003E62CB"/>
    <w:rsid w:val="003E721F"/>
    <w:rsid w:val="003E793E"/>
    <w:rsid w:val="003F4067"/>
    <w:rsid w:val="004263F9"/>
    <w:rsid w:val="004277B9"/>
    <w:rsid w:val="00432474"/>
    <w:rsid w:val="00454C55"/>
    <w:rsid w:val="0047219D"/>
    <w:rsid w:val="00490B1F"/>
    <w:rsid w:val="004948D8"/>
    <w:rsid w:val="00495470"/>
    <w:rsid w:val="00496C81"/>
    <w:rsid w:val="004A03B7"/>
    <w:rsid w:val="004A495A"/>
    <w:rsid w:val="004B767D"/>
    <w:rsid w:val="004C0FA3"/>
    <w:rsid w:val="004C4D3C"/>
    <w:rsid w:val="004D2EB0"/>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158A"/>
    <w:rsid w:val="0056224B"/>
    <w:rsid w:val="00576230"/>
    <w:rsid w:val="005A1442"/>
    <w:rsid w:val="005B70A7"/>
    <w:rsid w:val="005C5B11"/>
    <w:rsid w:val="005C69FA"/>
    <w:rsid w:val="005C7CD2"/>
    <w:rsid w:val="005D13DD"/>
    <w:rsid w:val="005E7FD4"/>
    <w:rsid w:val="005F395A"/>
    <w:rsid w:val="00602EC0"/>
    <w:rsid w:val="00604DED"/>
    <w:rsid w:val="00621BF4"/>
    <w:rsid w:val="00626ECF"/>
    <w:rsid w:val="00632C9E"/>
    <w:rsid w:val="00633B65"/>
    <w:rsid w:val="006428F4"/>
    <w:rsid w:val="00646CD3"/>
    <w:rsid w:val="00650488"/>
    <w:rsid w:val="00650E64"/>
    <w:rsid w:val="00652E5B"/>
    <w:rsid w:val="00663DB8"/>
    <w:rsid w:val="0066556D"/>
    <w:rsid w:val="006655C3"/>
    <w:rsid w:val="006678C2"/>
    <w:rsid w:val="00671DEB"/>
    <w:rsid w:val="00672C4A"/>
    <w:rsid w:val="00673269"/>
    <w:rsid w:val="00674F4F"/>
    <w:rsid w:val="006772DD"/>
    <w:rsid w:val="006829C1"/>
    <w:rsid w:val="00683707"/>
    <w:rsid w:val="0068417D"/>
    <w:rsid w:val="006848D6"/>
    <w:rsid w:val="006943A2"/>
    <w:rsid w:val="006A1A25"/>
    <w:rsid w:val="006B4EA1"/>
    <w:rsid w:val="006C624C"/>
    <w:rsid w:val="006C76B1"/>
    <w:rsid w:val="006D0952"/>
    <w:rsid w:val="006E01DB"/>
    <w:rsid w:val="006E1EC2"/>
    <w:rsid w:val="006F4D20"/>
    <w:rsid w:val="00706543"/>
    <w:rsid w:val="00712FFB"/>
    <w:rsid w:val="00715BD0"/>
    <w:rsid w:val="007170ED"/>
    <w:rsid w:val="00717F1A"/>
    <w:rsid w:val="00725048"/>
    <w:rsid w:val="00725493"/>
    <w:rsid w:val="00726CEB"/>
    <w:rsid w:val="007272CC"/>
    <w:rsid w:val="007324F8"/>
    <w:rsid w:val="007327C9"/>
    <w:rsid w:val="0074198B"/>
    <w:rsid w:val="007437E6"/>
    <w:rsid w:val="00746E52"/>
    <w:rsid w:val="007636BD"/>
    <w:rsid w:val="00771580"/>
    <w:rsid w:val="00792726"/>
    <w:rsid w:val="007A0A2A"/>
    <w:rsid w:val="007A1E7F"/>
    <w:rsid w:val="007A22EA"/>
    <w:rsid w:val="007A2A51"/>
    <w:rsid w:val="007B04A5"/>
    <w:rsid w:val="007C19A7"/>
    <w:rsid w:val="007D2DAF"/>
    <w:rsid w:val="007E41E5"/>
    <w:rsid w:val="007E46F1"/>
    <w:rsid w:val="007E66C6"/>
    <w:rsid w:val="008022A8"/>
    <w:rsid w:val="0080328F"/>
    <w:rsid w:val="00821436"/>
    <w:rsid w:val="00824AE6"/>
    <w:rsid w:val="008259A0"/>
    <w:rsid w:val="008370FF"/>
    <w:rsid w:val="0085072B"/>
    <w:rsid w:val="0085586B"/>
    <w:rsid w:val="00857848"/>
    <w:rsid w:val="00857AD8"/>
    <w:rsid w:val="008605C0"/>
    <w:rsid w:val="00866B92"/>
    <w:rsid w:val="008704B7"/>
    <w:rsid w:val="008747C3"/>
    <w:rsid w:val="008778EF"/>
    <w:rsid w:val="00895D99"/>
    <w:rsid w:val="008962DC"/>
    <w:rsid w:val="00896B04"/>
    <w:rsid w:val="008974D8"/>
    <w:rsid w:val="008A3070"/>
    <w:rsid w:val="008A591C"/>
    <w:rsid w:val="008D17A9"/>
    <w:rsid w:val="008D2116"/>
    <w:rsid w:val="008D2BC8"/>
    <w:rsid w:val="008F727F"/>
    <w:rsid w:val="00915452"/>
    <w:rsid w:val="00922C3E"/>
    <w:rsid w:val="00947CCD"/>
    <w:rsid w:val="0095414B"/>
    <w:rsid w:val="009565BF"/>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4D5A"/>
    <w:rsid w:val="00A66E6E"/>
    <w:rsid w:val="00A83BA5"/>
    <w:rsid w:val="00A8710B"/>
    <w:rsid w:val="00A87A56"/>
    <w:rsid w:val="00AA35AB"/>
    <w:rsid w:val="00AA4CF7"/>
    <w:rsid w:val="00AB1CD0"/>
    <w:rsid w:val="00AB33C3"/>
    <w:rsid w:val="00AC0D3F"/>
    <w:rsid w:val="00AD00BB"/>
    <w:rsid w:val="00AE0313"/>
    <w:rsid w:val="00AE59E8"/>
    <w:rsid w:val="00B04011"/>
    <w:rsid w:val="00B12501"/>
    <w:rsid w:val="00B21C1A"/>
    <w:rsid w:val="00B2475F"/>
    <w:rsid w:val="00B25C9B"/>
    <w:rsid w:val="00B300E9"/>
    <w:rsid w:val="00B32651"/>
    <w:rsid w:val="00B32EEB"/>
    <w:rsid w:val="00B40526"/>
    <w:rsid w:val="00B45DFF"/>
    <w:rsid w:val="00B45FD8"/>
    <w:rsid w:val="00B50514"/>
    <w:rsid w:val="00B61426"/>
    <w:rsid w:val="00B70578"/>
    <w:rsid w:val="00B826E2"/>
    <w:rsid w:val="00B910A3"/>
    <w:rsid w:val="00B95233"/>
    <w:rsid w:val="00B96A9E"/>
    <w:rsid w:val="00BA2A3A"/>
    <w:rsid w:val="00BA4095"/>
    <w:rsid w:val="00BA4EB8"/>
    <w:rsid w:val="00BB64F2"/>
    <w:rsid w:val="00BC2F23"/>
    <w:rsid w:val="00BC7053"/>
    <w:rsid w:val="00BD18FF"/>
    <w:rsid w:val="00BE08B6"/>
    <w:rsid w:val="00BE61CE"/>
    <w:rsid w:val="00BF28E2"/>
    <w:rsid w:val="00BF5BF7"/>
    <w:rsid w:val="00BF67A7"/>
    <w:rsid w:val="00C00485"/>
    <w:rsid w:val="00C05704"/>
    <w:rsid w:val="00C240F2"/>
    <w:rsid w:val="00C276E6"/>
    <w:rsid w:val="00C52BC9"/>
    <w:rsid w:val="00C64061"/>
    <w:rsid w:val="00C73E1C"/>
    <w:rsid w:val="00C82150"/>
    <w:rsid w:val="00C846AA"/>
    <w:rsid w:val="00C85E4F"/>
    <w:rsid w:val="00CA7870"/>
    <w:rsid w:val="00CA7AE4"/>
    <w:rsid w:val="00CB0CC5"/>
    <w:rsid w:val="00CC4427"/>
    <w:rsid w:val="00CC5D7F"/>
    <w:rsid w:val="00CE3032"/>
    <w:rsid w:val="00CF181A"/>
    <w:rsid w:val="00D06152"/>
    <w:rsid w:val="00D13047"/>
    <w:rsid w:val="00D15050"/>
    <w:rsid w:val="00D15CCE"/>
    <w:rsid w:val="00D20E5C"/>
    <w:rsid w:val="00D27227"/>
    <w:rsid w:val="00D332E9"/>
    <w:rsid w:val="00D36B9F"/>
    <w:rsid w:val="00D61C5D"/>
    <w:rsid w:val="00D6484A"/>
    <w:rsid w:val="00D70C14"/>
    <w:rsid w:val="00D74E1D"/>
    <w:rsid w:val="00D84595"/>
    <w:rsid w:val="00D92485"/>
    <w:rsid w:val="00D92CD1"/>
    <w:rsid w:val="00DA2D4F"/>
    <w:rsid w:val="00DA5032"/>
    <w:rsid w:val="00DB041E"/>
    <w:rsid w:val="00DB1CE2"/>
    <w:rsid w:val="00DB4D57"/>
    <w:rsid w:val="00DB63A8"/>
    <w:rsid w:val="00DC1346"/>
    <w:rsid w:val="00DC26B0"/>
    <w:rsid w:val="00DC2FD3"/>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76C75"/>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6DF"/>
    <w:rsid w:val="00F0751F"/>
    <w:rsid w:val="00F14C3C"/>
    <w:rsid w:val="00F17004"/>
    <w:rsid w:val="00F1744F"/>
    <w:rsid w:val="00F178E2"/>
    <w:rsid w:val="00F17E74"/>
    <w:rsid w:val="00F30C6B"/>
    <w:rsid w:val="00F33704"/>
    <w:rsid w:val="00F34196"/>
    <w:rsid w:val="00F36332"/>
    <w:rsid w:val="00F41D5A"/>
    <w:rsid w:val="00F43651"/>
    <w:rsid w:val="00F46E76"/>
    <w:rsid w:val="00F47064"/>
    <w:rsid w:val="00F5139D"/>
    <w:rsid w:val="00F611D6"/>
    <w:rsid w:val="00F615EE"/>
    <w:rsid w:val="00F6508B"/>
    <w:rsid w:val="00F84235"/>
    <w:rsid w:val="00F87AC4"/>
    <w:rsid w:val="00F952FA"/>
    <w:rsid w:val="00FA56C0"/>
    <w:rsid w:val="00FB6C78"/>
    <w:rsid w:val="00FC2DDB"/>
    <w:rsid w:val="00FC5636"/>
    <w:rsid w:val="00FC7C8A"/>
    <w:rsid w:val="00FD0685"/>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8C4C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Classic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Sinespaciado">
    <w:name w:val="No Spacing"/>
    <w:uiPriority w:val="1"/>
    <w:qFormat/>
    <w:rsid w:val="00173350"/>
    <w:pPr>
      <w:spacing w:after="0" w:line="240" w:lineRule="auto"/>
    </w:pPr>
  </w:style>
  <w:style w:type="table" w:styleId="Cuadrculaclara-nfasis1">
    <w:name w:val="Light Grid Accent 1"/>
    <w:basedOn w:val="Tablanormal"/>
    <w:uiPriority w:val="62"/>
    <w:rsid w:val="00173350"/>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xtonotapie">
    <w:name w:val="footnote text"/>
    <w:basedOn w:val="Normal"/>
    <w:link w:val="TextonotapieCar"/>
    <w:uiPriority w:val="99"/>
    <w:rsid w:val="000D4E5B"/>
    <w:rPr>
      <w:sz w:val="20"/>
    </w:rPr>
  </w:style>
  <w:style w:type="character" w:customStyle="1" w:styleId="TextonotapieCar">
    <w:name w:val="Texto nota pie Car"/>
    <w:basedOn w:val="Fuentedeprrafopredeter"/>
    <w:link w:val="Textonotapie"/>
    <w:uiPriority w:val="99"/>
    <w:rsid w:val="000D4E5B"/>
    <w:rPr>
      <w:rFonts w:ascii="Times New Roman" w:eastAsia="Times New Roman" w:hAnsi="Times New Roman" w:cs="Times New Roman"/>
      <w:sz w:val="20"/>
      <w:szCs w:val="24"/>
      <w:lang w:val="es-ES" w:eastAsia="es-ES"/>
    </w:rPr>
  </w:style>
  <w:style w:type="paragraph" w:customStyle="1" w:styleId="Default">
    <w:name w:val="Default"/>
    <w:rsid w:val="000D4E5B"/>
    <w:pPr>
      <w:autoSpaceDE w:val="0"/>
      <w:autoSpaceDN w:val="0"/>
      <w:adjustRightInd w:val="0"/>
      <w:spacing w:after="0" w:line="240" w:lineRule="auto"/>
    </w:pPr>
    <w:rPr>
      <w:rFonts w:ascii="Calibri" w:eastAsia="Times New Roman" w:hAnsi="Calibri" w:cs="Calibri"/>
      <w:color w:val="000000"/>
      <w:sz w:val="24"/>
      <w:szCs w:val="24"/>
    </w:rPr>
  </w:style>
  <w:style w:type="paragraph" w:styleId="Prrafodelista">
    <w:name w:val="List Paragraph"/>
    <w:basedOn w:val="Normal"/>
    <w:uiPriority w:val="34"/>
    <w:qFormat/>
    <w:rsid w:val="004C0FA3"/>
    <w:pPr>
      <w:ind w:left="720"/>
      <w:contextualSpacing/>
    </w:pPr>
  </w:style>
  <w:style w:type="table" w:styleId="Tablaclsica3">
    <w:name w:val="Table Classic 3"/>
    <w:basedOn w:val="Tablanormal"/>
    <w:rsid w:val="004C0FA3"/>
    <w:pPr>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Textoindependiente">
    <w:name w:val="Body Text"/>
    <w:basedOn w:val="Normal"/>
    <w:link w:val="TextoindependienteCar"/>
    <w:rsid w:val="00E76C75"/>
    <w:pPr>
      <w:jc w:val="center"/>
    </w:pPr>
    <w:rPr>
      <w:b/>
      <w:bCs/>
      <w:lang w:val="es-ES_tradnl"/>
    </w:rPr>
  </w:style>
  <w:style w:type="character" w:customStyle="1" w:styleId="TextoindependienteCar">
    <w:name w:val="Texto independiente Car"/>
    <w:basedOn w:val="Fuentedeprrafopredeter"/>
    <w:link w:val="Textoindependiente"/>
    <w:rsid w:val="00E76C75"/>
    <w:rPr>
      <w:rFonts w:ascii="Times New Roman" w:eastAsia="Times New Roman" w:hAnsi="Times New Roman" w:cs="Times New Roman"/>
      <w:b/>
      <w:bCs/>
      <w:sz w:val="24"/>
      <w:szCs w:val="24"/>
      <w:lang w:val="es-ES_tradnl" w:eastAsia="es-ES"/>
    </w:rPr>
  </w:style>
  <w:style w:type="table" w:styleId="Listaclara">
    <w:name w:val="Light List"/>
    <w:basedOn w:val="Tablanormal"/>
    <w:uiPriority w:val="61"/>
    <w:rsid w:val="00E76C7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Classic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Sinespaciado">
    <w:name w:val="No Spacing"/>
    <w:uiPriority w:val="1"/>
    <w:qFormat/>
    <w:rsid w:val="00173350"/>
    <w:pPr>
      <w:spacing w:after="0" w:line="240" w:lineRule="auto"/>
    </w:pPr>
  </w:style>
  <w:style w:type="table" w:styleId="Cuadrculaclara-nfasis1">
    <w:name w:val="Light Grid Accent 1"/>
    <w:basedOn w:val="Tablanormal"/>
    <w:uiPriority w:val="62"/>
    <w:rsid w:val="00173350"/>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xtonotapie">
    <w:name w:val="footnote text"/>
    <w:basedOn w:val="Normal"/>
    <w:link w:val="TextonotapieCar"/>
    <w:uiPriority w:val="99"/>
    <w:rsid w:val="000D4E5B"/>
    <w:rPr>
      <w:sz w:val="20"/>
    </w:rPr>
  </w:style>
  <w:style w:type="character" w:customStyle="1" w:styleId="TextonotapieCar">
    <w:name w:val="Texto nota pie Car"/>
    <w:basedOn w:val="Fuentedeprrafopredeter"/>
    <w:link w:val="Textonotapie"/>
    <w:uiPriority w:val="99"/>
    <w:rsid w:val="000D4E5B"/>
    <w:rPr>
      <w:rFonts w:ascii="Times New Roman" w:eastAsia="Times New Roman" w:hAnsi="Times New Roman" w:cs="Times New Roman"/>
      <w:sz w:val="20"/>
      <w:szCs w:val="24"/>
      <w:lang w:val="es-ES" w:eastAsia="es-ES"/>
    </w:rPr>
  </w:style>
  <w:style w:type="paragraph" w:customStyle="1" w:styleId="Default">
    <w:name w:val="Default"/>
    <w:rsid w:val="000D4E5B"/>
    <w:pPr>
      <w:autoSpaceDE w:val="0"/>
      <w:autoSpaceDN w:val="0"/>
      <w:adjustRightInd w:val="0"/>
      <w:spacing w:after="0" w:line="240" w:lineRule="auto"/>
    </w:pPr>
    <w:rPr>
      <w:rFonts w:ascii="Calibri" w:eastAsia="Times New Roman" w:hAnsi="Calibri" w:cs="Calibri"/>
      <w:color w:val="000000"/>
      <w:sz w:val="24"/>
      <w:szCs w:val="24"/>
    </w:rPr>
  </w:style>
  <w:style w:type="paragraph" w:styleId="Prrafodelista">
    <w:name w:val="List Paragraph"/>
    <w:basedOn w:val="Normal"/>
    <w:uiPriority w:val="34"/>
    <w:qFormat/>
    <w:rsid w:val="004C0FA3"/>
    <w:pPr>
      <w:ind w:left="720"/>
      <w:contextualSpacing/>
    </w:pPr>
  </w:style>
  <w:style w:type="table" w:styleId="Tablaclsica3">
    <w:name w:val="Table Classic 3"/>
    <w:basedOn w:val="Tablanormal"/>
    <w:rsid w:val="004C0FA3"/>
    <w:pPr>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Textoindependiente">
    <w:name w:val="Body Text"/>
    <w:basedOn w:val="Normal"/>
    <w:link w:val="TextoindependienteCar"/>
    <w:rsid w:val="00E76C75"/>
    <w:pPr>
      <w:jc w:val="center"/>
    </w:pPr>
    <w:rPr>
      <w:b/>
      <w:bCs/>
      <w:lang w:val="es-ES_tradnl"/>
    </w:rPr>
  </w:style>
  <w:style w:type="character" w:customStyle="1" w:styleId="TextoindependienteCar">
    <w:name w:val="Texto independiente Car"/>
    <w:basedOn w:val="Fuentedeprrafopredeter"/>
    <w:link w:val="Textoindependiente"/>
    <w:rsid w:val="00E76C75"/>
    <w:rPr>
      <w:rFonts w:ascii="Times New Roman" w:eastAsia="Times New Roman" w:hAnsi="Times New Roman" w:cs="Times New Roman"/>
      <w:b/>
      <w:bCs/>
      <w:sz w:val="24"/>
      <w:szCs w:val="24"/>
      <w:lang w:val="es-ES_tradnl" w:eastAsia="es-ES"/>
    </w:rPr>
  </w:style>
  <w:style w:type="table" w:styleId="Listaclara">
    <w:name w:val="Light List"/>
    <w:basedOn w:val="Tablanormal"/>
    <w:uiPriority w:val="61"/>
    <w:rsid w:val="00E76C7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Word_Document1.docx"/><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sugese.fi.cr"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0.jp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0.jpg"/><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iY1qgtAlixhE/AClL6DjA9qSdZE=</DigestValue>
    </Reference>
    <Reference URI="#idOfficeObject" Type="http://www.w3.org/2000/09/xmldsig#Object">
      <DigestMethod Algorithm="http://www.w3.org/2000/09/xmldsig#sha1"/>
      <DigestValue>jQVIBYxdcCFKi/jSRJ1v2PIyf58=</DigestValue>
    </Reference>
    <Reference URI="#idSignedProperties" Type="http://uri.etsi.org/01903#SignedProperties">
      <Transforms>
        <Transform Algorithm="http://www.w3.org/TR/2001/REC-xml-c14n-20010315"/>
      </Transforms>
      <DigestMethod Algorithm="http://www.w3.org/2000/09/xmldsig#sha1"/>
      <DigestValue>uzl/qcNLuXwwCahnvYPtxZtKvvY=</DigestValue>
    </Reference>
  </SignedInfo>
  <SignatureValue>xzHjX+2Oin562cFqdphG5ytVI2hwJLa0VHkUtlrydN32SzMIei7QAWm54VPz65IYtfynicT2B4Se
2MiURef2GPCcbn4gQATNX/JyrRetIw9ZTnhMkTjU/Wr8cmKrRoO4tYKsmRWQuhYoLlF3Q2NXv3ao
XLzYXQTeID71yWAKJ3DscEBqsHpfRP+/oT+cj6elOfbjMibT4SXaVfyPHYExRmmAxC55JDOfB6HS
hTaUTIYn6M1GS8nultFcVVQzrcH0v2JZIv3aCbslozCgf/78aehCF1McWKfDCI4LN6QC4Hg4lRSz
y8lhNorR5GBiHRbT0255j5zB8zH1hB2KzI8S6w==</SignatureValue>
  <KeyInfo>
    <X509Data>
      <X509Certificate>MIIFkTCCBHmgAwIBAgIKUljQ1wABAALykjANBgkqhkiG9w0BAQUFADCBmjEVMBMGA1UEBRMMNC0w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</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zc1/q2WodslX0pAdux4ZQmR9PMU=</DigestValue>
      </Reference>
      <Reference URI="/word/theme/theme1.xml?ContentType=application/vnd.openxmlformats-officedocument.theme+xml">
        <DigestMethod Algorithm="http://www.w3.org/2000/09/xmldsig#sha1"/>
        <DigestValue>Q8pihT3NxsPLwi5b/n6WOfsNII0=</DigestValue>
      </Reference>
      <Reference URI="/word/media/image4.jpeg?ContentType=image/jpeg">
        <DigestMethod Algorithm="http://www.w3.org/2000/09/xmldsig#sha1"/>
        <DigestValue>Dq+Wcmhq9Z83GdLIM6FN8WyDIuc=</DigestValue>
      </Reference>
      <Reference URI="/word/media/image1.emf?ContentType=image/x-emf">
        <DigestMethod Algorithm="http://www.w3.org/2000/09/xmldsig#sha1"/>
        <DigestValue>xQcR3xmOAHjUGmhB7Jrw3Vl96wo=</DigestValue>
      </Reference>
      <Reference URI="/word/media/image2.png?ContentType=image/png">
        <DigestMethod Algorithm="http://www.w3.org/2000/09/xmldsig#sha1"/>
        <DigestValue>iLifPaKfOOVVMaqdWpE3EyqkaUI=</DigestValue>
      </Reference>
      <Reference URI="/word/embeddings/Microsoft_Word_Document1.docx?ContentType=application/vnd.openxmlformats-officedocument.wordprocessingml.document">
        <DigestMethod Algorithm="http://www.w3.org/2000/09/xmldsig#sha1"/>
        <DigestValue>ZZV9LdjLlq383qH8EhhZM/3GbnE=</DigestValue>
      </Reference>
      <Reference URI="/word/settings.xml?ContentType=application/vnd.openxmlformats-officedocument.wordprocessingml.settings+xml">
        <DigestMethod Algorithm="http://www.w3.org/2000/09/xmldsig#sha1"/>
        <DigestValue>nvmYeuXHvf/su/WTr61TZqCn4UA=</DigestValue>
      </Reference>
      <Reference URI="/word/numbering.xml?ContentType=application/vnd.openxmlformats-officedocument.wordprocessingml.numbering+xml">
        <DigestMethod Algorithm="http://www.w3.org/2000/09/xmldsig#sha1"/>
        <DigestValue>8oIU4TBW86D8GO1MSj61wUk8FUc=</DigestValue>
      </Reference>
      <Reference URI="/word/styles.xml?ContentType=application/vnd.openxmlformats-officedocument.wordprocessingml.styles+xml">
        <DigestMethod Algorithm="http://www.w3.org/2000/09/xmldsig#sha1"/>
        <DigestValue>mRUPHa6DYYn9vwJDOybwBHsdwwc=</DigestValue>
      </Reference>
      <Reference URI="/word/stylesWithEffects.xml?ContentType=application/vnd.ms-word.stylesWithEffects+xml">
        <DigestMethod Algorithm="http://www.w3.org/2000/09/xmldsig#sha1"/>
        <DigestValue>Wvxody/l3kv2L0cP4lDESmBFBNA=</DigestValue>
      </Reference>
      <Reference URI="/word/fontTable.xml?ContentType=application/vnd.openxmlformats-officedocument.wordprocessingml.fontTable+xml">
        <DigestMethod Algorithm="http://www.w3.org/2000/09/xmldsig#sha1"/>
        <DigestValue>UvhYX9mPUps4fNpmCM6Yh7dLAKI=</DigestValue>
      </Reference>
      <Reference URI="/word/media/image3.jpg?ContentType=image/jpeg">
        <DigestMethod Algorithm="http://www.w3.org/2000/09/xmldsig#sha1"/>
        <DigestValue>Fyi8YrIf7zjcRft90WMeR55jjxo=</DigestValue>
      </Reference>
      <Reference URI="/word/endnotes.xml?ContentType=application/vnd.openxmlformats-officedocument.wordprocessingml.endnotes+xml">
        <DigestMethod Algorithm="http://www.w3.org/2000/09/xmldsig#sha1"/>
        <DigestValue>OOzg6dn1FqW8yRECCrcLkqGpdAY=</DigestValue>
      </Reference>
      <Reference URI="/word/footnotes.xml?ContentType=application/vnd.openxmlformats-officedocument.wordprocessingml.footnotes+xml">
        <DigestMethod Algorithm="http://www.w3.org/2000/09/xmldsig#sha1"/>
        <DigestValue>12bYHoA1yT5807yLwGVME90EYeQ=</DigestValue>
      </Reference>
      <Reference URI="/word/document.xml?ContentType=application/vnd.openxmlformats-officedocument.wordprocessingml.document.main+xml">
        <DigestMethod Algorithm="http://www.w3.org/2000/09/xmldsig#sha1"/>
        <DigestValue>5utz1+ZfziT3eUZ6nNZyiQe8XBI=</DigestValue>
      </Reference>
      <Reference URI="/word/header2.xml?ContentType=application/vnd.openxmlformats-officedocument.wordprocessingml.header+xml">
        <DigestMethod Algorithm="http://www.w3.org/2000/09/xmldsig#sha1"/>
        <DigestValue>nH3qM5S+srnJnt7UIJdbj19S2go=</DigestValue>
      </Reference>
      <Reference URI="/word/media/image30.jpg?ContentType=image/jpeg">
        <DigestMethod Algorithm="http://www.w3.org/2000/09/xmldsig#sha1"/>
        <DigestValue>Fyi8YrIf7zjcRft90WMeR55jjxo=</DigestValue>
      </Reference>
      <Reference URI="/word/footer1.xml?ContentType=application/vnd.openxmlformats-officedocument.wordprocessingml.footer+xml">
        <DigestMethod Algorithm="http://www.w3.org/2000/09/xmldsig#sha1"/>
        <DigestValue>Tb3qMxP4qaQ1WMpkia2T9lNtRd8=</DigestValue>
      </Reference>
      <Reference URI="/word/header1.xml?ContentType=application/vnd.openxmlformats-officedocument.wordprocessingml.header+xml">
        <DigestMethod Algorithm="http://www.w3.org/2000/09/xmldsig#sha1"/>
        <DigestValue>lhav7KUoMyq6kKcdlCxXV5wO9PA=</DigestValue>
      </Reference>
      <Reference URI="/word/footer2.xml?ContentType=application/vnd.openxmlformats-officedocument.wordprocessingml.footer+xml">
        <DigestMethod Algorithm="http://www.w3.org/2000/09/xmldsig#sha1"/>
        <DigestValue>g3CgfcBPeSMttF5KKmbVG23JSQU=</DigestValue>
      </Reference>
      <Reference URI="/word/_rels/foot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A9a/FnjPSIJEr5k50aptdRA9zjs=</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foot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A9a/FnjPSIJEr5k50aptdRA9zjs=</DigestValue>
      </Reference>
      <Reference URI="/word/_rels/header2.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Transform>
          <Transform Algorithm="http://www.w3.org/TR/2001/REC-xml-c14n-20010315"/>
        </Transforms>
        <DigestMethod Algorithm="http://www.w3.org/2000/09/xmldsig#sha1"/>
        <DigestValue>ljTTGtw+/ZX3A3ul9NRKP2gww5c=</DigestValue>
      </Reference>
      <Reference URI="/word/_rels/header1.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Transform>
          <Transform Algorithm="http://www.w3.org/TR/2001/REC-xml-c14n-20010315"/>
        </Transforms>
        <DigestMethod Algorithm="http://www.w3.org/2000/09/xmldsig#sha1"/>
        <DigestValue>ljTTGtw+/ZX3A3ul9NRKP2gww5c=</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7"/>
            <mdssi:RelationshipReference SourceId="rId12"/>
            <mdssi:RelationshipReference SourceId="rId17"/>
            <mdssi:RelationshipReference SourceId="rId16"/>
            <mdssi:RelationshipReference SourceId="rId20"/>
            <mdssi:RelationshipReference SourceId="rId6"/>
            <mdssi:RelationshipReference SourceId="rId11"/>
            <mdssi:RelationshipReference SourceId="rId5"/>
            <mdssi:RelationshipReference SourceId="rId15"/>
            <mdssi:RelationshipReference SourceId="rId10"/>
            <mdssi:RelationshipReference SourceId="rId19"/>
            <mdssi:RelationshipReference SourceId="rId4"/>
            <mdssi:RelationshipReference SourceId="rId9"/>
            <mdssi:RelationshipReference SourceId="rId14"/>
          </Transform>
          <Transform Algorithm="http://www.w3.org/TR/2001/REC-xml-c14n-20010315"/>
        </Transforms>
        <DigestMethod Algorithm="http://www.w3.org/2000/09/xmldsig#sha1"/>
        <DigestValue>LaDOPvWunbLG5pvA9LsUydkeOiE=</DigestValue>
      </Reference>
    </Manifest>
    <SignatureProperties>
      <SignatureProperty Id="idSignatureTime" Target="#idPackageSignature">
        <mdssi:SignatureTime>
          <mdssi:Format>YYYY-MM-DDThh:mm:ssTZD</mdssi:Format>
          <mdssi:Value>2014-11-18T23:27:54Z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Modificar acuerdo A-021-2013</SignatureComments>
          <WindowsVersion>6.1</WindowsVersion>
          <OfficeVersion>14.0</OfficeVersion>
          <ApplicationVersion>14.0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2014-11-18T23:27:54Z</xd:SigningTime>
          <xd:SigningCertificate>
            <xd:Cert>
              <xd:CertDigest>
                <DigestMethod Algorithm="http://www.w3.org/2000/09/xmldsig#sha1"/>
                <DigestValue>hG+dFEpTuDxrjvGO6P0tJ5DDZDw=</DigestValue>
              </xd:CertDigest>
              <xd:IssuerSerial>
                <X509IssuerName>CN=CA SINPE - PERSONA FISICA, OU=DIVISION DE SERVICIOS FINANCIEROS, O=BANCO CENTRAL DE COSTA RICA, C=CR, SERIALNUMBER=4-000-004017</X509IssuerName>
                <X509SerialNumber>388872413570481525027474</X509SerialNumber>
              </xd:IssuerSerial>
            </xd:Cert>
          </xd:SigningCertificate>
          <xd:SignaturePolicyIdentifier>
            <xd:SignaturePolicyImplied/>
          </xd:SignaturePolicyIdentifier>
        </xd:SignedSignatureProperties>
      </xd:SignedProperties>
      <xd:UnsignedProperties>
        <xd:UnsignedSignatureProperties>
          <xd:SignatureTimeStamp>
            <CanonicalizationMethod Algorithm="http://www.w3.org/TR/2001/REC-xml-c14n-20010315"/>
            <xd:EncapsulatedTimeStamp>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</xd:EncapsulatedTimeStamp>
          </xd:SignatureTimeStamp>
          <xd:CompleteCertificateRefs>
            <xd:CertRefs>
              <xd:Cert>
                <xd:CertDigest>
                  <DigestMethod Algorithm="http://www.w3.org/2000/09/xmldsig#sha1"/>
                  <DigestValue>qWerd5oGmweCBWnUTpLoaB2h0r4=</DigestValue>
                </xd:CertDigest>
                <xd:IssuerSerial>
                  <X509IssuerName>CN=CA POLITICA PERSONA FISICA - COSTA RICA, OU=DCFD, O=MICIT, C=CR, SERIALNUMBER=CPJ-2-100-098311</X509IssuerName>
                  <X509SerialNumber>468315649193549518772797807762302239277842436</X509SerialNumber>
                </xd:IssuerSerial>
              </xd:Cert>
              <xd:Cert>
                <xd:CertDigest>
                  <DigestMethod Algorithm="http://www.w3.org/2000/09/xmldsig#sha1"/>
                  <DigestValue>LUgs4Am7xp/bOrjyGxZaLqZRMWc=</DigestValue>
                </xd:CertDigest>
                <xd:IssuerSerial>
                  <X509IssuerName>CN=CA RAIZ NACIONAL - COSTA RICA, C=CR, O=MICIT, OU=DCFD, SERIALNUMBER=CPJ-2-100-098311</X509IssuerName>
                  <X509SerialNumber>458409546684849037770754</X509SerialNumber>
                </xd:IssuerSerial>
              </xd:Cert>
              <xd:Cert>
                <xd:CertDigest>
                  <DigestMethod Algorithm="http://www.w3.org/2000/09/xmldsig#sha1"/>
                  <DigestValue>Hz1WgCbjcsEiJEUzozn4bf38+qs=</DigestValue>
                </xd:CertDigest>
                <xd:IssuerSerial>
                  <X509IssuerName>CN=CA RAIZ NACIONAL - COSTA RICA, C=CR, O=MICIT, OU=DCFD, SERIALNUMBER=CPJ-2-100-098311</X509IssuerName>
                  <X509SerialNumber>164790747737892938508956538822974288145</X509SerialNumber>
                </xd:IssuerSerial>
              </xd:Cert>
            </xd:CertRefs>
          </xd:CompleteCertificateRefs>
          <xd:CertificateValues>
            <xd:EncapsulatedX509Certificate>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MCoGCCsGAQUFBwIBFh5odHRwOi8vd3d3LmZpcm1hZGlnaXRhbC5nby5jci8wLwYIKwYBBQUHAgEWI2h0dHA6Ly93d3cubWljaXQuZ28uY3IvZmlybWFkaWdpdGFsMIIBoQYIYIE8AQEBAQMwggGTMIIBMgYIKwYBBQUHAgIwggEkHoIBIA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</xd:EncapsulatedX509Certificate>
            <xd:EncapsulatedX509Certificate>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</xd:EncapsulatedX509Certificate>
            <xd:EncapsulatedX509Certificate>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</xd:EncapsulatedX509Certificate>
          </xd:CertificateValues>
          <xd:CompleteRevocationRefs>
            <xd:OCSPRefs>
              <xd:OCSPRef>
                <xd:OCSPIdentifier>
                  <xd:ResponderID>
                    <xd:ByKey>oQ1GySjr9hIcY8q9hyB4dHKPZeI=</xd:ByKey>
                  </xd:ResponderID>
                  <xd:ProducedAt>2014-11-18T03:57:20Z</xd:ProducedAt>
                </xd:OCSPIdentifier>
                <xd:DigestAlgAndValue>
                  <DigestMethod Algorithm="http://www.w3.org/2000/09/xmldsig#sha1"/>
                  <DigestValue>Q3e9DgGe+G4qc2zvF9xgnaWxtKk=</DigestValue>
                </xd:DigestAlgAndValue>
              </xd:OCSPRef>
            </xd:OCSPRefs>
            <xd:CRLRefs>
              <xd:CRLRef>
                <xd:DigestAlgAndValue>
                  <DigestMethod Algorithm="http://www.w3.org/2000/09/xmldsig#sha1"/>
                  <DigestValue>8RiHXDRf4fuICUWtUHGB3Z2Md+U=</DigestValue>
                </xd:DigestAlgAndValue>
                <xd:CRLIdentifier>
                  <xd:Issuer>CN=CA POLITICA PERSONA FISICA - COSTA RICA, OU=DCFD, O=MICIT, C=CR, SERIALNUMBER=CPJ-2-100-098311</xd:Issuer>
                  <xd:IssueTime>2014-11-03T16:43:13Z</xd:IssueTime>
                </xd:CRLIdentifier>
              </xd:CRLRef>
              <xd:CRLRef>
                <xd:DigestAlgAndValue>
                  <DigestMethod Algorithm="http://www.w3.org/2000/09/xmldsig#sha1"/>
                  <DigestValue>FhfWE9zm2EPZGS9Gy4bsbomYJa4=</DigestValue>
                </xd:DigestAlgAndValue>
                <xd:CRLIdentifier>
                  <xd:Issuer>CN=CA RAIZ NACIONAL - COSTA RICA, C=CR, O=MICIT, OU=DCFD, SERIALNUMBER=CPJ-2-100-098311</xd:Issuer>
                  <xd:IssueTime>2014-11-03T16:26:47Z</xd:IssueTime>
                </xd:CRLIdentifier>
              </xd:CRLRef>
            </xd:CRLRefs>
          </xd:CompleteRevocationRefs>
          <xd:RevocationValues>
            <xd:OCSPValues>
              <xd:EncapsulatedOCSPValue>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</xd:EncapsulatedOCSPValue>
            </xd:OCSPValues>
            <xd:CRLValues>
              <xd:EncapsulatedCRLValue>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</xd:EncapsulatedCRLValue>
              <xd:EncapsulatedCRLValue>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</xd:EncapsulatedCRLValue>
            </xd:CRLValues>
          </xd:RevocationValues>
          <xd:SigAndRefsTimeStamp>
            <CanonicalizationMethod Algorithm="http://www.w3.org/TR/2001/REC-xml-c14n-20010315"/>
            <xd:EncapsulatedTimeStamp>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</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7830A8-B983-40B5-A54C-E1EDB9A2C399}"/>
</file>

<file path=customXml/itemProps2.xml><?xml version="1.0" encoding="utf-8"?>
<ds:datastoreItem xmlns:ds="http://schemas.openxmlformats.org/officeDocument/2006/customXml" ds:itemID="{B1273355-A2F4-4E0B-9396-1C72C7742DDC}"/>
</file>

<file path=customXml/itemProps3.xml><?xml version="1.0" encoding="utf-8"?>
<ds:datastoreItem xmlns:ds="http://schemas.openxmlformats.org/officeDocument/2006/customXml" ds:itemID="{A295D986-9295-4536-8DD8-FAC24420C363}"/>
</file>

<file path=docProps/app.xml><?xml version="1.0" encoding="utf-8"?>
<Properties xmlns="http://schemas.openxmlformats.org/officeDocument/2006/extended-properties" xmlns:vt="http://schemas.openxmlformats.org/officeDocument/2006/docPropsVTypes">
  <Template>Normal</Template>
  <TotalTime>5</TotalTime>
  <Pages>7</Pages>
  <Words>1898</Words>
  <Characters>10442</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Modificar acuerdo A-021-2013</vt:lpstr>
    </vt:vector>
  </TitlesOfParts>
  <Company>Superintendencia General de Seguros</Company>
  <LinksUpToDate>false</LinksUpToDate>
  <CharactersWithSpaces>12316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SGS-A-0039-2014   </dc:title>
  <dc:creator>castillosl</dc:creator>
  <cp:lastModifiedBy>SOLEY PEREZ TOMAS</cp:lastModifiedBy>
  <cp:revision>6</cp:revision>
  <dcterms:created xsi:type="dcterms:W3CDTF">2014-11-17T14:30:00Z</dcterms:created>
  <dcterms:modified xsi:type="dcterms:W3CDTF">2014-11-18T23:27:00Z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0de3a363-599f-4bf8-bc5a-92ece09ed8be,3;f4a10232-97ae-4210-89ca-c946541e7af0,8;</vt:lpwstr>
  </property>
  <property fmtid="{D5CDD505-2E9C-101B-9397-08002B2CF9AE}" pid="3" name="ContentTypeId">
    <vt:lpwstr>0x0101008E9AF914DE39E5439DE635BD2775E56E</vt:lpwstr>
  </property>
  <property fmtid="{D5CDD505-2E9C-101B-9397-08002B2CF9AE}" pid="4" name="_MarkAsFinal">
    <vt:bool>true</vt:bool>
  </property>
  <property fmtid="{D5CDD505-2E9C-101B-9397-08002B2CF9AE}" pid="5" name="Order">
    <vt:r8>360400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DocumentSet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ies>
</file>