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4D51B" w14:textId="77777777" w:rsidR="003B1618" w:rsidRPr="006F15E1" w:rsidRDefault="003B1618" w:rsidP="007422B6">
      <w:pPr>
        <w:pStyle w:val="Textoindependiente"/>
        <w:spacing w:after="0"/>
        <w:jc w:val="center"/>
        <w:rPr>
          <w:rFonts w:ascii="Roboto" w:hAnsi="Roboto"/>
          <w:b/>
          <w:sz w:val="32"/>
          <w:szCs w:val="28"/>
        </w:rPr>
      </w:pPr>
    </w:p>
    <w:p w14:paraId="215A712F" w14:textId="572FDB49" w:rsidR="003B1618" w:rsidRPr="006F15E1" w:rsidRDefault="003B1618" w:rsidP="007422B6">
      <w:pPr>
        <w:pStyle w:val="Sinespaciado"/>
        <w:rPr>
          <w:rFonts w:ascii="Roboto" w:hAnsi="Roboto"/>
          <w:sz w:val="24"/>
        </w:rPr>
      </w:pPr>
    </w:p>
    <w:p w14:paraId="763A94D1" w14:textId="77777777" w:rsidR="003B1618" w:rsidRPr="006F15E1" w:rsidRDefault="003B1618" w:rsidP="007422B6">
      <w:pPr>
        <w:pStyle w:val="Sinespaciado"/>
        <w:ind w:hanging="426"/>
        <w:rPr>
          <w:rFonts w:ascii="Roboto" w:hAnsi="Roboto"/>
          <w:i/>
          <w:color w:val="000000"/>
          <w:sz w:val="24"/>
        </w:rPr>
      </w:pPr>
      <w:r w:rsidRPr="006F15E1">
        <w:rPr>
          <w:rFonts w:ascii="Roboto" w:hAnsi="Roboto"/>
          <w:i/>
          <w:color w:val="000000"/>
          <w:sz w:val="24"/>
        </w:rPr>
        <w:t>Tomás Soley Pérez</w:t>
      </w:r>
    </w:p>
    <w:p w14:paraId="406C15E7" w14:textId="77777777" w:rsidR="003B1618" w:rsidRPr="006F15E1" w:rsidRDefault="003B1618" w:rsidP="007422B6">
      <w:pPr>
        <w:pStyle w:val="Sinespaciado"/>
        <w:ind w:hanging="426"/>
        <w:rPr>
          <w:rFonts w:ascii="Roboto" w:hAnsi="Roboto"/>
          <w:i/>
          <w:color w:val="000000"/>
          <w:sz w:val="24"/>
        </w:rPr>
      </w:pPr>
      <w:r w:rsidRPr="006F15E1">
        <w:rPr>
          <w:rFonts w:ascii="Roboto" w:hAnsi="Roboto"/>
          <w:i/>
          <w:color w:val="000000"/>
          <w:sz w:val="24"/>
        </w:rPr>
        <w:t xml:space="preserve">Superintendente de Seguros </w:t>
      </w:r>
    </w:p>
    <w:p w14:paraId="0D91220D" w14:textId="77777777" w:rsidR="003B1618" w:rsidRPr="006F15E1" w:rsidRDefault="003B1618" w:rsidP="007422B6">
      <w:pPr>
        <w:pStyle w:val="Sinespaciado"/>
        <w:rPr>
          <w:rFonts w:ascii="Roboto" w:hAnsi="Roboto"/>
          <w:i/>
          <w:color w:val="000000"/>
          <w:sz w:val="24"/>
        </w:rPr>
      </w:pPr>
    </w:p>
    <w:p w14:paraId="7F38210F" w14:textId="77777777" w:rsidR="001C4533" w:rsidRPr="006F15E1" w:rsidRDefault="001C4533" w:rsidP="007422B6">
      <w:pPr>
        <w:pStyle w:val="Textoindependiente"/>
        <w:spacing w:after="0"/>
        <w:jc w:val="center"/>
        <w:rPr>
          <w:rFonts w:ascii="Roboto" w:hAnsi="Roboto"/>
          <w:b/>
          <w:sz w:val="32"/>
          <w:szCs w:val="28"/>
        </w:rPr>
      </w:pPr>
      <w:r w:rsidRPr="006F15E1">
        <w:rPr>
          <w:rFonts w:ascii="Roboto" w:hAnsi="Roboto"/>
          <w:b/>
          <w:sz w:val="32"/>
          <w:szCs w:val="28"/>
        </w:rPr>
        <w:t>ACUERDO DE SUPERINTENDENTE</w:t>
      </w:r>
    </w:p>
    <w:p w14:paraId="275929D9" w14:textId="7FB46C83" w:rsidR="001C4533" w:rsidRPr="006F15E1" w:rsidRDefault="001C4533" w:rsidP="007422B6">
      <w:pPr>
        <w:pStyle w:val="Textoindependiente"/>
        <w:spacing w:after="0"/>
        <w:jc w:val="center"/>
        <w:rPr>
          <w:rFonts w:ascii="Roboto" w:hAnsi="Roboto"/>
          <w:b/>
          <w:i/>
          <w:sz w:val="32"/>
          <w:szCs w:val="28"/>
        </w:rPr>
      </w:pPr>
      <w:r w:rsidRPr="006F15E1">
        <w:rPr>
          <w:rFonts w:ascii="Roboto" w:hAnsi="Roboto"/>
          <w:b/>
          <w:i/>
          <w:sz w:val="32"/>
          <w:szCs w:val="28"/>
        </w:rPr>
        <w:t>SGS-</w:t>
      </w:r>
      <w:r w:rsidR="00364E1A" w:rsidRPr="006F15E1">
        <w:rPr>
          <w:rFonts w:ascii="Roboto" w:hAnsi="Roboto"/>
          <w:b/>
          <w:i/>
          <w:sz w:val="32"/>
          <w:szCs w:val="28"/>
        </w:rPr>
        <w:t>DES-</w:t>
      </w:r>
      <w:r w:rsidRPr="006F15E1">
        <w:rPr>
          <w:rFonts w:ascii="Roboto" w:hAnsi="Roboto"/>
          <w:b/>
          <w:i/>
          <w:sz w:val="32"/>
          <w:szCs w:val="28"/>
        </w:rPr>
        <w:t>A-</w:t>
      </w:r>
      <w:r w:rsidR="00753EC3" w:rsidRPr="006F15E1">
        <w:rPr>
          <w:rFonts w:ascii="Roboto" w:hAnsi="Roboto"/>
          <w:b/>
          <w:i/>
          <w:sz w:val="32"/>
          <w:szCs w:val="28"/>
        </w:rPr>
        <w:t>021</w:t>
      </w:r>
      <w:r w:rsidRPr="006F15E1">
        <w:rPr>
          <w:rFonts w:ascii="Roboto" w:hAnsi="Roboto"/>
          <w:b/>
          <w:i/>
          <w:sz w:val="32"/>
          <w:szCs w:val="28"/>
        </w:rPr>
        <w:t>-2013</w:t>
      </w:r>
      <w:r w:rsidR="00D15E6B" w:rsidRPr="006F15E1">
        <w:rPr>
          <w:rStyle w:val="Refdenotaalpie"/>
          <w:rFonts w:ascii="Roboto" w:hAnsi="Roboto"/>
          <w:b/>
          <w:i/>
          <w:sz w:val="32"/>
          <w:szCs w:val="28"/>
        </w:rPr>
        <w:footnoteReference w:id="1"/>
      </w:r>
    </w:p>
    <w:p w14:paraId="013BA471" w14:textId="77777777" w:rsidR="001C4533" w:rsidRPr="006F15E1" w:rsidRDefault="001C4533" w:rsidP="007422B6">
      <w:pPr>
        <w:pStyle w:val="Textoindependiente"/>
        <w:spacing w:after="0"/>
        <w:rPr>
          <w:rFonts w:ascii="Roboto" w:hAnsi="Roboto"/>
        </w:rPr>
      </w:pPr>
    </w:p>
    <w:p w14:paraId="68203FF7" w14:textId="5E908A26" w:rsidR="001C4533" w:rsidRPr="006F15E1" w:rsidRDefault="001C4533" w:rsidP="007422B6">
      <w:pPr>
        <w:spacing w:after="0"/>
        <w:jc w:val="center"/>
        <w:rPr>
          <w:rFonts w:ascii="Roboto" w:hAnsi="Roboto"/>
          <w:b/>
          <w:bCs/>
          <w:i/>
          <w:sz w:val="28"/>
          <w:lang w:val="es-ES_tradnl"/>
        </w:rPr>
      </w:pPr>
      <w:r w:rsidRPr="006F15E1">
        <w:rPr>
          <w:rFonts w:ascii="Roboto" w:hAnsi="Roboto"/>
          <w:b/>
          <w:bCs/>
          <w:i/>
          <w:sz w:val="28"/>
          <w:lang w:val="es-ES_tradnl"/>
        </w:rPr>
        <w:t>Disposiciones para la Remisión de la Información Contable y Estadística a la Superintendencia General de Seguros por parte de las Entidades Supervisadas.</w:t>
      </w:r>
    </w:p>
    <w:p w14:paraId="25E508D5" w14:textId="77777777" w:rsidR="001C4533" w:rsidRPr="006F15E1" w:rsidRDefault="001C4533" w:rsidP="007422B6">
      <w:pPr>
        <w:spacing w:after="0"/>
        <w:rPr>
          <w:rFonts w:ascii="Roboto" w:hAnsi="Roboto"/>
          <w:sz w:val="24"/>
          <w:lang w:val="es-ES_tradnl"/>
        </w:rPr>
      </w:pPr>
    </w:p>
    <w:p w14:paraId="05AA4D5B" w14:textId="77777777" w:rsidR="003C1E7C" w:rsidRPr="006F15E1" w:rsidRDefault="003C1E7C" w:rsidP="007422B6">
      <w:pPr>
        <w:spacing w:after="0"/>
        <w:jc w:val="both"/>
        <w:rPr>
          <w:rFonts w:ascii="Roboto" w:hAnsi="Roboto"/>
          <w:sz w:val="24"/>
          <w:szCs w:val="24"/>
        </w:rPr>
      </w:pPr>
      <w:r w:rsidRPr="006F15E1">
        <w:rPr>
          <w:rFonts w:ascii="Roboto" w:hAnsi="Roboto"/>
          <w:sz w:val="24"/>
          <w:lang w:val="es-ES_tradnl"/>
        </w:rPr>
        <w:t>El Superintendente General de Seguros a las diecisiete horas del veintitrés de mayo de dos mil trece, considerando</w:t>
      </w:r>
      <w:r w:rsidRPr="006F15E1">
        <w:rPr>
          <w:rFonts w:ascii="Roboto" w:hAnsi="Roboto"/>
          <w:sz w:val="24"/>
          <w:szCs w:val="24"/>
        </w:rPr>
        <w:t xml:space="preserve"> que:</w:t>
      </w:r>
    </w:p>
    <w:p w14:paraId="716642F2" w14:textId="77777777" w:rsidR="003C1E7C" w:rsidRPr="006F15E1" w:rsidRDefault="003C1E7C" w:rsidP="007422B6">
      <w:pPr>
        <w:spacing w:after="0"/>
        <w:jc w:val="both"/>
        <w:rPr>
          <w:rFonts w:ascii="Roboto" w:hAnsi="Roboto"/>
          <w:sz w:val="24"/>
          <w:szCs w:val="24"/>
        </w:rPr>
      </w:pPr>
    </w:p>
    <w:p w14:paraId="7B23222A"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La Superintendencia General de Seguros debe disponer de información, en los plazos, formatos y medios que le permita realizar una evaluación exhaustiva y rigurosa de cada uno de los participantes del mercado de seguros, con el fin de cumplir con el objetivo definido en el artículo 29, de la Ley Reguladora del Mercado de Seguros, Ley </w:t>
      </w:r>
      <w:proofErr w:type="spellStart"/>
      <w:r w:rsidRPr="006F15E1">
        <w:rPr>
          <w:rFonts w:ascii="Roboto" w:hAnsi="Roboto"/>
          <w:sz w:val="24"/>
          <w:szCs w:val="24"/>
        </w:rPr>
        <w:t>N°</w:t>
      </w:r>
      <w:proofErr w:type="spellEnd"/>
      <w:r w:rsidRPr="006F15E1">
        <w:rPr>
          <w:rFonts w:ascii="Roboto" w:hAnsi="Roboto"/>
          <w:sz w:val="24"/>
          <w:szCs w:val="24"/>
        </w:rPr>
        <w:t xml:space="preserve"> 8653, de “</w:t>
      </w:r>
      <w:r w:rsidRPr="006F15E1">
        <w:rPr>
          <w:rFonts w:ascii="Roboto" w:hAnsi="Roboto"/>
          <w:i/>
          <w:sz w:val="24"/>
          <w:szCs w:val="24"/>
        </w:rPr>
        <w:t>velar por la estabilidad y el eficiente funcionamiento del mercado de seguros, así como entregar la más amplia información a los asegurados</w:t>
      </w:r>
      <w:r w:rsidRPr="006F15E1">
        <w:rPr>
          <w:rFonts w:ascii="Roboto" w:hAnsi="Roboto"/>
          <w:sz w:val="24"/>
          <w:szCs w:val="24"/>
        </w:rPr>
        <w:t>”.</w:t>
      </w:r>
    </w:p>
    <w:p w14:paraId="0DE2A6F6"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De conformidad con los artículos 25 c) y 26 g) de la Ley </w:t>
      </w:r>
      <w:proofErr w:type="spellStart"/>
      <w:r w:rsidRPr="006F15E1">
        <w:rPr>
          <w:rFonts w:ascii="Roboto" w:hAnsi="Roboto"/>
          <w:sz w:val="24"/>
          <w:szCs w:val="24"/>
        </w:rPr>
        <w:t>N°</w:t>
      </w:r>
      <w:proofErr w:type="spellEnd"/>
      <w:r w:rsidRPr="006F15E1">
        <w:rPr>
          <w:rFonts w:ascii="Roboto" w:hAnsi="Roboto"/>
          <w:sz w:val="24"/>
          <w:szCs w:val="24"/>
        </w:rPr>
        <w:t xml:space="preserve"> 8653, las entidades aseguradoras y reaseguradoras y los intermediarios del mercado de seguros están obligados a proporcionar a la Superintendencia la información correcta y completa, dentro de los plazos y las formalidades requeridos.</w:t>
      </w:r>
    </w:p>
    <w:p w14:paraId="4B2BEF07"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El artículo 12 del Reglamento Relativo a la Información Financiera de Entidades, Grupos y Conglomerados Financieros, establece la obligación por parte de las entidades supervisadas de presentar información contable a la Superintendencia General de Seguros.</w:t>
      </w:r>
    </w:p>
    <w:p w14:paraId="6F7DBA34"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El artículo 13 del Reglamento sobre la Solvencia de Entidades de Seguros y Reaseguros señala que las entidades supervisadas remitirán a la Superintendencia el cálculo del requerimiento de capital y el capital base.  De igual </w:t>
      </w:r>
      <w:r w:rsidRPr="006F15E1">
        <w:rPr>
          <w:rFonts w:ascii="Roboto" w:hAnsi="Roboto"/>
          <w:sz w:val="24"/>
          <w:szCs w:val="24"/>
        </w:rPr>
        <w:lastRenderedPageBreak/>
        <w:t>forma el artículo 30 de dicha normativa indica que las entidades informarán de las inversiones vinculadas a las provisiones técnicas.</w:t>
      </w:r>
    </w:p>
    <w:p w14:paraId="455D54DA"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De acuerdo con lo establecido en el artículo 14 de la Ley </w:t>
      </w:r>
      <w:proofErr w:type="spellStart"/>
      <w:r w:rsidRPr="006F15E1">
        <w:rPr>
          <w:rFonts w:ascii="Roboto" w:hAnsi="Roboto"/>
          <w:sz w:val="24"/>
          <w:szCs w:val="24"/>
        </w:rPr>
        <w:t>N°</w:t>
      </w:r>
      <w:proofErr w:type="spellEnd"/>
      <w:r w:rsidRPr="006F15E1">
        <w:rPr>
          <w:rFonts w:ascii="Roboto" w:hAnsi="Roboto"/>
          <w:sz w:val="24"/>
          <w:szCs w:val="24"/>
        </w:rPr>
        <w:t xml:space="preserve"> 8653, la Superintendencia debe publicar, periódicamente, información sobre la composición de la cartera de inversiones de cada entidad con la calificación de riesgo crediticio de los emisores de los títulos que la conforman.</w:t>
      </w:r>
    </w:p>
    <w:p w14:paraId="288D01B1" w14:textId="42F02838"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Los Principios Básicos de Seguros, emitidos por la Asociación Internacional de Supervisores de Seguros (IAIS por sus siglas en ingles) en el 2011, establecen, como parte de las precondiciones </w:t>
      </w:r>
      <w:r w:rsidR="0053633D" w:rsidRPr="006F15E1">
        <w:rPr>
          <w:rFonts w:ascii="Roboto" w:hAnsi="Roboto"/>
          <w:sz w:val="24"/>
          <w:szCs w:val="24"/>
        </w:rPr>
        <w:t>establecidas para</w:t>
      </w:r>
      <w:r w:rsidRPr="006F15E1">
        <w:rPr>
          <w:rFonts w:ascii="Roboto" w:hAnsi="Roboto"/>
          <w:sz w:val="24"/>
          <w:szCs w:val="24"/>
        </w:rPr>
        <w:t xml:space="preserve"> un sistema de supervisión efectivo, entre otras, el </w:t>
      </w:r>
      <w:r w:rsidR="0053633D" w:rsidRPr="006F15E1">
        <w:rPr>
          <w:rFonts w:ascii="Roboto" w:hAnsi="Roboto"/>
          <w:sz w:val="24"/>
          <w:szCs w:val="24"/>
        </w:rPr>
        <w:t>contar con</w:t>
      </w:r>
      <w:r w:rsidRPr="006F15E1">
        <w:rPr>
          <w:rFonts w:ascii="Roboto" w:hAnsi="Roboto"/>
          <w:sz w:val="24"/>
          <w:szCs w:val="24"/>
        </w:rPr>
        <w:t xml:space="preserve"> </w:t>
      </w:r>
      <w:r w:rsidRPr="006F15E1">
        <w:rPr>
          <w:rFonts w:ascii="Roboto" w:hAnsi="Roboto"/>
          <w:i/>
          <w:sz w:val="24"/>
          <w:szCs w:val="24"/>
        </w:rPr>
        <w:t>“…una infraestructura pública bien desarrollada…”</w:t>
      </w:r>
      <w:r w:rsidRPr="006F15E1">
        <w:rPr>
          <w:rFonts w:ascii="Roboto" w:hAnsi="Roboto"/>
          <w:sz w:val="24"/>
          <w:szCs w:val="24"/>
        </w:rPr>
        <w:t xml:space="preserve">, que a su vez establezca </w:t>
      </w:r>
      <w:r w:rsidRPr="006F15E1">
        <w:rPr>
          <w:rFonts w:ascii="Roboto" w:hAnsi="Roboto"/>
          <w:i/>
          <w:sz w:val="24"/>
          <w:szCs w:val="24"/>
        </w:rPr>
        <w:t>“…principios y normas contables generales bien definidos que cuenten con el respaldo de una amplia aceptación internacional…”</w:t>
      </w:r>
      <w:r w:rsidRPr="006F15E1">
        <w:rPr>
          <w:rFonts w:ascii="Roboto" w:hAnsi="Roboto"/>
          <w:sz w:val="24"/>
          <w:szCs w:val="24"/>
        </w:rPr>
        <w:t xml:space="preserve">.  Adicionalmente el principio 23 de IAIS establece que </w:t>
      </w:r>
      <w:r w:rsidRPr="006F15E1">
        <w:rPr>
          <w:rFonts w:ascii="Roboto" w:hAnsi="Roboto"/>
          <w:i/>
          <w:sz w:val="24"/>
          <w:szCs w:val="24"/>
        </w:rPr>
        <w:t>“La disciplina eficaz de mercado depende, en parte, de flujos de información adecuados entre los participantes, incentivos financieros apropiados para recompensar a las instituciones bien manejadas, y de arreglos que aseguren que los inversionistas no son ajenos a las consecuencias de sus decisiones. Entre los temas a ser abordados, está la existencia de marcos apropiados de gobierno corporativo, así como garantizar que los prestatarios brinden información exacta, significativa, transparente y oportuna a los inversionistas y acreedores”</w:t>
      </w:r>
      <w:r w:rsidRPr="006F15E1">
        <w:rPr>
          <w:rFonts w:ascii="Roboto" w:hAnsi="Roboto"/>
          <w:sz w:val="24"/>
          <w:szCs w:val="24"/>
        </w:rPr>
        <w:t>, lo que implica que el desarrollo y buen funcionamiento del mercado requiere de flujos de información adecuados de éste para todos los participantes del mercado y para el público en general.</w:t>
      </w:r>
    </w:p>
    <w:p w14:paraId="4486BC9E" w14:textId="7094F40A" w:rsidR="003C1E7C" w:rsidRPr="006F15E1" w:rsidRDefault="003C1E7C" w:rsidP="007422B6">
      <w:pPr>
        <w:pStyle w:val="Prrafodelista"/>
        <w:widowControl w:val="0"/>
        <w:numPr>
          <w:ilvl w:val="0"/>
          <w:numId w:val="22"/>
        </w:numPr>
        <w:spacing w:after="0"/>
        <w:jc w:val="both"/>
        <w:rPr>
          <w:rFonts w:ascii="Roboto" w:hAnsi="Roboto"/>
          <w:sz w:val="24"/>
          <w:szCs w:val="24"/>
        </w:rPr>
      </w:pPr>
      <w:r w:rsidRPr="006F15E1">
        <w:rPr>
          <w:rFonts w:ascii="Roboto" w:hAnsi="Roboto"/>
          <w:sz w:val="24"/>
          <w:szCs w:val="24"/>
        </w:rPr>
        <w:t xml:space="preserve">La remisión de información financiera de manera periódica constituye una herramienta fundamental para las labores de supervisión y control desarrolladas por la Superintendencia.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w:t>
      </w:r>
      <w:r w:rsidRPr="006F15E1">
        <w:rPr>
          <w:rFonts w:ascii="Roboto" w:hAnsi="Roboto"/>
          <w:sz w:val="24"/>
          <w:szCs w:val="24"/>
        </w:rPr>
        <w:lastRenderedPageBreak/>
        <w:t>e información; solicitar información adicional de manera más frecuente y detallada según ello sea oportuno y establecer procedimientos y pautas escritas para la realización de informes entregados al supervisor.</w:t>
      </w:r>
    </w:p>
    <w:p w14:paraId="7FFEC0A7" w14:textId="77777777" w:rsidR="003C1E7C" w:rsidRPr="006F15E1" w:rsidRDefault="003C1E7C" w:rsidP="007422B6">
      <w:pPr>
        <w:pStyle w:val="Prrafodelista"/>
        <w:widowControl w:val="0"/>
        <w:numPr>
          <w:ilvl w:val="0"/>
          <w:numId w:val="22"/>
        </w:numPr>
        <w:spacing w:after="0"/>
        <w:jc w:val="both"/>
        <w:rPr>
          <w:rFonts w:ascii="Roboto" w:hAnsi="Roboto"/>
          <w:sz w:val="24"/>
          <w:szCs w:val="24"/>
        </w:rPr>
      </w:pPr>
      <w:r w:rsidRPr="006F15E1">
        <w:rPr>
          <w:rFonts w:ascii="Roboto" w:hAnsi="Roboto"/>
          <w:sz w:val="24"/>
          <w:szCs w:val="24"/>
        </w:rPr>
        <w:t>La Superintendencia basa su accionar en un enfoque de supervisión basado en riesgos, definiendo en primera instancia un modelo de evaluación de áreas de riesgo y control del régimen de solvencia, el cual es aplicable a las entidades aseguradoras y reaseguradoras, así como parámetros de alerta temprana e intervención por parte de esta Superintendencia, para lo cual es fundamental contar con información confiable y oportuna por parte de las entidades supervisadas.</w:t>
      </w:r>
    </w:p>
    <w:p w14:paraId="6B31BCE7" w14:textId="77777777" w:rsidR="003C1E7C" w:rsidRPr="006F15E1" w:rsidRDefault="003C1E7C" w:rsidP="007422B6">
      <w:pPr>
        <w:pStyle w:val="Prrafodelista"/>
        <w:widowControl w:val="0"/>
        <w:numPr>
          <w:ilvl w:val="0"/>
          <w:numId w:val="22"/>
        </w:numPr>
        <w:spacing w:after="0"/>
        <w:jc w:val="both"/>
        <w:rPr>
          <w:rFonts w:ascii="Roboto" w:hAnsi="Roboto"/>
          <w:sz w:val="24"/>
          <w:szCs w:val="24"/>
        </w:rPr>
      </w:pPr>
      <w:r w:rsidRPr="006F15E1">
        <w:rPr>
          <w:rFonts w:ascii="Roboto" w:hAnsi="Roboto"/>
          <w:sz w:val="24"/>
          <w:szCs w:val="24"/>
        </w:rPr>
        <w:t xml:space="preserve">De conformidad con el artículo 29 de la Ley </w:t>
      </w:r>
      <w:proofErr w:type="spellStart"/>
      <w:r w:rsidRPr="006F15E1">
        <w:rPr>
          <w:rFonts w:ascii="Roboto" w:hAnsi="Roboto"/>
          <w:sz w:val="24"/>
          <w:szCs w:val="24"/>
        </w:rPr>
        <w:t>N°</w:t>
      </w:r>
      <w:proofErr w:type="spellEnd"/>
      <w:r w:rsidRPr="006F15E1">
        <w:rPr>
          <w:rFonts w:ascii="Roboto" w:hAnsi="Roboto"/>
          <w:sz w:val="24"/>
          <w:szCs w:val="24"/>
        </w:rPr>
        <w:t xml:space="preserve"> 8653, la Superintendencia aplicará la norma establecida en el artículo 180 de la Ley Reguladora del Mercado de Valores, </w:t>
      </w:r>
      <w:proofErr w:type="gramStart"/>
      <w:r w:rsidRPr="006F15E1">
        <w:rPr>
          <w:rFonts w:ascii="Roboto" w:hAnsi="Roboto"/>
          <w:sz w:val="24"/>
          <w:szCs w:val="24"/>
        </w:rPr>
        <w:t xml:space="preserve">Ley  </w:t>
      </w:r>
      <w:proofErr w:type="spellStart"/>
      <w:r w:rsidRPr="006F15E1">
        <w:rPr>
          <w:rFonts w:ascii="Roboto" w:hAnsi="Roboto"/>
          <w:sz w:val="24"/>
          <w:szCs w:val="24"/>
        </w:rPr>
        <w:t>N</w:t>
      </w:r>
      <w:proofErr w:type="gramEnd"/>
      <w:r w:rsidRPr="006F15E1">
        <w:rPr>
          <w:rFonts w:ascii="Roboto" w:hAnsi="Roboto"/>
          <w:sz w:val="24"/>
          <w:szCs w:val="24"/>
        </w:rPr>
        <w:t>°</w:t>
      </w:r>
      <w:proofErr w:type="spellEnd"/>
      <w:r w:rsidRPr="006F15E1">
        <w:rPr>
          <w:rFonts w:ascii="Roboto" w:hAnsi="Roboto"/>
          <w:sz w:val="24"/>
          <w:szCs w:val="24"/>
        </w:rPr>
        <w:t xml:space="preserve"> 7732, la cual faculta la utilización de medios electrónicos o magnéticos de transmisión y almacenamiento de datos, para solicitar información a las entidades supervisadas y para mantener sus archivos, actas y demás documentos. </w:t>
      </w:r>
      <w:proofErr w:type="gramStart"/>
      <w:r w:rsidRPr="006F15E1">
        <w:rPr>
          <w:rFonts w:ascii="Roboto" w:hAnsi="Roboto"/>
          <w:sz w:val="24"/>
          <w:szCs w:val="24"/>
        </w:rPr>
        <w:t>Además</w:t>
      </w:r>
      <w:proofErr w:type="gramEnd"/>
      <w:r w:rsidRPr="006F15E1">
        <w:rPr>
          <w:rFonts w:ascii="Roboto" w:hAnsi="Roboto"/>
          <w:sz w:val="24"/>
          <w:szCs w:val="24"/>
        </w:rPr>
        <w:t xml:space="preserve"> indica que la información así mantenida tiene valor probatorio equivalente al de los documentos para todos los efectos legales.</w:t>
      </w:r>
    </w:p>
    <w:p w14:paraId="6E28DC08" w14:textId="77777777" w:rsidR="003C1E7C" w:rsidRPr="006F15E1" w:rsidRDefault="003C1E7C" w:rsidP="007422B6">
      <w:pPr>
        <w:pStyle w:val="Prrafodelista"/>
        <w:widowControl w:val="0"/>
        <w:numPr>
          <w:ilvl w:val="0"/>
          <w:numId w:val="22"/>
        </w:numPr>
        <w:spacing w:after="0"/>
        <w:jc w:val="both"/>
        <w:rPr>
          <w:rFonts w:ascii="Roboto" w:hAnsi="Roboto"/>
          <w:sz w:val="24"/>
          <w:szCs w:val="24"/>
        </w:rPr>
      </w:pPr>
      <w:r w:rsidRPr="006F15E1">
        <w:rPr>
          <w:rFonts w:ascii="Roboto" w:hAnsi="Roboto"/>
          <w:sz w:val="24"/>
          <w:szCs w:val="24"/>
        </w:rPr>
        <w:t xml:space="preserve">El artículo 35 de la Ley </w:t>
      </w:r>
      <w:proofErr w:type="spellStart"/>
      <w:r w:rsidRPr="006F15E1">
        <w:rPr>
          <w:rFonts w:ascii="Roboto" w:hAnsi="Roboto"/>
          <w:sz w:val="24"/>
          <w:szCs w:val="24"/>
        </w:rPr>
        <w:t>N°</w:t>
      </w:r>
      <w:proofErr w:type="spellEnd"/>
      <w:r w:rsidRPr="006F15E1">
        <w:rPr>
          <w:rFonts w:ascii="Roboto" w:hAnsi="Roboto"/>
          <w:sz w:val="24"/>
          <w:szCs w:val="24"/>
        </w:rPr>
        <w:t xml:space="preserve"> 8653 establece que en caso de incumplimiento de los plazos y las formalidades establecidos para la remisión de información en el régimen de custodia de valores o el régimen de solvencia, el Superintendente podrá imponer las sanciones establecidas en esta Ley por la sola constatación del incumplimiento.</w:t>
      </w:r>
    </w:p>
    <w:p w14:paraId="308E1153"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La Superintendencia General de Seguros mantiene, desde finales del año 2011, un proyecto denominado Sistema de Supervisión de Seguros (en adelante SSS), cuyo objetivo principal es contar con una infraestructura tecnológica que le permita la captura automatizada, el procesamiento, la generación de alertas, reportes y estadísticas,  relativos a la información financiero contable de las entidades supervisadas; utilizando para ello una plataforma directa de comunicación o de servicio en web (en adelante </w:t>
      </w:r>
      <w:r w:rsidRPr="006F15E1">
        <w:rPr>
          <w:rFonts w:ascii="Roboto" w:hAnsi="Roboto"/>
          <w:i/>
          <w:sz w:val="24"/>
          <w:szCs w:val="24"/>
        </w:rPr>
        <w:t xml:space="preserve">“web </w:t>
      </w:r>
      <w:proofErr w:type="spellStart"/>
      <w:r w:rsidRPr="006F15E1">
        <w:rPr>
          <w:rFonts w:ascii="Roboto" w:hAnsi="Roboto"/>
          <w:i/>
          <w:sz w:val="24"/>
          <w:szCs w:val="24"/>
        </w:rPr>
        <w:t>service</w:t>
      </w:r>
      <w:proofErr w:type="spellEnd"/>
      <w:r w:rsidRPr="006F15E1">
        <w:rPr>
          <w:rFonts w:ascii="Roboto" w:hAnsi="Roboto"/>
          <w:i/>
          <w:sz w:val="24"/>
          <w:szCs w:val="24"/>
        </w:rPr>
        <w:t>”</w:t>
      </w:r>
      <w:r w:rsidRPr="006F15E1">
        <w:rPr>
          <w:rFonts w:ascii="Roboto" w:hAnsi="Roboto"/>
          <w:sz w:val="24"/>
          <w:szCs w:val="24"/>
        </w:rPr>
        <w:t>).</w:t>
      </w:r>
    </w:p>
    <w:p w14:paraId="553B5EB7"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La implementación del SSS implica solicitar a las entidades supervisadas nuevos informes o eliminar algunos de los existentes, así como variar las condiciones en que estos deben ser remitidos, lo cual implica la derogatoria y cambio del acuerdo SGS-A-003-2010 el cual rige el suministro de información ante la Superintendencia. </w:t>
      </w:r>
    </w:p>
    <w:p w14:paraId="61AD69D8" w14:textId="4E5E7C01"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lastRenderedPageBreak/>
        <w:t xml:space="preserve">El inciso 2) del artículo 361 de la Ley General de la Administración Pública establece </w:t>
      </w:r>
      <w:r w:rsidR="0053633D" w:rsidRPr="006F15E1">
        <w:rPr>
          <w:rFonts w:ascii="Roboto" w:hAnsi="Roboto"/>
          <w:sz w:val="24"/>
          <w:szCs w:val="24"/>
        </w:rPr>
        <w:t>que “</w:t>
      </w:r>
      <w:r w:rsidRPr="006F15E1">
        <w:rPr>
          <w:rFonts w:ascii="Roboto" w:hAnsi="Roboto"/>
          <w:i/>
          <w:sz w:val="24"/>
          <w:szCs w:val="24"/>
        </w:rPr>
        <w:t>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w:t>
      </w:r>
    </w:p>
    <w:p w14:paraId="54C27BBA" w14:textId="290D89A3"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Mediante oficio SGS-DES-O-0270-2013 del 8 de febrero de 2013, la Superintendencia de Seguros remitió en consulta por un período de 10 días hábiles el proyecto de acuerdo de Superintendente denominado </w:t>
      </w:r>
      <w:r w:rsidRPr="006F15E1">
        <w:rPr>
          <w:rFonts w:ascii="Roboto" w:hAnsi="Roboto"/>
          <w:i/>
          <w:sz w:val="24"/>
          <w:szCs w:val="24"/>
        </w:rPr>
        <w:t>“Disposiciones para la Remisión de la Información Contable y Estadística a la Superintendencia General de Seguros por parte de las Entidades Supervisadas”</w:t>
      </w:r>
      <w:r w:rsidRPr="006F15E1">
        <w:rPr>
          <w:rFonts w:ascii="Roboto" w:hAnsi="Roboto"/>
          <w:sz w:val="24"/>
          <w:szCs w:val="24"/>
        </w:rPr>
        <w:t xml:space="preserve">.  Dicha consulta posteriormente fue ampliada, mediante el oficio SGS-DES-O-690-2013 del 17 de abril de 2013, con el fin de consultar los cambios planteados en el modelo de </w:t>
      </w:r>
      <w:r w:rsidR="0053633D" w:rsidRPr="006F15E1">
        <w:rPr>
          <w:rFonts w:ascii="Roboto" w:hAnsi="Roboto"/>
          <w:sz w:val="24"/>
          <w:szCs w:val="24"/>
        </w:rPr>
        <w:t>presentación de</w:t>
      </w:r>
      <w:r w:rsidRPr="006F15E1">
        <w:rPr>
          <w:rFonts w:ascii="Roboto" w:hAnsi="Roboto"/>
          <w:sz w:val="24"/>
          <w:szCs w:val="24"/>
        </w:rPr>
        <w:t xml:space="preserve"> la información de inversiones, el cual debió ser ajustado para contemplar requerimientos específicos de las labores de supervisión.</w:t>
      </w:r>
    </w:p>
    <w:p w14:paraId="44117CDD"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Las  consultas mencionadas en el considerando anterior fueron atendidas por el Instituto Nacional de Seguros, Seguros del Magisterio S.A., Global Seguros S.A., Qualitas Compañía de Seguros (Costa Rica), S.A., la sucursal en Costa Rica de </w:t>
      </w:r>
      <w:proofErr w:type="spellStart"/>
      <w:r w:rsidRPr="006F15E1">
        <w:rPr>
          <w:rFonts w:ascii="Roboto" w:hAnsi="Roboto"/>
          <w:sz w:val="24"/>
          <w:szCs w:val="24"/>
        </w:rPr>
        <w:t>Best</w:t>
      </w:r>
      <w:proofErr w:type="spellEnd"/>
      <w:r w:rsidRPr="006F15E1">
        <w:rPr>
          <w:rFonts w:ascii="Roboto" w:hAnsi="Roboto"/>
          <w:sz w:val="24"/>
          <w:szCs w:val="24"/>
        </w:rPr>
        <w:t xml:space="preserve"> Meridian </w:t>
      </w:r>
      <w:proofErr w:type="spellStart"/>
      <w:r w:rsidRPr="006F15E1">
        <w:rPr>
          <w:rFonts w:ascii="Roboto" w:hAnsi="Roboto"/>
          <w:sz w:val="24"/>
          <w:szCs w:val="24"/>
        </w:rPr>
        <w:t>Insurance</w:t>
      </w:r>
      <w:proofErr w:type="spellEnd"/>
      <w:r w:rsidRPr="006F15E1">
        <w:rPr>
          <w:rFonts w:ascii="Roboto" w:hAnsi="Roboto"/>
          <w:sz w:val="24"/>
          <w:szCs w:val="24"/>
        </w:rPr>
        <w:t xml:space="preserve"> Company, Mapfre Seguros Costa Rica, Aseguradora del Istmo y ASSA Compañía de Seguros; las observaciones recibidas fueron  analizadas y, cuando correspondía,  incorporadas a la versión definitiva del acuerdo, por lo tanto procede emitir la siguientes disposiciones sobre la remisión de información contable y estadística a la Superintendencia.</w:t>
      </w:r>
    </w:p>
    <w:p w14:paraId="6DF01282" w14:textId="77777777" w:rsidR="003C1E7C" w:rsidRPr="006F15E1" w:rsidRDefault="003C1E7C" w:rsidP="007422B6">
      <w:pPr>
        <w:pStyle w:val="Prrafodelista"/>
        <w:numPr>
          <w:ilvl w:val="0"/>
          <w:numId w:val="22"/>
        </w:numPr>
        <w:spacing w:after="0"/>
        <w:jc w:val="both"/>
        <w:rPr>
          <w:rFonts w:ascii="Roboto" w:hAnsi="Roboto"/>
          <w:sz w:val="24"/>
          <w:szCs w:val="24"/>
        </w:rPr>
      </w:pPr>
      <w:r w:rsidRPr="006F15E1">
        <w:rPr>
          <w:rFonts w:ascii="Roboto" w:hAnsi="Roboto"/>
          <w:sz w:val="24"/>
          <w:szCs w:val="24"/>
        </w:rPr>
        <w:t xml:space="preserve">Mediante acuerdo SGS-DES-A-020-2013 de las diez horas del 22 de mayo de 2013 el Superintendente General de Seguros emitió las </w:t>
      </w:r>
      <w:r w:rsidRPr="006F15E1">
        <w:rPr>
          <w:rFonts w:ascii="Roboto" w:hAnsi="Roboto"/>
          <w:i/>
          <w:sz w:val="24"/>
          <w:szCs w:val="24"/>
        </w:rPr>
        <w:t>Disposiciones para la Remisión de la Información Contable y Estadística a la Superintendencia General de Seguros por parte de las Entidades Supervisadas</w:t>
      </w:r>
      <w:r w:rsidRPr="006F15E1">
        <w:rPr>
          <w:rFonts w:ascii="Roboto" w:hAnsi="Roboto"/>
          <w:sz w:val="24"/>
          <w:szCs w:val="24"/>
        </w:rPr>
        <w:t xml:space="preserve">, sin embargo, la versión del documento comunicada a las entidades, no presenta el contenido del artículo 3, el cual especifica la información periódica que deben remitir los intermediarios de seguros, así como los plazo y medios que deben observarse a esos efectos. </w:t>
      </w:r>
    </w:p>
    <w:p w14:paraId="1EF44B44" w14:textId="77777777" w:rsidR="007422B6" w:rsidRPr="006F15E1" w:rsidRDefault="007422B6" w:rsidP="007422B6">
      <w:pPr>
        <w:spacing w:after="0"/>
        <w:jc w:val="both"/>
        <w:rPr>
          <w:rFonts w:ascii="Roboto" w:hAnsi="Roboto"/>
          <w:b/>
          <w:sz w:val="24"/>
          <w:szCs w:val="24"/>
        </w:rPr>
      </w:pPr>
    </w:p>
    <w:p w14:paraId="4302D528" w14:textId="77777777" w:rsidR="003C1E7C" w:rsidRPr="006F15E1" w:rsidRDefault="003C1E7C" w:rsidP="007422B6">
      <w:pPr>
        <w:spacing w:after="0"/>
        <w:jc w:val="both"/>
        <w:rPr>
          <w:rFonts w:ascii="Roboto" w:hAnsi="Roboto"/>
          <w:b/>
          <w:sz w:val="24"/>
          <w:szCs w:val="24"/>
        </w:rPr>
      </w:pPr>
      <w:r w:rsidRPr="006F15E1">
        <w:rPr>
          <w:rFonts w:ascii="Roboto" w:hAnsi="Roboto"/>
          <w:b/>
          <w:sz w:val="24"/>
          <w:szCs w:val="24"/>
        </w:rPr>
        <w:t xml:space="preserve">Dispone: </w:t>
      </w:r>
    </w:p>
    <w:p w14:paraId="5C1EE773" w14:textId="77777777" w:rsidR="003C1E7C" w:rsidRPr="006F15E1" w:rsidRDefault="003C1E7C" w:rsidP="007422B6">
      <w:pPr>
        <w:spacing w:after="0"/>
        <w:jc w:val="both"/>
        <w:rPr>
          <w:rFonts w:ascii="Roboto" w:hAnsi="Roboto"/>
          <w:sz w:val="24"/>
          <w:szCs w:val="24"/>
        </w:rPr>
      </w:pPr>
      <w:r w:rsidRPr="006F15E1">
        <w:rPr>
          <w:rFonts w:ascii="Roboto" w:hAnsi="Roboto"/>
          <w:b/>
          <w:sz w:val="24"/>
          <w:szCs w:val="24"/>
        </w:rPr>
        <w:t xml:space="preserve">Primero: </w:t>
      </w:r>
      <w:r w:rsidRPr="006F15E1">
        <w:rPr>
          <w:rFonts w:ascii="Roboto" w:hAnsi="Roboto"/>
          <w:sz w:val="24"/>
          <w:szCs w:val="24"/>
        </w:rPr>
        <w:t>Dejar sin efecto el acuerdo SGS-DES-A-020-2013 de las diez horas del 22 de mayo de 2013.</w:t>
      </w:r>
    </w:p>
    <w:p w14:paraId="29FA14BC" w14:textId="77777777" w:rsidR="00B24BCC" w:rsidRPr="006F15E1" w:rsidRDefault="00B24BCC" w:rsidP="007422B6">
      <w:pPr>
        <w:spacing w:after="0"/>
        <w:jc w:val="both"/>
        <w:rPr>
          <w:rFonts w:ascii="Roboto" w:hAnsi="Roboto"/>
          <w:b/>
          <w:sz w:val="24"/>
          <w:szCs w:val="24"/>
        </w:rPr>
      </w:pPr>
    </w:p>
    <w:p w14:paraId="6D0F3BC3" w14:textId="77777777" w:rsidR="003C1E7C" w:rsidRPr="006F15E1" w:rsidRDefault="003C1E7C" w:rsidP="007422B6">
      <w:pPr>
        <w:spacing w:after="0"/>
        <w:jc w:val="both"/>
        <w:rPr>
          <w:rFonts w:ascii="Roboto" w:hAnsi="Roboto"/>
          <w:sz w:val="24"/>
          <w:szCs w:val="24"/>
        </w:rPr>
      </w:pPr>
      <w:r w:rsidRPr="006F15E1">
        <w:rPr>
          <w:rFonts w:ascii="Roboto" w:hAnsi="Roboto"/>
          <w:b/>
          <w:sz w:val="24"/>
          <w:szCs w:val="24"/>
        </w:rPr>
        <w:t>Segundo:</w:t>
      </w:r>
      <w:r w:rsidRPr="006F15E1">
        <w:rPr>
          <w:rFonts w:ascii="Roboto" w:hAnsi="Roboto"/>
          <w:i/>
          <w:sz w:val="24"/>
          <w:szCs w:val="24"/>
        </w:rPr>
        <w:t xml:space="preserve"> Emitir las siguientes “Disposiciones para la Remisión de la Información Contable y Estadística a la Superintendencia General de Seguros por parte de las Entidades Supervisadas.”</w:t>
      </w:r>
    </w:p>
    <w:p w14:paraId="5E26711D" w14:textId="77777777" w:rsidR="007422B6" w:rsidRPr="006F15E1" w:rsidRDefault="007422B6" w:rsidP="007422B6">
      <w:pPr>
        <w:pStyle w:val="Prrafodelista"/>
        <w:spacing w:after="0"/>
        <w:ind w:left="0"/>
        <w:jc w:val="both"/>
        <w:rPr>
          <w:rFonts w:ascii="Roboto" w:hAnsi="Roboto"/>
          <w:b/>
          <w:sz w:val="24"/>
          <w:szCs w:val="24"/>
        </w:rPr>
      </w:pPr>
    </w:p>
    <w:p w14:paraId="31A6CFBC" w14:textId="77777777" w:rsidR="007422B6" w:rsidRPr="006F15E1" w:rsidRDefault="007422B6" w:rsidP="007422B6">
      <w:pPr>
        <w:pStyle w:val="Prrafodelista"/>
        <w:spacing w:after="0"/>
        <w:ind w:left="0"/>
        <w:jc w:val="both"/>
        <w:rPr>
          <w:rFonts w:ascii="Roboto" w:hAnsi="Roboto"/>
          <w:b/>
          <w:sz w:val="24"/>
          <w:szCs w:val="24"/>
        </w:rPr>
      </w:pPr>
    </w:p>
    <w:p w14:paraId="5C1325A4" w14:textId="77777777" w:rsidR="007422B6" w:rsidRPr="006F15E1" w:rsidRDefault="007422B6" w:rsidP="007422B6">
      <w:pPr>
        <w:pStyle w:val="Prrafodelista"/>
        <w:spacing w:after="0"/>
        <w:ind w:left="0"/>
        <w:jc w:val="both"/>
        <w:rPr>
          <w:rFonts w:ascii="Roboto" w:hAnsi="Roboto"/>
          <w:b/>
          <w:sz w:val="24"/>
          <w:szCs w:val="24"/>
        </w:rPr>
      </w:pPr>
    </w:p>
    <w:p w14:paraId="206E3632" w14:textId="77777777" w:rsidR="003C1E7C" w:rsidRPr="006F15E1" w:rsidRDefault="003C1E7C" w:rsidP="007422B6">
      <w:pPr>
        <w:pStyle w:val="Prrafodelista"/>
        <w:spacing w:after="0"/>
        <w:ind w:left="0"/>
        <w:jc w:val="both"/>
        <w:rPr>
          <w:rFonts w:ascii="Roboto" w:hAnsi="Roboto"/>
          <w:b/>
          <w:sz w:val="24"/>
          <w:szCs w:val="24"/>
        </w:rPr>
      </w:pPr>
      <w:r w:rsidRPr="006F15E1">
        <w:rPr>
          <w:rFonts w:ascii="Roboto" w:hAnsi="Roboto"/>
          <w:b/>
          <w:sz w:val="24"/>
          <w:szCs w:val="24"/>
        </w:rPr>
        <w:t>Artículo 1. Alcance</w:t>
      </w:r>
    </w:p>
    <w:p w14:paraId="3F21CD3E" w14:textId="6C20BDD9"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 w:val="0"/>
          <w:bCs w:val="0"/>
          <w:iCs w:val="0"/>
          <w:lang w:val="es-CR" w:eastAsia="en-US"/>
        </w:rPr>
        <w:t xml:space="preserve">Las presentes disposiciones sobre la remisión de información contable y estadística son aplicables a las entidades de </w:t>
      </w:r>
      <w:r w:rsidR="0053633D" w:rsidRPr="006F15E1">
        <w:rPr>
          <w:rFonts w:ascii="Roboto" w:eastAsiaTheme="minorHAnsi" w:hAnsi="Roboto" w:cstheme="minorBidi"/>
          <w:b w:val="0"/>
          <w:bCs w:val="0"/>
          <w:iCs w:val="0"/>
          <w:lang w:val="es-CR" w:eastAsia="en-US"/>
        </w:rPr>
        <w:t>seguros y</w:t>
      </w:r>
      <w:r w:rsidRPr="006F15E1">
        <w:rPr>
          <w:rFonts w:ascii="Roboto" w:eastAsiaTheme="minorHAnsi" w:hAnsi="Roboto" w:cstheme="minorBidi"/>
          <w:b w:val="0"/>
          <w:bCs w:val="0"/>
          <w:iCs w:val="0"/>
          <w:lang w:val="es-CR" w:eastAsia="en-US"/>
        </w:rPr>
        <w:t xml:space="preserve"> a los intermediarios de seguros supervisados por la Superintendencia General de Seguros.</w:t>
      </w:r>
    </w:p>
    <w:p w14:paraId="0ECB9C64"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p>
    <w:p w14:paraId="343B6C24" w14:textId="0B544164" w:rsidR="003C1E7C" w:rsidRPr="006F15E1" w:rsidRDefault="002A0072" w:rsidP="007422B6">
      <w:pPr>
        <w:spacing w:after="0"/>
        <w:jc w:val="both"/>
        <w:rPr>
          <w:rFonts w:ascii="Roboto" w:hAnsi="Roboto"/>
          <w:b/>
          <w:sz w:val="24"/>
          <w:szCs w:val="24"/>
        </w:rPr>
      </w:pPr>
      <w:r w:rsidRPr="006F15E1">
        <w:rPr>
          <w:rStyle w:val="Refdenotaalpie"/>
          <w:rFonts w:ascii="Roboto" w:hAnsi="Roboto"/>
          <w:b/>
          <w:sz w:val="24"/>
          <w:szCs w:val="24"/>
        </w:rPr>
        <w:footnoteReference w:id="2"/>
      </w:r>
      <w:r w:rsidR="003C1E7C" w:rsidRPr="006F15E1">
        <w:rPr>
          <w:rFonts w:ascii="Roboto" w:hAnsi="Roboto"/>
          <w:b/>
          <w:sz w:val="24"/>
          <w:szCs w:val="24"/>
        </w:rPr>
        <w:t>Artículo 2. Información que deben Enviar las Entidades de Seguros, Periodicidad, Plazo y Medio de Remisión</w:t>
      </w:r>
      <w:r w:rsidR="001C5E79" w:rsidRPr="006F15E1">
        <w:rPr>
          <w:rFonts w:ascii="Roboto" w:hAnsi="Roboto"/>
          <w:b/>
          <w:sz w:val="24"/>
          <w:szCs w:val="24"/>
        </w:rPr>
        <w:t xml:space="preserve"> </w:t>
      </w:r>
    </w:p>
    <w:p w14:paraId="66B06350" w14:textId="57A6ECA2" w:rsidR="003C1E7C" w:rsidRPr="006F15E1" w:rsidRDefault="003C1E7C" w:rsidP="007422B6">
      <w:pPr>
        <w:spacing w:after="0"/>
        <w:jc w:val="both"/>
        <w:rPr>
          <w:rFonts w:ascii="Roboto" w:hAnsi="Roboto"/>
          <w:sz w:val="24"/>
          <w:szCs w:val="24"/>
        </w:rPr>
      </w:pPr>
      <w:r w:rsidRPr="006F15E1">
        <w:rPr>
          <w:rFonts w:ascii="Roboto" w:hAnsi="Roboto"/>
          <w:sz w:val="24"/>
          <w:szCs w:val="24"/>
        </w:rPr>
        <w:t>Las entidades de seguros supervisadas deben remitir a la Superintendencia la siguiente información, en las condiciones que se indican a continuación:</w:t>
      </w:r>
    </w:p>
    <w:p w14:paraId="39D0FA4A" w14:textId="211EB0E4" w:rsidR="00DB6AC1" w:rsidRPr="006F15E1" w:rsidRDefault="00DB6AC1" w:rsidP="007422B6">
      <w:pPr>
        <w:spacing w:after="0"/>
        <w:jc w:val="both"/>
        <w:rPr>
          <w:rFonts w:ascii="Roboto" w:hAnsi="Roboto"/>
          <w:sz w:val="24"/>
          <w:szCs w:val="24"/>
        </w:rPr>
      </w:pPr>
    </w:p>
    <w:tbl>
      <w:tblPr>
        <w:tblStyle w:val="Tablaconcuadrcula"/>
        <w:tblW w:w="9344" w:type="dxa"/>
        <w:jc w:val="center"/>
        <w:tblLayout w:type="fixed"/>
        <w:tblLook w:val="04A0" w:firstRow="1" w:lastRow="0" w:firstColumn="1" w:lastColumn="0" w:noHBand="0" w:noVBand="1"/>
      </w:tblPr>
      <w:tblGrid>
        <w:gridCol w:w="2403"/>
        <w:gridCol w:w="1420"/>
        <w:gridCol w:w="2114"/>
        <w:gridCol w:w="3407"/>
      </w:tblGrid>
      <w:tr w:rsidR="002A0072" w:rsidRPr="006F15E1" w14:paraId="17A5CADE" w14:textId="77777777" w:rsidTr="002A0072">
        <w:trPr>
          <w:cantSplit/>
          <w:tblHeader/>
          <w:jc w:val="center"/>
        </w:trPr>
        <w:tc>
          <w:tcPr>
            <w:tcW w:w="1286" w:type="pct"/>
            <w:shd w:val="clear" w:color="auto" w:fill="A6A6A6" w:themeFill="background1" w:themeFillShade="A6"/>
            <w:vAlign w:val="center"/>
          </w:tcPr>
          <w:p w14:paraId="12FEBA3E" w14:textId="77777777" w:rsidR="002A0072" w:rsidRPr="006F15E1" w:rsidRDefault="002A0072" w:rsidP="00B804E5">
            <w:pPr>
              <w:widowControl w:val="0"/>
              <w:jc w:val="center"/>
              <w:rPr>
                <w:rFonts w:ascii="Roboto" w:hAnsi="Roboto"/>
                <w:b/>
                <w:i/>
                <w:snapToGrid w:val="0"/>
              </w:rPr>
            </w:pPr>
            <w:r w:rsidRPr="006F15E1">
              <w:rPr>
                <w:rFonts w:ascii="Roboto" w:hAnsi="Roboto"/>
                <w:b/>
                <w:i/>
                <w:snapToGrid w:val="0"/>
              </w:rPr>
              <w:t>Información</w:t>
            </w:r>
          </w:p>
        </w:tc>
        <w:tc>
          <w:tcPr>
            <w:tcW w:w="760" w:type="pct"/>
            <w:shd w:val="clear" w:color="auto" w:fill="A6A6A6" w:themeFill="background1" w:themeFillShade="A6"/>
            <w:vAlign w:val="center"/>
          </w:tcPr>
          <w:p w14:paraId="513B8FB3" w14:textId="77777777" w:rsidR="002A0072" w:rsidRPr="006F15E1" w:rsidRDefault="002A0072" w:rsidP="00B804E5">
            <w:pPr>
              <w:pStyle w:val="Ttulo5"/>
              <w:rPr>
                <w:rFonts w:ascii="Roboto" w:hAnsi="Roboto"/>
                <w:b w:val="0"/>
                <w:i w:val="0"/>
                <w:szCs w:val="22"/>
              </w:rPr>
            </w:pPr>
            <w:r w:rsidRPr="006F15E1">
              <w:rPr>
                <w:rFonts w:ascii="Roboto" w:hAnsi="Roboto"/>
                <w:szCs w:val="22"/>
              </w:rPr>
              <w:t>Periodicidad</w:t>
            </w:r>
          </w:p>
        </w:tc>
        <w:tc>
          <w:tcPr>
            <w:tcW w:w="1131" w:type="pct"/>
            <w:shd w:val="clear" w:color="auto" w:fill="A6A6A6" w:themeFill="background1" w:themeFillShade="A6"/>
            <w:vAlign w:val="center"/>
          </w:tcPr>
          <w:p w14:paraId="7504A230" w14:textId="77777777" w:rsidR="002A0072" w:rsidRPr="006F15E1" w:rsidRDefault="002A0072" w:rsidP="00B804E5">
            <w:pPr>
              <w:widowControl w:val="0"/>
              <w:jc w:val="center"/>
              <w:rPr>
                <w:rFonts w:ascii="Roboto" w:hAnsi="Roboto"/>
                <w:b/>
                <w:i/>
                <w:snapToGrid w:val="0"/>
              </w:rPr>
            </w:pPr>
            <w:r w:rsidRPr="006F15E1">
              <w:rPr>
                <w:rFonts w:ascii="Roboto" w:hAnsi="Roboto"/>
                <w:b/>
                <w:i/>
                <w:snapToGrid w:val="0"/>
              </w:rPr>
              <w:t>Plazo de entrega</w:t>
            </w:r>
          </w:p>
        </w:tc>
        <w:tc>
          <w:tcPr>
            <w:tcW w:w="1823" w:type="pct"/>
            <w:shd w:val="clear" w:color="auto" w:fill="A6A6A6" w:themeFill="background1" w:themeFillShade="A6"/>
            <w:vAlign w:val="center"/>
          </w:tcPr>
          <w:p w14:paraId="4DCEF550" w14:textId="77777777" w:rsidR="002A0072" w:rsidRPr="006F15E1" w:rsidRDefault="002A0072" w:rsidP="00B804E5">
            <w:pPr>
              <w:widowControl w:val="0"/>
              <w:jc w:val="center"/>
              <w:rPr>
                <w:rFonts w:ascii="Roboto" w:hAnsi="Roboto"/>
                <w:b/>
                <w:i/>
                <w:snapToGrid w:val="0"/>
              </w:rPr>
            </w:pPr>
            <w:r w:rsidRPr="006F15E1">
              <w:rPr>
                <w:rFonts w:ascii="Roboto" w:hAnsi="Roboto"/>
                <w:b/>
                <w:i/>
                <w:snapToGrid w:val="0"/>
              </w:rPr>
              <w:t>Medio</w:t>
            </w:r>
          </w:p>
        </w:tc>
      </w:tr>
      <w:tr w:rsidR="002A0072" w:rsidRPr="006F15E1" w14:paraId="3CF8BFE2" w14:textId="77777777" w:rsidTr="002A0072">
        <w:trPr>
          <w:cantSplit/>
          <w:jc w:val="center"/>
        </w:trPr>
        <w:tc>
          <w:tcPr>
            <w:tcW w:w="1286" w:type="pct"/>
          </w:tcPr>
          <w:p w14:paraId="4E646118" w14:textId="77777777" w:rsidR="002A0072" w:rsidRPr="006F15E1" w:rsidRDefault="002A0072" w:rsidP="00B804E5">
            <w:pPr>
              <w:widowControl w:val="0"/>
              <w:jc w:val="both"/>
              <w:rPr>
                <w:rFonts w:ascii="Roboto" w:hAnsi="Roboto"/>
                <w:b/>
              </w:rPr>
            </w:pPr>
            <w:r w:rsidRPr="006F15E1">
              <w:rPr>
                <w:rFonts w:ascii="Roboto" w:hAnsi="Roboto"/>
                <w:b/>
              </w:rPr>
              <w:t>Régimen de suficiencia de capital y solvencia</w:t>
            </w:r>
          </w:p>
        </w:tc>
        <w:tc>
          <w:tcPr>
            <w:tcW w:w="760" w:type="pct"/>
          </w:tcPr>
          <w:p w14:paraId="7BEDA344" w14:textId="77777777" w:rsidR="002A0072" w:rsidRPr="006F15E1" w:rsidRDefault="002A0072" w:rsidP="00B804E5">
            <w:pPr>
              <w:widowControl w:val="0"/>
              <w:jc w:val="both"/>
              <w:rPr>
                <w:rFonts w:ascii="Roboto" w:hAnsi="Roboto" w:cstheme="minorHAnsi"/>
                <w:b/>
                <w:strike/>
                <w:snapToGrid w:val="0"/>
              </w:rPr>
            </w:pPr>
            <w:r w:rsidRPr="006F15E1">
              <w:rPr>
                <w:rFonts w:ascii="Roboto" w:hAnsi="Roboto"/>
                <w:bCs/>
              </w:rPr>
              <w:t>Mensual</w:t>
            </w:r>
          </w:p>
        </w:tc>
        <w:tc>
          <w:tcPr>
            <w:tcW w:w="1131" w:type="pct"/>
          </w:tcPr>
          <w:p w14:paraId="669D67D4"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mensual</w:t>
            </w:r>
          </w:p>
        </w:tc>
        <w:tc>
          <w:tcPr>
            <w:tcW w:w="1823" w:type="pct"/>
          </w:tcPr>
          <w:p w14:paraId="3FA5213C" w14:textId="77777777" w:rsidR="002A0072" w:rsidRPr="006F15E1" w:rsidRDefault="002A0072" w:rsidP="00B804E5">
            <w:pPr>
              <w:widowControl w:val="0"/>
              <w:jc w:val="both"/>
              <w:rPr>
                <w:rFonts w:ascii="Roboto" w:hAnsi="Roboto" w:cstheme="minorHAnsi"/>
                <w:b/>
                <w:strike/>
                <w:snapToGrid w:val="0"/>
              </w:rPr>
            </w:pPr>
            <w:r w:rsidRPr="006F15E1">
              <w:rPr>
                <w:rFonts w:ascii="Roboto" w:hAnsi="Roboto"/>
                <w:bCs/>
              </w:rPr>
              <w:t xml:space="preserve">En hoja electrónica, según formato establecido en el </w:t>
            </w:r>
            <w:r w:rsidRPr="006F15E1">
              <w:rPr>
                <w:rFonts w:ascii="Roboto" w:hAnsi="Roboto"/>
                <w:b/>
              </w:rPr>
              <w:t>Anexo</w:t>
            </w:r>
            <w:r w:rsidRPr="006F15E1">
              <w:rPr>
                <w:rFonts w:ascii="Roboto" w:hAnsi="Roboto"/>
                <w:b/>
                <w:bCs/>
              </w:rPr>
              <w:t xml:space="preserve"> 4, </w:t>
            </w:r>
            <w:r w:rsidRPr="006F15E1">
              <w:rPr>
                <w:rFonts w:ascii="Roboto" w:hAnsi="Roboto"/>
              </w:rPr>
              <w:t xml:space="preserve">remitida como requerimiento mediante el Servicio de Ejecución de Estudios y Seguimiento (EES) de </w:t>
            </w:r>
            <w:proofErr w:type="spellStart"/>
            <w:r w:rsidRPr="006F15E1">
              <w:rPr>
                <w:rFonts w:ascii="Roboto" w:hAnsi="Roboto"/>
                <w:i/>
                <w:iCs/>
              </w:rPr>
              <w:t>Sugese</w:t>
            </w:r>
            <w:proofErr w:type="spellEnd"/>
            <w:r w:rsidRPr="006F15E1">
              <w:rPr>
                <w:rFonts w:ascii="Roboto" w:hAnsi="Roboto"/>
                <w:i/>
                <w:iCs/>
              </w:rPr>
              <w:t xml:space="preserve"> en Línea.</w:t>
            </w:r>
          </w:p>
        </w:tc>
      </w:tr>
      <w:tr w:rsidR="002A0072" w:rsidRPr="006F15E1" w14:paraId="5BCE2047" w14:textId="77777777" w:rsidTr="002A0072">
        <w:trPr>
          <w:cantSplit/>
          <w:jc w:val="center"/>
        </w:trPr>
        <w:tc>
          <w:tcPr>
            <w:tcW w:w="1286" w:type="pct"/>
          </w:tcPr>
          <w:p w14:paraId="2DE606B6" w14:textId="77777777" w:rsidR="002A0072" w:rsidRPr="006F15E1" w:rsidRDefault="002A0072" w:rsidP="00B804E5">
            <w:pPr>
              <w:pStyle w:val="Textoindependiente"/>
              <w:jc w:val="both"/>
              <w:rPr>
                <w:rFonts w:ascii="Roboto" w:hAnsi="Roboto"/>
                <w:b/>
                <w:bCs/>
              </w:rPr>
            </w:pPr>
            <w:r w:rsidRPr="006F15E1">
              <w:rPr>
                <w:rFonts w:ascii="Roboto" w:hAnsi="Roboto"/>
                <w:b/>
                <w:bCs/>
              </w:rPr>
              <w:t>Modelo 1 SSS: Balance General (Activo, Pasivo y Patrimonio)</w:t>
            </w:r>
          </w:p>
        </w:tc>
        <w:tc>
          <w:tcPr>
            <w:tcW w:w="760" w:type="pct"/>
          </w:tcPr>
          <w:p w14:paraId="6C9C4423" w14:textId="77777777" w:rsidR="002A0072" w:rsidRPr="006F15E1" w:rsidRDefault="002A0072" w:rsidP="00B804E5">
            <w:pPr>
              <w:widowControl w:val="0"/>
              <w:jc w:val="both"/>
              <w:rPr>
                <w:rFonts w:ascii="Roboto" w:hAnsi="Roboto"/>
                <w:bCs/>
              </w:rPr>
            </w:pPr>
            <w:r w:rsidRPr="006F15E1">
              <w:rPr>
                <w:rFonts w:ascii="Roboto" w:hAnsi="Roboto"/>
                <w:bCs/>
              </w:rPr>
              <w:t>Trimestral</w:t>
            </w:r>
          </w:p>
          <w:p w14:paraId="41EEF29E" w14:textId="77777777" w:rsidR="002A0072" w:rsidRPr="006F15E1" w:rsidRDefault="002A0072" w:rsidP="00B804E5">
            <w:pPr>
              <w:jc w:val="both"/>
              <w:rPr>
                <w:rFonts w:ascii="Roboto" w:hAnsi="Roboto"/>
              </w:rPr>
            </w:pPr>
          </w:p>
          <w:p w14:paraId="06DE73A4" w14:textId="77777777" w:rsidR="002A0072" w:rsidRPr="006F15E1" w:rsidRDefault="002A0072" w:rsidP="00B804E5">
            <w:pPr>
              <w:jc w:val="both"/>
              <w:rPr>
                <w:rFonts w:ascii="Roboto" w:hAnsi="Roboto"/>
              </w:rPr>
            </w:pPr>
          </w:p>
        </w:tc>
        <w:tc>
          <w:tcPr>
            <w:tcW w:w="1131" w:type="pct"/>
          </w:tcPr>
          <w:p w14:paraId="1F06FEB2"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tcPr>
          <w:p w14:paraId="6A65BB44"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3C4D2D52" w14:textId="77777777" w:rsidTr="002A0072">
        <w:trPr>
          <w:cantSplit/>
          <w:jc w:val="center"/>
        </w:trPr>
        <w:tc>
          <w:tcPr>
            <w:tcW w:w="1286" w:type="pct"/>
          </w:tcPr>
          <w:p w14:paraId="0DB9384F" w14:textId="77777777" w:rsidR="002A0072" w:rsidRPr="006F15E1" w:rsidRDefault="002A0072" w:rsidP="00B804E5">
            <w:pPr>
              <w:pStyle w:val="Textoindependiente"/>
              <w:jc w:val="both"/>
              <w:rPr>
                <w:rFonts w:ascii="Roboto" w:hAnsi="Roboto"/>
                <w:b/>
                <w:bCs/>
              </w:rPr>
            </w:pPr>
            <w:r w:rsidRPr="006F15E1">
              <w:rPr>
                <w:rFonts w:ascii="Roboto" w:hAnsi="Roboto"/>
                <w:b/>
                <w:bCs/>
              </w:rPr>
              <w:lastRenderedPageBreak/>
              <w:t>Modelo 2 SSS: Estado de Resultados y Cuenta de Resultados Técnico Financiera</w:t>
            </w:r>
          </w:p>
        </w:tc>
        <w:tc>
          <w:tcPr>
            <w:tcW w:w="760" w:type="pct"/>
          </w:tcPr>
          <w:p w14:paraId="15B1F37C" w14:textId="77777777" w:rsidR="002A0072" w:rsidRPr="006F15E1" w:rsidRDefault="002A0072" w:rsidP="00B804E5">
            <w:pPr>
              <w:widowControl w:val="0"/>
              <w:jc w:val="both"/>
              <w:rPr>
                <w:rFonts w:ascii="Roboto" w:hAnsi="Roboto"/>
                <w:bCs/>
              </w:rPr>
            </w:pPr>
            <w:r w:rsidRPr="006F15E1">
              <w:rPr>
                <w:rFonts w:ascii="Roboto" w:hAnsi="Roboto"/>
                <w:bCs/>
              </w:rPr>
              <w:t>Trimestral</w:t>
            </w:r>
          </w:p>
        </w:tc>
        <w:tc>
          <w:tcPr>
            <w:tcW w:w="1131" w:type="pct"/>
          </w:tcPr>
          <w:p w14:paraId="66D6AC25"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tcPr>
          <w:p w14:paraId="5496E7F3"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287EBFEA" w14:textId="77777777" w:rsidTr="002A0072">
        <w:trPr>
          <w:cantSplit/>
          <w:jc w:val="center"/>
        </w:trPr>
        <w:tc>
          <w:tcPr>
            <w:tcW w:w="1286" w:type="pct"/>
          </w:tcPr>
          <w:p w14:paraId="77D066AC" w14:textId="77777777" w:rsidR="002A0072" w:rsidRPr="006F15E1" w:rsidRDefault="002A0072" w:rsidP="00B804E5">
            <w:pPr>
              <w:pStyle w:val="Textoindependiente"/>
              <w:jc w:val="both"/>
              <w:rPr>
                <w:rFonts w:ascii="Roboto" w:hAnsi="Roboto"/>
                <w:b/>
                <w:bCs/>
              </w:rPr>
            </w:pPr>
            <w:r w:rsidRPr="006F15E1">
              <w:rPr>
                <w:rFonts w:ascii="Roboto" w:hAnsi="Roboto"/>
                <w:b/>
                <w:bCs/>
              </w:rPr>
              <w:t>Modelo 3 SSS: Inversiones Financieras</w:t>
            </w:r>
          </w:p>
        </w:tc>
        <w:tc>
          <w:tcPr>
            <w:tcW w:w="760" w:type="pct"/>
          </w:tcPr>
          <w:p w14:paraId="10FFC40E" w14:textId="77777777" w:rsidR="002A0072" w:rsidRPr="006F15E1" w:rsidRDefault="002A0072" w:rsidP="00B804E5">
            <w:pPr>
              <w:widowControl w:val="0"/>
              <w:jc w:val="both"/>
              <w:rPr>
                <w:rFonts w:ascii="Roboto" w:hAnsi="Roboto"/>
                <w:bCs/>
              </w:rPr>
            </w:pPr>
            <w:r w:rsidRPr="006F15E1">
              <w:rPr>
                <w:rFonts w:ascii="Roboto" w:hAnsi="Roboto"/>
                <w:bCs/>
              </w:rPr>
              <w:t>Mensual</w:t>
            </w:r>
          </w:p>
        </w:tc>
        <w:tc>
          <w:tcPr>
            <w:tcW w:w="1131" w:type="pct"/>
          </w:tcPr>
          <w:p w14:paraId="3F111265" w14:textId="77777777" w:rsidR="002A0072" w:rsidRPr="006F15E1" w:rsidRDefault="002A0072" w:rsidP="00B804E5">
            <w:pPr>
              <w:widowControl w:val="0"/>
              <w:jc w:val="both"/>
              <w:rPr>
                <w:rFonts w:ascii="Roboto" w:hAnsi="Roboto"/>
                <w:bCs/>
              </w:rPr>
            </w:pPr>
            <w:r w:rsidRPr="006F15E1">
              <w:rPr>
                <w:rFonts w:ascii="Roboto" w:hAnsi="Roboto"/>
                <w:bCs/>
              </w:rPr>
              <w:t>5 días hábiles después del cierre de cada mes.</w:t>
            </w:r>
          </w:p>
        </w:tc>
        <w:tc>
          <w:tcPr>
            <w:tcW w:w="1823" w:type="pct"/>
          </w:tcPr>
          <w:p w14:paraId="0CFB8735"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66146CFD" w14:textId="77777777" w:rsidTr="002A0072">
        <w:trPr>
          <w:cantSplit/>
          <w:jc w:val="center"/>
        </w:trPr>
        <w:tc>
          <w:tcPr>
            <w:tcW w:w="1286" w:type="pct"/>
          </w:tcPr>
          <w:p w14:paraId="21954EAC" w14:textId="77777777" w:rsidR="002A0072" w:rsidRPr="006F15E1" w:rsidRDefault="002A0072" w:rsidP="00B804E5">
            <w:pPr>
              <w:pStyle w:val="Textoindependiente"/>
              <w:jc w:val="both"/>
              <w:rPr>
                <w:rFonts w:ascii="Roboto" w:hAnsi="Roboto"/>
                <w:b/>
                <w:bCs/>
              </w:rPr>
            </w:pPr>
            <w:r w:rsidRPr="006F15E1">
              <w:rPr>
                <w:rFonts w:ascii="Roboto" w:hAnsi="Roboto"/>
                <w:b/>
                <w:bCs/>
              </w:rPr>
              <w:t>Modelo 4 SSS: Estado de Cambios en el Patrimonio</w:t>
            </w:r>
          </w:p>
        </w:tc>
        <w:tc>
          <w:tcPr>
            <w:tcW w:w="760" w:type="pct"/>
          </w:tcPr>
          <w:p w14:paraId="77F7EE14" w14:textId="77777777" w:rsidR="002A0072" w:rsidRPr="006F15E1" w:rsidRDefault="002A0072" w:rsidP="00B804E5">
            <w:pPr>
              <w:widowControl w:val="0"/>
              <w:jc w:val="both"/>
              <w:rPr>
                <w:rFonts w:ascii="Roboto" w:hAnsi="Roboto"/>
                <w:bCs/>
              </w:rPr>
            </w:pPr>
            <w:r w:rsidRPr="006F15E1">
              <w:rPr>
                <w:rFonts w:ascii="Roboto" w:hAnsi="Roboto"/>
                <w:bCs/>
              </w:rPr>
              <w:t>Trimestral</w:t>
            </w:r>
          </w:p>
        </w:tc>
        <w:tc>
          <w:tcPr>
            <w:tcW w:w="1131" w:type="pct"/>
          </w:tcPr>
          <w:p w14:paraId="7D756E0C" w14:textId="77777777" w:rsidR="002A0072" w:rsidRPr="006F15E1" w:rsidRDefault="002A0072" w:rsidP="00B804E5">
            <w:pPr>
              <w:widowControl w:val="0"/>
              <w:jc w:val="both"/>
              <w:rPr>
                <w:rFonts w:ascii="Roboto" w:hAnsi="Roboto"/>
                <w:bCs/>
                <w:highlight w:val="yellow"/>
              </w:rPr>
            </w:pPr>
            <w:r w:rsidRPr="006F15E1">
              <w:rPr>
                <w:rFonts w:ascii="Roboto" w:hAnsi="Roboto"/>
                <w:bCs/>
              </w:rPr>
              <w:t>15 días hábiles después del cierre de los meses de marzo, junio, setiembre y diciembre</w:t>
            </w:r>
          </w:p>
        </w:tc>
        <w:tc>
          <w:tcPr>
            <w:tcW w:w="1823" w:type="pct"/>
          </w:tcPr>
          <w:p w14:paraId="1D0BBB12"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19293BC6" w14:textId="77777777" w:rsidTr="002A0072">
        <w:trPr>
          <w:cantSplit/>
          <w:jc w:val="center"/>
        </w:trPr>
        <w:tc>
          <w:tcPr>
            <w:tcW w:w="1286" w:type="pct"/>
          </w:tcPr>
          <w:p w14:paraId="38A622BE" w14:textId="77777777" w:rsidR="002A0072" w:rsidRPr="006F15E1" w:rsidRDefault="002A0072" w:rsidP="00B804E5">
            <w:pPr>
              <w:pStyle w:val="Textoindependiente"/>
              <w:jc w:val="both"/>
              <w:rPr>
                <w:rFonts w:ascii="Roboto" w:hAnsi="Roboto"/>
                <w:b/>
                <w:bCs/>
              </w:rPr>
            </w:pPr>
            <w:r w:rsidRPr="006F15E1">
              <w:rPr>
                <w:rFonts w:ascii="Roboto" w:hAnsi="Roboto"/>
                <w:b/>
                <w:bCs/>
              </w:rPr>
              <w:t>Modelo 5 SSS: Saldos Contables</w:t>
            </w:r>
          </w:p>
        </w:tc>
        <w:tc>
          <w:tcPr>
            <w:tcW w:w="760" w:type="pct"/>
          </w:tcPr>
          <w:p w14:paraId="588F9E07" w14:textId="77777777" w:rsidR="002A0072" w:rsidRPr="006F15E1" w:rsidRDefault="002A0072" w:rsidP="00B804E5">
            <w:pPr>
              <w:widowControl w:val="0"/>
              <w:jc w:val="both"/>
              <w:rPr>
                <w:rFonts w:ascii="Roboto" w:hAnsi="Roboto"/>
                <w:bCs/>
              </w:rPr>
            </w:pPr>
            <w:r w:rsidRPr="006F15E1">
              <w:rPr>
                <w:rFonts w:ascii="Roboto" w:hAnsi="Roboto"/>
              </w:rPr>
              <w:t>Mensual</w:t>
            </w:r>
          </w:p>
        </w:tc>
        <w:tc>
          <w:tcPr>
            <w:tcW w:w="1131" w:type="pct"/>
          </w:tcPr>
          <w:p w14:paraId="18AE4591" w14:textId="77777777" w:rsidR="002A0072" w:rsidRPr="006F15E1" w:rsidRDefault="002A0072" w:rsidP="00B804E5">
            <w:pPr>
              <w:widowControl w:val="0"/>
              <w:jc w:val="both"/>
              <w:rPr>
                <w:rFonts w:ascii="Roboto" w:hAnsi="Roboto"/>
                <w:bCs/>
              </w:rPr>
            </w:pPr>
            <w:r w:rsidRPr="006F15E1">
              <w:rPr>
                <w:rFonts w:ascii="Roboto" w:hAnsi="Roboto"/>
              </w:rPr>
              <w:t>5 días hábiles después del cierre de cada mes.</w:t>
            </w:r>
          </w:p>
        </w:tc>
        <w:tc>
          <w:tcPr>
            <w:tcW w:w="1823" w:type="pct"/>
          </w:tcPr>
          <w:p w14:paraId="70AF890A" w14:textId="77777777" w:rsidR="002A0072" w:rsidRPr="006F15E1" w:rsidRDefault="002A0072" w:rsidP="00B804E5">
            <w:pPr>
              <w:widowControl w:val="0"/>
              <w:jc w:val="both"/>
              <w:rPr>
                <w:rFonts w:ascii="Roboto" w:hAnsi="Roboto"/>
                <w:bCs/>
              </w:rPr>
            </w:pPr>
            <w:r w:rsidRPr="006F15E1">
              <w:rPr>
                <w:rFonts w:ascii="Roboto" w:hAnsi="Roboto"/>
              </w:rPr>
              <w:t xml:space="preserve">Web </w:t>
            </w:r>
            <w:proofErr w:type="spellStart"/>
            <w:r w:rsidRPr="006F15E1">
              <w:rPr>
                <w:rFonts w:ascii="Roboto" w:hAnsi="Roboto"/>
              </w:rPr>
              <w:t>Service</w:t>
            </w:r>
            <w:proofErr w:type="spellEnd"/>
            <w:r w:rsidRPr="006F15E1">
              <w:rPr>
                <w:rFonts w:ascii="Roboto" w:hAnsi="Roboto"/>
              </w:rPr>
              <w:t>, a través de archivos *.</w:t>
            </w:r>
            <w:proofErr w:type="spellStart"/>
            <w:r w:rsidRPr="006F15E1">
              <w:rPr>
                <w:rFonts w:ascii="Roboto" w:hAnsi="Roboto"/>
              </w:rPr>
              <w:t>xml</w:t>
            </w:r>
            <w:proofErr w:type="spellEnd"/>
            <w:r w:rsidRPr="006F15E1">
              <w:rPr>
                <w:rFonts w:ascii="Roboto" w:hAnsi="Roboto"/>
              </w:rPr>
              <w:t xml:space="preserve">, de conformidad con Estándar de Negocio para Entidades de Seguros, incluido en el </w:t>
            </w:r>
            <w:r w:rsidRPr="006F15E1">
              <w:rPr>
                <w:rFonts w:ascii="Roboto" w:hAnsi="Roboto"/>
                <w:b/>
              </w:rPr>
              <w:t>Anexo 5.</w:t>
            </w:r>
          </w:p>
        </w:tc>
      </w:tr>
      <w:tr w:rsidR="002A0072" w:rsidRPr="006F15E1" w14:paraId="6B80C60C" w14:textId="77777777" w:rsidTr="002A0072">
        <w:trPr>
          <w:cantSplit/>
          <w:jc w:val="center"/>
        </w:trPr>
        <w:tc>
          <w:tcPr>
            <w:tcW w:w="1286" w:type="pct"/>
          </w:tcPr>
          <w:p w14:paraId="5DE6C736" w14:textId="77777777" w:rsidR="002A0072" w:rsidRPr="006F15E1" w:rsidRDefault="002A0072" w:rsidP="00B804E5">
            <w:pPr>
              <w:pStyle w:val="Textoindependiente"/>
              <w:jc w:val="both"/>
              <w:rPr>
                <w:rFonts w:ascii="Roboto" w:hAnsi="Roboto"/>
                <w:b/>
                <w:bCs/>
              </w:rPr>
            </w:pPr>
            <w:r w:rsidRPr="006F15E1">
              <w:rPr>
                <w:rFonts w:ascii="Roboto" w:hAnsi="Roboto"/>
                <w:b/>
                <w:bCs/>
              </w:rPr>
              <w:t>Modelo 6 SSS: Aporte a Bomberos</w:t>
            </w:r>
          </w:p>
        </w:tc>
        <w:tc>
          <w:tcPr>
            <w:tcW w:w="760" w:type="pct"/>
          </w:tcPr>
          <w:p w14:paraId="797549DD" w14:textId="77777777" w:rsidR="002A0072" w:rsidRPr="006F15E1" w:rsidRDefault="002A0072" w:rsidP="00B804E5">
            <w:pPr>
              <w:pStyle w:val="Textoindependiente"/>
              <w:jc w:val="both"/>
              <w:rPr>
                <w:rFonts w:ascii="Roboto" w:hAnsi="Roboto"/>
                <w:b/>
                <w:bCs/>
              </w:rPr>
            </w:pPr>
            <w:r w:rsidRPr="006F15E1">
              <w:rPr>
                <w:rFonts w:ascii="Roboto" w:hAnsi="Roboto"/>
              </w:rPr>
              <w:t>Mensual</w:t>
            </w:r>
          </w:p>
        </w:tc>
        <w:tc>
          <w:tcPr>
            <w:tcW w:w="1131" w:type="pct"/>
          </w:tcPr>
          <w:p w14:paraId="239FAF07" w14:textId="77777777" w:rsidR="002A0072" w:rsidRPr="006F15E1" w:rsidRDefault="002A0072" w:rsidP="00B804E5">
            <w:pPr>
              <w:pStyle w:val="Textoindependiente"/>
              <w:jc w:val="both"/>
              <w:rPr>
                <w:rFonts w:ascii="Roboto" w:hAnsi="Roboto"/>
                <w:b/>
                <w:bCs/>
              </w:rPr>
            </w:pPr>
            <w:r w:rsidRPr="006F15E1">
              <w:rPr>
                <w:rFonts w:ascii="Roboto" w:hAnsi="Roboto"/>
              </w:rPr>
              <w:t>5 días hábiles después del cierre de cada mes.</w:t>
            </w:r>
          </w:p>
        </w:tc>
        <w:tc>
          <w:tcPr>
            <w:tcW w:w="1823" w:type="pct"/>
          </w:tcPr>
          <w:p w14:paraId="400A703E" w14:textId="77777777" w:rsidR="002A0072" w:rsidRPr="006F15E1" w:rsidRDefault="002A0072" w:rsidP="00B804E5">
            <w:pPr>
              <w:pStyle w:val="Textoindependiente"/>
              <w:jc w:val="both"/>
              <w:rPr>
                <w:rFonts w:ascii="Roboto" w:hAnsi="Roboto"/>
                <w:b/>
                <w:bCs/>
              </w:rPr>
            </w:pPr>
            <w:r w:rsidRPr="006F15E1">
              <w:rPr>
                <w:rFonts w:ascii="Roboto" w:hAnsi="Roboto"/>
              </w:rPr>
              <w:t xml:space="preserve">Web </w:t>
            </w:r>
            <w:proofErr w:type="spellStart"/>
            <w:r w:rsidRPr="006F15E1">
              <w:rPr>
                <w:rFonts w:ascii="Roboto" w:hAnsi="Roboto"/>
              </w:rPr>
              <w:t>Service</w:t>
            </w:r>
            <w:proofErr w:type="spellEnd"/>
            <w:r w:rsidRPr="006F15E1">
              <w:rPr>
                <w:rFonts w:ascii="Roboto" w:hAnsi="Roboto"/>
              </w:rPr>
              <w:t>, a través de archivos *.</w:t>
            </w:r>
            <w:proofErr w:type="spellStart"/>
            <w:r w:rsidRPr="006F15E1">
              <w:rPr>
                <w:rFonts w:ascii="Roboto" w:hAnsi="Roboto"/>
              </w:rPr>
              <w:t>xml</w:t>
            </w:r>
            <w:proofErr w:type="spellEnd"/>
            <w:r w:rsidRPr="006F15E1">
              <w:rPr>
                <w:rFonts w:ascii="Roboto" w:hAnsi="Roboto"/>
              </w:rPr>
              <w:t xml:space="preserve">, de conformidad con </w:t>
            </w:r>
            <w:r w:rsidRPr="006F15E1">
              <w:rPr>
                <w:rFonts w:ascii="Roboto" w:hAnsi="Roboto"/>
                <w:i/>
              </w:rPr>
              <w:t>Estándar de Negocio para Entidades de Seguros,</w:t>
            </w:r>
            <w:r w:rsidRPr="006F15E1">
              <w:rPr>
                <w:rFonts w:ascii="Roboto" w:hAnsi="Roboto"/>
              </w:rPr>
              <w:t xml:space="preserve"> incluido en el </w:t>
            </w:r>
            <w:r w:rsidRPr="006F15E1">
              <w:rPr>
                <w:rFonts w:ascii="Roboto" w:hAnsi="Roboto"/>
                <w:b/>
                <w:bCs/>
              </w:rPr>
              <w:t>Anexo 5</w:t>
            </w:r>
            <w:r w:rsidRPr="006F15E1">
              <w:rPr>
                <w:rFonts w:ascii="Roboto" w:hAnsi="Roboto"/>
              </w:rPr>
              <w:t>.</w:t>
            </w:r>
          </w:p>
        </w:tc>
      </w:tr>
      <w:tr w:rsidR="002A0072" w:rsidRPr="006F15E1" w14:paraId="72CB402C" w14:textId="77777777" w:rsidTr="002A0072">
        <w:trPr>
          <w:cantSplit/>
          <w:jc w:val="center"/>
        </w:trPr>
        <w:tc>
          <w:tcPr>
            <w:tcW w:w="1286" w:type="pct"/>
          </w:tcPr>
          <w:p w14:paraId="463ABE28" w14:textId="77777777" w:rsidR="002A0072" w:rsidRPr="006F15E1" w:rsidRDefault="002A0072" w:rsidP="00B804E5">
            <w:pPr>
              <w:pStyle w:val="Textoindependiente"/>
              <w:jc w:val="both"/>
              <w:rPr>
                <w:rFonts w:ascii="Roboto" w:hAnsi="Roboto"/>
                <w:b/>
                <w:bCs/>
              </w:rPr>
            </w:pPr>
            <w:r w:rsidRPr="006F15E1">
              <w:rPr>
                <w:rFonts w:ascii="Roboto" w:hAnsi="Roboto"/>
                <w:b/>
                <w:bCs/>
              </w:rPr>
              <w:t>Modelo 7 SSS: Canales de Comercialización</w:t>
            </w:r>
          </w:p>
        </w:tc>
        <w:tc>
          <w:tcPr>
            <w:tcW w:w="760" w:type="pct"/>
          </w:tcPr>
          <w:p w14:paraId="569DF1DA" w14:textId="77777777" w:rsidR="002A0072" w:rsidRPr="006F15E1" w:rsidRDefault="002A0072" w:rsidP="00B804E5">
            <w:pPr>
              <w:widowControl w:val="0"/>
              <w:jc w:val="both"/>
              <w:rPr>
                <w:rFonts w:ascii="Roboto" w:hAnsi="Roboto"/>
                <w:bCs/>
              </w:rPr>
            </w:pPr>
            <w:r w:rsidRPr="006F15E1">
              <w:rPr>
                <w:rFonts w:ascii="Roboto" w:hAnsi="Roboto"/>
                <w:bCs/>
              </w:rPr>
              <w:t>Trimestral</w:t>
            </w:r>
          </w:p>
        </w:tc>
        <w:tc>
          <w:tcPr>
            <w:tcW w:w="1131" w:type="pct"/>
          </w:tcPr>
          <w:p w14:paraId="04541290"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tcPr>
          <w:p w14:paraId="2858D40A"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1AE6E3B4" w14:textId="77777777" w:rsidTr="002A0072">
        <w:trPr>
          <w:cantSplit/>
          <w:jc w:val="center"/>
        </w:trPr>
        <w:tc>
          <w:tcPr>
            <w:tcW w:w="1286" w:type="pct"/>
          </w:tcPr>
          <w:p w14:paraId="7A69CF31" w14:textId="77777777" w:rsidR="002A0072" w:rsidRPr="006F15E1" w:rsidRDefault="002A0072" w:rsidP="00B804E5">
            <w:pPr>
              <w:pStyle w:val="Textoindependiente"/>
              <w:jc w:val="both"/>
              <w:rPr>
                <w:rFonts w:ascii="Roboto" w:hAnsi="Roboto"/>
                <w:b/>
                <w:bCs/>
              </w:rPr>
            </w:pPr>
            <w:r w:rsidRPr="006F15E1">
              <w:rPr>
                <w:rFonts w:ascii="Roboto" w:hAnsi="Roboto"/>
                <w:b/>
                <w:bCs/>
              </w:rPr>
              <w:t>Modelo 8 SSS: Producción y Población Asegurada</w:t>
            </w:r>
          </w:p>
        </w:tc>
        <w:tc>
          <w:tcPr>
            <w:tcW w:w="760" w:type="pct"/>
          </w:tcPr>
          <w:p w14:paraId="483E8AB4" w14:textId="77777777" w:rsidR="002A0072" w:rsidRPr="006F15E1" w:rsidRDefault="002A0072" w:rsidP="00B804E5">
            <w:pPr>
              <w:widowControl w:val="0"/>
              <w:jc w:val="both"/>
              <w:rPr>
                <w:rFonts w:ascii="Roboto" w:hAnsi="Roboto"/>
                <w:bCs/>
              </w:rPr>
            </w:pPr>
            <w:r w:rsidRPr="006F15E1">
              <w:rPr>
                <w:rFonts w:ascii="Roboto" w:hAnsi="Roboto"/>
                <w:bCs/>
              </w:rPr>
              <w:t>Trimestral</w:t>
            </w:r>
          </w:p>
        </w:tc>
        <w:tc>
          <w:tcPr>
            <w:tcW w:w="1131" w:type="pct"/>
          </w:tcPr>
          <w:p w14:paraId="225BF7A1"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tcPr>
          <w:p w14:paraId="3D37A5F8"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7E9E1DC8" w14:textId="77777777" w:rsidTr="002A0072">
        <w:trPr>
          <w:cantSplit/>
          <w:jc w:val="center"/>
        </w:trPr>
        <w:tc>
          <w:tcPr>
            <w:tcW w:w="1286" w:type="pct"/>
          </w:tcPr>
          <w:p w14:paraId="26BA243E" w14:textId="77777777" w:rsidR="002A0072" w:rsidRPr="006F15E1" w:rsidRDefault="002A0072" w:rsidP="00B804E5">
            <w:pPr>
              <w:pStyle w:val="Textoindependiente"/>
              <w:jc w:val="both"/>
              <w:rPr>
                <w:rFonts w:ascii="Roboto" w:hAnsi="Roboto"/>
                <w:b/>
                <w:bCs/>
              </w:rPr>
            </w:pPr>
            <w:r w:rsidRPr="006F15E1">
              <w:rPr>
                <w:rFonts w:ascii="Roboto" w:hAnsi="Roboto"/>
                <w:b/>
                <w:bCs/>
              </w:rPr>
              <w:lastRenderedPageBreak/>
              <w:t>Modelo 9: Run Off</w:t>
            </w:r>
          </w:p>
        </w:tc>
        <w:tc>
          <w:tcPr>
            <w:tcW w:w="760" w:type="pct"/>
          </w:tcPr>
          <w:p w14:paraId="4E0D2CAC" w14:textId="77777777" w:rsidR="002A0072" w:rsidRPr="006F15E1" w:rsidRDefault="002A0072" w:rsidP="00B804E5">
            <w:pPr>
              <w:widowControl w:val="0"/>
              <w:jc w:val="both"/>
              <w:rPr>
                <w:rFonts w:ascii="Roboto" w:hAnsi="Roboto"/>
                <w:bCs/>
              </w:rPr>
            </w:pPr>
            <w:r w:rsidRPr="006F15E1">
              <w:rPr>
                <w:rFonts w:ascii="Roboto" w:hAnsi="Roboto"/>
                <w:bCs/>
              </w:rPr>
              <w:t>Trimestral</w:t>
            </w:r>
          </w:p>
        </w:tc>
        <w:tc>
          <w:tcPr>
            <w:tcW w:w="1131" w:type="pct"/>
          </w:tcPr>
          <w:p w14:paraId="6A77ADA1"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tcPr>
          <w:p w14:paraId="0C4CEFF4"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31EEF6BB" w14:textId="77777777" w:rsidTr="002A0072">
        <w:trPr>
          <w:cantSplit/>
          <w:jc w:val="center"/>
        </w:trPr>
        <w:tc>
          <w:tcPr>
            <w:tcW w:w="1286" w:type="pct"/>
          </w:tcPr>
          <w:p w14:paraId="12E98010" w14:textId="77777777" w:rsidR="002A0072" w:rsidRPr="006F15E1" w:rsidRDefault="002A0072" w:rsidP="00B804E5">
            <w:pPr>
              <w:pStyle w:val="Textoindependiente"/>
              <w:jc w:val="both"/>
              <w:rPr>
                <w:rFonts w:ascii="Roboto" w:hAnsi="Roboto"/>
                <w:b/>
                <w:bCs/>
              </w:rPr>
            </w:pPr>
            <w:r w:rsidRPr="006F15E1">
              <w:rPr>
                <w:rFonts w:ascii="Roboto" w:hAnsi="Roboto"/>
                <w:b/>
                <w:bCs/>
              </w:rPr>
              <w:t>Modelo 10 SSS: Seguros paritarios</w:t>
            </w:r>
          </w:p>
        </w:tc>
        <w:tc>
          <w:tcPr>
            <w:tcW w:w="760" w:type="pct"/>
          </w:tcPr>
          <w:p w14:paraId="22E2A9C6" w14:textId="77777777" w:rsidR="002A0072" w:rsidRPr="006F15E1" w:rsidRDefault="002A0072" w:rsidP="00B804E5">
            <w:pPr>
              <w:widowControl w:val="0"/>
              <w:jc w:val="both"/>
              <w:rPr>
                <w:rFonts w:ascii="Roboto" w:hAnsi="Roboto"/>
                <w:bCs/>
              </w:rPr>
            </w:pPr>
            <w:r w:rsidRPr="006F15E1">
              <w:rPr>
                <w:rFonts w:ascii="Roboto" w:hAnsi="Roboto"/>
                <w:bCs/>
              </w:rPr>
              <w:t>Trimestral</w:t>
            </w:r>
          </w:p>
        </w:tc>
        <w:tc>
          <w:tcPr>
            <w:tcW w:w="1131" w:type="pct"/>
          </w:tcPr>
          <w:p w14:paraId="6C97E11A"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tcPr>
          <w:p w14:paraId="19A389ED" w14:textId="77777777" w:rsidR="002A0072" w:rsidRPr="006F15E1" w:rsidRDefault="002A0072" w:rsidP="00B804E5">
            <w:pPr>
              <w:widowControl w:val="0"/>
              <w:jc w:val="both"/>
              <w:rPr>
                <w:rFonts w:ascii="Roboto" w:hAnsi="Roboto"/>
                <w:bCs/>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156D968E" w14:textId="77777777" w:rsidTr="002A0072">
        <w:trPr>
          <w:cantSplit/>
          <w:jc w:val="center"/>
        </w:trPr>
        <w:tc>
          <w:tcPr>
            <w:tcW w:w="1286" w:type="pct"/>
          </w:tcPr>
          <w:p w14:paraId="377C2F2A" w14:textId="77777777" w:rsidR="002A0072" w:rsidRPr="006F15E1" w:rsidRDefault="002A0072" w:rsidP="00B804E5">
            <w:pPr>
              <w:pStyle w:val="Textoindependiente"/>
              <w:jc w:val="both"/>
              <w:rPr>
                <w:rFonts w:ascii="Roboto" w:hAnsi="Roboto"/>
                <w:b/>
                <w:bCs/>
              </w:rPr>
            </w:pPr>
            <w:r w:rsidRPr="006F15E1">
              <w:rPr>
                <w:rFonts w:ascii="Roboto" w:hAnsi="Roboto"/>
                <w:b/>
                <w:bCs/>
              </w:rPr>
              <w:t>Modelo 11 SSS: Primas y Siniestros</w:t>
            </w:r>
          </w:p>
        </w:tc>
        <w:tc>
          <w:tcPr>
            <w:tcW w:w="760" w:type="pct"/>
          </w:tcPr>
          <w:p w14:paraId="322A1FD2" w14:textId="77777777" w:rsidR="002A0072" w:rsidRPr="006F15E1" w:rsidRDefault="002A0072" w:rsidP="00B804E5">
            <w:pPr>
              <w:widowControl w:val="0"/>
              <w:jc w:val="both"/>
              <w:rPr>
                <w:rFonts w:ascii="Roboto" w:hAnsi="Roboto"/>
              </w:rPr>
            </w:pPr>
            <w:r w:rsidRPr="006F15E1">
              <w:rPr>
                <w:rFonts w:ascii="Roboto" w:hAnsi="Roboto"/>
              </w:rPr>
              <w:t>Mensual</w:t>
            </w:r>
          </w:p>
        </w:tc>
        <w:tc>
          <w:tcPr>
            <w:tcW w:w="1131" w:type="pct"/>
          </w:tcPr>
          <w:p w14:paraId="151392A9" w14:textId="77777777" w:rsidR="002A0072" w:rsidRPr="006F15E1" w:rsidRDefault="002A0072" w:rsidP="00B804E5">
            <w:pPr>
              <w:widowControl w:val="0"/>
              <w:ind w:left="53"/>
              <w:jc w:val="both"/>
              <w:rPr>
                <w:rFonts w:ascii="Roboto" w:hAnsi="Roboto"/>
              </w:rPr>
            </w:pPr>
            <w:r w:rsidRPr="006F15E1">
              <w:rPr>
                <w:rFonts w:ascii="Roboto" w:hAnsi="Roboto"/>
              </w:rPr>
              <w:t>10 días hábiles después del cierre de cada mes.</w:t>
            </w:r>
          </w:p>
          <w:p w14:paraId="2AEE08EE" w14:textId="77777777" w:rsidR="002A0072" w:rsidRPr="006F15E1" w:rsidRDefault="002A0072" w:rsidP="00B804E5">
            <w:pPr>
              <w:pStyle w:val="Textoindependiente"/>
              <w:jc w:val="both"/>
              <w:rPr>
                <w:rFonts w:ascii="Roboto" w:hAnsi="Roboto"/>
                <w:b/>
                <w:bCs/>
              </w:rPr>
            </w:pPr>
          </w:p>
        </w:tc>
        <w:tc>
          <w:tcPr>
            <w:tcW w:w="1823" w:type="pct"/>
          </w:tcPr>
          <w:p w14:paraId="08D95A65" w14:textId="77777777" w:rsidR="002A0072" w:rsidRPr="006F15E1" w:rsidRDefault="002A0072" w:rsidP="00B804E5">
            <w:pPr>
              <w:pStyle w:val="Textoindependiente"/>
              <w:jc w:val="both"/>
              <w:rPr>
                <w:rFonts w:ascii="Roboto" w:hAnsi="Roboto"/>
                <w:b/>
                <w:bCs/>
              </w:rPr>
            </w:pPr>
            <w:r w:rsidRPr="006F15E1">
              <w:rPr>
                <w:rFonts w:ascii="Roboto" w:hAnsi="Roboto"/>
              </w:rPr>
              <w:t xml:space="preserve">Web </w:t>
            </w:r>
            <w:proofErr w:type="spellStart"/>
            <w:r w:rsidRPr="006F15E1">
              <w:rPr>
                <w:rFonts w:ascii="Roboto" w:hAnsi="Roboto"/>
              </w:rPr>
              <w:t>Service</w:t>
            </w:r>
            <w:proofErr w:type="spellEnd"/>
            <w:r w:rsidRPr="006F15E1">
              <w:rPr>
                <w:rFonts w:ascii="Roboto" w:hAnsi="Roboto"/>
              </w:rPr>
              <w:t>, a través de archivos *.</w:t>
            </w:r>
            <w:proofErr w:type="spellStart"/>
            <w:r w:rsidRPr="006F15E1">
              <w:rPr>
                <w:rFonts w:ascii="Roboto" w:hAnsi="Roboto"/>
              </w:rPr>
              <w:t>xml</w:t>
            </w:r>
            <w:proofErr w:type="spellEnd"/>
            <w:r w:rsidRPr="006F15E1">
              <w:rPr>
                <w:rFonts w:ascii="Roboto" w:hAnsi="Roboto"/>
              </w:rPr>
              <w:t xml:space="preserve">, de conformidad con </w:t>
            </w:r>
            <w:r w:rsidRPr="006F15E1">
              <w:rPr>
                <w:rFonts w:ascii="Roboto" w:hAnsi="Roboto"/>
                <w:i/>
              </w:rPr>
              <w:t>Estándar de Negocio para Entidades de Seguros,</w:t>
            </w:r>
            <w:r w:rsidRPr="006F15E1">
              <w:rPr>
                <w:rFonts w:ascii="Roboto" w:hAnsi="Roboto"/>
              </w:rPr>
              <w:t xml:space="preserve"> incluido en el </w:t>
            </w:r>
            <w:r w:rsidRPr="006F15E1">
              <w:rPr>
                <w:rFonts w:ascii="Roboto" w:hAnsi="Roboto"/>
                <w:b/>
                <w:bCs/>
              </w:rPr>
              <w:t>Anexo 5</w:t>
            </w:r>
            <w:r w:rsidRPr="006F15E1">
              <w:rPr>
                <w:rFonts w:ascii="Roboto" w:hAnsi="Roboto"/>
              </w:rPr>
              <w:t>.</w:t>
            </w:r>
          </w:p>
        </w:tc>
      </w:tr>
      <w:tr w:rsidR="002A0072" w:rsidRPr="006F15E1" w14:paraId="68AEC6D9" w14:textId="77777777" w:rsidTr="002A0072">
        <w:trPr>
          <w:cantSplit/>
          <w:jc w:val="center"/>
        </w:trPr>
        <w:tc>
          <w:tcPr>
            <w:tcW w:w="1286" w:type="pct"/>
          </w:tcPr>
          <w:p w14:paraId="28359277" w14:textId="77777777" w:rsidR="002A0072" w:rsidRPr="006F15E1" w:rsidRDefault="002A0072" w:rsidP="00B804E5">
            <w:pPr>
              <w:widowControl w:val="0"/>
              <w:jc w:val="both"/>
              <w:rPr>
                <w:rFonts w:ascii="Roboto" w:hAnsi="Roboto" w:cstheme="minorHAnsi"/>
                <w:bCs/>
              </w:rPr>
            </w:pPr>
            <w:r w:rsidRPr="006F15E1">
              <w:rPr>
                <w:rFonts w:ascii="Roboto" w:hAnsi="Roboto"/>
                <w:b/>
              </w:rPr>
              <w:t>Modelo 12 SSS: Aporte a INEC</w:t>
            </w:r>
          </w:p>
        </w:tc>
        <w:tc>
          <w:tcPr>
            <w:tcW w:w="760" w:type="pct"/>
          </w:tcPr>
          <w:p w14:paraId="2A40A0A5" w14:textId="77777777" w:rsidR="002A0072" w:rsidRPr="006F15E1" w:rsidRDefault="002A0072" w:rsidP="00B804E5">
            <w:pPr>
              <w:widowControl w:val="0"/>
              <w:jc w:val="both"/>
              <w:rPr>
                <w:rFonts w:ascii="Roboto" w:hAnsi="Roboto" w:cstheme="minorHAnsi"/>
                <w:snapToGrid w:val="0"/>
              </w:rPr>
            </w:pPr>
            <w:r w:rsidRPr="006F15E1">
              <w:rPr>
                <w:rFonts w:ascii="Roboto" w:hAnsi="Roboto"/>
                <w:bCs/>
              </w:rPr>
              <w:t>Mensual</w:t>
            </w:r>
          </w:p>
        </w:tc>
        <w:tc>
          <w:tcPr>
            <w:tcW w:w="1131" w:type="pct"/>
          </w:tcPr>
          <w:p w14:paraId="0C5FA360" w14:textId="77777777" w:rsidR="002A0072" w:rsidRPr="006F15E1" w:rsidRDefault="002A0072" w:rsidP="00B804E5">
            <w:pPr>
              <w:widowControl w:val="0"/>
              <w:jc w:val="both"/>
              <w:rPr>
                <w:rFonts w:ascii="Roboto" w:hAnsi="Roboto" w:cstheme="minorHAnsi"/>
                <w:bCs/>
              </w:rPr>
            </w:pPr>
            <w:r w:rsidRPr="006F15E1">
              <w:rPr>
                <w:rFonts w:ascii="Roboto" w:hAnsi="Roboto"/>
                <w:bCs/>
              </w:rPr>
              <w:t>5 días hábiles después del cierre de cada mes.</w:t>
            </w:r>
          </w:p>
        </w:tc>
        <w:tc>
          <w:tcPr>
            <w:tcW w:w="1823" w:type="pct"/>
          </w:tcPr>
          <w:p w14:paraId="4C0B4DA6" w14:textId="77777777" w:rsidR="002A0072" w:rsidRPr="006F15E1" w:rsidRDefault="002A0072" w:rsidP="00B804E5">
            <w:pPr>
              <w:widowControl w:val="0"/>
              <w:jc w:val="both"/>
              <w:rPr>
                <w:rFonts w:ascii="Roboto" w:hAnsi="Roboto" w:cstheme="minorHAnsi"/>
                <w:snapToGrid w:val="0"/>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2A0072" w:rsidRPr="006F15E1" w14:paraId="37151472" w14:textId="77777777" w:rsidTr="002A0072">
        <w:trPr>
          <w:cantSplit/>
          <w:jc w:val="center"/>
        </w:trPr>
        <w:tc>
          <w:tcPr>
            <w:tcW w:w="1286" w:type="pct"/>
          </w:tcPr>
          <w:p w14:paraId="140F621B" w14:textId="77777777" w:rsidR="002A0072" w:rsidRPr="006F15E1" w:rsidRDefault="002A0072" w:rsidP="00B804E5">
            <w:pPr>
              <w:widowControl w:val="0"/>
              <w:jc w:val="both"/>
              <w:rPr>
                <w:rFonts w:ascii="Roboto" w:hAnsi="Roboto"/>
                <w:b/>
                <w:bCs/>
              </w:rPr>
            </w:pPr>
            <w:r w:rsidRPr="006F15E1">
              <w:rPr>
                <w:rFonts w:ascii="Roboto" w:hAnsi="Roboto"/>
                <w:b/>
                <w:bCs/>
              </w:rPr>
              <w:t>Estadísticas Seguro de Riesgos del trabajo:</w:t>
            </w:r>
          </w:p>
          <w:p w14:paraId="2D334F2C" w14:textId="77777777" w:rsidR="002A0072" w:rsidRPr="006F15E1" w:rsidRDefault="002A0072" w:rsidP="00B804E5">
            <w:pPr>
              <w:widowControl w:val="0"/>
              <w:jc w:val="both"/>
              <w:rPr>
                <w:rFonts w:ascii="Roboto" w:hAnsi="Roboto"/>
                <w:b/>
                <w:bCs/>
              </w:rPr>
            </w:pPr>
            <w:r w:rsidRPr="006F15E1">
              <w:rPr>
                <w:rFonts w:ascii="Roboto" w:hAnsi="Roboto"/>
                <w:b/>
                <w:bCs/>
              </w:rPr>
              <w:t>Modelo 13 SSS: Accidentes Laborales por Rama de Actividad Económica.</w:t>
            </w:r>
          </w:p>
          <w:p w14:paraId="247108A7" w14:textId="77777777" w:rsidR="002A0072" w:rsidRPr="006F15E1" w:rsidRDefault="002A0072" w:rsidP="00B804E5">
            <w:pPr>
              <w:widowControl w:val="0"/>
              <w:jc w:val="both"/>
              <w:rPr>
                <w:rFonts w:ascii="Roboto" w:hAnsi="Roboto"/>
                <w:b/>
                <w:bCs/>
              </w:rPr>
            </w:pPr>
            <w:r w:rsidRPr="006F15E1">
              <w:rPr>
                <w:rFonts w:ascii="Roboto" w:hAnsi="Roboto"/>
                <w:b/>
                <w:bCs/>
              </w:rPr>
              <w:t>Modelo 14 SSS: Accidentes Laborales.</w:t>
            </w:r>
          </w:p>
          <w:p w14:paraId="1F65B4F4" w14:textId="77777777" w:rsidR="002A0072" w:rsidRPr="006F15E1" w:rsidRDefault="002A0072" w:rsidP="00B804E5">
            <w:pPr>
              <w:widowControl w:val="0"/>
              <w:jc w:val="both"/>
              <w:rPr>
                <w:rFonts w:ascii="Roboto" w:hAnsi="Roboto"/>
                <w:b/>
                <w:bCs/>
              </w:rPr>
            </w:pPr>
            <w:r w:rsidRPr="006F15E1">
              <w:rPr>
                <w:rFonts w:ascii="Roboto" w:hAnsi="Roboto"/>
                <w:b/>
                <w:bCs/>
              </w:rPr>
              <w:t>Modelo 15 SSS: Enfermedades Profesionales.</w:t>
            </w:r>
          </w:p>
          <w:p w14:paraId="1BDBB6A8" w14:textId="77777777" w:rsidR="002A0072" w:rsidRPr="006F15E1" w:rsidRDefault="002A0072" w:rsidP="00B804E5">
            <w:pPr>
              <w:widowControl w:val="0"/>
              <w:jc w:val="both"/>
              <w:rPr>
                <w:rFonts w:ascii="Roboto" w:hAnsi="Roboto"/>
                <w:b/>
                <w:bCs/>
              </w:rPr>
            </w:pPr>
            <w:r w:rsidRPr="006F15E1">
              <w:rPr>
                <w:rFonts w:ascii="Roboto" w:hAnsi="Roboto"/>
                <w:b/>
                <w:bCs/>
              </w:rPr>
              <w:t>Modelo 16 SSS: Fallecidos.</w:t>
            </w:r>
          </w:p>
          <w:p w14:paraId="56FAFF7B" w14:textId="77777777" w:rsidR="002A0072" w:rsidRPr="006F15E1" w:rsidRDefault="002A0072" w:rsidP="00B804E5">
            <w:pPr>
              <w:widowControl w:val="0"/>
              <w:jc w:val="both"/>
              <w:rPr>
                <w:rFonts w:ascii="Roboto" w:hAnsi="Roboto" w:cstheme="minorHAnsi"/>
                <w:b/>
                <w:bCs/>
              </w:rPr>
            </w:pPr>
            <w:r w:rsidRPr="006F15E1">
              <w:rPr>
                <w:rFonts w:ascii="Roboto" w:hAnsi="Roboto"/>
                <w:b/>
                <w:bCs/>
              </w:rPr>
              <w:t>Modelo 17 SSS: Patronos Asegurados.</w:t>
            </w:r>
          </w:p>
        </w:tc>
        <w:tc>
          <w:tcPr>
            <w:tcW w:w="760" w:type="pct"/>
          </w:tcPr>
          <w:p w14:paraId="7627F137" w14:textId="77777777" w:rsidR="002A0072" w:rsidRPr="006F15E1" w:rsidRDefault="002A0072" w:rsidP="00B804E5">
            <w:pPr>
              <w:widowControl w:val="0"/>
              <w:jc w:val="both"/>
              <w:rPr>
                <w:rFonts w:ascii="Roboto" w:hAnsi="Roboto" w:cstheme="minorHAnsi"/>
                <w:snapToGrid w:val="0"/>
              </w:rPr>
            </w:pPr>
            <w:r w:rsidRPr="006F15E1">
              <w:rPr>
                <w:rFonts w:ascii="Roboto" w:hAnsi="Roboto"/>
                <w:bCs/>
              </w:rPr>
              <w:t>Anual</w:t>
            </w:r>
          </w:p>
        </w:tc>
        <w:tc>
          <w:tcPr>
            <w:tcW w:w="1131" w:type="pct"/>
          </w:tcPr>
          <w:p w14:paraId="755DBB85" w14:textId="77777777" w:rsidR="002A0072" w:rsidRPr="006F15E1" w:rsidRDefault="002A0072" w:rsidP="00B804E5">
            <w:pPr>
              <w:widowControl w:val="0"/>
              <w:ind w:left="53"/>
              <w:jc w:val="both"/>
              <w:rPr>
                <w:rFonts w:ascii="Roboto" w:hAnsi="Roboto" w:cstheme="minorHAnsi"/>
                <w:bCs/>
              </w:rPr>
            </w:pPr>
            <w:r w:rsidRPr="006F15E1">
              <w:rPr>
                <w:rFonts w:ascii="Roboto" w:hAnsi="Roboto"/>
                <w:bCs/>
              </w:rPr>
              <w:t>A más tardar el 31 de marzo, después del cierre del año.</w:t>
            </w:r>
          </w:p>
        </w:tc>
        <w:tc>
          <w:tcPr>
            <w:tcW w:w="1823" w:type="pct"/>
          </w:tcPr>
          <w:p w14:paraId="27EFD6ED" w14:textId="77777777" w:rsidR="002A0072" w:rsidRPr="006F15E1" w:rsidRDefault="002A0072" w:rsidP="00B804E5">
            <w:pPr>
              <w:widowControl w:val="0"/>
              <w:jc w:val="both"/>
              <w:rPr>
                <w:rFonts w:ascii="Roboto" w:hAnsi="Roboto" w:cstheme="minorHAnsi"/>
                <w:snapToGrid w:val="0"/>
              </w:rPr>
            </w:pPr>
            <w:r w:rsidRPr="006F15E1">
              <w:rPr>
                <w:rFonts w:ascii="Roboto" w:hAnsi="Roboto"/>
                <w:bCs/>
              </w:rPr>
              <w:t xml:space="preserve">Web </w:t>
            </w:r>
            <w:proofErr w:type="spellStart"/>
            <w:r w:rsidRPr="006F15E1">
              <w:rPr>
                <w:rFonts w:ascii="Roboto" w:hAnsi="Roboto"/>
                <w:bCs/>
              </w:rPr>
              <w:t>Service</w:t>
            </w:r>
            <w:proofErr w:type="spellEnd"/>
            <w:r w:rsidRPr="006F15E1">
              <w:rPr>
                <w:rFonts w:ascii="Roboto" w:hAnsi="Roboto"/>
                <w:bCs/>
              </w:rPr>
              <w:t>, a través de archivos *.</w:t>
            </w:r>
            <w:proofErr w:type="spellStart"/>
            <w:r w:rsidRPr="006F15E1">
              <w:rPr>
                <w:rFonts w:ascii="Roboto" w:hAnsi="Roboto"/>
                <w:bCs/>
              </w:rPr>
              <w:t>xml</w:t>
            </w:r>
            <w:proofErr w:type="spellEnd"/>
            <w:r w:rsidRPr="006F15E1">
              <w:rPr>
                <w:rFonts w:ascii="Roboto" w:hAnsi="Roboto"/>
                <w:bCs/>
              </w:rPr>
              <w:t xml:space="preserve">, de conformidad con </w:t>
            </w:r>
            <w:r w:rsidRPr="006F15E1">
              <w:rPr>
                <w:rFonts w:ascii="Roboto" w:hAnsi="Roboto"/>
                <w:bCs/>
                <w:i/>
              </w:rPr>
              <w:t>Estándar de Negocio para Entidades de Seguros,</w:t>
            </w:r>
            <w:r w:rsidRPr="006F15E1">
              <w:rPr>
                <w:rFonts w:ascii="Roboto" w:hAnsi="Roboto"/>
                <w:bCs/>
              </w:rPr>
              <w:t xml:space="preserve"> incluido en el </w:t>
            </w:r>
            <w:r w:rsidRPr="006F15E1">
              <w:rPr>
                <w:rFonts w:ascii="Roboto" w:hAnsi="Roboto"/>
                <w:b/>
                <w:bCs/>
              </w:rPr>
              <w:t>Anexo 5.</w:t>
            </w:r>
          </w:p>
        </w:tc>
      </w:tr>
      <w:tr w:rsidR="006A1821" w:rsidRPr="006F15E1" w14:paraId="673E5D94" w14:textId="77777777" w:rsidTr="002A0072">
        <w:trPr>
          <w:cantSplit/>
          <w:jc w:val="center"/>
        </w:trPr>
        <w:tc>
          <w:tcPr>
            <w:tcW w:w="1286" w:type="pct"/>
          </w:tcPr>
          <w:p w14:paraId="1C796C54" w14:textId="43E6B4A0" w:rsidR="006A1821" w:rsidRPr="006F15E1" w:rsidRDefault="006A1821" w:rsidP="006A1821">
            <w:pPr>
              <w:widowControl w:val="0"/>
              <w:jc w:val="both"/>
              <w:rPr>
                <w:rFonts w:ascii="Roboto" w:hAnsi="Roboto"/>
                <w:b/>
              </w:rPr>
            </w:pPr>
            <w:r w:rsidRPr="006F15E1">
              <w:rPr>
                <w:rStyle w:val="Refdenotaalpie"/>
                <w:rFonts w:ascii="Roboto" w:hAnsi="Roboto"/>
                <w:b/>
                <w:bCs/>
                <w:i/>
                <w:iCs/>
              </w:rPr>
              <w:lastRenderedPageBreak/>
              <w:footnoteReference w:id="3"/>
            </w:r>
            <w:r w:rsidRPr="006F15E1">
              <w:rPr>
                <w:rFonts w:ascii="Roboto" w:hAnsi="Roboto"/>
                <w:b/>
                <w:bCs/>
                <w:i/>
                <w:iCs/>
              </w:rPr>
              <w:t>Modelo 18 SSS:</w:t>
            </w:r>
            <w:r w:rsidRPr="006F15E1">
              <w:rPr>
                <w:rFonts w:ascii="Roboto" w:hAnsi="Roboto"/>
                <w:i/>
                <w:iCs/>
              </w:rPr>
              <w:t xml:space="preserve"> Estado de Situación Financiera (Activo, Pasivo y Patrimonio) – NIIF17</w:t>
            </w:r>
          </w:p>
        </w:tc>
        <w:tc>
          <w:tcPr>
            <w:tcW w:w="760" w:type="pct"/>
          </w:tcPr>
          <w:p w14:paraId="45E7D982" w14:textId="77777777" w:rsidR="006A1821" w:rsidRPr="006F15E1" w:rsidRDefault="006A1821" w:rsidP="006A1821">
            <w:pPr>
              <w:widowControl w:val="0"/>
              <w:jc w:val="both"/>
              <w:rPr>
                <w:rFonts w:ascii="Roboto" w:hAnsi="Roboto"/>
                <w:bCs/>
                <w:i/>
                <w:iCs/>
              </w:rPr>
            </w:pPr>
            <w:r w:rsidRPr="006F15E1">
              <w:rPr>
                <w:rFonts w:ascii="Roboto" w:hAnsi="Roboto"/>
                <w:bCs/>
                <w:i/>
                <w:iCs/>
              </w:rPr>
              <w:t>Trimestral</w:t>
            </w:r>
          </w:p>
          <w:p w14:paraId="6A902DCF" w14:textId="77777777" w:rsidR="006A1821" w:rsidRPr="006F15E1" w:rsidRDefault="006A1821" w:rsidP="006A1821">
            <w:pPr>
              <w:jc w:val="both"/>
              <w:rPr>
                <w:rFonts w:ascii="Roboto" w:hAnsi="Roboto"/>
                <w:i/>
                <w:iCs/>
              </w:rPr>
            </w:pPr>
          </w:p>
          <w:p w14:paraId="793D8D7B" w14:textId="77777777" w:rsidR="006A1821" w:rsidRPr="006F15E1" w:rsidRDefault="006A1821" w:rsidP="006A1821">
            <w:pPr>
              <w:widowControl w:val="0"/>
              <w:jc w:val="both"/>
              <w:rPr>
                <w:rFonts w:ascii="Roboto" w:hAnsi="Roboto"/>
              </w:rPr>
            </w:pPr>
          </w:p>
        </w:tc>
        <w:tc>
          <w:tcPr>
            <w:tcW w:w="1131" w:type="pct"/>
          </w:tcPr>
          <w:p w14:paraId="4969A603" w14:textId="383A5962" w:rsidR="006A1821" w:rsidRPr="006F15E1" w:rsidRDefault="006A1821" w:rsidP="006A1821">
            <w:pPr>
              <w:widowControl w:val="0"/>
              <w:ind w:left="53"/>
              <w:jc w:val="both"/>
              <w:rPr>
                <w:rFonts w:ascii="Roboto" w:hAnsi="Roboto"/>
              </w:rPr>
            </w:pPr>
            <w:r w:rsidRPr="006F15E1">
              <w:rPr>
                <w:rFonts w:ascii="Roboto" w:hAnsi="Roboto"/>
                <w:bCs/>
                <w:i/>
                <w:iCs/>
              </w:rPr>
              <w:t>15 días hábiles después del cierre de los meses de marzo, junio, setiembre y diciembre</w:t>
            </w:r>
          </w:p>
        </w:tc>
        <w:tc>
          <w:tcPr>
            <w:tcW w:w="1823" w:type="pct"/>
          </w:tcPr>
          <w:p w14:paraId="7512A484" w14:textId="3183CFC1" w:rsidR="006A1821" w:rsidRPr="006F15E1" w:rsidRDefault="006A1821" w:rsidP="006A1821">
            <w:pPr>
              <w:pStyle w:val="Textoindependiente"/>
              <w:jc w:val="both"/>
              <w:rPr>
                <w:rFonts w:ascii="Roboto" w:hAnsi="Roboto"/>
              </w:rPr>
            </w:pPr>
            <w:r w:rsidRPr="006F15E1">
              <w:rPr>
                <w:rFonts w:ascii="Roboto" w:hAnsi="Roboto"/>
                <w:bCs/>
                <w:i/>
                <w:iCs/>
              </w:rPr>
              <w:t xml:space="preserve">Web </w:t>
            </w:r>
            <w:proofErr w:type="spellStart"/>
            <w:r w:rsidRPr="006F15E1">
              <w:rPr>
                <w:rFonts w:ascii="Roboto" w:hAnsi="Roboto"/>
                <w:bCs/>
                <w:i/>
                <w:iCs/>
              </w:rPr>
              <w:t>Service</w:t>
            </w:r>
            <w:proofErr w:type="spellEnd"/>
            <w:r w:rsidRPr="006F15E1">
              <w:rPr>
                <w:rFonts w:ascii="Roboto" w:hAnsi="Roboto"/>
                <w:bCs/>
                <w:i/>
                <w:iCs/>
              </w:rPr>
              <w:t>, a través de archivos *.</w:t>
            </w:r>
            <w:proofErr w:type="spellStart"/>
            <w:r w:rsidRPr="006F15E1">
              <w:rPr>
                <w:rFonts w:ascii="Roboto" w:hAnsi="Roboto"/>
                <w:bCs/>
                <w:i/>
                <w:iCs/>
              </w:rPr>
              <w:t>xml</w:t>
            </w:r>
            <w:proofErr w:type="spellEnd"/>
            <w:r w:rsidRPr="006F15E1">
              <w:rPr>
                <w:rFonts w:ascii="Roboto" w:hAnsi="Roboto"/>
                <w:bCs/>
                <w:i/>
                <w:iCs/>
              </w:rPr>
              <w:t xml:space="preserve">, de conformidad con el Estándar de Negocio para Entidades de Seguros, incluido en el </w:t>
            </w:r>
            <w:r w:rsidRPr="006F15E1">
              <w:rPr>
                <w:rFonts w:ascii="Roboto" w:hAnsi="Roboto"/>
                <w:b/>
                <w:bCs/>
                <w:i/>
                <w:iCs/>
              </w:rPr>
              <w:t>Anexo 5</w:t>
            </w:r>
          </w:p>
        </w:tc>
      </w:tr>
      <w:tr w:rsidR="006A1821" w:rsidRPr="006F15E1" w14:paraId="6BA8CA6D" w14:textId="77777777" w:rsidTr="002A0072">
        <w:trPr>
          <w:cantSplit/>
          <w:jc w:val="center"/>
        </w:trPr>
        <w:tc>
          <w:tcPr>
            <w:tcW w:w="1286" w:type="pct"/>
          </w:tcPr>
          <w:p w14:paraId="0ADCDD67" w14:textId="245EEE7E" w:rsidR="006A1821" w:rsidRPr="006F15E1" w:rsidRDefault="006A1821" w:rsidP="006A1821">
            <w:pPr>
              <w:widowControl w:val="0"/>
              <w:jc w:val="both"/>
              <w:rPr>
                <w:rFonts w:ascii="Roboto" w:hAnsi="Roboto"/>
                <w:b/>
              </w:rPr>
            </w:pPr>
            <w:r w:rsidRPr="006F15E1">
              <w:rPr>
                <w:rStyle w:val="Refdenotaalpie"/>
                <w:rFonts w:ascii="Roboto" w:hAnsi="Roboto"/>
                <w:b/>
                <w:bCs/>
                <w:i/>
                <w:iCs/>
              </w:rPr>
              <w:footnoteReference w:id="4"/>
            </w:r>
            <w:r w:rsidRPr="006F15E1">
              <w:rPr>
                <w:rFonts w:ascii="Roboto" w:hAnsi="Roboto"/>
                <w:b/>
                <w:bCs/>
                <w:i/>
                <w:iCs/>
              </w:rPr>
              <w:t>Modelo 19 SSS:</w:t>
            </w:r>
            <w:r w:rsidRPr="006F15E1">
              <w:rPr>
                <w:rFonts w:ascii="Roboto" w:hAnsi="Roboto"/>
                <w:i/>
                <w:iCs/>
              </w:rPr>
              <w:t xml:space="preserve"> Estado de Rendimiento Financiero y Cuenta de Rendimiento Técnico Financiera – NIIF 17</w:t>
            </w:r>
          </w:p>
        </w:tc>
        <w:tc>
          <w:tcPr>
            <w:tcW w:w="760" w:type="pct"/>
          </w:tcPr>
          <w:p w14:paraId="56267017" w14:textId="4EFD8E07" w:rsidR="006A1821" w:rsidRPr="006F15E1" w:rsidRDefault="006A1821" w:rsidP="006A1821">
            <w:pPr>
              <w:widowControl w:val="0"/>
              <w:jc w:val="both"/>
              <w:rPr>
                <w:rFonts w:ascii="Roboto" w:hAnsi="Roboto"/>
              </w:rPr>
            </w:pPr>
            <w:r w:rsidRPr="006F15E1">
              <w:rPr>
                <w:rFonts w:ascii="Roboto" w:hAnsi="Roboto"/>
                <w:bCs/>
                <w:i/>
                <w:iCs/>
              </w:rPr>
              <w:t>Trimestral</w:t>
            </w:r>
          </w:p>
        </w:tc>
        <w:tc>
          <w:tcPr>
            <w:tcW w:w="1131" w:type="pct"/>
          </w:tcPr>
          <w:p w14:paraId="1BA6FAA0" w14:textId="703E7410" w:rsidR="006A1821" w:rsidRPr="006F15E1" w:rsidRDefault="006A1821" w:rsidP="006A1821">
            <w:pPr>
              <w:widowControl w:val="0"/>
              <w:ind w:left="53"/>
              <w:jc w:val="both"/>
              <w:rPr>
                <w:rFonts w:ascii="Roboto" w:hAnsi="Roboto"/>
              </w:rPr>
            </w:pPr>
            <w:r w:rsidRPr="006F15E1">
              <w:rPr>
                <w:rFonts w:ascii="Roboto" w:hAnsi="Roboto"/>
                <w:bCs/>
                <w:i/>
                <w:iCs/>
              </w:rPr>
              <w:t>15 días hábiles después del cierre de los meses de marzo, junio, setiembre y diciembre</w:t>
            </w:r>
          </w:p>
        </w:tc>
        <w:tc>
          <w:tcPr>
            <w:tcW w:w="1823" w:type="pct"/>
          </w:tcPr>
          <w:p w14:paraId="6FE97E8D" w14:textId="26F77BA1" w:rsidR="006A1821" w:rsidRPr="006F15E1" w:rsidRDefault="006A1821" w:rsidP="006A1821">
            <w:pPr>
              <w:pStyle w:val="Textoindependiente"/>
              <w:jc w:val="both"/>
              <w:rPr>
                <w:rFonts w:ascii="Roboto" w:hAnsi="Roboto"/>
              </w:rPr>
            </w:pPr>
            <w:r w:rsidRPr="006F15E1">
              <w:rPr>
                <w:rFonts w:ascii="Roboto" w:hAnsi="Roboto"/>
                <w:bCs/>
                <w:i/>
                <w:iCs/>
              </w:rPr>
              <w:t xml:space="preserve">Web </w:t>
            </w:r>
            <w:proofErr w:type="spellStart"/>
            <w:r w:rsidRPr="006F15E1">
              <w:rPr>
                <w:rFonts w:ascii="Roboto" w:hAnsi="Roboto"/>
                <w:bCs/>
                <w:i/>
                <w:iCs/>
              </w:rPr>
              <w:t>Service</w:t>
            </w:r>
            <w:proofErr w:type="spellEnd"/>
            <w:r w:rsidRPr="006F15E1">
              <w:rPr>
                <w:rFonts w:ascii="Roboto" w:hAnsi="Roboto"/>
                <w:bCs/>
                <w:i/>
                <w:iCs/>
              </w:rPr>
              <w:t>, a través de archivos *.</w:t>
            </w:r>
            <w:proofErr w:type="spellStart"/>
            <w:r w:rsidRPr="006F15E1">
              <w:rPr>
                <w:rFonts w:ascii="Roboto" w:hAnsi="Roboto"/>
                <w:bCs/>
                <w:i/>
                <w:iCs/>
              </w:rPr>
              <w:t>xml</w:t>
            </w:r>
            <w:proofErr w:type="spellEnd"/>
            <w:r w:rsidRPr="006F15E1">
              <w:rPr>
                <w:rFonts w:ascii="Roboto" w:hAnsi="Roboto"/>
                <w:bCs/>
                <w:i/>
                <w:iCs/>
              </w:rPr>
              <w:t xml:space="preserve">, de conformidad con el Estándar de Negocio para Entidades de Seguros, incluido en el </w:t>
            </w:r>
            <w:r w:rsidRPr="006F15E1">
              <w:rPr>
                <w:rFonts w:ascii="Roboto" w:hAnsi="Roboto"/>
                <w:b/>
                <w:bCs/>
                <w:i/>
                <w:iCs/>
              </w:rPr>
              <w:t>Anexo 5</w:t>
            </w:r>
          </w:p>
        </w:tc>
      </w:tr>
      <w:tr w:rsidR="006A1821" w:rsidRPr="006F15E1" w14:paraId="1D569348" w14:textId="77777777" w:rsidTr="002A0072">
        <w:trPr>
          <w:cantSplit/>
          <w:jc w:val="center"/>
        </w:trPr>
        <w:tc>
          <w:tcPr>
            <w:tcW w:w="1286" w:type="pct"/>
          </w:tcPr>
          <w:p w14:paraId="73DED5F4" w14:textId="671313E7" w:rsidR="006A1821" w:rsidRPr="006F15E1" w:rsidRDefault="006A1821" w:rsidP="006A1821">
            <w:pPr>
              <w:widowControl w:val="0"/>
              <w:jc w:val="both"/>
              <w:rPr>
                <w:rFonts w:ascii="Roboto" w:hAnsi="Roboto"/>
                <w:b/>
              </w:rPr>
            </w:pPr>
            <w:r w:rsidRPr="006F15E1">
              <w:rPr>
                <w:rStyle w:val="Refdenotaalpie"/>
                <w:rFonts w:ascii="Roboto" w:hAnsi="Roboto"/>
                <w:b/>
                <w:bCs/>
                <w:i/>
                <w:iCs/>
              </w:rPr>
              <w:footnoteReference w:id="5"/>
            </w:r>
            <w:r w:rsidRPr="006F15E1">
              <w:rPr>
                <w:rFonts w:ascii="Roboto" w:hAnsi="Roboto"/>
                <w:b/>
                <w:bCs/>
                <w:i/>
                <w:iCs/>
              </w:rPr>
              <w:t>Modelo 20 SSS:</w:t>
            </w:r>
            <w:r w:rsidRPr="006F15E1">
              <w:rPr>
                <w:rFonts w:ascii="Roboto" w:hAnsi="Roboto"/>
                <w:i/>
                <w:iCs/>
              </w:rPr>
              <w:t xml:space="preserve"> Saldos Contables – NIIF 17</w:t>
            </w:r>
          </w:p>
        </w:tc>
        <w:tc>
          <w:tcPr>
            <w:tcW w:w="760" w:type="pct"/>
          </w:tcPr>
          <w:p w14:paraId="46C2D5F8" w14:textId="074452E2" w:rsidR="006A1821" w:rsidRPr="006F15E1" w:rsidRDefault="006A1821" w:rsidP="006A1821">
            <w:pPr>
              <w:widowControl w:val="0"/>
              <w:jc w:val="both"/>
              <w:rPr>
                <w:rFonts w:ascii="Roboto" w:hAnsi="Roboto"/>
              </w:rPr>
            </w:pPr>
            <w:r w:rsidRPr="006F15E1">
              <w:rPr>
                <w:rFonts w:ascii="Roboto" w:hAnsi="Roboto"/>
                <w:i/>
                <w:iCs/>
              </w:rPr>
              <w:t>Mensual</w:t>
            </w:r>
          </w:p>
        </w:tc>
        <w:tc>
          <w:tcPr>
            <w:tcW w:w="1131" w:type="pct"/>
          </w:tcPr>
          <w:p w14:paraId="3B976D53" w14:textId="632C50C9" w:rsidR="006A1821" w:rsidRPr="006F15E1" w:rsidRDefault="006A1821" w:rsidP="006A1821">
            <w:pPr>
              <w:widowControl w:val="0"/>
              <w:ind w:left="53"/>
              <w:jc w:val="both"/>
              <w:rPr>
                <w:rFonts w:ascii="Roboto" w:hAnsi="Roboto"/>
              </w:rPr>
            </w:pPr>
            <w:r w:rsidRPr="006F15E1">
              <w:rPr>
                <w:rFonts w:ascii="Roboto" w:hAnsi="Roboto"/>
                <w:i/>
                <w:iCs/>
              </w:rPr>
              <w:t>5 días hábiles después del cierre de cada mes.</w:t>
            </w:r>
          </w:p>
        </w:tc>
        <w:tc>
          <w:tcPr>
            <w:tcW w:w="1823" w:type="pct"/>
          </w:tcPr>
          <w:p w14:paraId="3B49E803" w14:textId="36242110" w:rsidR="006A1821" w:rsidRPr="006F15E1" w:rsidRDefault="006A1821" w:rsidP="006A1821">
            <w:pPr>
              <w:pStyle w:val="Textoindependiente"/>
              <w:jc w:val="both"/>
              <w:rPr>
                <w:rFonts w:ascii="Roboto" w:hAnsi="Roboto"/>
              </w:rPr>
            </w:pPr>
            <w:r w:rsidRPr="006F15E1">
              <w:rPr>
                <w:rFonts w:ascii="Roboto" w:hAnsi="Roboto"/>
                <w:i/>
                <w:iCs/>
              </w:rPr>
              <w:t xml:space="preserve">Web </w:t>
            </w:r>
            <w:proofErr w:type="spellStart"/>
            <w:r w:rsidRPr="006F15E1">
              <w:rPr>
                <w:rFonts w:ascii="Roboto" w:hAnsi="Roboto"/>
                <w:i/>
                <w:iCs/>
              </w:rPr>
              <w:t>Service</w:t>
            </w:r>
            <w:proofErr w:type="spellEnd"/>
            <w:r w:rsidRPr="006F15E1">
              <w:rPr>
                <w:rFonts w:ascii="Roboto" w:hAnsi="Roboto"/>
                <w:i/>
                <w:iCs/>
              </w:rPr>
              <w:t>, a través de archivos *.</w:t>
            </w:r>
            <w:proofErr w:type="spellStart"/>
            <w:r w:rsidRPr="006F15E1">
              <w:rPr>
                <w:rFonts w:ascii="Roboto" w:hAnsi="Roboto"/>
                <w:i/>
                <w:iCs/>
              </w:rPr>
              <w:t>xml</w:t>
            </w:r>
            <w:proofErr w:type="spellEnd"/>
            <w:r w:rsidRPr="006F15E1">
              <w:rPr>
                <w:rFonts w:ascii="Roboto" w:hAnsi="Roboto"/>
                <w:i/>
                <w:iCs/>
              </w:rPr>
              <w:t xml:space="preserve">, de conformidad con el Estándar de Negocio para Entidades de Seguros, incluido en el </w:t>
            </w:r>
            <w:r w:rsidRPr="006F15E1">
              <w:rPr>
                <w:rFonts w:ascii="Roboto" w:hAnsi="Roboto"/>
                <w:b/>
                <w:i/>
                <w:iCs/>
              </w:rPr>
              <w:t>Anexo 5.</w:t>
            </w:r>
          </w:p>
        </w:tc>
      </w:tr>
      <w:tr w:rsidR="006A1821" w:rsidRPr="006F15E1" w14:paraId="3895DC74" w14:textId="77777777" w:rsidTr="002A0072">
        <w:trPr>
          <w:cantSplit/>
          <w:jc w:val="center"/>
        </w:trPr>
        <w:tc>
          <w:tcPr>
            <w:tcW w:w="1286" w:type="pct"/>
          </w:tcPr>
          <w:p w14:paraId="7A37567C" w14:textId="3A5D4442" w:rsidR="006A1821" w:rsidRPr="006F15E1" w:rsidRDefault="006A1821" w:rsidP="006A1821">
            <w:pPr>
              <w:widowControl w:val="0"/>
              <w:jc w:val="both"/>
              <w:rPr>
                <w:rFonts w:ascii="Roboto" w:hAnsi="Roboto"/>
                <w:b/>
              </w:rPr>
            </w:pPr>
            <w:r w:rsidRPr="006F15E1">
              <w:rPr>
                <w:rStyle w:val="Refdenotaalpie"/>
                <w:rFonts w:ascii="Roboto" w:hAnsi="Roboto"/>
                <w:b/>
                <w:bCs/>
                <w:i/>
                <w:iCs/>
              </w:rPr>
              <w:footnoteReference w:id="6"/>
            </w:r>
            <w:r w:rsidRPr="006F15E1">
              <w:rPr>
                <w:rFonts w:ascii="Roboto" w:hAnsi="Roboto"/>
                <w:b/>
                <w:bCs/>
                <w:i/>
                <w:iCs/>
              </w:rPr>
              <w:t>Modelo 21 SSS:</w:t>
            </w:r>
            <w:r w:rsidRPr="006F15E1">
              <w:rPr>
                <w:rFonts w:ascii="Roboto" w:hAnsi="Roboto"/>
                <w:i/>
                <w:iCs/>
              </w:rPr>
              <w:t xml:space="preserve"> Requerimientos Estadísticos Organismos Internacionales – NIIF 17</w:t>
            </w:r>
          </w:p>
        </w:tc>
        <w:tc>
          <w:tcPr>
            <w:tcW w:w="760" w:type="pct"/>
          </w:tcPr>
          <w:p w14:paraId="37FDDBA4" w14:textId="7DA5884A" w:rsidR="006A1821" w:rsidRPr="006F15E1" w:rsidRDefault="006A1821" w:rsidP="006A1821">
            <w:pPr>
              <w:widowControl w:val="0"/>
              <w:jc w:val="both"/>
              <w:rPr>
                <w:rFonts w:ascii="Roboto" w:hAnsi="Roboto"/>
              </w:rPr>
            </w:pPr>
            <w:r w:rsidRPr="006F15E1">
              <w:rPr>
                <w:rFonts w:ascii="Roboto" w:hAnsi="Roboto"/>
                <w:bCs/>
                <w:i/>
                <w:iCs/>
              </w:rPr>
              <w:t>Anual</w:t>
            </w:r>
          </w:p>
        </w:tc>
        <w:tc>
          <w:tcPr>
            <w:tcW w:w="1131" w:type="pct"/>
          </w:tcPr>
          <w:p w14:paraId="20E00184" w14:textId="526A7964" w:rsidR="006A1821" w:rsidRPr="006F15E1" w:rsidRDefault="006A1821" w:rsidP="006A1821">
            <w:pPr>
              <w:widowControl w:val="0"/>
              <w:ind w:left="53"/>
              <w:jc w:val="both"/>
              <w:rPr>
                <w:rFonts w:ascii="Roboto" w:hAnsi="Roboto"/>
              </w:rPr>
            </w:pPr>
            <w:r w:rsidRPr="006F15E1">
              <w:rPr>
                <w:rFonts w:ascii="Roboto" w:hAnsi="Roboto"/>
                <w:bCs/>
                <w:i/>
                <w:iCs/>
              </w:rPr>
              <w:t>15 días hábiles después del cierre de diciembre de cada año.</w:t>
            </w:r>
          </w:p>
        </w:tc>
        <w:tc>
          <w:tcPr>
            <w:tcW w:w="1823" w:type="pct"/>
          </w:tcPr>
          <w:p w14:paraId="4CA6DDC0" w14:textId="59BFCA91" w:rsidR="006A1821" w:rsidRPr="006F15E1" w:rsidRDefault="006A1821" w:rsidP="006A1821">
            <w:pPr>
              <w:pStyle w:val="Textoindependiente"/>
              <w:jc w:val="both"/>
              <w:rPr>
                <w:rFonts w:ascii="Roboto" w:hAnsi="Roboto"/>
              </w:rPr>
            </w:pPr>
            <w:r w:rsidRPr="006F15E1">
              <w:rPr>
                <w:rFonts w:ascii="Roboto" w:hAnsi="Roboto"/>
                <w:bCs/>
                <w:i/>
                <w:iCs/>
              </w:rPr>
              <w:t xml:space="preserve">Web </w:t>
            </w:r>
            <w:proofErr w:type="spellStart"/>
            <w:r w:rsidRPr="006F15E1">
              <w:rPr>
                <w:rFonts w:ascii="Roboto" w:hAnsi="Roboto"/>
                <w:bCs/>
                <w:i/>
                <w:iCs/>
              </w:rPr>
              <w:t>Service</w:t>
            </w:r>
            <w:proofErr w:type="spellEnd"/>
            <w:r w:rsidRPr="006F15E1">
              <w:rPr>
                <w:rFonts w:ascii="Roboto" w:hAnsi="Roboto"/>
                <w:bCs/>
                <w:i/>
                <w:iCs/>
              </w:rPr>
              <w:t>, a través de archivos *.</w:t>
            </w:r>
            <w:proofErr w:type="spellStart"/>
            <w:r w:rsidRPr="006F15E1">
              <w:rPr>
                <w:rFonts w:ascii="Roboto" w:hAnsi="Roboto"/>
                <w:bCs/>
                <w:i/>
                <w:iCs/>
              </w:rPr>
              <w:t>xml</w:t>
            </w:r>
            <w:proofErr w:type="spellEnd"/>
            <w:r w:rsidRPr="006F15E1">
              <w:rPr>
                <w:rFonts w:ascii="Roboto" w:hAnsi="Roboto"/>
                <w:bCs/>
                <w:i/>
                <w:iCs/>
              </w:rPr>
              <w:t xml:space="preserve">, de conformidad con el Estándar de Negocio para Entidades de Seguros, incluido en el </w:t>
            </w:r>
            <w:r w:rsidRPr="006F15E1">
              <w:rPr>
                <w:rFonts w:ascii="Roboto" w:hAnsi="Roboto"/>
                <w:b/>
                <w:bCs/>
                <w:i/>
                <w:iCs/>
              </w:rPr>
              <w:t>Anexo 5</w:t>
            </w:r>
          </w:p>
        </w:tc>
      </w:tr>
      <w:tr w:rsidR="002A0072" w:rsidRPr="006F15E1" w14:paraId="0198EF8D" w14:textId="77777777" w:rsidTr="002A0072">
        <w:trPr>
          <w:cantSplit/>
          <w:jc w:val="center"/>
        </w:trPr>
        <w:tc>
          <w:tcPr>
            <w:tcW w:w="1286" w:type="pct"/>
          </w:tcPr>
          <w:p w14:paraId="3EBE24CB" w14:textId="77777777" w:rsidR="002A0072" w:rsidRPr="006F15E1" w:rsidRDefault="002A0072" w:rsidP="00B804E5">
            <w:pPr>
              <w:widowControl w:val="0"/>
              <w:jc w:val="both"/>
              <w:rPr>
                <w:rFonts w:ascii="Roboto" w:hAnsi="Roboto"/>
                <w:b/>
              </w:rPr>
            </w:pPr>
            <w:r w:rsidRPr="006F15E1">
              <w:rPr>
                <w:rFonts w:ascii="Roboto" w:hAnsi="Roboto"/>
                <w:b/>
              </w:rPr>
              <w:t>Registro Público de Vehículos Asegurados con el Seguro Obligatorio de Vehículos Automotores</w:t>
            </w:r>
          </w:p>
        </w:tc>
        <w:tc>
          <w:tcPr>
            <w:tcW w:w="760" w:type="pct"/>
          </w:tcPr>
          <w:p w14:paraId="1F964F3F" w14:textId="77777777" w:rsidR="002A0072" w:rsidRPr="006F15E1" w:rsidRDefault="002A0072" w:rsidP="00B804E5">
            <w:pPr>
              <w:widowControl w:val="0"/>
              <w:jc w:val="both"/>
              <w:rPr>
                <w:rFonts w:ascii="Roboto" w:hAnsi="Roboto"/>
              </w:rPr>
            </w:pPr>
            <w:r w:rsidRPr="006F15E1">
              <w:rPr>
                <w:rFonts w:ascii="Roboto" w:hAnsi="Roboto"/>
              </w:rPr>
              <w:t>Semanal</w:t>
            </w:r>
          </w:p>
        </w:tc>
        <w:tc>
          <w:tcPr>
            <w:tcW w:w="1131" w:type="pct"/>
          </w:tcPr>
          <w:p w14:paraId="646AF302" w14:textId="77777777" w:rsidR="002A0072" w:rsidRPr="006F15E1" w:rsidRDefault="002A0072" w:rsidP="00B804E5">
            <w:pPr>
              <w:widowControl w:val="0"/>
              <w:ind w:left="53"/>
              <w:jc w:val="both"/>
              <w:rPr>
                <w:rFonts w:ascii="Roboto" w:hAnsi="Roboto"/>
              </w:rPr>
            </w:pPr>
            <w:r w:rsidRPr="006F15E1">
              <w:rPr>
                <w:rFonts w:ascii="Roboto" w:hAnsi="Roboto"/>
              </w:rPr>
              <w:t>El tercer día hábil de la semana siguiente con corte de movimientos a las 11:59 p.m. del domingo anterior.</w:t>
            </w:r>
          </w:p>
        </w:tc>
        <w:tc>
          <w:tcPr>
            <w:tcW w:w="1823" w:type="pct"/>
          </w:tcPr>
          <w:p w14:paraId="75F98CBC" w14:textId="77777777" w:rsidR="002A0072" w:rsidRPr="006F15E1" w:rsidRDefault="002A0072" w:rsidP="00B804E5">
            <w:pPr>
              <w:pStyle w:val="Textoindependiente"/>
              <w:jc w:val="both"/>
              <w:rPr>
                <w:rFonts w:ascii="Roboto" w:hAnsi="Roboto"/>
                <w:b/>
                <w:bCs/>
              </w:rPr>
            </w:pPr>
            <w:r w:rsidRPr="006F15E1">
              <w:rPr>
                <w:rFonts w:ascii="Roboto" w:hAnsi="Roboto"/>
              </w:rPr>
              <w:t xml:space="preserve">Carga a través de Web </w:t>
            </w:r>
            <w:proofErr w:type="spellStart"/>
            <w:r w:rsidRPr="006F15E1">
              <w:rPr>
                <w:rFonts w:ascii="Roboto" w:hAnsi="Roboto"/>
              </w:rPr>
              <w:t>Service</w:t>
            </w:r>
            <w:proofErr w:type="spellEnd"/>
            <w:r w:rsidRPr="006F15E1">
              <w:rPr>
                <w:rFonts w:ascii="Roboto" w:hAnsi="Roboto"/>
              </w:rPr>
              <w:t xml:space="preserve"> de archivos *.</w:t>
            </w:r>
            <w:proofErr w:type="spellStart"/>
            <w:r w:rsidRPr="006F15E1">
              <w:rPr>
                <w:rFonts w:ascii="Roboto" w:hAnsi="Roboto"/>
              </w:rPr>
              <w:t>xml</w:t>
            </w:r>
            <w:proofErr w:type="spellEnd"/>
            <w:r w:rsidRPr="006F15E1">
              <w:rPr>
                <w:rFonts w:ascii="Roboto" w:hAnsi="Roboto"/>
              </w:rPr>
              <w:t xml:space="preserve"> o *.zip que contengan *.</w:t>
            </w:r>
            <w:proofErr w:type="spellStart"/>
            <w:r w:rsidRPr="006F15E1">
              <w:rPr>
                <w:rFonts w:ascii="Roboto" w:hAnsi="Roboto"/>
              </w:rPr>
              <w:t>xml</w:t>
            </w:r>
            <w:proofErr w:type="spellEnd"/>
            <w:r w:rsidRPr="006F15E1">
              <w:rPr>
                <w:rFonts w:ascii="Roboto" w:hAnsi="Roboto"/>
              </w:rPr>
              <w:t xml:space="preserve">, de conformidad con el Estándar para Registro Seguro Obligatorio de Vehículos Automotores (SOA), incluido en el </w:t>
            </w:r>
            <w:r w:rsidRPr="006F15E1">
              <w:rPr>
                <w:rFonts w:ascii="Roboto" w:hAnsi="Roboto"/>
                <w:b/>
                <w:bCs/>
              </w:rPr>
              <w:t>Anexo 9</w:t>
            </w:r>
            <w:r w:rsidRPr="006F15E1">
              <w:rPr>
                <w:rFonts w:ascii="Roboto" w:hAnsi="Roboto"/>
              </w:rPr>
              <w:t xml:space="preserve">, a través de </w:t>
            </w:r>
            <w:proofErr w:type="spellStart"/>
            <w:r w:rsidRPr="006F15E1">
              <w:rPr>
                <w:rFonts w:ascii="Roboto" w:hAnsi="Roboto"/>
                <w:i/>
                <w:iCs/>
              </w:rPr>
              <w:t>Sugese</w:t>
            </w:r>
            <w:proofErr w:type="spellEnd"/>
            <w:r w:rsidRPr="006F15E1">
              <w:rPr>
                <w:rFonts w:ascii="Roboto" w:hAnsi="Roboto"/>
                <w:i/>
                <w:iCs/>
              </w:rPr>
              <w:t xml:space="preserve"> en Línea</w:t>
            </w:r>
            <w:r w:rsidRPr="006F15E1">
              <w:rPr>
                <w:rFonts w:ascii="Roboto" w:hAnsi="Roboto"/>
              </w:rPr>
              <w:t>; o bien carga manual de los mismos archivos ante una eventualidad previamente justificada.</w:t>
            </w:r>
          </w:p>
        </w:tc>
      </w:tr>
      <w:tr w:rsidR="0049248B" w:rsidRPr="006F15E1" w14:paraId="499E8369" w14:textId="77777777" w:rsidTr="002A0072">
        <w:trPr>
          <w:cantSplit/>
          <w:jc w:val="center"/>
        </w:trPr>
        <w:tc>
          <w:tcPr>
            <w:tcW w:w="1286" w:type="pct"/>
          </w:tcPr>
          <w:p w14:paraId="632AB363" w14:textId="37C28432" w:rsidR="0049248B" w:rsidRPr="006F15E1" w:rsidRDefault="0049248B" w:rsidP="0049248B">
            <w:pPr>
              <w:widowControl w:val="0"/>
              <w:jc w:val="both"/>
              <w:rPr>
                <w:rFonts w:ascii="Roboto" w:hAnsi="Roboto"/>
                <w:b/>
              </w:rPr>
            </w:pPr>
            <w:r w:rsidRPr="006F15E1">
              <w:rPr>
                <w:rStyle w:val="Refdenotaalpie"/>
                <w:rFonts w:ascii="Roboto" w:hAnsi="Roboto"/>
                <w:b/>
              </w:rPr>
              <w:lastRenderedPageBreak/>
              <w:footnoteReference w:id="7"/>
            </w:r>
            <w:r w:rsidRPr="006F15E1">
              <w:rPr>
                <w:rFonts w:ascii="Roboto" w:hAnsi="Roboto"/>
                <w:b/>
              </w:rPr>
              <w:t xml:space="preserve"> Modelo 22 SSS: Siniestralidad del Seguro Obligatorio de Vehículos Automotores </w:t>
            </w:r>
          </w:p>
        </w:tc>
        <w:tc>
          <w:tcPr>
            <w:tcW w:w="760" w:type="pct"/>
          </w:tcPr>
          <w:p w14:paraId="7830BB86" w14:textId="5DF8445C" w:rsidR="0049248B" w:rsidRPr="006F15E1" w:rsidRDefault="0049248B" w:rsidP="0049248B">
            <w:pPr>
              <w:widowControl w:val="0"/>
              <w:jc w:val="both"/>
              <w:rPr>
                <w:rFonts w:ascii="Roboto" w:hAnsi="Roboto"/>
              </w:rPr>
            </w:pPr>
            <w:r w:rsidRPr="006F15E1">
              <w:rPr>
                <w:rFonts w:ascii="Roboto" w:hAnsi="Roboto"/>
              </w:rPr>
              <w:t>Mensual</w:t>
            </w:r>
          </w:p>
        </w:tc>
        <w:tc>
          <w:tcPr>
            <w:tcW w:w="1131" w:type="pct"/>
          </w:tcPr>
          <w:p w14:paraId="0096F1D4" w14:textId="3AF6FEE3" w:rsidR="0049248B" w:rsidRPr="006F15E1" w:rsidRDefault="0049248B" w:rsidP="0049248B">
            <w:pPr>
              <w:widowControl w:val="0"/>
              <w:ind w:left="53"/>
              <w:jc w:val="both"/>
              <w:rPr>
                <w:rFonts w:ascii="Roboto" w:hAnsi="Roboto"/>
              </w:rPr>
            </w:pPr>
            <w:r w:rsidRPr="006F15E1">
              <w:rPr>
                <w:rFonts w:ascii="Roboto" w:hAnsi="Roboto"/>
              </w:rPr>
              <w:t>15 días hábiles después del cierre mensual, según corresponda</w:t>
            </w:r>
          </w:p>
        </w:tc>
        <w:tc>
          <w:tcPr>
            <w:tcW w:w="1823" w:type="pct"/>
          </w:tcPr>
          <w:p w14:paraId="39C80617" w14:textId="13E33FEA" w:rsidR="0049248B" w:rsidRPr="006F15E1" w:rsidRDefault="0049248B" w:rsidP="0049248B">
            <w:pPr>
              <w:widowControl w:val="0"/>
              <w:jc w:val="both"/>
              <w:rPr>
                <w:rFonts w:ascii="Roboto" w:hAnsi="Roboto"/>
              </w:rPr>
            </w:pPr>
            <w:r w:rsidRPr="006F15E1">
              <w:rPr>
                <w:rFonts w:ascii="Roboto" w:hAnsi="Roboto"/>
              </w:rPr>
              <w:t xml:space="preserve">Web </w:t>
            </w:r>
            <w:proofErr w:type="spellStart"/>
            <w:r w:rsidRPr="006F15E1">
              <w:rPr>
                <w:rFonts w:ascii="Roboto" w:hAnsi="Roboto"/>
              </w:rPr>
              <w:t>Service</w:t>
            </w:r>
            <w:proofErr w:type="spellEnd"/>
            <w:r w:rsidRPr="006F15E1">
              <w:rPr>
                <w:rFonts w:ascii="Roboto" w:hAnsi="Roboto"/>
              </w:rPr>
              <w:t>, a través de archivos *.</w:t>
            </w:r>
            <w:proofErr w:type="spellStart"/>
            <w:r w:rsidRPr="006F15E1">
              <w:rPr>
                <w:rFonts w:ascii="Roboto" w:hAnsi="Roboto"/>
              </w:rPr>
              <w:t>xml</w:t>
            </w:r>
            <w:proofErr w:type="spellEnd"/>
            <w:r w:rsidRPr="006F15E1">
              <w:rPr>
                <w:rFonts w:ascii="Roboto" w:hAnsi="Roboto"/>
              </w:rPr>
              <w:t>, de conformidad con Estándar de Negocio para Entidades de Seguros, incluido en el Anexo 5.</w:t>
            </w:r>
          </w:p>
        </w:tc>
      </w:tr>
      <w:tr w:rsidR="002A0072" w:rsidRPr="006F15E1" w14:paraId="660EAA3E" w14:textId="77777777" w:rsidTr="002A0072">
        <w:trPr>
          <w:cantSplit/>
          <w:jc w:val="center"/>
        </w:trPr>
        <w:tc>
          <w:tcPr>
            <w:tcW w:w="1286" w:type="pct"/>
          </w:tcPr>
          <w:p w14:paraId="61243D64" w14:textId="77777777" w:rsidR="002A0072" w:rsidRPr="006F15E1" w:rsidRDefault="002A0072" w:rsidP="00B804E5">
            <w:pPr>
              <w:widowControl w:val="0"/>
              <w:jc w:val="both"/>
              <w:rPr>
                <w:rFonts w:ascii="Roboto" w:hAnsi="Roboto"/>
                <w:b/>
                <w:bCs/>
              </w:rPr>
            </w:pPr>
            <w:r w:rsidRPr="006F15E1">
              <w:rPr>
                <w:rFonts w:ascii="Roboto" w:hAnsi="Roboto"/>
                <w:b/>
              </w:rPr>
              <w:t>Registro Único de Personas Beneficiarias</w:t>
            </w:r>
          </w:p>
        </w:tc>
        <w:tc>
          <w:tcPr>
            <w:tcW w:w="760" w:type="pct"/>
          </w:tcPr>
          <w:p w14:paraId="465414E5" w14:textId="77777777" w:rsidR="002A0072" w:rsidRPr="006F15E1" w:rsidRDefault="002A0072" w:rsidP="00B804E5">
            <w:pPr>
              <w:widowControl w:val="0"/>
              <w:jc w:val="both"/>
              <w:rPr>
                <w:rFonts w:ascii="Roboto" w:hAnsi="Roboto"/>
                <w:bCs/>
              </w:rPr>
            </w:pPr>
            <w:r w:rsidRPr="006F15E1">
              <w:rPr>
                <w:rFonts w:ascii="Roboto" w:hAnsi="Roboto"/>
              </w:rPr>
              <w:t>Al menos una vez al mes</w:t>
            </w:r>
          </w:p>
        </w:tc>
        <w:tc>
          <w:tcPr>
            <w:tcW w:w="1131" w:type="pct"/>
          </w:tcPr>
          <w:p w14:paraId="22B280CA" w14:textId="77777777" w:rsidR="002A0072" w:rsidRPr="006F15E1" w:rsidRDefault="002A0072" w:rsidP="00B804E5">
            <w:pPr>
              <w:widowControl w:val="0"/>
              <w:ind w:left="53"/>
              <w:jc w:val="both"/>
              <w:rPr>
                <w:rFonts w:ascii="Roboto" w:hAnsi="Roboto"/>
                <w:bCs/>
              </w:rPr>
            </w:pPr>
            <w:r w:rsidRPr="006F15E1">
              <w:rPr>
                <w:rFonts w:ascii="Roboto" w:hAnsi="Roboto"/>
              </w:rPr>
              <w:t>A más tardar diez días hábiles después de finalizar cada mes</w:t>
            </w:r>
          </w:p>
        </w:tc>
        <w:tc>
          <w:tcPr>
            <w:tcW w:w="1823" w:type="pct"/>
          </w:tcPr>
          <w:p w14:paraId="350398EE" w14:textId="77777777" w:rsidR="002A0072" w:rsidRPr="006F15E1" w:rsidRDefault="002A0072" w:rsidP="00B804E5">
            <w:pPr>
              <w:widowControl w:val="0"/>
              <w:jc w:val="both"/>
              <w:rPr>
                <w:rFonts w:ascii="Roboto" w:hAnsi="Roboto"/>
              </w:rPr>
            </w:pPr>
            <w:r w:rsidRPr="006F15E1">
              <w:rPr>
                <w:rFonts w:ascii="Roboto" w:hAnsi="Roboto"/>
              </w:rPr>
              <w:t xml:space="preserve">Web </w:t>
            </w:r>
            <w:proofErr w:type="spellStart"/>
            <w:r w:rsidRPr="006F15E1">
              <w:rPr>
                <w:rFonts w:ascii="Roboto" w:hAnsi="Roboto"/>
              </w:rPr>
              <w:t>Service</w:t>
            </w:r>
            <w:proofErr w:type="spellEnd"/>
            <w:r w:rsidRPr="006F15E1">
              <w:rPr>
                <w:rFonts w:ascii="Roboto" w:hAnsi="Roboto"/>
              </w:rPr>
              <w:t>, a través de archivos *.</w:t>
            </w:r>
            <w:proofErr w:type="spellStart"/>
            <w:r w:rsidRPr="006F15E1">
              <w:rPr>
                <w:rFonts w:ascii="Roboto" w:hAnsi="Roboto"/>
              </w:rPr>
              <w:t>xml</w:t>
            </w:r>
            <w:proofErr w:type="spellEnd"/>
            <w:r w:rsidRPr="006F15E1">
              <w:rPr>
                <w:rFonts w:ascii="Roboto" w:hAnsi="Roboto"/>
              </w:rPr>
              <w:t xml:space="preserve"> o *.zip que contengan *.</w:t>
            </w:r>
            <w:proofErr w:type="spellStart"/>
            <w:r w:rsidRPr="006F15E1">
              <w:rPr>
                <w:rFonts w:ascii="Roboto" w:hAnsi="Roboto"/>
              </w:rPr>
              <w:t>xml</w:t>
            </w:r>
            <w:proofErr w:type="spellEnd"/>
            <w:r w:rsidRPr="006F15E1">
              <w:rPr>
                <w:rFonts w:ascii="Roboto" w:hAnsi="Roboto"/>
              </w:rPr>
              <w:t>, de conformidad con Estándar electrónico para Registro Único de Personas Beneficiarias, disponible en el sitio web de SUGESE.</w:t>
            </w:r>
          </w:p>
        </w:tc>
      </w:tr>
      <w:tr w:rsidR="002A0072" w:rsidRPr="006F15E1" w14:paraId="0C59D7D7" w14:textId="77777777" w:rsidTr="002A0072">
        <w:trPr>
          <w:cantSplit/>
          <w:jc w:val="center"/>
        </w:trPr>
        <w:tc>
          <w:tcPr>
            <w:tcW w:w="1286" w:type="pct"/>
          </w:tcPr>
          <w:p w14:paraId="5BA5E6D0" w14:textId="77777777" w:rsidR="002A0072" w:rsidRPr="006F15E1" w:rsidRDefault="002A0072" w:rsidP="00B804E5">
            <w:pPr>
              <w:widowControl w:val="0"/>
              <w:jc w:val="both"/>
              <w:rPr>
                <w:rFonts w:ascii="Roboto" w:hAnsi="Roboto"/>
                <w:b/>
              </w:rPr>
            </w:pPr>
            <w:r w:rsidRPr="006F15E1">
              <w:rPr>
                <w:rFonts w:ascii="Roboto" w:hAnsi="Roboto"/>
                <w:b/>
              </w:rPr>
              <w:t>Provisión de riesgos catastróficos (PRCAT)</w:t>
            </w:r>
          </w:p>
        </w:tc>
        <w:tc>
          <w:tcPr>
            <w:tcW w:w="760" w:type="pct"/>
          </w:tcPr>
          <w:p w14:paraId="06948EAF" w14:textId="77777777" w:rsidR="002A0072" w:rsidRPr="006F15E1" w:rsidRDefault="002A0072" w:rsidP="00B804E5">
            <w:pPr>
              <w:widowControl w:val="0"/>
              <w:jc w:val="both"/>
              <w:rPr>
                <w:rFonts w:ascii="Roboto" w:hAnsi="Roboto"/>
                <w:bCs/>
              </w:rPr>
            </w:pPr>
            <w:r w:rsidRPr="006F15E1">
              <w:rPr>
                <w:rFonts w:ascii="Roboto" w:hAnsi="Roboto"/>
                <w:bCs/>
              </w:rPr>
              <w:t>Mensual</w:t>
            </w:r>
          </w:p>
        </w:tc>
        <w:tc>
          <w:tcPr>
            <w:tcW w:w="1131" w:type="pct"/>
          </w:tcPr>
          <w:p w14:paraId="0C32903E" w14:textId="77777777" w:rsidR="002A0072" w:rsidRPr="006F15E1" w:rsidRDefault="002A0072" w:rsidP="00B804E5">
            <w:pPr>
              <w:widowControl w:val="0"/>
              <w:jc w:val="both"/>
              <w:rPr>
                <w:rFonts w:ascii="Roboto" w:hAnsi="Roboto"/>
                <w:bCs/>
              </w:rPr>
            </w:pPr>
            <w:r w:rsidRPr="006F15E1">
              <w:rPr>
                <w:rFonts w:ascii="Roboto" w:hAnsi="Roboto"/>
                <w:bCs/>
              </w:rPr>
              <w:t>15 días hábiles después del cierre mensual.</w:t>
            </w:r>
          </w:p>
        </w:tc>
        <w:tc>
          <w:tcPr>
            <w:tcW w:w="1823" w:type="pct"/>
          </w:tcPr>
          <w:p w14:paraId="0AD444A3" w14:textId="77777777" w:rsidR="002A0072" w:rsidRPr="006F15E1" w:rsidRDefault="002A0072" w:rsidP="00B804E5">
            <w:pPr>
              <w:widowControl w:val="0"/>
              <w:jc w:val="both"/>
              <w:rPr>
                <w:rFonts w:ascii="Roboto" w:hAnsi="Roboto"/>
                <w:bCs/>
              </w:rPr>
            </w:pPr>
            <w:r w:rsidRPr="006F15E1">
              <w:rPr>
                <w:rFonts w:ascii="Roboto" w:hAnsi="Roboto"/>
              </w:rPr>
              <w:t xml:space="preserve">En hoja electrónica (Excel), según formato establecido en el </w:t>
            </w:r>
            <w:r w:rsidRPr="006F15E1">
              <w:rPr>
                <w:rFonts w:ascii="Roboto" w:hAnsi="Roboto"/>
                <w:b/>
              </w:rPr>
              <w:t xml:space="preserve">Anexo 13, </w:t>
            </w:r>
            <w:r w:rsidRPr="006F15E1">
              <w:rPr>
                <w:rFonts w:ascii="Roboto" w:hAnsi="Roboto"/>
              </w:rPr>
              <w:t xml:space="preserve">remitida como requerimiento mediante el Servicio de Ejecución de Estudios y Seguimiento (EES) de </w:t>
            </w:r>
            <w:r w:rsidRPr="006F15E1">
              <w:rPr>
                <w:rFonts w:ascii="Roboto" w:hAnsi="Roboto"/>
                <w:i/>
                <w:iCs/>
              </w:rPr>
              <w:t>SUGESE en Línea</w:t>
            </w:r>
            <w:r w:rsidRPr="006F15E1">
              <w:rPr>
                <w:rFonts w:ascii="Roboto" w:hAnsi="Roboto"/>
              </w:rPr>
              <w:t>.</w:t>
            </w:r>
          </w:p>
        </w:tc>
      </w:tr>
      <w:tr w:rsidR="002A0072" w:rsidRPr="006F15E1" w14:paraId="1E11744C" w14:textId="77777777" w:rsidTr="002A0072">
        <w:trPr>
          <w:cantSplit/>
          <w:jc w:val="center"/>
        </w:trPr>
        <w:tc>
          <w:tcPr>
            <w:tcW w:w="1286" w:type="pct"/>
            <w:shd w:val="clear" w:color="auto" w:fill="auto"/>
          </w:tcPr>
          <w:p w14:paraId="6DBA168A" w14:textId="77777777" w:rsidR="002A0072" w:rsidRPr="006F15E1" w:rsidRDefault="002A0072" w:rsidP="00B804E5">
            <w:pPr>
              <w:widowControl w:val="0"/>
              <w:jc w:val="both"/>
              <w:rPr>
                <w:rFonts w:ascii="Roboto" w:hAnsi="Roboto"/>
                <w:b/>
              </w:rPr>
            </w:pPr>
            <w:r w:rsidRPr="006F15E1">
              <w:rPr>
                <w:rFonts w:ascii="Roboto" w:hAnsi="Roboto"/>
                <w:b/>
              </w:rPr>
              <w:t>Estados Financieros Auditados</w:t>
            </w:r>
          </w:p>
        </w:tc>
        <w:tc>
          <w:tcPr>
            <w:tcW w:w="760" w:type="pct"/>
            <w:shd w:val="clear" w:color="auto" w:fill="auto"/>
          </w:tcPr>
          <w:p w14:paraId="16FF9842" w14:textId="77777777" w:rsidR="002A0072" w:rsidRPr="006F15E1" w:rsidRDefault="002A0072" w:rsidP="00B804E5">
            <w:pPr>
              <w:widowControl w:val="0"/>
              <w:jc w:val="both"/>
              <w:rPr>
                <w:rFonts w:ascii="Roboto" w:hAnsi="Roboto"/>
                <w:bCs/>
              </w:rPr>
            </w:pPr>
            <w:r w:rsidRPr="006F15E1">
              <w:rPr>
                <w:rFonts w:ascii="Roboto" w:hAnsi="Roboto"/>
                <w:bCs/>
              </w:rPr>
              <w:t>Anual</w:t>
            </w:r>
          </w:p>
        </w:tc>
        <w:tc>
          <w:tcPr>
            <w:tcW w:w="1131" w:type="pct"/>
            <w:shd w:val="clear" w:color="auto" w:fill="auto"/>
          </w:tcPr>
          <w:p w14:paraId="6680D3A5" w14:textId="77777777" w:rsidR="002A0072" w:rsidRPr="006F15E1" w:rsidRDefault="002A0072" w:rsidP="00B804E5">
            <w:pPr>
              <w:widowControl w:val="0"/>
              <w:jc w:val="both"/>
              <w:rPr>
                <w:rFonts w:ascii="Roboto" w:hAnsi="Roboto"/>
                <w:bCs/>
              </w:rPr>
            </w:pPr>
            <w:r w:rsidRPr="006F15E1">
              <w:rPr>
                <w:rFonts w:ascii="Roboto" w:hAnsi="Roboto"/>
                <w:bCs/>
              </w:rPr>
              <w:t>Cuarenta días hábiles posteriores al</w:t>
            </w:r>
          </w:p>
          <w:p w14:paraId="77445F91" w14:textId="77777777" w:rsidR="002A0072" w:rsidRPr="006F15E1" w:rsidRDefault="002A0072" w:rsidP="00B804E5">
            <w:pPr>
              <w:widowControl w:val="0"/>
              <w:jc w:val="both"/>
              <w:rPr>
                <w:rFonts w:ascii="Roboto" w:hAnsi="Roboto"/>
                <w:bCs/>
              </w:rPr>
            </w:pPr>
            <w:r w:rsidRPr="006F15E1">
              <w:rPr>
                <w:rFonts w:ascii="Roboto" w:hAnsi="Roboto"/>
                <w:bCs/>
              </w:rPr>
              <w:t>cierre anual.</w:t>
            </w:r>
          </w:p>
        </w:tc>
        <w:tc>
          <w:tcPr>
            <w:tcW w:w="1823" w:type="pct"/>
            <w:shd w:val="clear" w:color="auto" w:fill="auto"/>
          </w:tcPr>
          <w:p w14:paraId="15133CD5" w14:textId="77777777" w:rsidR="002A0072" w:rsidRPr="006F15E1" w:rsidRDefault="002A0072" w:rsidP="00B804E5">
            <w:pPr>
              <w:widowControl w:val="0"/>
              <w:jc w:val="both"/>
              <w:rPr>
                <w:rFonts w:ascii="Roboto" w:hAnsi="Roboto"/>
              </w:rPr>
            </w:pPr>
            <w:r w:rsidRPr="006F15E1">
              <w:rPr>
                <w:rFonts w:ascii="Roboto" w:hAnsi="Roboto"/>
              </w:rPr>
              <w:t xml:space="preserve">De forma digital mediante requerimiento del servicio de Ejecución de Estudios y Seguimiento (EES) de </w:t>
            </w:r>
            <w:r w:rsidRPr="006F15E1">
              <w:rPr>
                <w:rFonts w:ascii="Roboto" w:hAnsi="Roboto"/>
                <w:i/>
                <w:iCs/>
              </w:rPr>
              <w:t>SUGESE en Línea</w:t>
            </w:r>
            <w:r w:rsidRPr="006F15E1">
              <w:rPr>
                <w:rFonts w:ascii="Roboto" w:hAnsi="Roboto"/>
              </w:rPr>
              <w:t>.</w:t>
            </w:r>
          </w:p>
        </w:tc>
      </w:tr>
      <w:tr w:rsidR="002D44EE" w:rsidRPr="006F15E1" w14:paraId="3B566C71" w14:textId="77777777" w:rsidTr="00E778B3">
        <w:trPr>
          <w:cantSplit/>
          <w:trHeight w:val="796"/>
          <w:jc w:val="center"/>
        </w:trPr>
        <w:tc>
          <w:tcPr>
            <w:tcW w:w="1286" w:type="pct"/>
            <w:shd w:val="clear" w:color="auto" w:fill="auto"/>
          </w:tcPr>
          <w:p w14:paraId="6DECE770" w14:textId="0E8E4EE3" w:rsidR="002D44EE" w:rsidRPr="006F15E1" w:rsidRDefault="002D44EE" w:rsidP="002D44EE">
            <w:pPr>
              <w:widowControl w:val="0"/>
              <w:jc w:val="both"/>
              <w:rPr>
                <w:rStyle w:val="Refdenotaalpie"/>
                <w:rFonts w:ascii="Roboto" w:hAnsi="Roboto"/>
                <w:b/>
              </w:rPr>
            </w:pPr>
            <w:r w:rsidRPr="006F15E1">
              <w:rPr>
                <w:rStyle w:val="Refdenotaalpie"/>
                <w:rFonts w:ascii="Roboto" w:hAnsi="Roboto"/>
                <w:sz w:val="20"/>
                <w:szCs w:val="20"/>
              </w:rPr>
              <w:footnoteReference w:id="8"/>
            </w:r>
            <w:r w:rsidRPr="006F15E1">
              <w:rPr>
                <w:rFonts w:ascii="Roboto" w:hAnsi="Roboto"/>
                <w:sz w:val="20"/>
                <w:szCs w:val="20"/>
              </w:rPr>
              <w:t>Informe del auditor externo de LC/FT/FPADM</w:t>
            </w:r>
          </w:p>
        </w:tc>
        <w:tc>
          <w:tcPr>
            <w:tcW w:w="760" w:type="pct"/>
            <w:shd w:val="clear" w:color="auto" w:fill="auto"/>
          </w:tcPr>
          <w:p w14:paraId="34779FBC" w14:textId="1B81E9C3" w:rsidR="002D44EE" w:rsidRPr="006F15E1" w:rsidRDefault="002D44EE" w:rsidP="002D44EE">
            <w:pPr>
              <w:widowControl w:val="0"/>
              <w:jc w:val="both"/>
              <w:rPr>
                <w:rFonts w:ascii="Roboto" w:hAnsi="Roboto"/>
                <w:bCs/>
              </w:rPr>
            </w:pPr>
            <w:r w:rsidRPr="006F15E1">
              <w:rPr>
                <w:rFonts w:ascii="Roboto" w:hAnsi="Roboto" w:cstheme="minorHAnsi"/>
                <w:snapToGrid w:val="0"/>
                <w:sz w:val="20"/>
                <w:szCs w:val="20"/>
              </w:rPr>
              <w:t>Anual</w:t>
            </w:r>
          </w:p>
        </w:tc>
        <w:tc>
          <w:tcPr>
            <w:tcW w:w="1131" w:type="pct"/>
            <w:shd w:val="clear" w:color="auto" w:fill="auto"/>
          </w:tcPr>
          <w:p w14:paraId="6C37C670" w14:textId="61F18E3E" w:rsidR="002D44EE" w:rsidRPr="006F15E1" w:rsidRDefault="002D44EE" w:rsidP="002D44EE">
            <w:pPr>
              <w:widowControl w:val="0"/>
              <w:jc w:val="both"/>
              <w:rPr>
                <w:rFonts w:ascii="Roboto" w:hAnsi="Roboto"/>
                <w:bCs/>
              </w:rPr>
            </w:pPr>
            <w:r w:rsidRPr="006F15E1">
              <w:rPr>
                <w:rFonts w:ascii="Roboto" w:hAnsi="Roboto"/>
                <w:sz w:val="20"/>
                <w:szCs w:val="20"/>
              </w:rPr>
              <w:t>Último día hábil de abril de cada año</w:t>
            </w:r>
          </w:p>
        </w:tc>
        <w:tc>
          <w:tcPr>
            <w:tcW w:w="1823" w:type="pct"/>
            <w:shd w:val="clear" w:color="auto" w:fill="auto"/>
          </w:tcPr>
          <w:p w14:paraId="32C49A0B" w14:textId="0AEAC767" w:rsidR="002D44EE" w:rsidRPr="006F15E1" w:rsidRDefault="002D44EE" w:rsidP="002D44EE">
            <w:pPr>
              <w:widowControl w:val="0"/>
              <w:jc w:val="both"/>
              <w:rPr>
                <w:rFonts w:ascii="Roboto" w:hAnsi="Roboto"/>
                <w:bCs/>
              </w:rPr>
            </w:pPr>
            <w:r w:rsidRPr="006F15E1">
              <w:rPr>
                <w:rFonts w:ascii="Roboto" w:hAnsi="Roboto"/>
                <w:sz w:val="20"/>
                <w:szCs w:val="20"/>
              </w:rPr>
              <w:t xml:space="preserve">De forma digital mediante requerimiento del servicio de Ejecución de Estudios y Seguimiento (EES) de </w:t>
            </w:r>
            <w:r w:rsidRPr="006F15E1">
              <w:rPr>
                <w:rFonts w:ascii="Roboto" w:hAnsi="Roboto"/>
                <w:i/>
                <w:iCs/>
                <w:sz w:val="20"/>
                <w:szCs w:val="20"/>
              </w:rPr>
              <w:t>SUGESE en Línea.</w:t>
            </w:r>
          </w:p>
        </w:tc>
      </w:tr>
      <w:tr w:rsidR="00E778B3" w:rsidRPr="006F15E1" w14:paraId="68375FCA" w14:textId="77777777" w:rsidTr="00E778B3">
        <w:trPr>
          <w:cantSplit/>
          <w:trHeight w:val="796"/>
          <w:jc w:val="center"/>
        </w:trPr>
        <w:tc>
          <w:tcPr>
            <w:tcW w:w="1286" w:type="pct"/>
            <w:shd w:val="clear" w:color="auto" w:fill="auto"/>
          </w:tcPr>
          <w:p w14:paraId="4B3CBA92" w14:textId="00B400EA" w:rsidR="00E778B3" w:rsidRPr="006F15E1" w:rsidRDefault="00E778B3" w:rsidP="00E778B3">
            <w:pPr>
              <w:widowControl w:val="0"/>
              <w:jc w:val="both"/>
              <w:rPr>
                <w:rFonts w:ascii="Roboto" w:hAnsi="Roboto"/>
                <w:b/>
              </w:rPr>
            </w:pPr>
            <w:r w:rsidRPr="006F15E1">
              <w:rPr>
                <w:rStyle w:val="Refdenotaalpie"/>
                <w:rFonts w:ascii="Roboto" w:hAnsi="Roboto"/>
                <w:b/>
              </w:rPr>
              <w:footnoteReference w:id="9"/>
            </w:r>
            <w:r w:rsidRPr="006F15E1">
              <w:rPr>
                <w:rFonts w:ascii="Roboto" w:hAnsi="Roboto"/>
                <w:b/>
              </w:rPr>
              <w:t>Certificación de ingresos brutos</w:t>
            </w:r>
          </w:p>
        </w:tc>
        <w:tc>
          <w:tcPr>
            <w:tcW w:w="760" w:type="pct"/>
            <w:shd w:val="clear" w:color="auto" w:fill="auto"/>
          </w:tcPr>
          <w:p w14:paraId="73CE4575" w14:textId="1691B84E" w:rsidR="00E778B3" w:rsidRPr="006F15E1" w:rsidRDefault="00E778B3" w:rsidP="00E778B3">
            <w:pPr>
              <w:widowControl w:val="0"/>
              <w:jc w:val="both"/>
              <w:rPr>
                <w:rFonts w:ascii="Roboto" w:hAnsi="Roboto"/>
                <w:bCs/>
              </w:rPr>
            </w:pPr>
            <w:r w:rsidRPr="006F15E1">
              <w:rPr>
                <w:rFonts w:ascii="Roboto" w:hAnsi="Roboto"/>
                <w:bCs/>
              </w:rPr>
              <w:t>Anual</w:t>
            </w:r>
          </w:p>
        </w:tc>
        <w:tc>
          <w:tcPr>
            <w:tcW w:w="1131" w:type="pct"/>
            <w:shd w:val="clear" w:color="auto" w:fill="auto"/>
          </w:tcPr>
          <w:p w14:paraId="4B4B9237" w14:textId="1A4FA41C" w:rsidR="00E778B3" w:rsidRPr="006F15E1" w:rsidRDefault="00E778B3" w:rsidP="00E778B3">
            <w:pPr>
              <w:widowControl w:val="0"/>
              <w:jc w:val="both"/>
              <w:rPr>
                <w:rFonts w:ascii="Roboto" w:hAnsi="Roboto"/>
                <w:bCs/>
              </w:rPr>
            </w:pPr>
            <w:r w:rsidRPr="006F15E1">
              <w:rPr>
                <w:rFonts w:ascii="Roboto" w:hAnsi="Roboto"/>
                <w:bCs/>
              </w:rPr>
              <w:t>Cuarenta días hábiles posteriores al cierre anual.</w:t>
            </w:r>
          </w:p>
        </w:tc>
        <w:tc>
          <w:tcPr>
            <w:tcW w:w="1823" w:type="pct"/>
            <w:shd w:val="clear" w:color="auto" w:fill="auto"/>
          </w:tcPr>
          <w:p w14:paraId="2D35136F" w14:textId="4E561F81" w:rsidR="00E778B3" w:rsidRPr="006F15E1" w:rsidRDefault="00E778B3" w:rsidP="00E778B3">
            <w:pPr>
              <w:widowControl w:val="0"/>
              <w:jc w:val="both"/>
              <w:rPr>
                <w:rFonts w:ascii="Roboto" w:hAnsi="Roboto"/>
                <w:bCs/>
              </w:rPr>
            </w:pPr>
            <w:r w:rsidRPr="006F15E1">
              <w:rPr>
                <w:rFonts w:ascii="Roboto" w:hAnsi="Roboto"/>
                <w:bCs/>
              </w:rPr>
              <w:t>De forma digital mediante requerimiento del servicio de Ejecución de Estudios y Seguimiento (EES) de SUGESE en Línea.</w:t>
            </w:r>
          </w:p>
        </w:tc>
      </w:tr>
      <w:tr w:rsidR="002A0072" w:rsidRPr="006F15E1" w14:paraId="5E58DAF7" w14:textId="77777777" w:rsidTr="002A0072">
        <w:trPr>
          <w:cantSplit/>
          <w:jc w:val="center"/>
        </w:trPr>
        <w:tc>
          <w:tcPr>
            <w:tcW w:w="1286" w:type="pct"/>
            <w:shd w:val="clear" w:color="auto" w:fill="auto"/>
          </w:tcPr>
          <w:p w14:paraId="1EA754F0" w14:textId="77777777" w:rsidR="002A0072" w:rsidRPr="006F15E1" w:rsidRDefault="002A0072" w:rsidP="00B804E5">
            <w:pPr>
              <w:widowControl w:val="0"/>
              <w:jc w:val="both"/>
              <w:rPr>
                <w:rFonts w:ascii="Roboto" w:hAnsi="Roboto"/>
                <w:b/>
              </w:rPr>
            </w:pPr>
            <w:r w:rsidRPr="006F15E1">
              <w:rPr>
                <w:rFonts w:ascii="Roboto" w:hAnsi="Roboto"/>
                <w:b/>
              </w:rPr>
              <w:lastRenderedPageBreak/>
              <w:t>Transacciones en efectivo o mediante transferencias desde o hacia el exterior</w:t>
            </w:r>
          </w:p>
        </w:tc>
        <w:tc>
          <w:tcPr>
            <w:tcW w:w="760" w:type="pct"/>
            <w:shd w:val="clear" w:color="auto" w:fill="auto"/>
          </w:tcPr>
          <w:p w14:paraId="1472400D" w14:textId="77777777" w:rsidR="002A0072" w:rsidRPr="006F15E1" w:rsidRDefault="002A0072" w:rsidP="00B804E5">
            <w:pPr>
              <w:widowControl w:val="0"/>
              <w:jc w:val="both"/>
              <w:rPr>
                <w:rFonts w:ascii="Roboto" w:hAnsi="Roboto"/>
                <w:bCs/>
              </w:rPr>
            </w:pPr>
            <w:r w:rsidRPr="006F15E1">
              <w:rPr>
                <w:rFonts w:ascii="Roboto" w:hAnsi="Roboto"/>
                <w:bCs/>
              </w:rPr>
              <w:t>Mensual</w:t>
            </w:r>
          </w:p>
        </w:tc>
        <w:tc>
          <w:tcPr>
            <w:tcW w:w="1131" w:type="pct"/>
            <w:shd w:val="clear" w:color="auto" w:fill="auto"/>
          </w:tcPr>
          <w:p w14:paraId="7E0FE36C" w14:textId="77777777" w:rsidR="002A0072" w:rsidRPr="006F15E1" w:rsidRDefault="002A0072" w:rsidP="00B804E5">
            <w:pPr>
              <w:widowControl w:val="0"/>
              <w:jc w:val="both"/>
              <w:rPr>
                <w:rFonts w:ascii="Roboto" w:hAnsi="Roboto"/>
                <w:bCs/>
              </w:rPr>
            </w:pPr>
            <w:r w:rsidRPr="006F15E1">
              <w:rPr>
                <w:rFonts w:ascii="Roboto" w:hAnsi="Roboto"/>
                <w:bCs/>
              </w:rPr>
              <w:t>20 días naturales</w:t>
            </w:r>
          </w:p>
          <w:p w14:paraId="4294A8FC" w14:textId="77777777" w:rsidR="002A0072" w:rsidRPr="006F15E1" w:rsidRDefault="002A0072" w:rsidP="00B804E5">
            <w:pPr>
              <w:widowControl w:val="0"/>
              <w:jc w:val="both"/>
              <w:rPr>
                <w:rFonts w:ascii="Roboto" w:hAnsi="Roboto"/>
                <w:bCs/>
              </w:rPr>
            </w:pPr>
            <w:r w:rsidRPr="006F15E1">
              <w:rPr>
                <w:rFonts w:ascii="Roboto" w:hAnsi="Roboto"/>
                <w:bCs/>
              </w:rPr>
              <w:t>posteriores al cierre de cada mes</w:t>
            </w:r>
          </w:p>
        </w:tc>
        <w:tc>
          <w:tcPr>
            <w:tcW w:w="1823" w:type="pct"/>
            <w:shd w:val="clear" w:color="auto" w:fill="auto"/>
          </w:tcPr>
          <w:p w14:paraId="5C23A409" w14:textId="77777777" w:rsidR="002A0072" w:rsidRPr="006F15E1" w:rsidRDefault="002A0072" w:rsidP="00B804E5">
            <w:pPr>
              <w:widowControl w:val="0"/>
              <w:jc w:val="both"/>
              <w:rPr>
                <w:rFonts w:ascii="Roboto" w:hAnsi="Roboto"/>
              </w:rPr>
            </w:pPr>
            <w:r w:rsidRPr="006F15E1">
              <w:rPr>
                <w:rFonts w:ascii="Roboto" w:hAnsi="Roboto"/>
              </w:rPr>
              <w:t xml:space="preserve">De forma digital mediante requerimiento del servicio de Ejecución de Estudios y Seguimiento (EES) de </w:t>
            </w:r>
            <w:r w:rsidRPr="006F15E1">
              <w:rPr>
                <w:rFonts w:ascii="Roboto" w:hAnsi="Roboto"/>
                <w:i/>
                <w:iCs/>
              </w:rPr>
              <w:t>SUGESE en Línea</w:t>
            </w:r>
            <w:r w:rsidRPr="006F15E1">
              <w:rPr>
                <w:rFonts w:ascii="Roboto" w:hAnsi="Roboto"/>
              </w:rPr>
              <w:t>.</w:t>
            </w:r>
          </w:p>
        </w:tc>
      </w:tr>
      <w:tr w:rsidR="0049538A" w:rsidRPr="006F15E1" w14:paraId="2D689212" w14:textId="77777777" w:rsidTr="002A0072">
        <w:trPr>
          <w:cantSplit/>
          <w:jc w:val="center"/>
        </w:trPr>
        <w:tc>
          <w:tcPr>
            <w:tcW w:w="1286" w:type="pct"/>
            <w:shd w:val="clear" w:color="auto" w:fill="auto"/>
          </w:tcPr>
          <w:p w14:paraId="68E0AE3B" w14:textId="2C8D082D" w:rsidR="0049538A" w:rsidRPr="006F15E1" w:rsidRDefault="0049538A" w:rsidP="0049538A">
            <w:pPr>
              <w:widowControl w:val="0"/>
              <w:jc w:val="both"/>
              <w:rPr>
                <w:rFonts w:ascii="Roboto" w:hAnsi="Roboto"/>
                <w:b/>
              </w:rPr>
            </w:pPr>
            <w:r w:rsidRPr="006F15E1">
              <w:rPr>
                <w:rFonts w:ascii="Roboto" w:hAnsi="Roboto"/>
                <w:b/>
              </w:rPr>
              <w:t>Información Crediticia</w:t>
            </w:r>
            <w:r w:rsidRPr="006F15E1">
              <w:rPr>
                <w:rStyle w:val="Refdenotaalpie"/>
                <w:rFonts w:ascii="Roboto" w:hAnsi="Roboto"/>
                <w:b/>
              </w:rPr>
              <w:footnoteReference w:id="10"/>
            </w:r>
          </w:p>
        </w:tc>
        <w:tc>
          <w:tcPr>
            <w:tcW w:w="760" w:type="pct"/>
            <w:shd w:val="clear" w:color="auto" w:fill="auto"/>
          </w:tcPr>
          <w:p w14:paraId="0E88FFB4" w14:textId="6B09873F" w:rsidR="0049538A" w:rsidRPr="006F15E1" w:rsidRDefault="0049538A" w:rsidP="0049538A">
            <w:pPr>
              <w:widowControl w:val="0"/>
              <w:jc w:val="both"/>
              <w:rPr>
                <w:rFonts w:ascii="Roboto" w:hAnsi="Roboto"/>
                <w:bCs/>
              </w:rPr>
            </w:pPr>
            <w:r w:rsidRPr="006F15E1">
              <w:rPr>
                <w:rFonts w:ascii="Roboto" w:hAnsi="Roboto"/>
                <w:bCs/>
              </w:rPr>
              <w:t>Trimestral</w:t>
            </w:r>
          </w:p>
        </w:tc>
        <w:tc>
          <w:tcPr>
            <w:tcW w:w="1131" w:type="pct"/>
            <w:shd w:val="clear" w:color="auto" w:fill="auto"/>
          </w:tcPr>
          <w:p w14:paraId="38C64FF1" w14:textId="6796660F" w:rsidR="0049538A" w:rsidRPr="006F15E1" w:rsidRDefault="0049538A" w:rsidP="0049538A">
            <w:pPr>
              <w:widowControl w:val="0"/>
              <w:jc w:val="both"/>
              <w:rPr>
                <w:rFonts w:ascii="Roboto" w:hAnsi="Roboto"/>
                <w:bCs/>
              </w:rPr>
            </w:pPr>
            <w:r w:rsidRPr="006F15E1">
              <w:rPr>
                <w:rFonts w:ascii="Roboto" w:hAnsi="Roboto"/>
                <w:bCs/>
              </w:rPr>
              <w:t>15 días hábiles después del cierre de los meses de marzo, junio, setiembre y diciembre</w:t>
            </w:r>
          </w:p>
        </w:tc>
        <w:tc>
          <w:tcPr>
            <w:tcW w:w="1823" w:type="pct"/>
            <w:shd w:val="clear" w:color="auto" w:fill="auto"/>
          </w:tcPr>
          <w:p w14:paraId="2AF5A931" w14:textId="0FD63621" w:rsidR="0049538A" w:rsidRPr="006F15E1" w:rsidRDefault="0049538A" w:rsidP="0049538A">
            <w:pPr>
              <w:widowControl w:val="0"/>
              <w:jc w:val="both"/>
              <w:rPr>
                <w:rFonts w:ascii="Roboto" w:hAnsi="Roboto"/>
              </w:rPr>
            </w:pPr>
            <w:r w:rsidRPr="006F15E1">
              <w:rPr>
                <w:rFonts w:ascii="Roboto" w:hAnsi="Roboto"/>
              </w:rPr>
              <w:t xml:space="preserve">En hoja electrónica (Excel), según formato establecido en el </w:t>
            </w:r>
            <w:r w:rsidRPr="006F15E1">
              <w:rPr>
                <w:rFonts w:ascii="Roboto" w:hAnsi="Roboto"/>
                <w:b/>
              </w:rPr>
              <w:t xml:space="preserve">Anexo 15, </w:t>
            </w:r>
            <w:r w:rsidRPr="006F15E1">
              <w:rPr>
                <w:rFonts w:ascii="Roboto" w:hAnsi="Roboto"/>
              </w:rPr>
              <w:t>remitida como requerimiento mediante el Servicio de Ejecución de Estudios y Seguimiento (EES) de SUGESE en Línea.</w:t>
            </w:r>
          </w:p>
        </w:tc>
      </w:tr>
      <w:tr w:rsidR="006F15E1" w:rsidRPr="006F15E1" w14:paraId="17068B2D" w14:textId="77777777" w:rsidTr="002A0072">
        <w:trPr>
          <w:cantSplit/>
          <w:jc w:val="center"/>
        </w:trPr>
        <w:tc>
          <w:tcPr>
            <w:tcW w:w="1286" w:type="pct"/>
            <w:shd w:val="clear" w:color="auto" w:fill="auto"/>
          </w:tcPr>
          <w:p w14:paraId="190E44DD" w14:textId="3163D432" w:rsidR="006F15E1" w:rsidRPr="006F15E1" w:rsidRDefault="006F15E1" w:rsidP="006F15E1">
            <w:pPr>
              <w:widowControl w:val="0"/>
              <w:jc w:val="both"/>
              <w:rPr>
                <w:rFonts w:ascii="Roboto" w:hAnsi="Roboto"/>
                <w:b/>
              </w:rPr>
            </w:pPr>
            <w:r w:rsidRPr="00456525">
              <w:rPr>
                <w:rFonts w:ascii="Roboto" w:hAnsi="Roboto"/>
                <w:b/>
                <w:sz w:val="20"/>
                <w:szCs w:val="20"/>
              </w:rPr>
              <w:t>Informe de la gestión realizada por la Instancia de Atención del Consumidor de Seguros (Defensoría del Asegurado)</w:t>
            </w:r>
            <w:r>
              <w:rPr>
                <w:rStyle w:val="Refdenotaalpie"/>
                <w:rFonts w:ascii="Roboto" w:hAnsi="Roboto"/>
                <w:b/>
                <w:sz w:val="20"/>
                <w:szCs w:val="20"/>
              </w:rPr>
              <w:footnoteReference w:id="11"/>
            </w:r>
          </w:p>
        </w:tc>
        <w:tc>
          <w:tcPr>
            <w:tcW w:w="760" w:type="pct"/>
            <w:shd w:val="clear" w:color="auto" w:fill="auto"/>
          </w:tcPr>
          <w:p w14:paraId="53748FA7" w14:textId="1A1F09CD" w:rsidR="006F15E1" w:rsidRPr="006F15E1" w:rsidRDefault="006F15E1" w:rsidP="006F15E1">
            <w:pPr>
              <w:widowControl w:val="0"/>
              <w:jc w:val="both"/>
              <w:rPr>
                <w:rFonts w:ascii="Roboto" w:hAnsi="Roboto"/>
                <w:bCs/>
              </w:rPr>
            </w:pPr>
            <w:r w:rsidRPr="00456525">
              <w:rPr>
                <w:rFonts w:ascii="Roboto" w:hAnsi="Roboto"/>
                <w:bCs/>
                <w:sz w:val="20"/>
                <w:szCs w:val="20"/>
              </w:rPr>
              <w:t>Trimestral</w:t>
            </w:r>
          </w:p>
        </w:tc>
        <w:tc>
          <w:tcPr>
            <w:tcW w:w="1131" w:type="pct"/>
            <w:shd w:val="clear" w:color="auto" w:fill="auto"/>
          </w:tcPr>
          <w:p w14:paraId="39B7CA71" w14:textId="33C7BE96" w:rsidR="006F15E1" w:rsidRPr="006F15E1" w:rsidRDefault="006F15E1" w:rsidP="006F15E1">
            <w:pPr>
              <w:widowControl w:val="0"/>
              <w:jc w:val="both"/>
              <w:rPr>
                <w:rFonts w:ascii="Roboto" w:hAnsi="Roboto"/>
                <w:bCs/>
              </w:rPr>
            </w:pPr>
            <w:r w:rsidRPr="00456525">
              <w:rPr>
                <w:rFonts w:ascii="Roboto" w:hAnsi="Roboto"/>
                <w:bCs/>
                <w:sz w:val="20"/>
                <w:szCs w:val="20"/>
              </w:rPr>
              <w:t>El último día hábil del mes siguiente al cierre de cada trimestre (marzo, junio, setiembre y diciembre).</w:t>
            </w:r>
          </w:p>
        </w:tc>
        <w:tc>
          <w:tcPr>
            <w:tcW w:w="1823" w:type="pct"/>
            <w:shd w:val="clear" w:color="auto" w:fill="auto"/>
          </w:tcPr>
          <w:p w14:paraId="5ADE238C" w14:textId="10E7546A" w:rsidR="006F15E1" w:rsidRPr="006F15E1" w:rsidRDefault="006F15E1" w:rsidP="006F15E1">
            <w:pPr>
              <w:widowControl w:val="0"/>
              <w:jc w:val="both"/>
              <w:rPr>
                <w:rFonts w:ascii="Roboto" w:hAnsi="Roboto"/>
              </w:rPr>
            </w:pPr>
            <w:r w:rsidRPr="00456525">
              <w:rPr>
                <w:rFonts w:ascii="Roboto" w:hAnsi="Roboto"/>
                <w:bCs/>
                <w:sz w:val="20"/>
                <w:szCs w:val="20"/>
              </w:rPr>
              <w:t xml:space="preserve">En documento Word y hoja de Excel según formato establecido en los </w:t>
            </w:r>
            <w:r w:rsidRPr="00456525">
              <w:rPr>
                <w:rFonts w:ascii="Roboto" w:hAnsi="Roboto"/>
                <w:b/>
                <w:sz w:val="20"/>
                <w:szCs w:val="20"/>
              </w:rPr>
              <w:t>Anexos 16 y 17</w:t>
            </w:r>
            <w:r w:rsidRPr="00456525">
              <w:rPr>
                <w:rFonts w:ascii="Roboto" w:hAnsi="Roboto"/>
                <w:b/>
                <w:bCs/>
                <w:sz w:val="20"/>
                <w:szCs w:val="20"/>
              </w:rPr>
              <w:t xml:space="preserve">, </w:t>
            </w:r>
            <w:r w:rsidRPr="00456525">
              <w:rPr>
                <w:rFonts w:ascii="Roboto" w:hAnsi="Roboto"/>
                <w:sz w:val="20"/>
                <w:szCs w:val="20"/>
              </w:rPr>
              <w:t xml:space="preserve">remitidos al correo electrónico </w:t>
            </w:r>
            <w:hyperlink r:id="rId11" w:history="1">
              <w:r w:rsidRPr="00456525">
                <w:rPr>
                  <w:rStyle w:val="Hipervnculo"/>
                  <w:rFonts w:ascii="Roboto" w:hAnsi="Roboto"/>
                  <w:sz w:val="20"/>
                  <w:szCs w:val="20"/>
                </w:rPr>
                <w:t>sugese@sugese.fi.cr</w:t>
              </w:r>
            </w:hyperlink>
            <w:r w:rsidRPr="00456525">
              <w:rPr>
                <w:rFonts w:ascii="Roboto" w:hAnsi="Roboto"/>
                <w:sz w:val="20"/>
                <w:szCs w:val="20"/>
              </w:rPr>
              <w:t xml:space="preserve">  </w:t>
            </w:r>
          </w:p>
        </w:tc>
      </w:tr>
    </w:tbl>
    <w:p w14:paraId="28234E19" w14:textId="6C678CBB" w:rsidR="00B200D8" w:rsidRPr="006F15E1" w:rsidRDefault="00B200D8" w:rsidP="007422B6">
      <w:pPr>
        <w:spacing w:after="0"/>
        <w:jc w:val="both"/>
        <w:rPr>
          <w:rFonts w:ascii="Roboto" w:hAnsi="Roboto"/>
          <w:sz w:val="24"/>
          <w:szCs w:val="24"/>
        </w:rPr>
      </w:pPr>
    </w:p>
    <w:p w14:paraId="5B8EE535" w14:textId="3766A8E4" w:rsidR="00755BE9" w:rsidRPr="006F15E1" w:rsidRDefault="00755BE9" w:rsidP="007422B6">
      <w:pPr>
        <w:spacing w:after="0"/>
        <w:jc w:val="both"/>
        <w:rPr>
          <w:rFonts w:ascii="Roboto" w:hAnsi="Roboto"/>
          <w:sz w:val="24"/>
          <w:szCs w:val="24"/>
        </w:rPr>
      </w:pPr>
      <w:r w:rsidRPr="006F15E1">
        <w:rPr>
          <w:rFonts w:ascii="Roboto" w:hAnsi="Roboto"/>
          <w:sz w:val="24"/>
          <w:szCs w:val="24"/>
        </w:rPr>
        <w:t>La remisión de los estados financieros intermedios por parte de las aseguradoras y reaseguradoras se tiene por cumplido mediante el envío de los modelos de estados financieros 1, 2 y 4 señalados en este artículo.</w:t>
      </w:r>
    </w:p>
    <w:p w14:paraId="465BE6DF" w14:textId="77777777" w:rsidR="00755BE9" w:rsidRPr="006F15E1" w:rsidRDefault="00755BE9" w:rsidP="007422B6">
      <w:pPr>
        <w:spacing w:after="0"/>
        <w:jc w:val="both"/>
        <w:rPr>
          <w:rFonts w:ascii="Roboto" w:hAnsi="Roboto"/>
          <w:sz w:val="24"/>
          <w:szCs w:val="24"/>
        </w:rPr>
      </w:pPr>
    </w:p>
    <w:p w14:paraId="1C3D88A3" w14:textId="11704842" w:rsidR="003C1E7C" w:rsidRPr="006F15E1" w:rsidRDefault="003C1E7C" w:rsidP="007422B6">
      <w:pPr>
        <w:spacing w:after="0"/>
        <w:jc w:val="both"/>
        <w:rPr>
          <w:rFonts w:ascii="Roboto" w:hAnsi="Roboto"/>
          <w:sz w:val="24"/>
          <w:szCs w:val="24"/>
        </w:rPr>
      </w:pPr>
      <w:r w:rsidRPr="006F15E1">
        <w:rPr>
          <w:rFonts w:ascii="Roboto" w:hAnsi="Roboto"/>
          <w:sz w:val="24"/>
          <w:szCs w:val="24"/>
        </w:rPr>
        <w:t>La falta de presentación de esta documentación, la presentación fuera de plazo, la remisión incompleta, la presentación en formatos diferentes al establecido, la falta de veracidad de</w:t>
      </w:r>
      <w:r w:rsidR="009632BA" w:rsidRPr="006F15E1">
        <w:rPr>
          <w:rFonts w:ascii="Roboto" w:hAnsi="Roboto"/>
          <w:sz w:val="24"/>
          <w:szCs w:val="24"/>
        </w:rPr>
        <w:t xml:space="preserve"> esta</w:t>
      </w:r>
      <w:r w:rsidRPr="006F15E1">
        <w:rPr>
          <w:rFonts w:ascii="Roboto" w:hAnsi="Roboto"/>
          <w:sz w:val="24"/>
          <w:szCs w:val="24"/>
        </w:rPr>
        <w:t xml:space="preserve"> o la formulación de estados que no reflejen la imagen</w:t>
      </w:r>
      <w:r w:rsidRPr="006F15E1">
        <w:rPr>
          <w:rFonts w:ascii="Roboto" w:eastAsia="Calibri" w:hAnsi="Roboto"/>
          <w:sz w:val="24"/>
          <w:szCs w:val="24"/>
        </w:rPr>
        <w:t xml:space="preserve"> </w:t>
      </w:r>
      <w:r w:rsidRPr="006F15E1">
        <w:rPr>
          <w:rFonts w:ascii="Roboto" w:hAnsi="Roboto"/>
          <w:sz w:val="24"/>
          <w:szCs w:val="24"/>
        </w:rPr>
        <w:t>fiel de la entidad al término del ejercicio de referencia, constituyen infracciones a la normativa vigente, y pueden dar lugar a las correspondientes sanciones en los términos previstos en la Ley Reguladora del Mercado de Seguros.</w:t>
      </w:r>
    </w:p>
    <w:p w14:paraId="1B90B3C4" w14:textId="02D61DCA" w:rsidR="00E778B3" w:rsidRPr="006F15E1" w:rsidRDefault="00E778B3" w:rsidP="007422B6">
      <w:pPr>
        <w:spacing w:after="0"/>
        <w:jc w:val="both"/>
        <w:rPr>
          <w:rFonts w:ascii="Roboto" w:hAnsi="Roboto"/>
          <w:sz w:val="24"/>
          <w:szCs w:val="24"/>
        </w:rPr>
      </w:pPr>
    </w:p>
    <w:p w14:paraId="6B418CB9" w14:textId="00A9A1CD" w:rsidR="0049538A" w:rsidRPr="006F15E1" w:rsidRDefault="0049538A" w:rsidP="007422B6">
      <w:pPr>
        <w:spacing w:after="0"/>
        <w:jc w:val="both"/>
        <w:rPr>
          <w:rFonts w:ascii="Roboto" w:hAnsi="Roboto"/>
          <w:sz w:val="24"/>
          <w:szCs w:val="24"/>
        </w:rPr>
      </w:pPr>
      <w:r w:rsidRPr="006F15E1">
        <w:rPr>
          <w:rStyle w:val="Refdenotaalpie"/>
          <w:rFonts w:ascii="Roboto" w:hAnsi="Roboto"/>
          <w:sz w:val="24"/>
          <w:szCs w:val="24"/>
        </w:rPr>
        <w:footnoteReference w:id="12"/>
      </w:r>
      <w:r w:rsidRPr="006F15E1">
        <w:rPr>
          <w:rFonts w:ascii="Roboto" w:hAnsi="Roboto"/>
          <w:sz w:val="24"/>
          <w:szCs w:val="24"/>
        </w:rPr>
        <w:t>La entrega del Anexo 15 sobre Información Crediticia aplica únicamente para las aseguradoras que su objeto social permite el otorgamiento de crédito.</w:t>
      </w:r>
    </w:p>
    <w:p w14:paraId="0E28FFC3" w14:textId="55E88A98" w:rsidR="0049538A" w:rsidRPr="006F15E1" w:rsidRDefault="0049538A" w:rsidP="007422B6">
      <w:pPr>
        <w:spacing w:after="0"/>
        <w:jc w:val="both"/>
        <w:rPr>
          <w:rFonts w:ascii="Roboto" w:hAnsi="Roboto"/>
          <w:sz w:val="24"/>
          <w:szCs w:val="24"/>
        </w:rPr>
      </w:pPr>
    </w:p>
    <w:p w14:paraId="4076FC02" w14:textId="1ED6F868" w:rsidR="00E778B3" w:rsidRPr="006F15E1" w:rsidRDefault="004709D6" w:rsidP="007422B6">
      <w:pPr>
        <w:spacing w:after="0"/>
        <w:jc w:val="both"/>
        <w:rPr>
          <w:rFonts w:ascii="Roboto" w:hAnsi="Roboto"/>
          <w:sz w:val="24"/>
          <w:szCs w:val="24"/>
        </w:rPr>
      </w:pPr>
      <w:r w:rsidRPr="006F15E1">
        <w:rPr>
          <w:rStyle w:val="Refdenotaalpie"/>
          <w:rFonts w:ascii="Roboto" w:hAnsi="Roboto"/>
          <w:sz w:val="24"/>
          <w:szCs w:val="24"/>
        </w:rPr>
        <w:lastRenderedPageBreak/>
        <w:footnoteReference w:id="13"/>
      </w:r>
      <w:r w:rsidRPr="006F15E1">
        <w:rPr>
          <w:rFonts w:ascii="Roboto" w:hAnsi="Roboto"/>
          <w:sz w:val="24"/>
          <w:szCs w:val="24"/>
        </w:rPr>
        <w:t>La certificación de ingresos brutos deberá presentarse en la misma fecha en que se remita el informe que contiene la opinión de razonabilidad de los estados financieros auditados, pero deberán ser documentos independientes entre sí.</w:t>
      </w:r>
    </w:p>
    <w:p w14:paraId="7701C6E0" w14:textId="77777777" w:rsidR="007422B6" w:rsidRPr="006F15E1" w:rsidRDefault="007422B6" w:rsidP="007422B6">
      <w:pPr>
        <w:spacing w:after="0"/>
        <w:jc w:val="both"/>
        <w:rPr>
          <w:rFonts w:ascii="Roboto" w:hAnsi="Roboto"/>
          <w:i/>
          <w:sz w:val="24"/>
          <w:szCs w:val="24"/>
        </w:rPr>
      </w:pPr>
    </w:p>
    <w:p w14:paraId="0D2FB390" w14:textId="70743207" w:rsidR="003C1E7C" w:rsidRPr="006F15E1" w:rsidRDefault="004471EC" w:rsidP="007422B6">
      <w:pPr>
        <w:pStyle w:val="Textoindependiente3"/>
        <w:tabs>
          <w:tab w:val="left" w:pos="857"/>
          <w:tab w:val="left" w:pos="1168"/>
        </w:tabs>
        <w:spacing w:after="0"/>
        <w:jc w:val="both"/>
        <w:rPr>
          <w:rFonts w:ascii="Roboto" w:hAnsi="Roboto"/>
          <w:b/>
          <w:sz w:val="24"/>
          <w:szCs w:val="24"/>
        </w:rPr>
      </w:pPr>
      <w:r w:rsidRPr="006F15E1">
        <w:rPr>
          <w:rStyle w:val="Refdenotaalpie"/>
          <w:rFonts w:ascii="Roboto" w:hAnsi="Roboto"/>
          <w:b/>
          <w:bCs/>
          <w:sz w:val="24"/>
          <w:szCs w:val="24"/>
        </w:rPr>
        <w:footnoteReference w:id="14"/>
      </w:r>
      <w:r w:rsidR="003C1E7C" w:rsidRPr="006F15E1">
        <w:rPr>
          <w:rFonts w:ascii="Roboto" w:hAnsi="Roboto"/>
          <w:b/>
          <w:bCs/>
          <w:sz w:val="24"/>
          <w:szCs w:val="24"/>
        </w:rPr>
        <w:t>Artículo 3. Información que deben enviar los Intermediarios de Seguros, Periodicidad, Plazo y Medio de Remisión</w:t>
      </w:r>
    </w:p>
    <w:p w14:paraId="7A08427F" w14:textId="77777777" w:rsidR="003C1E7C" w:rsidRPr="006F15E1" w:rsidRDefault="003C1E7C" w:rsidP="007422B6">
      <w:pPr>
        <w:pStyle w:val="Textoindependiente3"/>
        <w:tabs>
          <w:tab w:val="left" w:pos="857"/>
          <w:tab w:val="left" w:pos="1168"/>
        </w:tabs>
        <w:spacing w:after="0"/>
        <w:jc w:val="both"/>
        <w:rPr>
          <w:rFonts w:ascii="Roboto" w:hAnsi="Roboto"/>
          <w:bCs/>
          <w:sz w:val="24"/>
          <w:szCs w:val="24"/>
        </w:rPr>
      </w:pPr>
      <w:r w:rsidRPr="006F15E1">
        <w:rPr>
          <w:rFonts w:ascii="Roboto" w:hAnsi="Roboto"/>
          <w:bCs/>
          <w:sz w:val="24"/>
          <w:szCs w:val="24"/>
        </w:rPr>
        <w:t>Los intermediarios de seguros (sociedades corredoras y sociedades agencia) deben remitir a la Superintendencia la siguiente información, en las condiciones que se indican a continuación:</w:t>
      </w:r>
    </w:p>
    <w:p w14:paraId="29EC0244" w14:textId="480CF9AF" w:rsidR="003C1E7C" w:rsidRPr="006F15E1" w:rsidRDefault="003C1E7C" w:rsidP="007422B6">
      <w:pPr>
        <w:pStyle w:val="Textoindependiente3"/>
        <w:tabs>
          <w:tab w:val="left" w:pos="857"/>
          <w:tab w:val="left" w:pos="1168"/>
        </w:tabs>
        <w:spacing w:after="0"/>
        <w:jc w:val="both"/>
        <w:rPr>
          <w:rFonts w:ascii="Roboto" w:hAnsi="Roboto"/>
          <w:bCs/>
          <w:sz w:val="24"/>
          <w:szCs w:val="24"/>
        </w:rPr>
      </w:pPr>
    </w:p>
    <w:tbl>
      <w:tblPr>
        <w:tblStyle w:val="Tablaconcuadrcula"/>
        <w:tblW w:w="9368" w:type="dxa"/>
        <w:jc w:val="center"/>
        <w:tblLayout w:type="fixed"/>
        <w:tblLook w:val="04A0" w:firstRow="1" w:lastRow="0" w:firstColumn="1" w:lastColumn="0" w:noHBand="0" w:noVBand="1"/>
      </w:tblPr>
      <w:tblGrid>
        <w:gridCol w:w="2552"/>
        <w:gridCol w:w="2121"/>
        <w:gridCol w:w="2126"/>
        <w:gridCol w:w="2569"/>
      </w:tblGrid>
      <w:tr w:rsidR="004471EC" w:rsidRPr="006F15E1" w14:paraId="3E7D49E2" w14:textId="77777777" w:rsidTr="00AB10CD">
        <w:trPr>
          <w:tblHeader/>
          <w:jc w:val="center"/>
        </w:trPr>
        <w:tc>
          <w:tcPr>
            <w:tcW w:w="2552" w:type="dxa"/>
            <w:shd w:val="clear" w:color="auto" w:fill="A6A6A6" w:themeFill="background1" w:themeFillShade="A6"/>
            <w:vAlign w:val="center"/>
          </w:tcPr>
          <w:p w14:paraId="3309A1F0" w14:textId="77777777" w:rsidR="004471EC" w:rsidRPr="006F15E1" w:rsidRDefault="004471EC" w:rsidP="00B804E5">
            <w:pPr>
              <w:widowControl w:val="0"/>
              <w:jc w:val="center"/>
              <w:rPr>
                <w:rFonts w:ascii="Roboto" w:hAnsi="Roboto"/>
                <w:b/>
                <w:bCs/>
                <w:iCs/>
                <w:snapToGrid w:val="0"/>
                <w:sz w:val="20"/>
                <w:szCs w:val="20"/>
              </w:rPr>
            </w:pPr>
            <w:r w:rsidRPr="006F15E1">
              <w:rPr>
                <w:rFonts w:ascii="Roboto" w:hAnsi="Roboto"/>
                <w:b/>
                <w:bCs/>
                <w:iCs/>
                <w:snapToGrid w:val="0"/>
                <w:sz w:val="20"/>
                <w:szCs w:val="20"/>
              </w:rPr>
              <w:t>Información</w:t>
            </w:r>
          </w:p>
        </w:tc>
        <w:tc>
          <w:tcPr>
            <w:tcW w:w="2121" w:type="dxa"/>
            <w:shd w:val="clear" w:color="auto" w:fill="A6A6A6" w:themeFill="background1" w:themeFillShade="A6"/>
            <w:vAlign w:val="center"/>
          </w:tcPr>
          <w:p w14:paraId="13963C59" w14:textId="77777777" w:rsidR="004471EC" w:rsidRPr="006F15E1" w:rsidRDefault="004471EC" w:rsidP="00B804E5">
            <w:pPr>
              <w:pStyle w:val="Ttulo5"/>
              <w:rPr>
                <w:rFonts w:ascii="Roboto" w:hAnsi="Roboto"/>
                <w:b w:val="0"/>
                <w:bCs/>
                <w:iCs/>
                <w:sz w:val="20"/>
                <w:szCs w:val="20"/>
              </w:rPr>
            </w:pPr>
            <w:r w:rsidRPr="006F15E1">
              <w:rPr>
                <w:rFonts w:ascii="Roboto" w:hAnsi="Roboto"/>
                <w:bCs/>
                <w:iCs/>
                <w:sz w:val="20"/>
                <w:szCs w:val="20"/>
              </w:rPr>
              <w:t>Periodicidad</w:t>
            </w:r>
          </w:p>
        </w:tc>
        <w:tc>
          <w:tcPr>
            <w:tcW w:w="2126" w:type="dxa"/>
            <w:shd w:val="clear" w:color="auto" w:fill="A6A6A6" w:themeFill="background1" w:themeFillShade="A6"/>
            <w:vAlign w:val="center"/>
          </w:tcPr>
          <w:p w14:paraId="0595D2BD" w14:textId="77777777" w:rsidR="004471EC" w:rsidRPr="006F15E1" w:rsidRDefault="004471EC" w:rsidP="00B804E5">
            <w:pPr>
              <w:widowControl w:val="0"/>
              <w:jc w:val="center"/>
              <w:rPr>
                <w:rFonts w:ascii="Roboto" w:hAnsi="Roboto"/>
                <w:b/>
                <w:bCs/>
                <w:iCs/>
                <w:snapToGrid w:val="0"/>
                <w:sz w:val="20"/>
                <w:szCs w:val="20"/>
              </w:rPr>
            </w:pPr>
            <w:r w:rsidRPr="006F15E1">
              <w:rPr>
                <w:rFonts w:ascii="Roboto" w:hAnsi="Roboto"/>
                <w:b/>
                <w:bCs/>
                <w:iCs/>
                <w:snapToGrid w:val="0"/>
                <w:sz w:val="20"/>
                <w:szCs w:val="20"/>
              </w:rPr>
              <w:t>Plazo de entrega</w:t>
            </w:r>
          </w:p>
        </w:tc>
        <w:tc>
          <w:tcPr>
            <w:tcW w:w="2569" w:type="dxa"/>
            <w:shd w:val="clear" w:color="auto" w:fill="A6A6A6" w:themeFill="background1" w:themeFillShade="A6"/>
            <w:vAlign w:val="center"/>
          </w:tcPr>
          <w:p w14:paraId="5FC25D2C" w14:textId="77777777" w:rsidR="004471EC" w:rsidRPr="006F15E1" w:rsidRDefault="004471EC" w:rsidP="00B804E5">
            <w:pPr>
              <w:widowControl w:val="0"/>
              <w:jc w:val="center"/>
              <w:rPr>
                <w:rFonts w:ascii="Roboto" w:hAnsi="Roboto"/>
                <w:b/>
                <w:bCs/>
                <w:iCs/>
                <w:snapToGrid w:val="0"/>
                <w:sz w:val="20"/>
                <w:szCs w:val="20"/>
              </w:rPr>
            </w:pPr>
            <w:r w:rsidRPr="006F15E1">
              <w:rPr>
                <w:rFonts w:ascii="Roboto" w:hAnsi="Roboto"/>
                <w:b/>
                <w:bCs/>
                <w:iCs/>
                <w:snapToGrid w:val="0"/>
                <w:sz w:val="20"/>
                <w:szCs w:val="20"/>
              </w:rPr>
              <w:t>Medio</w:t>
            </w:r>
          </w:p>
        </w:tc>
      </w:tr>
      <w:tr w:rsidR="00B42118" w:rsidRPr="006F15E1" w14:paraId="46783376" w14:textId="77777777" w:rsidTr="00AB10CD">
        <w:trPr>
          <w:jc w:val="center"/>
        </w:trPr>
        <w:tc>
          <w:tcPr>
            <w:tcW w:w="2552" w:type="dxa"/>
          </w:tcPr>
          <w:p w14:paraId="67884854" w14:textId="1F1A63F3" w:rsidR="00B42118" w:rsidRPr="006F15E1" w:rsidRDefault="00B42118" w:rsidP="00B42118">
            <w:pPr>
              <w:widowControl w:val="0"/>
              <w:rPr>
                <w:rFonts w:ascii="Roboto" w:hAnsi="Roboto"/>
                <w:b/>
                <w:bCs/>
                <w:sz w:val="20"/>
                <w:szCs w:val="20"/>
              </w:rPr>
            </w:pPr>
            <w:r w:rsidRPr="006F15E1">
              <w:rPr>
                <w:rFonts w:ascii="Roboto" w:hAnsi="Roboto" w:cstheme="minorHAnsi"/>
                <w:b/>
                <w:bCs/>
                <w:sz w:val="20"/>
                <w:szCs w:val="20"/>
              </w:rPr>
              <w:t>Modelo 1: Datos Contables, Información Adicional y Garantía Mínima de Funcionamiento</w:t>
            </w:r>
          </w:p>
        </w:tc>
        <w:tc>
          <w:tcPr>
            <w:tcW w:w="2121" w:type="dxa"/>
          </w:tcPr>
          <w:p w14:paraId="0C79A6A1" w14:textId="77777777" w:rsidR="00B42118" w:rsidRPr="006F15E1" w:rsidRDefault="00B42118" w:rsidP="00B42118">
            <w:pPr>
              <w:widowControl w:val="0"/>
              <w:rPr>
                <w:rFonts w:ascii="Roboto" w:hAnsi="Roboto" w:cstheme="minorHAnsi"/>
                <w:snapToGrid w:val="0"/>
                <w:sz w:val="20"/>
                <w:szCs w:val="20"/>
              </w:rPr>
            </w:pPr>
            <w:r w:rsidRPr="006F15E1">
              <w:rPr>
                <w:rFonts w:ascii="Roboto" w:hAnsi="Roboto" w:cstheme="minorHAnsi"/>
                <w:snapToGrid w:val="0"/>
                <w:sz w:val="20"/>
                <w:szCs w:val="20"/>
                <w:u w:val="single"/>
              </w:rPr>
              <w:t>Sociedades Agencia:</w:t>
            </w:r>
            <w:r w:rsidRPr="006F15E1">
              <w:rPr>
                <w:rFonts w:ascii="Roboto" w:hAnsi="Roboto" w:cstheme="minorHAnsi"/>
                <w:snapToGrid w:val="0"/>
                <w:sz w:val="20"/>
                <w:szCs w:val="20"/>
              </w:rPr>
              <w:t xml:space="preserve"> </w:t>
            </w:r>
            <w:r w:rsidRPr="006F15E1">
              <w:rPr>
                <w:rFonts w:ascii="Roboto" w:hAnsi="Roboto" w:cstheme="minorHAnsi"/>
                <w:b/>
                <w:bCs/>
                <w:snapToGrid w:val="0"/>
                <w:sz w:val="20"/>
                <w:szCs w:val="20"/>
              </w:rPr>
              <w:t>Semestral</w:t>
            </w:r>
          </w:p>
          <w:p w14:paraId="31FA3273" w14:textId="77777777" w:rsidR="00B42118" w:rsidRPr="006F15E1" w:rsidRDefault="00B42118" w:rsidP="00B42118">
            <w:pPr>
              <w:widowControl w:val="0"/>
              <w:rPr>
                <w:rFonts w:ascii="Roboto" w:hAnsi="Roboto" w:cstheme="minorHAnsi"/>
                <w:snapToGrid w:val="0"/>
                <w:sz w:val="20"/>
                <w:szCs w:val="20"/>
                <w:u w:val="single"/>
              </w:rPr>
            </w:pPr>
          </w:p>
          <w:p w14:paraId="47655334" w14:textId="666E35F3" w:rsidR="00B42118" w:rsidRPr="006F15E1" w:rsidRDefault="00B42118" w:rsidP="00B42118">
            <w:pPr>
              <w:widowControl w:val="0"/>
              <w:rPr>
                <w:rFonts w:ascii="Roboto" w:hAnsi="Roboto" w:cstheme="minorHAnsi"/>
                <w:strike/>
                <w:snapToGrid w:val="0"/>
                <w:sz w:val="20"/>
                <w:szCs w:val="20"/>
              </w:rPr>
            </w:pPr>
            <w:r w:rsidRPr="006F15E1">
              <w:rPr>
                <w:rFonts w:ascii="Roboto" w:hAnsi="Roboto" w:cstheme="minorHAnsi"/>
                <w:snapToGrid w:val="0"/>
                <w:sz w:val="20"/>
                <w:szCs w:val="20"/>
                <w:u w:val="single"/>
              </w:rPr>
              <w:t>Sociedades Corredoras y Sociedades Agencias pertenecientes a grupos o conglomerados financieros:</w:t>
            </w:r>
            <w:r w:rsidRPr="006F15E1">
              <w:rPr>
                <w:rFonts w:ascii="Roboto" w:hAnsi="Roboto" w:cstheme="minorHAnsi"/>
                <w:snapToGrid w:val="0"/>
                <w:sz w:val="20"/>
                <w:szCs w:val="20"/>
              </w:rPr>
              <w:t xml:space="preserve"> </w:t>
            </w:r>
            <w:r w:rsidRPr="006F15E1">
              <w:rPr>
                <w:rFonts w:ascii="Roboto" w:hAnsi="Roboto" w:cstheme="minorHAnsi"/>
                <w:b/>
                <w:bCs/>
                <w:snapToGrid w:val="0"/>
                <w:sz w:val="20"/>
                <w:szCs w:val="20"/>
              </w:rPr>
              <w:t>Trimestral</w:t>
            </w:r>
          </w:p>
        </w:tc>
        <w:tc>
          <w:tcPr>
            <w:tcW w:w="2126" w:type="dxa"/>
          </w:tcPr>
          <w:p w14:paraId="22C2CA09" w14:textId="77777777" w:rsidR="00B42118" w:rsidRPr="006F15E1" w:rsidRDefault="00B42118" w:rsidP="00B42118">
            <w:pPr>
              <w:widowControl w:val="0"/>
              <w:rPr>
                <w:rFonts w:ascii="Roboto" w:hAnsi="Roboto" w:cstheme="minorHAnsi"/>
                <w:sz w:val="20"/>
                <w:szCs w:val="20"/>
              </w:rPr>
            </w:pPr>
            <w:r w:rsidRPr="006F15E1">
              <w:rPr>
                <w:rFonts w:ascii="Roboto" w:hAnsi="Roboto" w:cstheme="minorHAnsi"/>
                <w:sz w:val="20"/>
                <w:szCs w:val="20"/>
              </w:rPr>
              <w:t>15 días hábiles después del cierre de los meses de marzo, junio y setiembre, según la periodicidad establecida para cada tipo de intermediario.</w:t>
            </w:r>
          </w:p>
          <w:p w14:paraId="25CD7F88" w14:textId="77777777" w:rsidR="00B42118" w:rsidRPr="006F15E1" w:rsidRDefault="00B42118" w:rsidP="00B42118">
            <w:pPr>
              <w:widowControl w:val="0"/>
              <w:rPr>
                <w:rFonts w:ascii="Roboto" w:hAnsi="Roboto" w:cstheme="minorHAnsi"/>
                <w:sz w:val="20"/>
                <w:szCs w:val="20"/>
              </w:rPr>
            </w:pPr>
          </w:p>
          <w:p w14:paraId="7B3C1F8F" w14:textId="77777777" w:rsidR="00B42118" w:rsidRPr="006F15E1" w:rsidRDefault="00B42118" w:rsidP="00B42118">
            <w:pPr>
              <w:widowControl w:val="0"/>
              <w:rPr>
                <w:rFonts w:ascii="Roboto" w:hAnsi="Roboto" w:cstheme="minorHAnsi"/>
                <w:sz w:val="20"/>
                <w:szCs w:val="20"/>
              </w:rPr>
            </w:pPr>
            <w:r w:rsidRPr="006F15E1">
              <w:rPr>
                <w:rFonts w:ascii="Roboto" w:hAnsi="Roboto" w:cstheme="minorHAnsi"/>
                <w:sz w:val="20"/>
                <w:szCs w:val="20"/>
              </w:rPr>
              <w:t>Para el caso del mes de diciembre, 5 días hábiles después del cierre de ese mes.</w:t>
            </w:r>
          </w:p>
          <w:p w14:paraId="1535C66A" w14:textId="25FD2333" w:rsidR="00AB10CD" w:rsidRPr="006F15E1" w:rsidRDefault="00AB10CD" w:rsidP="00B42118">
            <w:pPr>
              <w:widowControl w:val="0"/>
              <w:rPr>
                <w:rFonts w:ascii="Roboto" w:hAnsi="Roboto"/>
                <w:sz w:val="20"/>
                <w:szCs w:val="20"/>
              </w:rPr>
            </w:pPr>
          </w:p>
        </w:tc>
        <w:tc>
          <w:tcPr>
            <w:tcW w:w="2569" w:type="dxa"/>
          </w:tcPr>
          <w:p w14:paraId="4B097FCA" w14:textId="2FE8CAC0" w:rsidR="00B42118" w:rsidRPr="006F15E1" w:rsidRDefault="00B42118" w:rsidP="00B42118">
            <w:pPr>
              <w:widowControl w:val="0"/>
              <w:rPr>
                <w:rFonts w:ascii="Roboto" w:hAnsi="Roboto" w:cstheme="minorHAnsi"/>
                <w:strike/>
                <w:snapToGrid w:val="0"/>
                <w:sz w:val="20"/>
                <w:szCs w:val="20"/>
              </w:rPr>
            </w:pPr>
            <w:r w:rsidRPr="006F15E1">
              <w:rPr>
                <w:rFonts w:ascii="Roboto" w:hAnsi="Roboto" w:cstheme="minorHAnsi"/>
                <w:sz w:val="20"/>
                <w:szCs w:val="20"/>
              </w:rPr>
              <w:t xml:space="preserve">Formularios web dispuestos en la plataforma </w:t>
            </w:r>
            <w:r w:rsidRPr="006F15E1">
              <w:rPr>
                <w:rFonts w:ascii="Roboto" w:hAnsi="Roboto" w:cstheme="minorHAnsi"/>
                <w:i/>
                <w:sz w:val="20"/>
                <w:szCs w:val="20"/>
              </w:rPr>
              <w:t>SUGESE en línea</w:t>
            </w:r>
            <w:r w:rsidRPr="006F15E1">
              <w:rPr>
                <w:rFonts w:ascii="Roboto" w:hAnsi="Roboto" w:cstheme="minorHAnsi"/>
                <w:sz w:val="20"/>
                <w:szCs w:val="20"/>
              </w:rPr>
              <w:t xml:space="preserve">, disponible en el sitio web de SUGESE, de conformidad con el Estándar de Negocio para Intermediarios de Seguros, incluido en el </w:t>
            </w:r>
            <w:r w:rsidRPr="006F15E1">
              <w:rPr>
                <w:rFonts w:ascii="Roboto" w:hAnsi="Roboto" w:cstheme="minorHAnsi"/>
                <w:b/>
                <w:bCs/>
                <w:sz w:val="20"/>
                <w:szCs w:val="20"/>
              </w:rPr>
              <w:t>Anexo 8</w:t>
            </w:r>
          </w:p>
        </w:tc>
      </w:tr>
      <w:tr w:rsidR="00AB10CD" w:rsidRPr="006F15E1" w14:paraId="71084F85" w14:textId="77777777" w:rsidTr="00AB10CD">
        <w:trPr>
          <w:jc w:val="center"/>
        </w:trPr>
        <w:tc>
          <w:tcPr>
            <w:tcW w:w="2552" w:type="dxa"/>
          </w:tcPr>
          <w:p w14:paraId="65DDA6BA" w14:textId="751ED7B4" w:rsidR="00AB10CD" w:rsidRPr="006F15E1" w:rsidRDefault="00AB10CD" w:rsidP="00AB10CD">
            <w:pPr>
              <w:widowControl w:val="0"/>
              <w:rPr>
                <w:rFonts w:ascii="Roboto" w:hAnsi="Roboto"/>
                <w:b/>
                <w:bCs/>
                <w:iCs/>
                <w:sz w:val="20"/>
                <w:szCs w:val="20"/>
              </w:rPr>
            </w:pPr>
            <w:r w:rsidRPr="006F15E1">
              <w:rPr>
                <w:rStyle w:val="Refdenotaalpie"/>
                <w:rFonts w:ascii="Roboto" w:hAnsi="Roboto"/>
                <w:b/>
                <w:bCs/>
                <w:iCs/>
              </w:rPr>
              <w:footnoteReference w:id="15"/>
            </w:r>
            <w:r w:rsidRPr="006F15E1">
              <w:rPr>
                <w:rFonts w:ascii="Roboto" w:hAnsi="Roboto"/>
                <w:b/>
                <w:bCs/>
                <w:iCs/>
              </w:rPr>
              <w:t xml:space="preserve">Modelo 2: Suficiencia Patrimonial de </w:t>
            </w:r>
            <w:r w:rsidRPr="006F15E1">
              <w:rPr>
                <w:rFonts w:ascii="Roboto" w:hAnsi="Roboto" w:cstheme="minorHAnsi"/>
                <w:b/>
                <w:bCs/>
                <w:iCs/>
                <w:snapToGrid w:val="0"/>
              </w:rPr>
              <w:t>Sociedades Corredoras y Sociedades Agencias pertenecientes a grupos o conglomerados financieros</w:t>
            </w:r>
          </w:p>
        </w:tc>
        <w:tc>
          <w:tcPr>
            <w:tcW w:w="2121" w:type="dxa"/>
          </w:tcPr>
          <w:p w14:paraId="03522D54" w14:textId="28636807" w:rsidR="00AB10CD" w:rsidRPr="006F15E1" w:rsidRDefault="00AB10CD" w:rsidP="00AB10CD">
            <w:pPr>
              <w:widowControl w:val="0"/>
              <w:ind w:left="94"/>
              <w:jc w:val="both"/>
              <w:rPr>
                <w:rFonts w:ascii="Roboto" w:hAnsi="Roboto" w:cstheme="minorHAnsi"/>
                <w:iCs/>
                <w:snapToGrid w:val="0"/>
                <w:sz w:val="20"/>
                <w:szCs w:val="20"/>
              </w:rPr>
            </w:pPr>
            <w:r w:rsidRPr="006F15E1">
              <w:rPr>
                <w:rFonts w:ascii="Roboto" w:hAnsi="Roboto" w:cstheme="minorHAnsi"/>
                <w:b/>
                <w:bCs/>
                <w:iCs/>
                <w:snapToGrid w:val="0"/>
              </w:rPr>
              <w:t>Trimestral</w:t>
            </w:r>
          </w:p>
        </w:tc>
        <w:tc>
          <w:tcPr>
            <w:tcW w:w="2126" w:type="dxa"/>
          </w:tcPr>
          <w:p w14:paraId="02A1A2D8" w14:textId="089A9C54" w:rsidR="00AB10CD" w:rsidRPr="006F15E1" w:rsidRDefault="00AB10CD" w:rsidP="00AB10CD">
            <w:pPr>
              <w:widowControl w:val="0"/>
              <w:jc w:val="both"/>
              <w:rPr>
                <w:rFonts w:ascii="Roboto" w:hAnsi="Roboto"/>
                <w:iCs/>
                <w:sz w:val="20"/>
                <w:szCs w:val="20"/>
              </w:rPr>
            </w:pPr>
            <w:r w:rsidRPr="006F15E1">
              <w:rPr>
                <w:rFonts w:ascii="Roboto" w:hAnsi="Roboto" w:cstheme="minorHAnsi"/>
                <w:iCs/>
                <w:snapToGrid w:val="0"/>
              </w:rPr>
              <w:t>15 días hábiles después del cierre de los meses de marzo, junio, setiembre y diciembre.</w:t>
            </w:r>
          </w:p>
        </w:tc>
        <w:tc>
          <w:tcPr>
            <w:tcW w:w="2569" w:type="dxa"/>
          </w:tcPr>
          <w:p w14:paraId="0DF0FC36" w14:textId="2E6BF671" w:rsidR="00AB10CD" w:rsidRPr="006F15E1" w:rsidRDefault="00AB10CD" w:rsidP="00AB10CD">
            <w:pPr>
              <w:widowControl w:val="0"/>
              <w:jc w:val="both"/>
              <w:rPr>
                <w:rFonts w:ascii="Roboto" w:hAnsi="Roboto"/>
                <w:iCs/>
                <w:sz w:val="20"/>
                <w:szCs w:val="20"/>
              </w:rPr>
            </w:pPr>
            <w:r w:rsidRPr="006F15E1">
              <w:rPr>
                <w:rFonts w:ascii="Roboto" w:hAnsi="Roboto" w:cstheme="minorHAnsi"/>
                <w:iCs/>
              </w:rPr>
              <w:t xml:space="preserve">Formularios web dispuestos en la plataforma SUGESE en línea, disponible en el sitio web de SUGESE, de conformidad con el Estándar de Negocio para Intermediarios de Seguros, incluido en el </w:t>
            </w:r>
            <w:r w:rsidRPr="006F15E1">
              <w:rPr>
                <w:rFonts w:ascii="Roboto" w:hAnsi="Roboto" w:cstheme="minorHAnsi"/>
                <w:b/>
                <w:bCs/>
                <w:iCs/>
              </w:rPr>
              <w:t>Anexo 8</w:t>
            </w:r>
            <w:r w:rsidRPr="006F15E1">
              <w:rPr>
                <w:rFonts w:ascii="Roboto" w:hAnsi="Roboto" w:cstheme="minorHAnsi"/>
                <w:iCs/>
                <w:snapToGrid w:val="0"/>
              </w:rPr>
              <w:t>.</w:t>
            </w:r>
          </w:p>
        </w:tc>
      </w:tr>
      <w:tr w:rsidR="002D44EE" w:rsidRPr="006F15E1" w14:paraId="6004F162" w14:textId="77777777" w:rsidTr="003E4EF8">
        <w:trPr>
          <w:jc w:val="center"/>
        </w:trPr>
        <w:tc>
          <w:tcPr>
            <w:tcW w:w="2552" w:type="dxa"/>
          </w:tcPr>
          <w:p w14:paraId="0C5B0FDC" w14:textId="3EC18E4B" w:rsidR="002D44EE" w:rsidRPr="006F15E1" w:rsidRDefault="002D44EE" w:rsidP="002D44EE">
            <w:pPr>
              <w:widowControl w:val="0"/>
              <w:rPr>
                <w:rFonts w:ascii="Roboto" w:hAnsi="Roboto" w:cstheme="minorHAnsi"/>
                <w:b/>
                <w:bCs/>
                <w:sz w:val="20"/>
                <w:szCs w:val="20"/>
              </w:rPr>
            </w:pPr>
            <w:r w:rsidRPr="006F15E1">
              <w:rPr>
                <w:rStyle w:val="Refdenotaalpie"/>
                <w:rFonts w:ascii="Roboto" w:hAnsi="Roboto"/>
                <w:b/>
                <w:color w:val="000000" w:themeColor="text1"/>
                <w:sz w:val="20"/>
                <w:szCs w:val="20"/>
              </w:rPr>
              <w:lastRenderedPageBreak/>
              <w:footnoteReference w:id="16"/>
            </w:r>
            <w:r w:rsidRPr="006F15E1">
              <w:rPr>
                <w:rFonts w:ascii="Roboto" w:hAnsi="Roboto"/>
                <w:b/>
                <w:color w:val="000000" w:themeColor="text1"/>
                <w:sz w:val="20"/>
                <w:szCs w:val="20"/>
              </w:rPr>
              <w:t>Estados Financieros Auditados</w:t>
            </w:r>
          </w:p>
        </w:tc>
        <w:tc>
          <w:tcPr>
            <w:tcW w:w="2121" w:type="dxa"/>
          </w:tcPr>
          <w:p w14:paraId="23F7B771" w14:textId="77777777" w:rsidR="002D44EE" w:rsidRPr="006F15E1" w:rsidRDefault="002D44EE" w:rsidP="002D44EE">
            <w:pPr>
              <w:jc w:val="both"/>
              <w:rPr>
                <w:rFonts w:ascii="Roboto" w:hAnsi="Roboto"/>
                <w:bCs/>
                <w:color w:val="000000" w:themeColor="text1"/>
                <w:sz w:val="20"/>
                <w:szCs w:val="20"/>
              </w:rPr>
            </w:pPr>
            <w:r w:rsidRPr="006F15E1">
              <w:rPr>
                <w:rFonts w:ascii="Roboto" w:hAnsi="Roboto"/>
                <w:bCs/>
                <w:color w:val="000000" w:themeColor="text1"/>
                <w:sz w:val="20"/>
                <w:szCs w:val="20"/>
              </w:rPr>
              <w:t xml:space="preserve">Sociedades Corredoras </w:t>
            </w:r>
          </w:p>
          <w:p w14:paraId="1C7C242B" w14:textId="714535CD" w:rsidR="002D44EE" w:rsidRPr="006F15E1" w:rsidRDefault="002D44EE" w:rsidP="002D44EE">
            <w:pPr>
              <w:widowControl w:val="0"/>
              <w:ind w:left="94"/>
              <w:jc w:val="both"/>
              <w:rPr>
                <w:rFonts w:ascii="Roboto" w:hAnsi="Roboto" w:cstheme="minorHAnsi"/>
                <w:snapToGrid w:val="0"/>
                <w:sz w:val="20"/>
                <w:szCs w:val="20"/>
              </w:rPr>
            </w:pPr>
            <w:r w:rsidRPr="006F15E1">
              <w:rPr>
                <w:rFonts w:ascii="Roboto" w:hAnsi="Roboto"/>
                <w:bCs/>
                <w:color w:val="000000" w:themeColor="text1"/>
                <w:sz w:val="20"/>
                <w:szCs w:val="20"/>
              </w:rPr>
              <w:t>Anual</w:t>
            </w:r>
          </w:p>
        </w:tc>
        <w:tc>
          <w:tcPr>
            <w:tcW w:w="2126" w:type="dxa"/>
          </w:tcPr>
          <w:p w14:paraId="2D01928B" w14:textId="072DEBD1" w:rsidR="002D44EE" w:rsidRPr="006F15E1" w:rsidRDefault="002D44EE" w:rsidP="002D44EE">
            <w:pPr>
              <w:widowControl w:val="0"/>
              <w:rPr>
                <w:rFonts w:ascii="Roboto" w:hAnsi="Roboto"/>
                <w:sz w:val="20"/>
                <w:szCs w:val="20"/>
              </w:rPr>
            </w:pPr>
            <w:r w:rsidRPr="006F15E1">
              <w:rPr>
                <w:rFonts w:ascii="Roboto" w:hAnsi="Roboto"/>
                <w:bCs/>
                <w:color w:val="000000" w:themeColor="text1"/>
                <w:sz w:val="20"/>
                <w:szCs w:val="20"/>
              </w:rPr>
              <w:t>Cuarenta días hábiles posteriores al cierre anual.</w:t>
            </w:r>
          </w:p>
        </w:tc>
        <w:tc>
          <w:tcPr>
            <w:tcW w:w="2569" w:type="dxa"/>
          </w:tcPr>
          <w:p w14:paraId="305FA335" w14:textId="07BC6B99" w:rsidR="002D44EE" w:rsidRPr="006F15E1" w:rsidRDefault="002D44EE" w:rsidP="002D44EE">
            <w:pPr>
              <w:widowControl w:val="0"/>
              <w:jc w:val="both"/>
              <w:rPr>
                <w:rFonts w:ascii="Roboto" w:hAnsi="Roboto"/>
                <w:sz w:val="20"/>
                <w:szCs w:val="20"/>
              </w:rPr>
            </w:pPr>
            <w:r w:rsidRPr="006F15E1">
              <w:rPr>
                <w:rFonts w:ascii="Roboto" w:hAnsi="Roboto"/>
                <w:bCs/>
                <w:color w:val="000000" w:themeColor="text1"/>
                <w:sz w:val="20"/>
                <w:szCs w:val="20"/>
              </w:rPr>
              <w:t>De forma digital mediante requerimiento del servicio de Ejecución de Estudios y Seguimiento (EES) de SUGESE en Línea.</w:t>
            </w:r>
          </w:p>
        </w:tc>
      </w:tr>
      <w:tr w:rsidR="002D44EE" w:rsidRPr="006F15E1" w14:paraId="65191230" w14:textId="77777777" w:rsidTr="003E4EF8">
        <w:trPr>
          <w:jc w:val="center"/>
        </w:trPr>
        <w:tc>
          <w:tcPr>
            <w:tcW w:w="2552" w:type="dxa"/>
          </w:tcPr>
          <w:p w14:paraId="60BF9F12" w14:textId="627888AC" w:rsidR="002D44EE" w:rsidRPr="006F15E1" w:rsidRDefault="002D44EE" w:rsidP="002D44EE">
            <w:pPr>
              <w:widowControl w:val="0"/>
              <w:rPr>
                <w:rFonts w:ascii="Roboto" w:hAnsi="Roboto" w:cstheme="minorHAnsi"/>
                <w:b/>
                <w:bCs/>
                <w:sz w:val="20"/>
                <w:szCs w:val="20"/>
              </w:rPr>
            </w:pPr>
            <w:r w:rsidRPr="006F15E1">
              <w:rPr>
                <w:rStyle w:val="Refdenotaalpie"/>
                <w:rFonts w:ascii="Roboto" w:hAnsi="Roboto"/>
                <w:b/>
                <w:color w:val="000000" w:themeColor="text1"/>
                <w:sz w:val="20"/>
                <w:szCs w:val="20"/>
              </w:rPr>
              <w:footnoteReference w:id="17"/>
            </w:r>
            <w:r w:rsidRPr="006F15E1">
              <w:rPr>
                <w:rFonts w:ascii="Roboto" w:hAnsi="Roboto"/>
                <w:b/>
                <w:color w:val="000000" w:themeColor="text1"/>
                <w:sz w:val="20"/>
                <w:szCs w:val="20"/>
              </w:rPr>
              <w:t>Estados Financieros Auditados</w:t>
            </w:r>
          </w:p>
        </w:tc>
        <w:tc>
          <w:tcPr>
            <w:tcW w:w="2121" w:type="dxa"/>
          </w:tcPr>
          <w:p w14:paraId="7CCEBD13" w14:textId="77777777" w:rsidR="002D44EE" w:rsidRPr="006F15E1" w:rsidRDefault="002D44EE" w:rsidP="002D44EE">
            <w:pPr>
              <w:jc w:val="both"/>
              <w:rPr>
                <w:rFonts w:ascii="Roboto" w:hAnsi="Roboto"/>
                <w:bCs/>
                <w:color w:val="000000" w:themeColor="text1"/>
                <w:sz w:val="20"/>
                <w:szCs w:val="20"/>
              </w:rPr>
            </w:pPr>
            <w:r w:rsidRPr="006F15E1">
              <w:rPr>
                <w:rFonts w:ascii="Roboto" w:hAnsi="Roboto"/>
                <w:bCs/>
                <w:color w:val="000000" w:themeColor="text1"/>
                <w:sz w:val="20"/>
                <w:szCs w:val="20"/>
              </w:rPr>
              <w:t xml:space="preserve">Sociedades Agencia </w:t>
            </w:r>
          </w:p>
          <w:p w14:paraId="324667A8" w14:textId="22387B37" w:rsidR="002D44EE" w:rsidRPr="006F15E1" w:rsidRDefault="002D44EE" w:rsidP="002D44EE">
            <w:pPr>
              <w:widowControl w:val="0"/>
              <w:ind w:left="94"/>
              <w:jc w:val="both"/>
              <w:rPr>
                <w:rFonts w:ascii="Roboto" w:hAnsi="Roboto" w:cstheme="minorHAnsi"/>
                <w:snapToGrid w:val="0"/>
                <w:sz w:val="20"/>
                <w:szCs w:val="20"/>
              </w:rPr>
            </w:pPr>
            <w:r w:rsidRPr="006F15E1">
              <w:rPr>
                <w:rFonts w:ascii="Roboto" w:hAnsi="Roboto"/>
                <w:bCs/>
                <w:color w:val="000000" w:themeColor="text1"/>
                <w:sz w:val="20"/>
                <w:szCs w:val="20"/>
              </w:rPr>
              <w:t>Anual</w:t>
            </w:r>
          </w:p>
        </w:tc>
        <w:tc>
          <w:tcPr>
            <w:tcW w:w="2126" w:type="dxa"/>
          </w:tcPr>
          <w:p w14:paraId="52036402" w14:textId="6BDBA373" w:rsidR="002D44EE" w:rsidRPr="006F15E1" w:rsidRDefault="002D44EE" w:rsidP="002D44EE">
            <w:pPr>
              <w:widowControl w:val="0"/>
              <w:rPr>
                <w:rFonts w:ascii="Roboto" w:hAnsi="Roboto"/>
                <w:sz w:val="20"/>
                <w:szCs w:val="20"/>
              </w:rPr>
            </w:pPr>
            <w:r w:rsidRPr="006F15E1">
              <w:rPr>
                <w:rFonts w:ascii="Roboto" w:hAnsi="Roboto"/>
                <w:bCs/>
                <w:color w:val="000000" w:themeColor="text1"/>
                <w:sz w:val="20"/>
                <w:szCs w:val="20"/>
              </w:rPr>
              <w:t>Cuarenta días hábiles posteriores al cierre anual.</w:t>
            </w:r>
          </w:p>
        </w:tc>
        <w:tc>
          <w:tcPr>
            <w:tcW w:w="2569" w:type="dxa"/>
          </w:tcPr>
          <w:p w14:paraId="6720819B" w14:textId="641A7500" w:rsidR="002D44EE" w:rsidRPr="006F15E1" w:rsidRDefault="002D44EE" w:rsidP="002D44EE">
            <w:pPr>
              <w:widowControl w:val="0"/>
              <w:jc w:val="both"/>
              <w:rPr>
                <w:rFonts w:ascii="Roboto" w:hAnsi="Roboto"/>
                <w:sz w:val="20"/>
                <w:szCs w:val="20"/>
              </w:rPr>
            </w:pPr>
            <w:r w:rsidRPr="006F15E1">
              <w:rPr>
                <w:rFonts w:ascii="Roboto" w:hAnsi="Roboto"/>
                <w:bCs/>
                <w:color w:val="000000" w:themeColor="text1"/>
                <w:sz w:val="20"/>
                <w:szCs w:val="20"/>
              </w:rPr>
              <w:t>De forma digital al correo electrónico oficial de la Superintendencia según lo define el acuerdo de firma digital.</w:t>
            </w:r>
          </w:p>
        </w:tc>
      </w:tr>
      <w:tr w:rsidR="002D44EE" w:rsidRPr="006F15E1" w14:paraId="5FEE509B" w14:textId="77777777" w:rsidTr="003E4EF8">
        <w:trPr>
          <w:jc w:val="center"/>
        </w:trPr>
        <w:tc>
          <w:tcPr>
            <w:tcW w:w="2552" w:type="dxa"/>
          </w:tcPr>
          <w:p w14:paraId="12D52730" w14:textId="66077583" w:rsidR="002D44EE" w:rsidRPr="006F15E1" w:rsidRDefault="002D44EE" w:rsidP="002D44EE">
            <w:pPr>
              <w:widowControl w:val="0"/>
              <w:rPr>
                <w:rFonts w:ascii="Roboto" w:hAnsi="Roboto" w:cstheme="minorHAnsi"/>
                <w:b/>
                <w:bCs/>
                <w:sz w:val="20"/>
                <w:szCs w:val="20"/>
              </w:rPr>
            </w:pPr>
            <w:r w:rsidRPr="006F15E1">
              <w:rPr>
                <w:rStyle w:val="Refdenotaalpie"/>
                <w:rFonts w:ascii="Roboto" w:hAnsi="Roboto"/>
                <w:b/>
                <w:color w:val="000000" w:themeColor="text1"/>
                <w:sz w:val="20"/>
                <w:szCs w:val="20"/>
              </w:rPr>
              <w:footnoteReference w:id="18"/>
            </w:r>
            <w:r w:rsidRPr="006F15E1">
              <w:rPr>
                <w:rFonts w:ascii="Roboto" w:hAnsi="Roboto"/>
                <w:b/>
                <w:color w:val="000000" w:themeColor="text1"/>
                <w:sz w:val="20"/>
                <w:szCs w:val="20"/>
              </w:rPr>
              <w:t>Informe del auditor externo de LC/FT/FPADM</w:t>
            </w:r>
          </w:p>
        </w:tc>
        <w:tc>
          <w:tcPr>
            <w:tcW w:w="2121" w:type="dxa"/>
          </w:tcPr>
          <w:p w14:paraId="32FFDBC2" w14:textId="77777777" w:rsidR="002D44EE" w:rsidRPr="006F15E1" w:rsidRDefault="002D44EE" w:rsidP="002D44EE">
            <w:pPr>
              <w:jc w:val="both"/>
              <w:rPr>
                <w:rFonts w:ascii="Roboto" w:hAnsi="Roboto"/>
                <w:bCs/>
                <w:color w:val="000000" w:themeColor="text1"/>
                <w:sz w:val="20"/>
                <w:szCs w:val="20"/>
              </w:rPr>
            </w:pPr>
            <w:r w:rsidRPr="006F15E1">
              <w:rPr>
                <w:rFonts w:ascii="Roboto" w:hAnsi="Roboto"/>
                <w:bCs/>
                <w:color w:val="000000" w:themeColor="text1"/>
                <w:sz w:val="20"/>
                <w:szCs w:val="20"/>
              </w:rPr>
              <w:t xml:space="preserve">Sociedades Corredoras </w:t>
            </w:r>
          </w:p>
          <w:p w14:paraId="164D061A" w14:textId="1C9E81FD" w:rsidR="002D44EE" w:rsidRPr="006F15E1" w:rsidRDefault="002D44EE" w:rsidP="002D44EE">
            <w:pPr>
              <w:widowControl w:val="0"/>
              <w:ind w:left="94"/>
              <w:jc w:val="both"/>
              <w:rPr>
                <w:rFonts w:ascii="Roboto" w:hAnsi="Roboto" w:cstheme="minorHAnsi"/>
                <w:snapToGrid w:val="0"/>
                <w:sz w:val="20"/>
                <w:szCs w:val="20"/>
              </w:rPr>
            </w:pPr>
            <w:r w:rsidRPr="006F15E1">
              <w:rPr>
                <w:rFonts w:ascii="Roboto" w:hAnsi="Roboto"/>
                <w:bCs/>
                <w:color w:val="000000" w:themeColor="text1"/>
                <w:sz w:val="20"/>
                <w:szCs w:val="20"/>
              </w:rPr>
              <w:t>Anual</w:t>
            </w:r>
          </w:p>
        </w:tc>
        <w:tc>
          <w:tcPr>
            <w:tcW w:w="2126" w:type="dxa"/>
          </w:tcPr>
          <w:p w14:paraId="23EFC6A0" w14:textId="07ED7897" w:rsidR="002D44EE" w:rsidRPr="006F15E1" w:rsidRDefault="002D44EE" w:rsidP="002D44EE">
            <w:pPr>
              <w:widowControl w:val="0"/>
              <w:rPr>
                <w:rFonts w:ascii="Roboto" w:hAnsi="Roboto"/>
                <w:sz w:val="20"/>
                <w:szCs w:val="20"/>
              </w:rPr>
            </w:pPr>
            <w:r w:rsidRPr="006F15E1">
              <w:rPr>
                <w:rFonts w:ascii="Roboto" w:hAnsi="Roboto"/>
                <w:bCs/>
                <w:color w:val="000000" w:themeColor="text1"/>
                <w:sz w:val="20"/>
                <w:szCs w:val="20"/>
              </w:rPr>
              <w:t>Último día hábil de abril de cada año</w:t>
            </w:r>
          </w:p>
        </w:tc>
        <w:tc>
          <w:tcPr>
            <w:tcW w:w="2569" w:type="dxa"/>
          </w:tcPr>
          <w:p w14:paraId="40A39DEC" w14:textId="3C37FCBE" w:rsidR="002D44EE" w:rsidRPr="006F15E1" w:rsidRDefault="002D44EE" w:rsidP="002D44EE">
            <w:pPr>
              <w:widowControl w:val="0"/>
              <w:jc w:val="both"/>
              <w:rPr>
                <w:rFonts w:ascii="Roboto" w:hAnsi="Roboto"/>
                <w:sz w:val="20"/>
                <w:szCs w:val="20"/>
              </w:rPr>
            </w:pPr>
            <w:r w:rsidRPr="006F15E1">
              <w:rPr>
                <w:rFonts w:ascii="Roboto" w:hAnsi="Roboto"/>
                <w:bCs/>
                <w:color w:val="000000" w:themeColor="text1"/>
                <w:sz w:val="20"/>
                <w:szCs w:val="20"/>
              </w:rPr>
              <w:t>De forma digital mediante requerimiento del servicio de Ejecución de Estudios y Seguimiento (EES) de SUGESE en Línea</w:t>
            </w:r>
          </w:p>
        </w:tc>
      </w:tr>
      <w:tr w:rsidR="002D44EE" w:rsidRPr="006F15E1" w14:paraId="6CDCFACA" w14:textId="77777777" w:rsidTr="003E4EF8">
        <w:trPr>
          <w:jc w:val="center"/>
        </w:trPr>
        <w:tc>
          <w:tcPr>
            <w:tcW w:w="2552" w:type="dxa"/>
          </w:tcPr>
          <w:p w14:paraId="030F8D57" w14:textId="4AE7CE3A" w:rsidR="002D44EE" w:rsidRPr="006F15E1" w:rsidRDefault="002D44EE" w:rsidP="002D44EE">
            <w:pPr>
              <w:widowControl w:val="0"/>
              <w:rPr>
                <w:rFonts w:ascii="Roboto" w:hAnsi="Roboto" w:cstheme="minorHAnsi"/>
                <w:b/>
                <w:bCs/>
                <w:sz w:val="20"/>
                <w:szCs w:val="20"/>
              </w:rPr>
            </w:pPr>
            <w:r w:rsidRPr="006F15E1">
              <w:rPr>
                <w:rStyle w:val="Refdenotaalpie"/>
                <w:rFonts w:ascii="Roboto" w:hAnsi="Roboto"/>
                <w:b/>
                <w:color w:val="000000" w:themeColor="text1"/>
                <w:sz w:val="20"/>
                <w:szCs w:val="20"/>
              </w:rPr>
              <w:footnoteReference w:id="19"/>
            </w:r>
            <w:r w:rsidRPr="006F15E1">
              <w:rPr>
                <w:rFonts w:ascii="Roboto" w:hAnsi="Roboto"/>
                <w:b/>
                <w:color w:val="000000" w:themeColor="text1"/>
                <w:sz w:val="20"/>
                <w:szCs w:val="20"/>
              </w:rPr>
              <w:t>Informe del auditor externo de LC/FT/FPADM</w:t>
            </w:r>
          </w:p>
        </w:tc>
        <w:tc>
          <w:tcPr>
            <w:tcW w:w="2121" w:type="dxa"/>
          </w:tcPr>
          <w:p w14:paraId="4C3EDDAA" w14:textId="77777777" w:rsidR="002D44EE" w:rsidRPr="006F15E1" w:rsidRDefault="002D44EE" w:rsidP="002D44EE">
            <w:pPr>
              <w:jc w:val="both"/>
              <w:rPr>
                <w:rFonts w:ascii="Roboto" w:hAnsi="Roboto"/>
                <w:bCs/>
                <w:color w:val="000000" w:themeColor="text1"/>
                <w:sz w:val="20"/>
                <w:szCs w:val="20"/>
              </w:rPr>
            </w:pPr>
            <w:r w:rsidRPr="006F15E1">
              <w:rPr>
                <w:rFonts w:ascii="Roboto" w:hAnsi="Roboto"/>
                <w:bCs/>
                <w:color w:val="000000" w:themeColor="text1"/>
                <w:sz w:val="20"/>
                <w:szCs w:val="20"/>
              </w:rPr>
              <w:t xml:space="preserve">Sociedades Agencia </w:t>
            </w:r>
          </w:p>
          <w:p w14:paraId="06ADE30E" w14:textId="22CAB0E8" w:rsidR="002D44EE" w:rsidRPr="006F15E1" w:rsidRDefault="002D44EE" w:rsidP="002D44EE">
            <w:pPr>
              <w:widowControl w:val="0"/>
              <w:ind w:left="94"/>
              <w:jc w:val="both"/>
              <w:rPr>
                <w:rFonts w:ascii="Roboto" w:hAnsi="Roboto" w:cstheme="minorHAnsi"/>
                <w:snapToGrid w:val="0"/>
                <w:sz w:val="20"/>
                <w:szCs w:val="20"/>
              </w:rPr>
            </w:pPr>
            <w:r w:rsidRPr="006F15E1">
              <w:rPr>
                <w:rFonts w:ascii="Roboto" w:hAnsi="Roboto"/>
                <w:bCs/>
                <w:color w:val="000000" w:themeColor="text1"/>
                <w:sz w:val="20"/>
                <w:szCs w:val="20"/>
              </w:rPr>
              <w:t>Anual</w:t>
            </w:r>
          </w:p>
        </w:tc>
        <w:tc>
          <w:tcPr>
            <w:tcW w:w="2126" w:type="dxa"/>
          </w:tcPr>
          <w:p w14:paraId="57EC3627" w14:textId="54F16835" w:rsidR="002D44EE" w:rsidRPr="006F15E1" w:rsidRDefault="002D44EE" w:rsidP="002D44EE">
            <w:pPr>
              <w:widowControl w:val="0"/>
              <w:rPr>
                <w:rFonts w:ascii="Roboto" w:hAnsi="Roboto"/>
                <w:sz w:val="20"/>
                <w:szCs w:val="20"/>
              </w:rPr>
            </w:pPr>
            <w:r w:rsidRPr="006F15E1">
              <w:rPr>
                <w:rFonts w:ascii="Roboto" w:hAnsi="Roboto"/>
                <w:bCs/>
                <w:color w:val="000000" w:themeColor="text1"/>
                <w:sz w:val="20"/>
                <w:szCs w:val="20"/>
              </w:rPr>
              <w:t>Último día hábil de abril de cada año</w:t>
            </w:r>
          </w:p>
        </w:tc>
        <w:tc>
          <w:tcPr>
            <w:tcW w:w="2569" w:type="dxa"/>
          </w:tcPr>
          <w:p w14:paraId="1BE64B21" w14:textId="4C378E5F" w:rsidR="002D44EE" w:rsidRPr="006F15E1" w:rsidRDefault="002D44EE" w:rsidP="002D44EE">
            <w:pPr>
              <w:widowControl w:val="0"/>
              <w:jc w:val="both"/>
              <w:rPr>
                <w:rFonts w:ascii="Roboto" w:hAnsi="Roboto"/>
                <w:sz w:val="20"/>
                <w:szCs w:val="20"/>
              </w:rPr>
            </w:pPr>
            <w:r w:rsidRPr="006F15E1">
              <w:rPr>
                <w:rFonts w:ascii="Roboto" w:hAnsi="Roboto"/>
                <w:bCs/>
                <w:color w:val="000000" w:themeColor="text1"/>
                <w:sz w:val="20"/>
                <w:szCs w:val="20"/>
              </w:rPr>
              <w:t>De forma digital al correo electrónico oficial de la Superintendencia según lo define el acuerdo de firma digital.</w:t>
            </w:r>
          </w:p>
        </w:tc>
      </w:tr>
      <w:tr w:rsidR="00AB10CD" w:rsidRPr="006F15E1" w14:paraId="0FDAEF94" w14:textId="77777777" w:rsidTr="00AB10CD">
        <w:trPr>
          <w:jc w:val="center"/>
        </w:trPr>
        <w:tc>
          <w:tcPr>
            <w:tcW w:w="2552" w:type="dxa"/>
            <w:vAlign w:val="center"/>
          </w:tcPr>
          <w:p w14:paraId="1DAB064F" w14:textId="74EB2706" w:rsidR="00AB10CD" w:rsidRPr="006F15E1" w:rsidRDefault="00AB10CD" w:rsidP="00AB10CD">
            <w:pPr>
              <w:widowControl w:val="0"/>
              <w:rPr>
                <w:rFonts w:ascii="Roboto" w:hAnsi="Roboto"/>
                <w:b/>
                <w:bCs/>
                <w:iCs/>
                <w:sz w:val="20"/>
                <w:szCs w:val="20"/>
              </w:rPr>
            </w:pPr>
            <w:r w:rsidRPr="006F15E1">
              <w:rPr>
                <w:rStyle w:val="Refdenotaalpie"/>
                <w:rFonts w:ascii="Roboto" w:hAnsi="Roboto"/>
                <w:b/>
                <w:bCs/>
                <w:iCs/>
              </w:rPr>
              <w:footnoteReference w:id="20"/>
            </w:r>
            <w:r w:rsidRPr="006F15E1">
              <w:rPr>
                <w:rFonts w:ascii="Roboto" w:hAnsi="Roboto"/>
                <w:b/>
                <w:bCs/>
                <w:iCs/>
              </w:rPr>
              <w:t>Certificación de ingresos brutos</w:t>
            </w:r>
          </w:p>
        </w:tc>
        <w:tc>
          <w:tcPr>
            <w:tcW w:w="2121" w:type="dxa"/>
            <w:vAlign w:val="center"/>
          </w:tcPr>
          <w:p w14:paraId="451DCB0F" w14:textId="641717AD" w:rsidR="00AB10CD" w:rsidRPr="006F15E1" w:rsidRDefault="00AB10CD" w:rsidP="00AB10CD">
            <w:pPr>
              <w:widowControl w:val="0"/>
              <w:ind w:left="94"/>
              <w:jc w:val="both"/>
              <w:rPr>
                <w:rFonts w:ascii="Roboto" w:hAnsi="Roboto" w:cstheme="minorHAnsi"/>
                <w:iCs/>
                <w:snapToGrid w:val="0"/>
                <w:sz w:val="20"/>
                <w:szCs w:val="20"/>
              </w:rPr>
            </w:pPr>
            <w:r w:rsidRPr="006F15E1">
              <w:rPr>
                <w:rFonts w:ascii="Roboto" w:hAnsi="Roboto" w:cstheme="minorHAnsi"/>
                <w:iCs/>
                <w:snapToGrid w:val="0"/>
              </w:rPr>
              <w:t>Anual</w:t>
            </w:r>
          </w:p>
        </w:tc>
        <w:tc>
          <w:tcPr>
            <w:tcW w:w="2126" w:type="dxa"/>
            <w:vAlign w:val="center"/>
          </w:tcPr>
          <w:p w14:paraId="64F43577" w14:textId="77777777" w:rsidR="00AB10CD" w:rsidRPr="006F15E1" w:rsidRDefault="00AB10CD" w:rsidP="00AB10CD">
            <w:pPr>
              <w:widowControl w:val="0"/>
              <w:jc w:val="both"/>
              <w:rPr>
                <w:rFonts w:ascii="Roboto" w:hAnsi="Roboto"/>
                <w:iCs/>
              </w:rPr>
            </w:pPr>
            <w:r w:rsidRPr="006F15E1">
              <w:rPr>
                <w:rFonts w:ascii="Roboto" w:hAnsi="Roboto"/>
                <w:iCs/>
              </w:rPr>
              <w:t>Cuarenta días hábiles posteriores al</w:t>
            </w:r>
          </w:p>
          <w:p w14:paraId="2303C76E" w14:textId="07B40C79" w:rsidR="00AB10CD" w:rsidRPr="006F15E1" w:rsidRDefault="00AB10CD" w:rsidP="00AB10CD">
            <w:pPr>
              <w:widowControl w:val="0"/>
              <w:jc w:val="both"/>
              <w:rPr>
                <w:rFonts w:ascii="Roboto" w:hAnsi="Roboto"/>
                <w:iCs/>
                <w:sz w:val="20"/>
                <w:szCs w:val="20"/>
              </w:rPr>
            </w:pPr>
            <w:r w:rsidRPr="006F15E1">
              <w:rPr>
                <w:rFonts w:ascii="Roboto" w:hAnsi="Roboto"/>
                <w:iCs/>
              </w:rPr>
              <w:t>cierre anual.</w:t>
            </w:r>
          </w:p>
        </w:tc>
        <w:tc>
          <w:tcPr>
            <w:tcW w:w="2569" w:type="dxa"/>
            <w:vAlign w:val="center"/>
          </w:tcPr>
          <w:p w14:paraId="63069DA7" w14:textId="214F2333" w:rsidR="00AB10CD" w:rsidRPr="006F15E1" w:rsidRDefault="00AB10CD" w:rsidP="00AB10CD">
            <w:pPr>
              <w:widowControl w:val="0"/>
              <w:jc w:val="both"/>
              <w:rPr>
                <w:rFonts w:ascii="Roboto" w:hAnsi="Roboto"/>
                <w:iCs/>
                <w:sz w:val="20"/>
                <w:szCs w:val="20"/>
              </w:rPr>
            </w:pPr>
            <w:r w:rsidRPr="006F15E1">
              <w:rPr>
                <w:rFonts w:ascii="Roboto" w:hAnsi="Roboto"/>
                <w:iCs/>
              </w:rPr>
              <w:t>De forma digital al correo electrónico oficial de la Superintendencia según lo define el acuerdo de firma digital.</w:t>
            </w:r>
          </w:p>
        </w:tc>
      </w:tr>
    </w:tbl>
    <w:p w14:paraId="34D38E5F" w14:textId="47571F86" w:rsidR="004471EC" w:rsidRPr="006F15E1" w:rsidRDefault="004471EC" w:rsidP="007422B6">
      <w:pPr>
        <w:pStyle w:val="Textoindependiente3"/>
        <w:tabs>
          <w:tab w:val="left" w:pos="857"/>
          <w:tab w:val="left" w:pos="1168"/>
        </w:tabs>
        <w:spacing w:after="0"/>
        <w:jc w:val="both"/>
        <w:rPr>
          <w:rFonts w:ascii="Roboto" w:hAnsi="Roboto"/>
          <w:bCs/>
          <w:sz w:val="24"/>
          <w:szCs w:val="24"/>
        </w:rPr>
      </w:pPr>
    </w:p>
    <w:p w14:paraId="74612899" w14:textId="35418202" w:rsidR="004471EC" w:rsidRPr="006F15E1" w:rsidRDefault="00EB033C" w:rsidP="007422B6">
      <w:pPr>
        <w:pStyle w:val="Textoindependiente3"/>
        <w:tabs>
          <w:tab w:val="left" w:pos="857"/>
          <w:tab w:val="left" w:pos="1168"/>
        </w:tabs>
        <w:spacing w:after="0"/>
        <w:jc w:val="both"/>
        <w:rPr>
          <w:rFonts w:ascii="Roboto" w:hAnsi="Roboto"/>
          <w:bCs/>
          <w:sz w:val="24"/>
          <w:szCs w:val="24"/>
        </w:rPr>
      </w:pPr>
      <w:r w:rsidRPr="006F15E1">
        <w:rPr>
          <w:rFonts w:ascii="Roboto" w:hAnsi="Roboto"/>
          <w:bCs/>
          <w:sz w:val="24"/>
          <w:szCs w:val="24"/>
        </w:rPr>
        <w:t xml:space="preserve">En cuanto a los estados financieros intermedios que deben elaborar los intermediarios de seguros de conformidad con el </w:t>
      </w:r>
      <w:r w:rsidRPr="006F15E1">
        <w:rPr>
          <w:rFonts w:ascii="Roboto" w:hAnsi="Roboto"/>
          <w:bCs/>
          <w:i/>
          <w:iCs/>
          <w:sz w:val="24"/>
          <w:szCs w:val="24"/>
        </w:rPr>
        <w:t>Reglamento de Información Financiera</w:t>
      </w:r>
      <w:r w:rsidRPr="006F15E1">
        <w:rPr>
          <w:rFonts w:ascii="Roboto" w:hAnsi="Roboto"/>
          <w:bCs/>
          <w:sz w:val="24"/>
          <w:szCs w:val="24"/>
        </w:rPr>
        <w:t>, solamente deben publicarse en los términos definidos en dicho reglamento.</w:t>
      </w:r>
    </w:p>
    <w:p w14:paraId="4A85C4E5" w14:textId="77777777" w:rsidR="004471EC" w:rsidRPr="006F15E1" w:rsidRDefault="004471EC" w:rsidP="007422B6">
      <w:pPr>
        <w:spacing w:after="0"/>
        <w:jc w:val="both"/>
        <w:rPr>
          <w:rFonts w:ascii="Roboto" w:hAnsi="Roboto"/>
          <w:bCs/>
          <w:sz w:val="24"/>
          <w:szCs w:val="24"/>
        </w:rPr>
      </w:pPr>
    </w:p>
    <w:p w14:paraId="3209F6EB" w14:textId="63D11C3D" w:rsidR="003C1E7C" w:rsidRPr="006F15E1" w:rsidRDefault="003C1E7C" w:rsidP="007422B6">
      <w:pPr>
        <w:spacing w:after="0"/>
        <w:jc w:val="both"/>
        <w:rPr>
          <w:rFonts w:ascii="Roboto" w:hAnsi="Roboto"/>
          <w:bCs/>
          <w:sz w:val="24"/>
          <w:szCs w:val="24"/>
        </w:rPr>
      </w:pPr>
      <w:r w:rsidRPr="006F15E1">
        <w:rPr>
          <w:rFonts w:ascii="Roboto" w:hAnsi="Roboto"/>
          <w:bCs/>
          <w:sz w:val="24"/>
          <w:szCs w:val="24"/>
        </w:rPr>
        <w:t>La falta de presentación de esta documentación, la presentación fuera de plazo, la remisión incompleta, la presentación en formatos diferentes al establecido, la falta de veracidad de</w:t>
      </w:r>
      <w:r w:rsidR="00AA72C9" w:rsidRPr="006F15E1">
        <w:rPr>
          <w:rFonts w:ascii="Roboto" w:hAnsi="Roboto"/>
          <w:bCs/>
          <w:sz w:val="24"/>
          <w:szCs w:val="24"/>
        </w:rPr>
        <w:t xml:space="preserve"> esta</w:t>
      </w:r>
      <w:r w:rsidRPr="006F15E1">
        <w:rPr>
          <w:rFonts w:ascii="Roboto" w:hAnsi="Roboto"/>
          <w:bCs/>
          <w:sz w:val="24"/>
          <w:szCs w:val="24"/>
        </w:rPr>
        <w:t xml:space="preserve"> o la formulación de estados que no reflejen la imagen fiel de la entidad al término del ejercicio de referencia, constituyen infracciones a la normativa vigente, y </w:t>
      </w:r>
      <w:r w:rsidRPr="006F15E1">
        <w:rPr>
          <w:rFonts w:ascii="Roboto" w:hAnsi="Roboto"/>
          <w:bCs/>
          <w:sz w:val="24"/>
          <w:szCs w:val="24"/>
        </w:rPr>
        <w:lastRenderedPageBreak/>
        <w:t>pueden dar lugar a las correspondientes sanciones en los términos previstos en la Ley Reguladora del Mercado de Seguros</w:t>
      </w:r>
      <w:r w:rsidR="007422B6" w:rsidRPr="006F15E1">
        <w:rPr>
          <w:rFonts w:ascii="Roboto" w:hAnsi="Roboto"/>
          <w:bCs/>
          <w:sz w:val="24"/>
          <w:szCs w:val="24"/>
        </w:rPr>
        <w:t>.</w:t>
      </w:r>
    </w:p>
    <w:p w14:paraId="683530BE" w14:textId="5B9BC808" w:rsidR="00944231" w:rsidRPr="006F15E1" w:rsidRDefault="00944231" w:rsidP="007422B6">
      <w:pPr>
        <w:spacing w:after="0"/>
        <w:jc w:val="both"/>
        <w:rPr>
          <w:rFonts w:ascii="Roboto" w:hAnsi="Roboto"/>
          <w:bCs/>
          <w:sz w:val="24"/>
          <w:szCs w:val="24"/>
        </w:rPr>
      </w:pPr>
    </w:p>
    <w:p w14:paraId="0255C10A" w14:textId="44B59604" w:rsidR="00944231" w:rsidRPr="006F15E1" w:rsidRDefault="00944231" w:rsidP="007422B6">
      <w:pPr>
        <w:spacing w:after="0"/>
        <w:jc w:val="both"/>
        <w:rPr>
          <w:rFonts w:ascii="Roboto" w:hAnsi="Roboto"/>
          <w:bCs/>
          <w:sz w:val="24"/>
          <w:szCs w:val="24"/>
        </w:rPr>
      </w:pPr>
      <w:r w:rsidRPr="006F15E1">
        <w:rPr>
          <w:rStyle w:val="Refdenotaalpie"/>
          <w:rFonts w:ascii="Roboto" w:hAnsi="Roboto"/>
          <w:bCs/>
          <w:sz w:val="24"/>
          <w:szCs w:val="24"/>
        </w:rPr>
        <w:footnoteReference w:id="21"/>
      </w:r>
      <w:r w:rsidRPr="006F15E1">
        <w:rPr>
          <w:rFonts w:ascii="Roboto" w:hAnsi="Roboto"/>
          <w:bCs/>
          <w:sz w:val="24"/>
          <w:szCs w:val="24"/>
        </w:rPr>
        <w:t>La certificación de ingresos brutos deberá presentarse en la misma fecha en que se remita el informe que contiene la opinión de razonabilidad de los estados financieros auditados, pero deberán ser documentos independientes entre sí.</w:t>
      </w:r>
    </w:p>
    <w:p w14:paraId="503BCCBD" w14:textId="77777777" w:rsidR="007422B6" w:rsidRPr="006F15E1" w:rsidRDefault="007422B6" w:rsidP="007422B6">
      <w:pPr>
        <w:spacing w:after="0"/>
        <w:jc w:val="both"/>
        <w:rPr>
          <w:rFonts w:ascii="Roboto" w:hAnsi="Roboto"/>
          <w:bCs/>
          <w:sz w:val="24"/>
          <w:szCs w:val="24"/>
        </w:rPr>
      </w:pPr>
    </w:p>
    <w:p w14:paraId="4A8FF2A9" w14:textId="77777777" w:rsidR="003C1E7C" w:rsidRPr="006F15E1" w:rsidRDefault="003C1E7C" w:rsidP="007422B6">
      <w:pPr>
        <w:spacing w:after="0"/>
        <w:jc w:val="both"/>
        <w:rPr>
          <w:rFonts w:ascii="Roboto" w:hAnsi="Roboto" w:cs="Arial"/>
          <w:b/>
          <w:bCs/>
          <w:iCs/>
          <w:sz w:val="20"/>
          <w:szCs w:val="20"/>
        </w:rPr>
      </w:pPr>
      <w:r w:rsidRPr="006F15E1">
        <w:rPr>
          <w:rStyle w:val="Refdenotaalpie"/>
          <w:rFonts w:ascii="Roboto" w:hAnsi="Roboto" w:cs="Arial"/>
          <w:b/>
          <w:bCs/>
          <w:iCs/>
          <w:sz w:val="24"/>
          <w:szCs w:val="24"/>
        </w:rPr>
        <w:footnoteReference w:id="22"/>
      </w:r>
      <w:r w:rsidRPr="006F15E1">
        <w:rPr>
          <w:rFonts w:ascii="Roboto" w:hAnsi="Roboto" w:cs="Arial"/>
          <w:b/>
          <w:bCs/>
          <w:iCs/>
          <w:sz w:val="20"/>
          <w:szCs w:val="20"/>
        </w:rPr>
        <w:t>Artículo 3bis. Definición y Remisión de Estados Financieros Intermedios y Auditados.</w:t>
      </w:r>
    </w:p>
    <w:p w14:paraId="049B6495" w14:textId="77777777" w:rsidR="003C1E7C" w:rsidRPr="006F15E1" w:rsidRDefault="003C1E7C" w:rsidP="007422B6">
      <w:pPr>
        <w:spacing w:after="0"/>
        <w:jc w:val="both"/>
        <w:rPr>
          <w:rFonts w:ascii="Roboto" w:hAnsi="Roboto" w:cs="Arial"/>
          <w:bCs/>
          <w:iCs/>
          <w:sz w:val="20"/>
          <w:szCs w:val="20"/>
        </w:rPr>
      </w:pPr>
      <w:r w:rsidRPr="006F15E1">
        <w:rPr>
          <w:rFonts w:ascii="Roboto" w:hAnsi="Roboto" w:cs="Arial"/>
          <w:bCs/>
          <w:iCs/>
          <w:sz w:val="20"/>
          <w:szCs w:val="20"/>
        </w:rPr>
        <w:t xml:space="preserve">La remisión de los estados financieros intermedios por parte de las aseguradoras y </w:t>
      </w:r>
      <w:proofErr w:type="gramStart"/>
      <w:r w:rsidRPr="006F15E1">
        <w:rPr>
          <w:rFonts w:ascii="Roboto" w:hAnsi="Roboto" w:cs="Arial"/>
          <w:bCs/>
          <w:iCs/>
          <w:sz w:val="20"/>
          <w:szCs w:val="20"/>
        </w:rPr>
        <w:t>reaseguradoras,</w:t>
      </w:r>
      <w:proofErr w:type="gramEnd"/>
      <w:r w:rsidRPr="006F15E1">
        <w:rPr>
          <w:rFonts w:ascii="Roboto" w:hAnsi="Roboto" w:cs="Arial"/>
          <w:bCs/>
          <w:iCs/>
          <w:sz w:val="20"/>
          <w:szCs w:val="20"/>
        </w:rPr>
        <w:t xml:space="preserve"> solamente será requerida en forma electrónica mediante </w:t>
      </w:r>
      <w:proofErr w:type="spellStart"/>
      <w:r w:rsidRPr="006F15E1">
        <w:rPr>
          <w:rFonts w:ascii="Roboto" w:hAnsi="Roboto" w:cs="Arial"/>
          <w:bCs/>
          <w:i/>
          <w:iCs/>
          <w:sz w:val="20"/>
          <w:szCs w:val="20"/>
        </w:rPr>
        <w:t>Sugese</w:t>
      </w:r>
      <w:proofErr w:type="spellEnd"/>
      <w:r w:rsidRPr="006F15E1">
        <w:rPr>
          <w:rFonts w:ascii="Roboto" w:hAnsi="Roboto" w:cs="Arial"/>
          <w:bCs/>
          <w:i/>
          <w:iCs/>
          <w:sz w:val="20"/>
          <w:szCs w:val="20"/>
        </w:rPr>
        <w:t xml:space="preserve"> en Línea</w:t>
      </w:r>
      <w:r w:rsidRPr="006F15E1">
        <w:rPr>
          <w:rFonts w:ascii="Roboto" w:hAnsi="Roboto" w:cs="Arial"/>
          <w:bCs/>
          <w:iCs/>
          <w:sz w:val="20"/>
          <w:szCs w:val="20"/>
        </w:rPr>
        <w:t xml:space="preserve">, según se detalla en el artículo 2 de este acuerdo, en lo que se refiere a los modelos de estados financieros (1, 2 y 4). </w:t>
      </w:r>
    </w:p>
    <w:p w14:paraId="0707DF13" w14:textId="77777777" w:rsidR="007422B6" w:rsidRPr="006F15E1" w:rsidRDefault="007422B6" w:rsidP="007422B6">
      <w:pPr>
        <w:pStyle w:val="Sangra2detindependiente"/>
        <w:spacing w:after="0"/>
        <w:ind w:left="0"/>
        <w:rPr>
          <w:rFonts w:ascii="Roboto" w:hAnsi="Roboto" w:cs="Arial"/>
          <w:b w:val="0"/>
          <w:sz w:val="20"/>
          <w:szCs w:val="20"/>
        </w:rPr>
      </w:pPr>
    </w:p>
    <w:p w14:paraId="19F15B2F" w14:textId="5B48AA75"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hAnsi="Roboto" w:cs="Arial"/>
          <w:b w:val="0"/>
          <w:sz w:val="20"/>
          <w:szCs w:val="20"/>
        </w:rPr>
        <w:t xml:space="preserve">La presentación de información financiera anual auditada, por parte de entidades supervisadas (entidades de seguros e intermediarios de seguros) se realizará de forma física (soporte papel), cumpliendo los plazos definidos en el </w:t>
      </w:r>
      <w:r w:rsidRPr="006F15E1">
        <w:rPr>
          <w:rFonts w:ascii="Roboto" w:hAnsi="Roboto" w:cs="Arial"/>
          <w:b w:val="0"/>
          <w:i/>
          <w:sz w:val="20"/>
          <w:szCs w:val="20"/>
        </w:rPr>
        <w:t>Reglamento de Información Financiera</w:t>
      </w:r>
      <w:r w:rsidRPr="006F15E1">
        <w:rPr>
          <w:rFonts w:ascii="Roboto" w:hAnsi="Roboto" w:cs="Arial"/>
          <w:b w:val="0"/>
          <w:sz w:val="20"/>
          <w:szCs w:val="20"/>
        </w:rPr>
        <w:t>.</w:t>
      </w:r>
      <w:r w:rsidR="00212D34" w:rsidRPr="006F15E1">
        <w:rPr>
          <w:rFonts w:ascii="Roboto" w:hAnsi="Roboto" w:cs="Arial"/>
          <w:b w:val="0"/>
          <w:sz w:val="20"/>
          <w:szCs w:val="20"/>
        </w:rPr>
        <w:t xml:space="preserve"> </w:t>
      </w:r>
      <w:r w:rsidR="00212D34" w:rsidRPr="006F15E1">
        <w:rPr>
          <w:rFonts w:ascii="Roboto" w:hAnsi="Roboto"/>
        </w:rPr>
        <w:t>(Eliminado mediante acuerdo de Superintendente SGS-A-0076-2021 del 24/02/2021)</w:t>
      </w:r>
    </w:p>
    <w:p w14:paraId="5B43E9CC" w14:textId="77777777" w:rsidR="003C1E7C" w:rsidRPr="006F15E1" w:rsidRDefault="003C1E7C" w:rsidP="007422B6">
      <w:pPr>
        <w:pStyle w:val="Sangra2detindependiente"/>
        <w:spacing w:after="0"/>
        <w:ind w:left="0"/>
        <w:rPr>
          <w:rFonts w:ascii="Roboto" w:eastAsiaTheme="minorHAnsi" w:hAnsi="Roboto" w:cstheme="minorBidi"/>
          <w:bCs w:val="0"/>
          <w:iCs w:val="0"/>
          <w:lang w:val="es-CR" w:eastAsia="en-US"/>
        </w:rPr>
      </w:pPr>
    </w:p>
    <w:p w14:paraId="0FB6FA5D" w14:textId="77777777" w:rsidR="003C1E7C" w:rsidRPr="006F15E1" w:rsidRDefault="003C1E7C" w:rsidP="007422B6">
      <w:pPr>
        <w:pStyle w:val="Sangra2detindependiente"/>
        <w:spacing w:after="0"/>
        <w:ind w:left="0"/>
        <w:rPr>
          <w:rFonts w:ascii="Roboto" w:eastAsiaTheme="minorHAnsi" w:hAnsi="Roboto" w:cstheme="minorBidi"/>
          <w:bCs w:val="0"/>
          <w:iCs w:val="0"/>
          <w:lang w:val="es-CR" w:eastAsia="en-US"/>
        </w:rPr>
      </w:pPr>
      <w:r w:rsidRPr="006F15E1">
        <w:rPr>
          <w:rFonts w:ascii="Roboto" w:eastAsiaTheme="minorHAnsi" w:hAnsi="Roboto" w:cstheme="minorBidi"/>
          <w:bCs w:val="0"/>
          <w:iCs w:val="0"/>
          <w:lang w:val="es-CR" w:eastAsia="en-US"/>
        </w:rPr>
        <w:t>Artículo 4.  Comunicación de circunstancias de fuerza mayor</w:t>
      </w:r>
    </w:p>
    <w:p w14:paraId="79AF83CB"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 w:val="0"/>
          <w:bCs w:val="0"/>
          <w:iCs w:val="0"/>
          <w:lang w:val="es-CR" w:eastAsia="en-US"/>
        </w:rPr>
        <w:t xml:space="preserve">Si por circunstancias de fuerza mayor o caso fortuito, que no sean atribuibles a fallas técnicas en los equipos informáticos de la Superintendencia, la entidad supervisada no pudiera proporcionar la información en los plazos establecidos en esta normativa, deberá presentar por escrito a la Superintendencia y firmado por el Gerente General o apoderado generalísimo, una explicación detallada de la situación, el plan de acción y el plazo para ajustarse a lo establecido en estas disposiciones.  </w:t>
      </w:r>
    </w:p>
    <w:p w14:paraId="5D6003EC" w14:textId="5B4E79B6"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 w:val="0"/>
          <w:bCs w:val="0"/>
          <w:iCs w:val="0"/>
          <w:lang w:val="es-CR" w:eastAsia="en-US"/>
        </w:rPr>
        <w:t xml:space="preserve">El plazo mínimo para el envío de dicho comunicado es, a lo </w:t>
      </w:r>
      <w:r w:rsidR="0053633D" w:rsidRPr="006F15E1">
        <w:rPr>
          <w:rFonts w:ascii="Roboto" w:eastAsiaTheme="minorHAnsi" w:hAnsi="Roboto" w:cstheme="minorBidi"/>
          <w:b w:val="0"/>
          <w:bCs w:val="0"/>
          <w:iCs w:val="0"/>
          <w:lang w:val="es-CR" w:eastAsia="en-US"/>
        </w:rPr>
        <w:t>sumo, un</w:t>
      </w:r>
      <w:r w:rsidRPr="006F15E1">
        <w:rPr>
          <w:rFonts w:ascii="Roboto" w:eastAsiaTheme="minorHAnsi" w:hAnsi="Roboto" w:cstheme="minorBidi"/>
          <w:b w:val="0"/>
          <w:bCs w:val="0"/>
          <w:iCs w:val="0"/>
          <w:lang w:val="es-CR" w:eastAsia="en-US"/>
        </w:rPr>
        <w:t xml:space="preserve"> día hábil después de conocido el hecho que provoco tal situación.   Si la entidad conoce de previo que no cumplirá con el plazo de remisión de la información señalado en los artículos 2 y 3, deberá enviar dicho comunicado dos días hábiles antes del vencimiento del plazo </w:t>
      </w:r>
      <w:r w:rsidR="0053633D" w:rsidRPr="006F15E1">
        <w:rPr>
          <w:rFonts w:ascii="Roboto" w:eastAsiaTheme="minorHAnsi" w:hAnsi="Roboto" w:cstheme="minorBidi"/>
          <w:b w:val="0"/>
          <w:bCs w:val="0"/>
          <w:iCs w:val="0"/>
          <w:lang w:val="es-CR" w:eastAsia="en-US"/>
        </w:rPr>
        <w:t>respectivo La</w:t>
      </w:r>
      <w:r w:rsidRPr="006F15E1">
        <w:rPr>
          <w:rFonts w:ascii="Roboto" w:eastAsiaTheme="minorHAnsi" w:hAnsi="Roboto" w:cstheme="minorBidi"/>
          <w:b w:val="0"/>
          <w:bCs w:val="0"/>
          <w:iCs w:val="0"/>
          <w:lang w:val="es-CR" w:eastAsia="en-US"/>
        </w:rPr>
        <w:t xml:space="preserve"> Superintendencia resolverá en un plazo máximo de un día hábil, caso contrario, se dará por aceptada la solicitud planteada.</w:t>
      </w:r>
    </w:p>
    <w:p w14:paraId="47835445"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p>
    <w:p w14:paraId="1444A540" w14:textId="569292AE"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Como </w:t>
      </w:r>
      <w:r w:rsidRPr="006F15E1">
        <w:rPr>
          <w:rFonts w:ascii="Roboto" w:hAnsi="Roboto"/>
          <w:i/>
          <w:sz w:val="24"/>
          <w:szCs w:val="24"/>
        </w:rPr>
        <w:t>“fuerza mayor”</w:t>
      </w:r>
      <w:r w:rsidRPr="006F15E1">
        <w:rPr>
          <w:rFonts w:ascii="Roboto" w:hAnsi="Roboto"/>
          <w:sz w:val="24"/>
          <w:szCs w:val="24"/>
        </w:rPr>
        <w:t xml:space="preserve"> debe entenderse aquellos hechos o eventos que por su naturaleza son inevitables, aun cuando se puedan </w:t>
      </w:r>
      <w:r w:rsidR="0053633D" w:rsidRPr="006F15E1">
        <w:rPr>
          <w:rFonts w:ascii="Roboto" w:hAnsi="Roboto"/>
          <w:sz w:val="24"/>
          <w:szCs w:val="24"/>
        </w:rPr>
        <w:t>prever y</w:t>
      </w:r>
      <w:r w:rsidRPr="006F15E1">
        <w:rPr>
          <w:rFonts w:ascii="Roboto" w:hAnsi="Roboto"/>
          <w:sz w:val="24"/>
          <w:szCs w:val="24"/>
        </w:rPr>
        <w:t xml:space="preserve"> por </w:t>
      </w:r>
      <w:r w:rsidRPr="006F15E1">
        <w:rPr>
          <w:rFonts w:ascii="Roboto" w:hAnsi="Roboto"/>
          <w:i/>
          <w:sz w:val="24"/>
          <w:szCs w:val="24"/>
        </w:rPr>
        <w:t>“caso fortuito”</w:t>
      </w:r>
      <w:r w:rsidRPr="006F15E1">
        <w:rPr>
          <w:rFonts w:ascii="Roboto" w:hAnsi="Roboto"/>
          <w:sz w:val="24"/>
          <w:szCs w:val="24"/>
        </w:rPr>
        <w:t xml:space="preserve"> a un hecho del ser humano que por ser imprevisible deviene inevitable.</w:t>
      </w:r>
    </w:p>
    <w:p w14:paraId="288434FC" w14:textId="77777777" w:rsidR="003C1E7C" w:rsidRPr="006F15E1" w:rsidRDefault="003C1E7C" w:rsidP="007422B6">
      <w:pPr>
        <w:spacing w:after="0"/>
        <w:jc w:val="both"/>
        <w:rPr>
          <w:rFonts w:ascii="Roboto" w:hAnsi="Roboto"/>
          <w:sz w:val="24"/>
          <w:szCs w:val="24"/>
        </w:rPr>
      </w:pPr>
    </w:p>
    <w:p w14:paraId="72F16BE1" w14:textId="5E89E503" w:rsidR="003C1E7C" w:rsidRPr="006F15E1" w:rsidRDefault="003C1E7C" w:rsidP="007422B6">
      <w:pPr>
        <w:spacing w:after="0"/>
        <w:jc w:val="both"/>
        <w:rPr>
          <w:rFonts w:ascii="Roboto" w:hAnsi="Roboto"/>
          <w:sz w:val="24"/>
          <w:szCs w:val="24"/>
        </w:rPr>
      </w:pPr>
      <w:r w:rsidRPr="006F15E1">
        <w:rPr>
          <w:rFonts w:ascii="Roboto" w:hAnsi="Roboto"/>
          <w:sz w:val="24"/>
          <w:szCs w:val="24"/>
        </w:rPr>
        <w:lastRenderedPageBreak/>
        <w:t xml:space="preserve">Se excluyen las situaciones </w:t>
      </w:r>
      <w:r w:rsidR="0053633D" w:rsidRPr="006F15E1">
        <w:rPr>
          <w:rFonts w:ascii="Roboto" w:hAnsi="Roboto"/>
          <w:sz w:val="24"/>
          <w:szCs w:val="24"/>
        </w:rPr>
        <w:t>de negligencia</w:t>
      </w:r>
      <w:r w:rsidRPr="006F15E1">
        <w:rPr>
          <w:rFonts w:ascii="Roboto" w:hAnsi="Roboto"/>
          <w:sz w:val="24"/>
          <w:szCs w:val="24"/>
        </w:rPr>
        <w:t>, que son causas que sí se pudieron evitar.</w:t>
      </w:r>
    </w:p>
    <w:p w14:paraId="32C489C1" w14:textId="77777777" w:rsidR="003C1E7C" w:rsidRPr="006F15E1" w:rsidRDefault="003C1E7C" w:rsidP="007422B6">
      <w:pPr>
        <w:spacing w:after="0"/>
        <w:jc w:val="both"/>
        <w:rPr>
          <w:rFonts w:ascii="Roboto" w:hAnsi="Roboto"/>
          <w:sz w:val="24"/>
          <w:szCs w:val="24"/>
        </w:rPr>
      </w:pPr>
    </w:p>
    <w:p w14:paraId="38E5840F"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La Superintendencia se reserva el derecho de aceptar o rechazar las justificaciones que se remitan, según la valoración que realice al efecto.</w:t>
      </w:r>
    </w:p>
    <w:p w14:paraId="58081036" w14:textId="77777777" w:rsidR="003C1E7C" w:rsidRPr="006F15E1" w:rsidRDefault="003C1E7C" w:rsidP="007422B6">
      <w:pPr>
        <w:spacing w:after="0"/>
        <w:jc w:val="both"/>
        <w:rPr>
          <w:rFonts w:ascii="Roboto" w:hAnsi="Roboto"/>
          <w:sz w:val="24"/>
          <w:szCs w:val="24"/>
        </w:rPr>
      </w:pPr>
    </w:p>
    <w:p w14:paraId="4862BC83" w14:textId="77777777" w:rsidR="003C1E7C" w:rsidRPr="006F15E1" w:rsidRDefault="003C1E7C" w:rsidP="007422B6">
      <w:pPr>
        <w:pStyle w:val="Sangra2detindependiente"/>
        <w:spacing w:after="0"/>
        <w:ind w:left="0"/>
        <w:rPr>
          <w:rFonts w:ascii="Roboto" w:eastAsiaTheme="minorHAnsi" w:hAnsi="Roboto" w:cstheme="minorBidi"/>
          <w:bCs w:val="0"/>
          <w:iCs w:val="0"/>
          <w:lang w:val="es-CR" w:eastAsia="en-US"/>
        </w:rPr>
      </w:pPr>
      <w:r w:rsidRPr="006F15E1">
        <w:rPr>
          <w:rFonts w:ascii="Roboto" w:eastAsiaTheme="minorHAnsi" w:hAnsi="Roboto" w:cstheme="minorBidi"/>
          <w:bCs w:val="0"/>
          <w:iCs w:val="0"/>
          <w:lang w:val="es-CR" w:eastAsia="en-US"/>
        </w:rPr>
        <w:t xml:space="preserve">Artículo 5.  Información remitida por “Web </w:t>
      </w:r>
      <w:proofErr w:type="spellStart"/>
      <w:r w:rsidRPr="006F15E1">
        <w:rPr>
          <w:rFonts w:ascii="Roboto" w:eastAsiaTheme="minorHAnsi" w:hAnsi="Roboto" w:cstheme="minorBidi"/>
          <w:bCs w:val="0"/>
          <w:iCs w:val="0"/>
          <w:lang w:val="es-CR" w:eastAsia="en-US"/>
        </w:rPr>
        <w:t>Service</w:t>
      </w:r>
      <w:proofErr w:type="spellEnd"/>
      <w:r w:rsidRPr="006F15E1">
        <w:rPr>
          <w:rFonts w:ascii="Roboto" w:eastAsiaTheme="minorHAnsi" w:hAnsi="Roboto" w:cstheme="minorBidi"/>
          <w:bCs w:val="0"/>
          <w:iCs w:val="0"/>
          <w:lang w:val="es-CR" w:eastAsia="en-US"/>
        </w:rPr>
        <w:t>” o vía electrónica</w:t>
      </w:r>
    </w:p>
    <w:p w14:paraId="0EE6BFB7" w14:textId="77777777" w:rsidR="003C1E7C" w:rsidRPr="006F15E1" w:rsidRDefault="003C1E7C" w:rsidP="007422B6">
      <w:pPr>
        <w:spacing w:after="0"/>
        <w:jc w:val="both"/>
        <w:rPr>
          <w:rFonts w:ascii="Roboto" w:eastAsia="Times New Roman" w:hAnsi="Roboto" w:cs="Times New Roman"/>
          <w:color w:val="0000FF"/>
          <w:sz w:val="24"/>
          <w:szCs w:val="24"/>
          <w:u w:val="single"/>
          <w:lang w:val="es-ES" w:eastAsia="es-ES"/>
        </w:rPr>
      </w:pPr>
      <w:r w:rsidRPr="006F15E1">
        <w:rPr>
          <w:rFonts w:ascii="Roboto" w:hAnsi="Roboto"/>
          <w:sz w:val="24"/>
          <w:szCs w:val="24"/>
        </w:rPr>
        <w:t>La dirección electrónica a la que debe cargarse la información que se remitirá según se indica en los artículos 2 y 3 de estas disposiciones es:</w:t>
      </w:r>
      <w:r w:rsidRPr="006F15E1">
        <w:rPr>
          <w:rFonts w:ascii="Roboto" w:hAnsi="Roboto"/>
          <w:color w:val="0070C0"/>
          <w:sz w:val="24"/>
          <w:szCs w:val="24"/>
        </w:rPr>
        <w:t xml:space="preserve">  </w:t>
      </w:r>
      <w:hyperlink r:id="rId12" w:history="1">
        <w:r w:rsidRPr="006F15E1">
          <w:rPr>
            <w:rStyle w:val="Hipervnculo"/>
            <w:rFonts w:ascii="Roboto" w:eastAsia="Times New Roman" w:hAnsi="Roboto" w:cs="Times New Roman"/>
            <w:color w:val="0000FF"/>
            <w:sz w:val="24"/>
            <w:szCs w:val="24"/>
            <w:lang w:val="es-ES" w:eastAsia="es-ES"/>
          </w:rPr>
          <w:t>www.sugese.fi.cr</w:t>
        </w:r>
      </w:hyperlink>
      <w:r w:rsidRPr="006F15E1">
        <w:rPr>
          <w:rStyle w:val="Hipervnculo"/>
          <w:rFonts w:ascii="Roboto" w:eastAsia="Times New Roman" w:hAnsi="Roboto" w:cs="Times New Roman"/>
          <w:color w:val="0000FF"/>
          <w:sz w:val="24"/>
          <w:szCs w:val="24"/>
          <w:lang w:val="es-ES" w:eastAsia="es-ES"/>
        </w:rPr>
        <w:t>,</w:t>
      </w:r>
      <w:r w:rsidRPr="006F15E1">
        <w:rPr>
          <w:rFonts w:ascii="Roboto" w:hAnsi="Roboto"/>
          <w:color w:val="0070C0"/>
          <w:sz w:val="24"/>
          <w:szCs w:val="24"/>
        </w:rPr>
        <w:t xml:space="preserve">  </w:t>
      </w:r>
      <w:r w:rsidRPr="006F15E1">
        <w:rPr>
          <w:rFonts w:ascii="Roboto" w:hAnsi="Roboto"/>
          <w:sz w:val="24"/>
          <w:szCs w:val="24"/>
        </w:rPr>
        <w:t xml:space="preserve">en la sección determinada para el </w:t>
      </w:r>
      <w:r w:rsidRPr="006F15E1">
        <w:rPr>
          <w:rFonts w:ascii="Roboto" w:hAnsi="Roboto"/>
          <w:i/>
          <w:sz w:val="24"/>
          <w:szCs w:val="24"/>
        </w:rPr>
        <w:t>“</w:t>
      </w:r>
      <w:proofErr w:type="gramStart"/>
      <w:r w:rsidRPr="006F15E1">
        <w:rPr>
          <w:rFonts w:ascii="Roboto" w:hAnsi="Roboto"/>
          <w:i/>
          <w:sz w:val="24"/>
          <w:szCs w:val="24"/>
        </w:rPr>
        <w:t xml:space="preserve">web  </w:t>
      </w:r>
      <w:proofErr w:type="spellStart"/>
      <w:r w:rsidRPr="006F15E1">
        <w:rPr>
          <w:rFonts w:ascii="Roboto" w:hAnsi="Roboto"/>
          <w:i/>
          <w:sz w:val="24"/>
          <w:szCs w:val="24"/>
        </w:rPr>
        <w:t>service</w:t>
      </w:r>
      <w:proofErr w:type="spellEnd"/>
      <w:proofErr w:type="gramEnd"/>
      <w:r w:rsidRPr="006F15E1">
        <w:rPr>
          <w:rFonts w:ascii="Roboto" w:hAnsi="Roboto"/>
          <w:i/>
          <w:sz w:val="24"/>
          <w:szCs w:val="24"/>
        </w:rPr>
        <w:t>”</w:t>
      </w:r>
      <w:r w:rsidRPr="006F15E1">
        <w:rPr>
          <w:rFonts w:ascii="Roboto" w:hAnsi="Roboto"/>
          <w:sz w:val="24"/>
          <w:szCs w:val="24"/>
        </w:rPr>
        <w:t xml:space="preserve">.  En cuanto a la información que debe ser enviada por vía </w:t>
      </w:r>
      <w:proofErr w:type="gramStart"/>
      <w:r w:rsidRPr="006F15E1">
        <w:rPr>
          <w:rFonts w:ascii="Roboto" w:hAnsi="Roboto"/>
          <w:sz w:val="24"/>
          <w:szCs w:val="24"/>
        </w:rPr>
        <w:t>correo  electrónico</w:t>
      </w:r>
      <w:proofErr w:type="gramEnd"/>
      <w:r w:rsidRPr="006F15E1">
        <w:rPr>
          <w:rFonts w:ascii="Roboto" w:hAnsi="Roboto"/>
          <w:sz w:val="24"/>
          <w:szCs w:val="24"/>
        </w:rPr>
        <w:t xml:space="preserve">, ésta debe remitirse a la dirección </w:t>
      </w:r>
      <w:hyperlink r:id="rId13" w:history="1">
        <w:r w:rsidRPr="006F15E1">
          <w:rPr>
            <w:rStyle w:val="Hipervnculo"/>
            <w:rFonts w:ascii="Roboto" w:eastAsia="Times New Roman" w:hAnsi="Roboto" w:cs="Times New Roman"/>
            <w:color w:val="0000FF"/>
            <w:sz w:val="24"/>
            <w:szCs w:val="24"/>
            <w:lang w:val="es-ES" w:eastAsia="es-ES"/>
          </w:rPr>
          <w:t>sugese@sugese.fi.cr</w:t>
        </w:r>
      </w:hyperlink>
      <w:r w:rsidRPr="006F15E1">
        <w:rPr>
          <w:rStyle w:val="Hipervnculo"/>
          <w:rFonts w:ascii="Roboto" w:eastAsia="Times New Roman" w:hAnsi="Roboto" w:cs="Times New Roman"/>
          <w:color w:val="0000FF"/>
          <w:sz w:val="24"/>
          <w:szCs w:val="24"/>
          <w:lang w:val="es-ES" w:eastAsia="es-ES"/>
        </w:rPr>
        <w:t>.</w:t>
      </w:r>
    </w:p>
    <w:p w14:paraId="455585F4" w14:textId="77777777" w:rsidR="003C1E7C" w:rsidRPr="006F15E1" w:rsidRDefault="003C1E7C" w:rsidP="007422B6">
      <w:pPr>
        <w:spacing w:after="0"/>
        <w:jc w:val="both"/>
        <w:rPr>
          <w:rFonts w:ascii="Roboto" w:hAnsi="Roboto"/>
          <w:sz w:val="24"/>
          <w:szCs w:val="24"/>
        </w:rPr>
      </w:pPr>
    </w:p>
    <w:p w14:paraId="7D00BD80"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Asimismo, el plazo máximo de entrega de la información será hasta las 12 media noche del último día hábil establecido. Esta fecha y hora será indicada por el servicio de Sellado de Tiempo (TSA por sus siglas en inglés) utilizado por el Banco Central de Costa Rica.</w:t>
      </w:r>
    </w:p>
    <w:p w14:paraId="2072CBDE" w14:textId="77777777" w:rsidR="003C1E7C" w:rsidRPr="006F15E1" w:rsidRDefault="003C1E7C" w:rsidP="007422B6">
      <w:pPr>
        <w:spacing w:after="0"/>
        <w:jc w:val="both"/>
        <w:rPr>
          <w:rFonts w:ascii="Roboto" w:hAnsi="Roboto"/>
          <w:sz w:val="24"/>
          <w:szCs w:val="24"/>
        </w:rPr>
      </w:pPr>
    </w:p>
    <w:p w14:paraId="6F03BA91"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Para el caso de la información que ingresa por correo electrónico, el representante legal de la entidad deberá comunicar a la Superintendencia el nombre de las personas autorizadas para remitir la información establecida en el presente acuerdo por esa vía, el cargo que ocupan y sus respectivas direcciones electrónicas, de conformidad con lo que señala la normativa emitida por la Superintendencia sobre el uso </w:t>
      </w:r>
      <w:proofErr w:type="gramStart"/>
      <w:r w:rsidRPr="006F15E1">
        <w:rPr>
          <w:rFonts w:ascii="Roboto" w:hAnsi="Roboto"/>
          <w:sz w:val="24"/>
          <w:szCs w:val="24"/>
        </w:rPr>
        <w:t>de  firma</w:t>
      </w:r>
      <w:proofErr w:type="gramEnd"/>
      <w:r w:rsidRPr="006F15E1">
        <w:rPr>
          <w:rFonts w:ascii="Roboto" w:hAnsi="Roboto"/>
          <w:sz w:val="24"/>
          <w:szCs w:val="24"/>
        </w:rPr>
        <w:t xml:space="preserve"> digital en los trámites de las entidades supervisadas.  </w:t>
      </w:r>
    </w:p>
    <w:p w14:paraId="7D195258" w14:textId="77777777" w:rsidR="003C1E7C" w:rsidRPr="006F15E1" w:rsidRDefault="003C1E7C" w:rsidP="007422B6">
      <w:pPr>
        <w:spacing w:after="0"/>
        <w:jc w:val="both"/>
        <w:rPr>
          <w:rFonts w:ascii="Roboto" w:hAnsi="Roboto"/>
          <w:sz w:val="24"/>
          <w:szCs w:val="24"/>
        </w:rPr>
      </w:pPr>
    </w:p>
    <w:p w14:paraId="4F78FBF8"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En caso de requerir sustituir el nombre de una o varias de las personas autorizadas, el representante legal de la entidad supervisada deberá remitir oficio a la Superintendencia con los datos requeridos de las personas a ser reemplazadas.</w:t>
      </w:r>
    </w:p>
    <w:p w14:paraId="6F6738A0" w14:textId="77777777" w:rsidR="003C1E7C" w:rsidRPr="006F15E1" w:rsidRDefault="003C1E7C" w:rsidP="007422B6">
      <w:pPr>
        <w:spacing w:after="0"/>
        <w:jc w:val="both"/>
        <w:rPr>
          <w:rFonts w:ascii="Roboto" w:hAnsi="Roboto"/>
          <w:sz w:val="24"/>
          <w:szCs w:val="24"/>
        </w:rPr>
      </w:pPr>
    </w:p>
    <w:p w14:paraId="65F442AA"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En cuanto a la información que ingresa por el servicio de </w:t>
      </w:r>
      <w:r w:rsidRPr="006F15E1">
        <w:rPr>
          <w:rFonts w:ascii="Roboto" w:hAnsi="Roboto"/>
          <w:i/>
          <w:sz w:val="24"/>
          <w:szCs w:val="24"/>
        </w:rPr>
        <w:t xml:space="preserve">“web </w:t>
      </w:r>
      <w:proofErr w:type="spellStart"/>
      <w:r w:rsidRPr="006F15E1">
        <w:rPr>
          <w:rFonts w:ascii="Roboto" w:hAnsi="Roboto"/>
          <w:i/>
          <w:sz w:val="24"/>
          <w:szCs w:val="24"/>
        </w:rPr>
        <w:t>service</w:t>
      </w:r>
      <w:proofErr w:type="spellEnd"/>
      <w:r w:rsidRPr="006F15E1">
        <w:rPr>
          <w:rFonts w:ascii="Roboto" w:hAnsi="Roboto"/>
          <w:i/>
          <w:sz w:val="24"/>
          <w:szCs w:val="24"/>
        </w:rPr>
        <w:t>”</w:t>
      </w:r>
      <w:r w:rsidRPr="006F15E1">
        <w:rPr>
          <w:rFonts w:ascii="Roboto" w:hAnsi="Roboto"/>
          <w:sz w:val="24"/>
          <w:szCs w:val="24"/>
        </w:rPr>
        <w:t xml:space="preserve">, su validación se realiza contra el certificado digital emitido por el Banco Central, y descrito en el artículo 6 de este acuerdo, de conformidad con los </w:t>
      </w:r>
      <w:r w:rsidRPr="006F15E1">
        <w:rPr>
          <w:rFonts w:ascii="Roboto" w:hAnsi="Roboto"/>
          <w:i/>
          <w:sz w:val="24"/>
          <w:szCs w:val="24"/>
        </w:rPr>
        <w:t xml:space="preserve">“Lineamientos Generales para la Administración de Esquemas de Seguridad de </w:t>
      </w:r>
      <w:proofErr w:type="spellStart"/>
      <w:r w:rsidRPr="006F15E1">
        <w:rPr>
          <w:rFonts w:ascii="Roboto" w:hAnsi="Roboto"/>
          <w:i/>
          <w:sz w:val="24"/>
          <w:szCs w:val="24"/>
        </w:rPr>
        <w:t>Sugese</w:t>
      </w:r>
      <w:proofErr w:type="spellEnd"/>
      <w:r w:rsidRPr="006F15E1">
        <w:rPr>
          <w:rFonts w:ascii="Roboto" w:hAnsi="Roboto"/>
          <w:i/>
          <w:sz w:val="24"/>
          <w:szCs w:val="24"/>
        </w:rPr>
        <w:t xml:space="preserve"> en Línea por parte de las Entidades Supervisadas”</w:t>
      </w:r>
      <w:r w:rsidRPr="006F15E1">
        <w:rPr>
          <w:rFonts w:ascii="Roboto" w:hAnsi="Roboto"/>
          <w:sz w:val="24"/>
          <w:szCs w:val="24"/>
        </w:rPr>
        <w:t xml:space="preserve">, emitidos por esta Superintendencia. </w:t>
      </w:r>
    </w:p>
    <w:p w14:paraId="66AE6D5D" w14:textId="77777777" w:rsidR="003C1E7C" w:rsidRPr="006F15E1" w:rsidRDefault="003C1E7C" w:rsidP="007422B6">
      <w:pPr>
        <w:spacing w:after="0"/>
        <w:jc w:val="both"/>
        <w:rPr>
          <w:rFonts w:ascii="Roboto" w:hAnsi="Roboto"/>
          <w:sz w:val="24"/>
          <w:szCs w:val="24"/>
        </w:rPr>
      </w:pPr>
    </w:p>
    <w:p w14:paraId="4CA6816B"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Las entidades supervisadas, deberán observar las normas mínimas que rigen sobre confidencialidad y responsabilidad por la integridad y autenticidad de los datos.</w:t>
      </w:r>
    </w:p>
    <w:p w14:paraId="2ABFD0A5" w14:textId="77777777" w:rsidR="003C1E7C" w:rsidRPr="006F15E1" w:rsidRDefault="003C1E7C" w:rsidP="007422B6">
      <w:pPr>
        <w:spacing w:after="0"/>
        <w:jc w:val="both"/>
        <w:rPr>
          <w:rFonts w:ascii="Roboto" w:hAnsi="Roboto"/>
          <w:i/>
          <w:sz w:val="24"/>
          <w:szCs w:val="24"/>
        </w:rPr>
      </w:pPr>
    </w:p>
    <w:p w14:paraId="1BB41D90"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Cs w:val="0"/>
          <w:iCs w:val="0"/>
          <w:lang w:val="es-CR" w:eastAsia="en-US"/>
        </w:rPr>
        <w:t>Artículo 6.  Validez de las transmisiones electrónicas de datos</w:t>
      </w:r>
      <w:r w:rsidRPr="006F15E1">
        <w:rPr>
          <w:rFonts w:ascii="Roboto" w:eastAsiaTheme="minorHAnsi" w:hAnsi="Roboto" w:cstheme="minorBidi"/>
          <w:b w:val="0"/>
          <w:bCs w:val="0"/>
          <w:iCs w:val="0"/>
          <w:lang w:val="es-CR" w:eastAsia="en-US"/>
        </w:rPr>
        <w:t xml:space="preserve"> </w:t>
      </w:r>
    </w:p>
    <w:p w14:paraId="67DEEC0F" w14:textId="77777777" w:rsidR="003C1E7C" w:rsidRPr="006F15E1" w:rsidRDefault="003C1E7C" w:rsidP="007422B6">
      <w:pPr>
        <w:pStyle w:val="Sangra2detindependiente"/>
        <w:spacing w:after="0"/>
        <w:ind w:left="0"/>
        <w:rPr>
          <w:rFonts w:ascii="Roboto" w:hAnsi="Roboto"/>
          <w:b w:val="0"/>
        </w:rPr>
      </w:pPr>
      <w:r w:rsidRPr="006F15E1">
        <w:rPr>
          <w:rFonts w:ascii="Roboto" w:eastAsiaTheme="minorHAnsi" w:hAnsi="Roboto" w:cstheme="minorBidi"/>
          <w:b w:val="0"/>
          <w:bCs w:val="0"/>
          <w:iCs w:val="0"/>
          <w:lang w:val="es-CR" w:eastAsia="en-US"/>
        </w:rPr>
        <w:t>Las transmisiones</w:t>
      </w:r>
      <w:r w:rsidRPr="006F15E1">
        <w:rPr>
          <w:rFonts w:ascii="Roboto" w:hAnsi="Roboto"/>
          <w:b w:val="0"/>
        </w:rPr>
        <w:t xml:space="preserve"> </w:t>
      </w:r>
      <w:r w:rsidRPr="006F15E1">
        <w:rPr>
          <w:rFonts w:ascii="Roboto" w:eastAsiaTheme="minorHAnsi" w:hAnsi="Roboto" w:cstheme="minorBidi"/>
          <w:b w:val="0"/>
          <w:bCs w:val="0"/>
          <w:iCs w:val="0"/>
          <w:lang w:val="es-CR" w:eastAsia="en-US"/>
        </w:rPr>
        <w:t xml:space="preserve">electrónicas de datos periódicas, efectuadas por los funcionarios de las entidades supervisadas, serán válidas y eficaces, surtiendo todos los efectos legales y probatorios, a partir de la fecha y hora que queden disponibles en la Superintendencia. </w:t>
      </w:r>
    </w:p>
    <w:p w14:paraId="6E12F7FA"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p>
    <w:p w14:paraId="68C02DAD" w14:textId="77777777" w:rsidR="003C1E7C" w:rsidRPr="006F15E1" w:rsidRDefault="003C1E7C" w:rsidP="007422B6">
      <w:pPr>
        <w:pStyle w:val="Sangra2detindependiente"/>
        <w:spacing w:after="0"/>
        <w:ind w:left="0"/>
        <w:rPr>
          <w:rFonts w:ascii="Roboto" w:hAnsi="Roboto"/>
          <w:b w:val="0"/>
        </w:rPr>
      </w:pPr>
      <w:r w:rsidRPr="006F15E1">
        <w:rPr>
          <w:rFonts w:ascii="Roboto" w:eastAsiaTheme="minorHAnsi" w:hAnsi="Roboto" w:cstheme="minorBidi"/>
          <w:b w:val="0"/>
          <w:bCs w:val="0"/>
          <w:iCs w:val="0"/>
          <w:lang w:val="es-CR" w:eastAsia="en-US"/>
        </w:rPr>
        <w:t>Los archivos .</w:t>
      </w:r>
      <w:proofErr w:type="spellStart"/>
      <w:r w:rsidRPr="006F15E1">
        <w:rPr>
          <w:rFonts w:ascii="Roboto" w:eastAsiaTheme="minorHAnsi" w:hAnsi="Roboto" w:cstheme="minorBidi"/>
          <w:b w:val="0"/>
          <w:bCs w:val="0"/>
          <w:iCs w:val="0"/>
          <w:lang w:val="es-CR" w:eastAsia="en-US"/>
        </w:rPr>
        <w:t>xml</w:t>
      </w:r>
      <w:proofErr w:type="spellEnd"/>
      <w:r w:rsidRPr="006F15E1">
        <w:rPr>
          <w:rFonts w:ascii="Roboto" w:eastAsiaTheme="minorHAnsi" w:hAnsi="Roboto" w:cstheme="minorBidi"/>
          <w:b w:val="0"/>
          <w:bCs w:val="0"/>
          <w:iCs w:val="0"/>
          <w:lang w:val="es-CR" w:eastAsia="en-US"/>
        </w:rPr>
        <w:t xml:space="preserve"> que se carguen al </w:t>
      </w:r>
      <w:r w:rsidRPr="006F15E1">
        <w:rPr>
          <w:rFonts w:ascii="Roboto" w:eastAsiaTheme="minorHAnsi" w:hAnsi="Roboto" w:cstheme="minorBidi"/>
          <w:b w:val="0"/>
          <w:bCs w:val="0"/>
          <w:i/>
          <w:iCs w:val="0"/>
          <w:lang w:val="es-CR" w:eastAsia="en-US"/>
        </w:rPr>
        <w:t xml:space="preserve">“web </w:t>
      </w:r>
      <w:proofErr w:type="spellStart"/>
      <w:r w:rsidRPr="006F15E1">
        <w:rPr>
          <w:rFonts w:ascii="Roboto" w:eastAsiaTheme="minorHAnsi" w:hAnsi="Roboto" w:cstheme="minorBidi"/>
          <w:b w:val="0"/>
          <w:bCs w:val="0"/>
          <w:i/>
          <w:iCs w:val="0"/>
          <w:lang w:val="es-CR" w:eastAsia="en-US"/>
        </w:rPr>
        <w:t>service</w:t>
      </w:r>
      <w:proofErr w:type="spellEnd"/>
      <w:r w:rsidRPr="006F15E1">
        <w:rPr>
          <w:rFonts w:ascii="Roboto" w:eastAsiaTheme="minorHAnsi" w:hAnsi="Roboto" w:cstheme="minorBidi"/>
          <w:b w:val="0"/>
          <w:bCs w:val="0"/>
          <w:i/>
          <w:iCs w:val="0"/>
          <w:lang w:val="es-CR" w:eastAsia="en-US"/>
        </w:rPr>
        <w:t>”</w:t>
      </w:r>
      <w:r w:rsidRPr="006F15E1">
        <w:rPr>
          <w:rFonts w:ascii="Roboto" w:eastAsiaTheme="minorHAnsi" w:hAnsi="Roboto" w:cstheme="minorBidi"/>
          <w:b w:val="0"/>
          <w:bCs w:val="0"/>
          <w:iCs w:val="0"/>
          <w:lang w:val="es-CR" w:eastAsia="en-US"/>
        </w:rPr>
        <w:t xml:space="preserve"> en la dirección</w:t>
      </w:r>
      <w:r w:rsidRPr="006F15E1">
        <w:rPr>
          <w:rFonts w:ascii="Roboto" w:hAnsi="Roboto"/>
          <w:b w:val="0"/>
        </w:rPr>
        <w:t xml:space="preserve"> </w:t>
      </w:r>
      <w:hyperlink r:id="rId14" w:history="1">
        <w:r w:rsidRPr="006F15E1">
          <w:rPr>
            <w:rStyle w:val="Hipervnculo"/>
            <w:rFonts w:ascii="Roboto" w:hAnsi="Roboto"/>
            <w:b w:val="0"/>
          </w:rPr>
          <w:t>www.sugese.fi.cr</w:t>
        </w:r>
      </w:hyperlink>
      <w:r w:rsidRPr="006F15E1">
        <w:rPr>
          <w:rFonts w:ascii="Roboto" w:hAnsi="Roboto"/>
          <w:b w:val="0"/>
        </w:rPr>
        <w:t xml:space="preserve">, </w:t>
      </w:r>
      <w:r w:rsidRPr="006F15E1">
        <w:rPr>
          <w:rFonts w:ascii="Roboto" w:eastAsiaTheme="minorHAnsi" w:hAnsi="Roboto" w:cstheme="minorBidi"/>
          <w:b w:val="0"/>
          <w:bCs w:val="0"/>
          <w:iCs w:val="0"/>
          <w:lang w:val="es-CR" w:eastAsia="en-US"/>
        </w:rPr>
        <w:t xml:space="preserve">así como los documentos enviados vía electrónica serán reconocidos como medio de prueba en la vía administrativa y judicial. </w:t>
      </w:r>
    </w:p>
    <w:p w14:paraId="2FA5296E" w14:textId="3B4E275F"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 w:val="0"/>
          <w:bCs w:val="0"/>
          <w:iCs w:val="0"/>
          <w:lang w:val="es-CR" w:eastAsia="en-US"/>
        </w:rPr>
        <w:t xml:space="preserve">Para efectos de validez y seguridad de las transmisiones de carga de la información por medio del servicio, se deberá utilizar un certificado digital emitido por el Banco Central de Costa Rica y dispuesto en la aplicación </w:t>
      </w:r>
      <w:proofErr w:type="spellStart"/>
      <w:r w:rsidRPr="006F15E1">
        <w:rPr>
          <w:rFonts w:ascii="Roboto" w:eastAsiaTheme="minorHAnsi" w:hAnsi="Roboto" w:cstheme="minorBidi"/>
          <w:b w:val="0"/>
          <w:bCs w:val="0"/>
          <w:i/>
          <w:iCs w:val="0"/>
          <w:lang w:val="es-CR" w:eastAsia="en-US"/>
        </w:rPr>
        <w:t>Sugese</w:t>
      </w:r>
      <w:proofErr w:type="spellEnd"/>
      <w:r w:rsidRPr="006F15E1">
        <w:rPr>
          <w:rFonts w:ascii="Roboto" w:eastAsiaTheme="minorHAnsi" w:hAnsi="Roboto" w:cstheme="minorBidi"/>
          <w:b w:val="0"/>
          <w:bCs w:val="0"/>
          <w:i/>
          <w:iCs w:val="0"/>
          <w:lang w:val="es-CR" w:eastAsia="en-US"/>
        </w:rPr>
        <w:t xml:space="preserve"> en Línea</w:t>
      </w:r>
      <w:r w:rsidRPr="006F15E1">
        <w:rPr>
          <w:rFonts w:ascii="Roboto" w:eastAsiaTheme="minorHAnsi" w:hAnsi="Roboto" w:cstheme="minorBidi"/>
          <w:b w:val="0"/>
          <w:bCs w:val="0"/>
          <w:iCs w:val="0"/>
          <w:lang w:val="es-CR" w:eastAsia="en-US"/>
        </w:rPr>
        <w:t xml:space="preserve"> del sitio web de la Superintendencia, a través de la aplicación para la gestión de los certificados.  Este certificado debe ser instalado en los equipos de la entidad supervisada por su personal técnico.</w:t>
      </w:r>
    </w:p>
    <w:p w14:paraId="6E3323CB"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p>
    <w:p w14:paraId="3AF123D9"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 w:val="0"/>
          <w:bCs w:val="0"/>
          <w:iCs w:val="0"/>
          <w:lang w:val="es-CR" w:eastAsia="en-US"/>
        </w:rPr>
        <w:t>De igual forma, la información remitida a la Superintendencia vía correo electrónico debe ser validada por medio de un certificado de firma digital emitido por una autoridad Certificadora perteneciente a la Jerarquía Nacional de Certificación Digital.</w:t>
      </w:r>
    </w:p>
    <w:p w14:paraId="4FF91479"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p>
    <w:p w14:paraId="21933B3A" w14:textId="77777777" w:rsidR="003C1E7C" w:rsidRPr="006F15E1" w:rsidRDefault="003C1E7C" w:rsidP="007422B6">
      <w:pPr>
        <w:spacing w:after="0"/>
        <w:jc w:val="both"/>
        <w:rPr>
          <w:rFonts w:ascii="Roboto" w:hAnsi="Roboto"/>
          <w:b/>
          <w:sz w:val="24"/>
          <w:szCs w:val="24"/>
        </w:rPr>
      </w:pPr>
      <w:r w:rsidRPr="006F15E1">
        <w:rPr>
          <w:rFonts w:ascii="Roboto" w:hAnsi="Roboto"/>
          <w:b/>
          <w:bCs/>
          <w:iCs/>
          <w:sz w:val="24"/>
          <w:szCs w:val="24"/>
        </w:rPr>
        <w:t>Artículo 7.  Información que deben remitir los grupos o conglomerados financieros</w:t>
      </w:r>
      <w:r w:rsidRPr="006F15E1">
        <w:rPr>
          <w:rFonts w:ascii="Roboto" w:hAnsi="Roboto"/>
          <w:b/>
          <w:sz w:val="24"/>
          <w:szCs w:val="24"/>
        </w:rPr>
        <w:t xml:space="preserve"> </w:t>
      </w:r>
    </w:p>
    <w:p w14:paraId="2853EEAC" w14:textId="77777777" w:rsidR="003C1E7C" w:rsidRPr="006F15E1" w:rsidRDefault="003C1E7C" w:rsidP="007422B6">
      <w:pPr>
        <w:spacing w:after="0"/>
        <w:jc w:val="both"/>
        <w:rPr>
          <w:rFonts w:ascii="Roboto" w:hAnsi="Roboto"/>
          <w:i/>
          <w:sz w:val="24"/>
          <w:szCs w:val="24"/>
        </w:rPr>
      </w:pPr>
      <w:r w:rsidRPr="006F15E1">
        <w:rPr>
          <w:rFonts w:ascii="Roboto" w:hAnsi="Roboto"/>
          <w:sz w:val="24"/>
          <w:szCs w:val="24"/>
        </w:rPr>
        <w:t>Las disposiciones anteriores no sustituyen las normas establecidas en cuanto a la información que deben remitir los grupos o conglomerados financieros sobre su suficiencia patrimonial de conformidad con lo establecido en el Reglamento denominado</w:t>
      </w:r>
      <w:r w:rsidRPr="006F15E1">
        <w:rPr>
          <w:rFonts w:ascii="Roboto" w:hAnsi="Roboto"/>
          <w:b/>
          <w:color w:val="0000FF"/>
          <w:sz w:val="24"/>
          <w:szCs w:val="24"/>
        </w:rPr>
        <w:t xml:space="preserve"> </w:t>
      </w:r>
      <w:r w:rsidRPr="006F15E1">
        <w:rPr>
          <w:rFonts w:ascii="Roboto" w:hAnsi="Roboto"/>
          <w:i/>
          <w:sz w:val="24"/>
          <w:szCs w:val="24"/>
        </w:rPr>
        <w:t>Normas para Determinar la Suficiencia Patrimonial de los Grupos Financieros y Otros Conglomerados.</w:t>
      </w:r>
    </w:p>
    <w:p w14:paraId="36F804B7" w14:textId="77777777" w:rsidR="003C1E7C" w:rsidRPr="006F15E1" w:rsidRDefault="003C1E7C" w:rsidP="007422B6">
      <w:pPr>
        <w:spacing w:after="0"/>
        <w:jc w:val="both"/>
        <w:rPr>
          <w:rFonts w:ascii="Roboto" w:hAnsi="Roboto"/>
          <w:sz w:val="24"/>
          <w:szCs w:val="24"/>
        </w:rPr>
      </w:pPr>
    </w:p>
    <w:p w14:paraId="63D9BE37" w14:textId="77777777" w:rsidR="003C1E7C" w:rsidRPr="006F15E1" w:rsidRDefault="003C1E7C" w:rsidP="007422B6">
      <w:pPr>
        <w:spacing w:after="0"/>
        <w:jc w:val="both"/>
        <w:rPr>
          <w:rFonts w:ascii="Roboto" w:hAnsi="Roboto"/>
          <w:b/>
          <w:sz w:val="24"/>
          <w:szCs w:val="24"/>
        </w:rPr>
      </w:pPr>
      <w:r w:rsidRPr="006F15E1">
        <w:rPr>
          <w:rFonts w:ascii="Roboto" w:hAnsi="Roboto"/>
          <w:b/>
          <w:sz w:val="24"/>
          <w:szCs w:val="24"/>
        </w:rPr>
        <w:t>Artículo 8. Características, disponibilidad y procedimiento de la actualización, de los Estándares Electrónicos de los sistemas de remisión de información</w:t>
      </w:r>
    </w:p>
    <w:p w14:paraId="336326BD" w14:textId="77777777" w:rsidR="003C1E7C" w:rsidRPr="006F15E1" w:rsidRDefault="003C1E7C" w:rsidP="007422B6">
      <w:pPr>
        <w:spacing w:after="0"/>
        <w:jc w:val="both"/>
        <w:rPr>
          <w:rFonts w:ascii="Roboto" w:hAnsi="Roboto"/>
          <w:b/>
          <w:sz w:val="24"/>
          <w:szCs w:val="24"/>
        </w:rPr>
      </w:pPr>
    </w:p>
    <w:p w14:paraId="7DD1E391"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El Estándar Electrónico es el documento donde se disponen los requerimientos necesarios para la generación de los archivos XML y XSD en los sistemas de remisión de información de la </w:t>
      </w:r>
      <w:proofErr w:type="gramStart"/>
      <w:r w:rsidRPr="006F15E1">
        <w:rPr>
          <w:rFonts w:ascii="Roboto" w:hAnsi="Roboto"/>
          <w:sz w:val="24"/>
          <w:szCs w:val="24"/>
        </w:rPr>
        <w:t xml:space="preserve">Superintendencia,   </w:t>
      </w:r>
      <w:proofErr w:type="gramEnd"/>
      <w:r w:rsidRPr="006F15E1">
        <w:rPr>
          <w:rFonts w:ascii="Roboto" w:hAnsi="Roboto"/>
          <w:sz w:val="24"/>
          <w:szCs w:val="24"/>
        </w:rPr>
        <w:t xml:space="preserve">estos documentos son parte integral de este acuerdo y estarán disponibles en el sitio web de la Superintendencia (www.sugese.fi.cr), en la Sección de Marco Legal como parte de los acuerdos del Superintendente. Adicionalmente, se pondrá a disposición </w:t>
      </w:r>
      <w:proofErr w:type="gramStart"/>
      <w:r w:rsidRPr="006F15E1">
        <w:rPr>
          <w:rFonts w:ascii="Roboto" w:hAnsi="Roboto"/>
          <w:sz w:val="24"/>
          <w:szCs w:val="24"/>
        </w:rPr>
        <w:t>de  los</w:t>
      </w:r>
      <w:proofErr w:type="gramEnd"/>
      <w:r w:rsidRPr="006F15E1">
        <w:rPr>
          <w:rFonts w:ascii="Roboto" w:hAnsi="Roboto"/>
          <w:sz w:val="24"/>
          <w:szCs w:val="24"/>
        </w:rPr>
        <w:t xml:space="preserve"> supervisados, un documento con el </w:t>
      </w:r>
      <w:proofErr w:type="gramStart"/>
      <w:r w:rsidRPr="006F15E1">
        <w:rPr>
          <w:rFonts w:ascii="Roboto" w:hAnsi="Roboto"/>
          <w:sz w:val="24"/>
          <w:szCs w:val="24"/>
        </w:rPr>
        <w:lastRenderedPageBreak/>
        <w:t>resumen  de</w:t>
      </w:r>
      <w:proofErr w:type="gramEnd"/>
      <w:r w:rsidRPr="006F15E1">
        <w:rPr>
          <w:rFonts w:ascii="Roboto" w:hAnsi="Roboto"/>
          <w:sz w:val="24"/>
          <w:szCs w:val="24"/>
        </w:rPr>
        <w:t xml:space="preserve"> los cambios aprobados al Estándar Electrónico, cada vez que sean requeridos. </w:t>
      </w:r>
    </w:p>
    <w:p w14:paraId="781439BE" w14:textId="77777777" w:rsidR="003C1E7C" w:rsidRPr="006F15E1" w:rsidRDefault="003C1E7C" w:rsidP="007422B6">
      <w:pPr>
        <w:spacing w:after="0"/>
        <w:jc w:val="both"/>
        <w:rPr>
          <w:rFonts w:ascii="Roboto" w:hAnsi="Roboto"/>
          <w:sz w:val="24"/>
          <w:szCs w:val="24"/>
        </w:rPr>
      </w:pPr>
    </w:p>
    <w:p w14:paraId="3AF828D5"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Las modificaciones que se efectúen a los </w:t>
      </w:r>
      <w:proofErr w:type="gramStart"/>
      <w:r w:rsidRPr="006F15E1">
        <w:rPr>
          <w:rFonts w:ascii="Roboto" w:hAnsi="Roboto"/>
          <w:sz w:val="24"/>
          <w:szCs w:val="24"/>
        </w:rPr>
        <w:t>documentos  denominados</w:t>
      </w:r>
      <w:proofErr w:type="gramEnd"/>
      <w:r w:rsidRPr="006F15E1">
        <w:rPr>
          <w:rFonts w:ascii="Roboto" w:hAnsi="Roboto"/>
          <w:sz w:val="24"/>
          <w:szCs w:val="24"/>
        </w:rPr>
        <w:t xml:space="preserve"> Estándar </w:t>
      </w:r>
      <w:proofErr w:type="gramStart"/>
      <w:r w:rsidRPr="006F15E1">
        <w:rPr>
          <w:rFonts w:ascii="Roboto" w:hAnsi="Roboto"/>
          <w:sz w:val="24"/>
          <w:szCs w:val="24"/>
        </w:rPr>
        <w:t xml:space="preserve">Electrónico,   </w:t>
      </w:r>
      <w:proofErr w:type="gramEnd"/>
      <w:r w:rsidRPr="006F15E1">
        <w:rPr>
          <w:rFonts w:ascii="Roboto" w:hAnsi="Roboto"/>
          <w:sz w:val="24"/>
          <w:szCs w:val="24"/>
        </w:rPr>
        <w:t xml:space="preserve">referentes </w:t>
      </w:r>
      <w:proofErr w:type="gramStart"/>
      <w:r w:rsidRPr="006F15E1">
        <w:rPr>
          <w:rFonts w:ascii="Roboto" w:hAnsi="Roboto"/>
          <w:sz w:val="24"/>
          <w:szCs w:val="24"/>
        </w:rPr>
        <w:t>a  aspectos</w:t>
      </w:r>
      <w:proofErr w:type="gramEnd"/>
      <w:r w:rsidRPr="006F15E1">
        <w:rPr>
          <w:rFonts w:ascii="Roboto" w:hAnsi="Roboto"/>
          <w:sz w:val="24"/>
          <w:szCs w:val="24"/>
        </w:rPr>
        <w:t xml:space="preserve"> menores como los siguientes, se regirán por el procedimiento descrito a continuación:</w:t>
      </w:r>
    </w:p>
    <w:p w14:paraId="5D434221" w14:textId="77777777" w:rsidR="003C1E7C" w:rsidRPr="006F15E1" w:rsidRDefault="003C1E7C" w:rsidP="007422B6">
      <w:pPr>
        <w:spacing w:after="0"/>
        <w:jc w:val="both"/>
        <w:rPr>
          <w:rFonts w:ascii="Roboto" w:hAnsi="Roboto"/>
          <w:sz w:val="24"/>
          <w:szCs w:val="24"/>
        </w:rPr>
      </w:pPr>
    </w:p>
    <w:p w14:paraId="784CC227"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w:t>
      </w:r>
      <w:r w:rsidRPr="006F15E1">
        <w:rPr>
          <w:rFonts w:ascii="Roboto" w:hAnsi="Roboto"/>
          <w:sz w:val="24"/>
          <w:szCs w:val="24"/>
        </w:rPr>
        <w:tab/>
        <w:t>Cambios en las validaciones.</w:t>
      </w:r>
    </w:p>
    <w:p w14:paraId="33C14E07"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w:t>
      </w:r>
      <w:r w:rsidRPr="006F15E1">
        <w:rPr>
          <w:rFonts w:ascii="Roboto" w:hAnsi="Roboto"/>
          <w:sz w:val="24"/>
          <w:szCs w:val="24"/>
        </w:rPr>
        <w:tab/>
        <w:t xml:space="preserve">Cambios en las descripciones de los atributos o elementos.  </w:t>
      </w:r>
    </w:p>
    <w:p w14:paraId="19DB1FC3"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w:t>
      </w:r>
      <w:r w:rsidRPr="006F15E1">
        <w:rPr>
          <w:rFonts w:ascii="Roboto" w:hAnsi="Roboto"/>
          <w:sz w:val="24"/>
          <w:szCs w:val="24"/>
        </w:rPr>
        <w:tab/>
        <w:t>Modificaciones de cambios de las tablas o los catálogos.</w:t>
      </w:r>
    </w:p>
    <w:p w14:paraId="68974D95" w14:textId="77777777" w:rsidR="003C1E7C" w:rsidRPr="006F15E1" w:rsidRDefault="003C1E7C" w:rsidP="007422B6">
      <w:pPr>
        <w:spacing w:after="0"/>
        <w:jc w:val="both"/>
        <w:rPr>
          <w:rFonts w:ascii="Roboto" w:hAnsi="Roboto"/>
          <w:sz w:val="24"/>
          <w:szCs w:val="24"/>
        </w:rPr>
      </w:pPr>
    </w:p>
    <w:p w14:paraId="0F884C10" w14:textId="77777777" w:rsidR="003C1E7C" w:rsidRPr="006F15E1" w:rsidRDefault="003C1E7C" w:rsidP="007422B6">
      <w:pPr>
        <w:spacing w:after="0"/>
        <w:jc w:val="both"/>
        <w:rPr>
          <w:rFonts w:ascii="Roboto" w:hAnsi="Roboto"/>
          <w:sz w:val="24"/>
          <w:szCs w:val="24"/>
        </w:rPr>
      </w:pPr>
      <w:proofErr w:type="gramStart"/>
      <w:r w:rsidRPr="006F15E1">
        <w:rPr>
          <w:rFonts w:ascii="Roboto" w:hAnsi="Roboto"/>
          <w:sz w:val="24"/>
          <w:szCs w:val="24"/>
        </w:rPr>
        <w:t>La  actualización</w:t>
      </w:r>
      <w:proofErr w:type="gramEnd"/>
      <w:r w:rsidRPr="006F15E1">
        <w:rPr>
          <w:rFonts w:ascii="Roboto" w:hAnsi="Roboto"/>
          <w:sz w:val="24"/>
          <w:szCs w:val="24"/>
        </w:rPr>
        <w:t xml:space="preserve"> del Estándar Electrónico en aspectos como los señalados será </w:t>
      </w:r>
      <w:proofErr w:type="gramStart"/>
      <w:r w:rsidRPr="006F15E1">
        <w:rPr>
          <w:rFonts w:ascii="Roboto" w:hAnsi="Roboto"/>
          <w:sz w:val="24"/>
          <w:szCs w:val="24"/>
        </w:rPr>
        <w:t>comunicada  a</w:t>
      </w:r>
      <w:proofErr w:type="gramEnd"/>
      <w:r w:rsidRPr="006F15E1">
        <w:rPr>
          <w:rFonts w:ascii="Roboto" w:hAnsi="Roboto"/>
          <w:sz w:val="24"/>
          <w:szCs w:val="24"/>
        </w:rPr>
        <w:t xml:space="preserve"> las entidades supervisadas por la </w:t>
      </w:r>
      <w:proofErr w:type="spellStart"/>
      <w:proofErr w:type="gramStart"/>
      <w:r w:rsidRPr="006F15E1">
        <w:rPr>
          <w:rFonts w:ascii="Roboto" w:hAnsi="Roboto"/>
          <w:sz w:val="24"/>
          <w:szCs w:val="24"/>
        </w:rPr>
        <w:t>Sugese</w:t>
      </w:r>
      <w:proofErr w:type="spellEnd"/>
      <w:r w:rsidRPr="006F15E1">
        <w:rPr>
          <w:rFonts w:ascii="Roboto" w:hAnsi="Roboto"/>
          <w:sz w:val="24"/>
          <w:szCs w:val="24"/>
        </w:rPr>
        <w:t>,  cuando</w:t>
      </w:r>
      <w:proofErr w:type="gramEnd"/>
      <w:r w:rsidRPr="006F15E1">
        <w:rPr>
          <w:rFonts w:ascii="Roboto" w:hAnsi="Roboto"/>
          <w:sz w:val="24"/>
          <w:szCs w:val="24"/>
        </w:rPr>
        <w:t xml:space="preserve"> sea requerido, mediante un oficio.</w:t>
      </w:r>
    </w:p>
    <w:p w14:paraId="7ADAA9BF" w14:textId="77777777" w:rsidR="003C1E7C" w:rsidRPr="006F15E1" w:rsidRDefault="003C1E7C" w:rsidP="007422B6">
      <w:pPr>
        <w:spacing w:after="0"/>
        <w:jc w:val="both"/>
        <w:rPr>
          <w:rFonts w:ascii="Roboto" w:hAnsi="Roboto"/>
          <w:sz w:val="24"/>
          <w:szCs w:val="24"/>
        </w:rPr>
      </w:pPr>
    </w:p>
    <w:p w14:paraId="31AEFD79"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Dentro del plazo de diez días hábiles posteriores a dicha comunicación las entidades podrán remitir sus objeciones debidamente justificadas a las modificaciones propuestas, en caso de requerirlo, transcurrido este plazo se tomarán como aceptadas las modificaciones. </w:t>
      </w:r>
    </w:p>
    <w:p w14:paraId="213ED2D1" w14:textId="77777777" w:rsidR="003C1E7C" w:rsidRPr="006F15E1" w:rsidRDefault="003C1E7C" w:rsidP="007422B6">
      <w:pPr>
        <w:spacing w:after="0"/>
        <w:jc w:val="both"/>
        <w:rPr>
          <w:rFonts w:ascii="Roboto" w:hAnsi="Roboto"/>
          <w:sz w:val="24"/>
          <w:szCs w:val="24"/>
        </w:rPr>
      </w:pPr>
    </w:p>
    <w:p w14:paraId="022A56D3" w14:textId="77777777" w:rsidR="003C1E7C" w:rsidRPr="006F15E1" w:rsidRDefault="003C1E7C" w:rsidP="007422B6">
      <w:pPr>
        <w:spacing w:after="0"/>
        <w:jc w:val="both"/>
        <w:rPr>
          <w:rFonts w:ascii="Roboto" w:hAnsi="Roboto"/>
          <w:sz w:val="24"/>
          <w:szCs w:val="24"/>
        </w:rPr>
      </w:pPr>
      <w:r w:rsidRPr="006F15E1">
        <w:rPr>
          <w:rFonts w:ascii="Roboto" w:hAnsi="Roboto"/>
          <w:sz w:val="24"/>
          <w:szCs w:val="24"/>
        </w:rPr>
        <w:t xml:space="preserve">Cualquier cambio en el Estándar Electrónico </w:t>
      </w:r>
      <w:proofErr w:type="gramStart"/>
      <w:r w:rsidRPr="006F15E1">
        <w:rPr>
          <w:rFonts w:ascii="Roboto" w:hAnsi="Roboto"/>
          <w:sz w:val="24"/>
          <w:szCs w:val="24"/>
        </w:rPr>
        <w:t>entrará en vigencia</w:t>
      </w:r>
      <w:proofErr w:type="gramEnd"/>
      <w:r w:rsidRPr="006F15E1">
        <w:rPr>
          <w:rFonts w:ascii="Roboto" w:hAnsi="Roboto"/>
          <w:sz w:val="24"/>
          <w:szCs w:val="24"/>
        </w:rPr>
        <w:t xml:space="preserve"> un mes después de informado al medio por parte de la Superintendencia, por los medios de comunicación dispuestos para ello o bien cuando se acepte alguna observación en el plazo </w:t>
      </w:r>
      <w:proofErr w:type="gramStart"/>
      <w:r w:rsidRPr="006F15E1">
        <w:rPr>
          <w:rFonts w:ascii="Roboto" w:hAnsi="Roboto"/>
          <w:sz w:val="24"/>
          <w:szCs w:val="24"/>
        </w:rPr>
        <w:t>que  ésta</w:t>
      </w:r>
      <w:proofErr w:type="gramEnd"/>
      <w:r w:rsidRPr="006F15E1">
        <w:rPr>
          <w:rFonts w:ascii="Roboto" w:hAnsi="Roboto"/>
          <w:sz w:val="24"/>
          <w:szCs w:val="24"/>
        </w:rPr>
        <w:t xml:space="preserve"> considere.</w:t>
      </w:r>
    </w:p>
    <w:p w14:paraId="2D51874A" w14:textId="77777777" w:rsidR="003C1E7C" w:rsidRPr="006F15E1" w:rsidRDefault="003C1E7C" w:rsidP="007422B6">
      <w:pPr>
        <w:spacing w:after="0"/>
        <w:jc w:val="both"/>
        <w:rPr>
          <w:rFonts w:ascii="Roboto" w:hAnsi="Roboto"/>
          <w:sz w:val="24"/>
          <w:szCs w:val="24"/>
        </w:rPr>
      </w:pPr>
    </w:p>
    <w:p w14:paraId="2BBFE2ED" w14:textId="237EA932" w:rsidR="003C1E7C" w:rsidRPr="006F15E1" w:rsidRDefault="003C1E7C" w:rsidP="007422B6">
      <w:pPr>
        <w:spacing w:after="0"/>
        <w:jc w:val="both"/>
        <w:rPr>
          <w:rFonts w:ascii="Roboto" w:hAnsi="Roboto"/>
          <w:sz w:val="24"/>
          <w:szCs w:val="24"/>
        </w:rPr>
      </w:pPr>
      <w:r w:rsidRPr="006F15E1">
        <w:rPr>
          <w:rFonts w:ascii="Roboto" w:hAnsi="Roboto"/>
          <w:sz w:val="24"/>
          <w:szCs w:val="24"/>
        </w:rPr>
        <w:t>Este procedimiento no aplica para modificaciones del Estándar de Negocio o la introducción de nuevos modelos en cualquiera de los servicios de remisión de información, ni cambios que afecten la información histórica ya remitida.</w:t>
      </w:r>
    </w:p>
    <w:p w14:paraId="4D2D9D88" w14:textId="77777777" w:rsidR="001C5E79" w:rsidRPr="006F15E1" w:rsidRDefault="001C5E79" w:rsidP="007422B6">
      <w:pPr>
        <w:spacing w:after="0"/>
        <w:jc w:val="both"/>
        <w:rPr>
          <w:rFonts w:ascii="Roboto" w:hAnsi="Roboto"/>
          <w:sz w:val="24"/>
          <w:szCs w:val="24"/>
        </w:rPr>
      </w:pPr>
    </w:p>
    <w:p w14:paraId="46D7549D" w14:textId="7C3D7A61" w:rsidR="003C1E7C" w:rsidRPr="006F15E1" w:rsidRDefault="003C1E7C" w:rsidP="007422B6">
      <w:pPr>
        <w:spacing w:after="0"/>
        <w:jc w:val="both"/>
        <w:rPr>
          <w:rFonts w:ascii="Roboto" w:hAnsi="Roboto"/>
          <w:b/>
          <w:bCs/>
          <w:iCs/>
          <w:sz w:val="24"/>
          <w:szCs w:val="24"/>
        </w:rPr>
      </w:pPr>
      <w:r w:rsidRPr="006F15E1">
        <w:rPr>
          <w:rStyle w:val="Refdenotaalpie"/>
          <w:rFonts w:ascii="Roboto" w:hAnsi="Roboto"/>
          <w:b/>
          <w:bCs/>
          <w:iCs/>
          <w:sz w:val="24"/>
          <w:szCs w:val="24"/>
        </w:rPr>
        <w:footnoteReference w:id="23"/>
      </w:r>
      <w:r w:rsidRPr="006F15E1">
        <w:rPr>
          <w:rFonts w:ascii="Roboto" w:hAnsi="Roboto"/>
          <w:b/>
          <w:bCs/>
          <w:iCs/>
          <w:sz w:val="24"/>
          <w:szCs w:val="24"/>
        </w:rPr>
        <w:t>Artículo 9. Corrección de información financiera o contable</w:t>
      </w:r>
    </w:p>
    <w:p w14:paraId="5F460FBD" w14:textId="77777777" w:rsidR="006375EE" w:rsidRPr="006F15E1" w:rsidRDefault="006375EE" w:rsidP="006375EE">
      <w:pPr>
        <w:spacing w:after="0"/>
        <w:jc w:val="both"/>
        <w:rPr>
          <w:rFonts w:ascii="Roboto" w:hAnsi="Roboto"/>
          <w:bCs/>
          <w:iCs/>
          <w:sz w:val="24"/>
          <w:szCs w:val="24"/>
        </w:rPr>
      </w:pPr>
      <w:r w:rsidRPr="006F15E1">
        <w:rPr>
          <w:rFonts w:ascii="Roboto" w:hAnsi="Roboto"/>
          <w:bCs/>
          <w:iCs/>
          <w:sz w:val="24"/>
          <w:szCs w:val="24"/>
        </w:rPr>
        <w:t xml:space="preserve">La corrección de la información financiera y contable de las entidades supervisadas descrita en los artículos 2 y 3 de este acuerdo, a solicitud de la Superintendencia, se </w:t>
      </w:r>
      <w:r w:rsidRPr="006F15E1">
        <w:rPr>
          <w:rFonts w:ascii="Roboto" w:hAnsi="Roboto"/>
          <w:bCs/>
          <w:iCs/>
          <w:sz w:val="24"/>
          <w:szCs w:val="24"/>
        </w:rPr>
        <w:lastRenderedPageBreak/>
        <w:t xml:space="preserve">regirá por lo dispuesto en el </w:t>
      </w:r>
      <w:r w:rsidRPr="006F15E1">
        <w:rPr>
          <w:rFonts w:ascii="Roboto" w:hAnsi="Roboto"/>
          <w:bCs/>
          <w:i/>
          <w:sz w:val="24"/>
          <w:szCs w:val="24"/>
        </w:rPr>
        <w:t>Reglamento de Información Financiera</w:t>
      </w:r>
      <w:r w:rsidRPr="006F15E1">
        <w:rPr>
          <w:rFonts w:ascii="Roboto" w:hAnsi="Roboto"/>
          <w:bCs/>
          <w:iCs/>
          <w:sz w:val="24"/>
          <w:szCs w:val="24"/>
        </w:rPr>
        <w:t>.   Además, se constituirá en un hecho relevante y se comunicará según la normativa que emita el Superintendente para estos efectos.</w:t>
      </w:r>
    </w:p>
    <w:p w14:paraId="1DD69EE7" w14:textId="77777777" w:rsidR="006375EE" w:rsidRPr="006F15E1" w:rsidRDefault="006375EE" w:rsidP="006375EE">
      <w:pPr>
        <w:spacing w:after="0"/>
        <w:jc w:val="both"/>
        <w:rPr>
          <w:rFonts w:ascii="Roboto" w:hAnsi="Roboto"/>
          <w:bCs/>
          <w:iCs/>
          <w:sz w:val="24"/>
          <w:szCs w:val="24"/>
        </w:rPr>
      </w:pPr>
    </w:p>
    <w:p w14:paraId="2488D6B8" w14:textId="4D9AC435" w:rsidR="003C1E7C" w:rsidRPr="006F15E1" w:rsidRDefault="006375EE" w:rsidP="006375EE">
      <w:pPr>
        <w:spacing w:after="0"/>
        <w:jc w:val="both"/>
        <w:rPr>
          <w:rFonts w:ascii="Roboto" w:hAnsi="Roboto"/>
          <w:bCs/>
          <w:iCs/>
          <w:sz w:val="24"/>
          <w:szCs w:val="24"/>
        </w:rPr>
      </w:pPr>
      <w:r w:rsidRPr="006F15E1">
        <w:rPr>
          <w:rFonts w:ascii="Roboto" w:hAnsi="Roboto"/>
          <w:bCs/>
          <w:iCs/>
          <w:sz w:val="24"/>
          <w:szCs w:val="24"/>
        </w:rPr>
        <w:t xml:space="preserve">En el caso de correcciones de la información financiera auditada por parte de las entidades supervisadas, la Superintendencia mediante requerimiento del servicio de Ejecución de Estudios y Seguimiento (EES) de </w:t>
      </w:r>
      <w:r w:rsidRPr="006F15E1">
        <w:rPr>
          <w:rFonts w:ascii="Roboto" w:hAnsi="Roboto"/>
          <w:bCs/>
          <w:i/>
          <w:sz w:val="24"/>
          <w:szCs w:val="24"/>
        </w:rPr>
        <w:t>SUGESE en Línea</w:t>
      </w:r>
      <w:r w:rsidRPr="006F15E1">
        <w:rPr>
          <w:rFonts w:ascii="Roboto" w:hAnsi="Roboto"/>
          <w:bCs/>
          <w:iCs/>
          <w:sz w:val="24"/>
          <w:szCs w:val="24"/>
        </w:rPr>
        <w:t>, solicitará la respectiva sustitución y la publicación en caso de ser necesario.</w:t>
      </w:r>
    </w:p>
    <w:p w14:paraId="30A2096A" w14:textId="77777777" w:rsidR="003C1E7C" w:rsidRPr="006F15E1" w:rsidRDefault="003C1E7C" w:rsidP="007422B6">
      <w:pPr>
        <w:spacing w:after="0"/>
        <w:jc w:val="both"/>
        <w:rPr>
          <w:rFonts w:ascii="Roboto" w:hAnsi="Roboto"/>
          <w:b/>
          <w:bCs/>
          <w:iCs/>
          <w:sz w:val="24"/>
          <w:szCs w:val="24"/>
        </w:rPr>
      </w:pPr>
    </w:p>
    <w:p w14:paraId="535006AA" w14:textId="3B0A4929" w:rsidR="003C1E7C" w:rsidRPr="006F15E1" w:rsidRDefault="004307E2" w:rsidP="007422B6">
      <w:pPr>
        <w:spacing w:after="0"/>
        <w:jc w:val="both"/>
        <w:rPr>
          <w:rFonts w:ascii="Roboto" w:hAnsi="Roboto"/>
          <w:b/>
          <w:bCs/>
          <w:iCs/>
          <w:sz w:val="24"/>
          <w:szCs w:val="24"/>
        </w:rPr>
      </w:pPr>
      <w:r w:rsidRPr="006F15E1">
        <w:rPr>
          <w:rStyle w:val="Refdenotaalpie"/>
          <w:rFonts w:ascii="Roboto" w:hAnsi="Roboto"/>
          <w:b/>
          <w:bCs/>
          <w:iCs/>
          <w:sz w:val="24"/>
          <w:szCs w:val="24"/>
        </w:rPr>
        <w:footnoteReference w:id="24"/>
      </w:r>
      <w:r w:rsidR="003C1E7C" w:rsidRPr="006F15E1">
        <w:rPr>
          <w:rFonts w:ascii="Roboto" w:hAnsi="Roboto"/>
          <w:b/>
          <w:bCs/>
          <w:iCs/>
          <w:sz w:val="24"/>
          <w:szCs w:val="24"/>
        </w:rPr>
        <w:t xml:space="preserve">Artículo 10.  Procedimiento de Sustitución de Información </w:t>
      </w:r>
    </w:p>
    <w:p w14:paraId="2492AEFE" w14:textId="5D8CC569" w:rsidR="003C1E7C" w:rsidRPr="006F15E1" w:rsidRDefault="003C1E7C" w:rsidP="007422B6">
      <w:pPr>
        <w:spacing w:after="0"/>
        <w:jc w:val="both"/>
        <w:rPr>
          <w:rFonts w:ascii="Roboto" w:hAnsi="Roboto"/>
          <w:bCs/>
          <w:iCs/>
          <w:sz w:val="24"/>
          <w:szCs w:val="24"/>
        </w:rPr>
      </w:pPr>
      <w:r w:rsidRPr="006F15E1">
        <w:rPr>
          <w:rFonts w:ascii="Roboto" w:hAnsi="Roboto"/>
          <w:bCs/>
          <w:iCs/>
          <w:sz w:val="24"/>
          <w:szCs w:val="24"/>
        </w:rPr>
        <w:t>Si por circunstancias de fuerza mayor o caso fortuito, que no sean atribuibles a fallas técnicas en los equipos informáticos de la Superintendencia, la entidad supervisada debiera realizar una solicitud de sustitución de información requerida en el artículo 2 o 3 de este acuerdo deberá cumplir con los siguientes pasos:</w:t>
      </w:r>
    </w:p>
    <w:p w14:paraId="2A5008BD" w14:textId="77777777" w:rsidR="003C1E7C" w:rsidRPr="006F15E1" w:rsidRDefault="003C1E7C" w:rsidP="007422B6">
      <w:pPr>
        <w:spacing w:after="0"/>
        <w:jc w:val="both"/>
        <w:rPr>
          <w:rFonts w:ascii="Roboto" w:hAnsi="Roboto"/>
          <w:bCs/>
          <w:iCs/>
          <w:sz w:val="24"/>
          <w:szCs w:val="24"/>
        </w:rPr>
      </w:pPr>
    </w:p>
    <w:p w14:paraId="5B6BF28E" w14:textId="77777777" w:rsidR="003C1E7C" w:rsidRPr="006F15E1" w:rsidRDefault="003C1E7C" w:rsidP="007422B6">
      <w:pPr>
        <w:pStyle w:val="Prrafodelista"/>
        <w:numPr>
          <w:ilvl w:val="0"/>
          <w:numId w:val="23"/>
        </w:numPr>
        <w:spacing w:after="0"/>
        <w:jc w:val="both"/>
        <w:rPr>
          <w:rFonts w:ascii="Roboto" w:hAnsi="Roboto"/>
          <w:bCs/>
          <w:iCs/>
          <w:sz w:val="24"/>
          <w:szCs w:val="24"/>
        </w:rPr>
      </w:pPr>
      <w:r w:rsidRPr="006F15E1">
        <w:rPr>
          <w:rFonts w:ascii="Roboto" w:hAnsi="Roboto"/>
          <w:bCs/>
          <w:iCs/>
          <w:sz w:val="24"/>
          <w:szCs w:val="24"/>
        </w:rPr>
        <w:t xml:space="preserve">Si la información a sustituir corresponde a alguno de los modelos del SSS, se debe realizar mediante este sistema, una solicitud de sustitución. Dicha solicitud debe ser aprobada por un Representante Legal o el Gerente General de la entidad, registrados en el Servicio de Registro Roles de </w:t>
      </w:r>
      <w:proofErr w:type="spellStart"/>
      <w:r w:rsidRPr="006F15E1">
        <w:rPr>
          <w:rFonts w:ascii="Roboto" w:hAnsi="Roboto"/>
          <w:bCs/>
          <w:iCs/>
          <w:sz w:val="24"/>
          <w:szCs w:val="24"/>
        </w:rPr>
        <w:t>Sugese</w:t>
      </w:r>
      <w:proofErr w:type="spellEnd"/>
      <w:r w:rsidRPr="006F15E1">
        <w:rPr>
          <w:rFonts w:ascii="Roboto" w:hAnsi="Roboto"/>
          <w:bCs/>
          <w:iCs/>
          <w:sz w:val="24"/>
          <w:szCs w:val="24"/>
        </w:rPr>
        <w:t xml:space="preserve"> en Línea.  </w:t>
      </w:r>
    </w:p>
    <w:p w14:paraId="57451EC1" w14:textId="77777777" w:rsidR="003C1E7C" w:rsidRPr="006F15E1" w:rsidRDefault="003C1E7C" w:rsidP="007422B6">
      <w:pPr>
        <w:pStyle w:val="Prrafodelista"/>
        <w:numPr>
          <w:ilvl w:val="0"/>
          <w:numId w:val="23"/>
        </w:numPr>
        <w:spacing w:after="0"/>
        <w:jc w:val="both"/>
        <w:rPr>
          <w:rFonts w:ascii="Roboto" w:hAnsi="Roboto"/>
          <w:bCs/>
          <w:iCs/>
          <w:sz w:val="24"/>
          <w:szCs w:val="24"/>
        </w:rPr>
      </w:pPr>
      <w:r w:rsidRPr="006F15E1">
        <w:rPr>
          <w:rFonts w:ascii="Roboto" w:hAnsi="Roboto"/>
          <w:bCs/>
          <w:iCs/>
          <w:sz w:val="24"/>
          <w:szCs w:val="24"/>
        </w:rPr>
        <w:t xml:space="preserve">Si la información a sustituir corresponde a cualquier otro tipo de información de la descrita en este Acuerdo, se debe enviar un oficio dirigido al Superintendente, suscrito mediante firma digital por un Representante Legal o el Gerente General de la entidad, en donde se solicite la sustitución de la información. </w:t>
      </w:r>
    </w:p>
    <w:p w14:paraId="11B9C4E8" w14:textId="77777777" w:rsidR="003C1E7C" w:rsidRPr="006F15E1" w:rsidRDefault="003C1E7C" w:rsidP="007422B6">
      <w:pPr>
        <w:pStyle w:val="Prrafodelista"/>
        <w:numPr>
          <w:ilvl w:val="0"/>
          <w:numId w:val="23"/>
        </w:numPr>
        <w:spacing w:after="0"/>
        <w:jc w:val="both"/>
        <w:rPr>
          <w:rFonts w:ascii="Roboto" w:hAnsi="Roboto"/>
          <w:bCs/>
          <w:iCs/>
          <w:sz w:val="24"/>
          <w:szCs w:val="24"/>
        </w:rPr>
      </w:pPr>
      <w:r w:rsidRPr="006F15E1">
        <w:rPr>
          <w:rFonts w:ascii="Roboto" w:hAnsi="Roboto"/>
          <w:bCs/>
          <w:iCs/>
          <w:sz w:val="24"/>
          <w:szCs w:val="24"/>
        </w:rPr>
        <w:t>En cualquiera de los dos casos anteriormente señalados, la solicitud debe estar debidamente justificada y demostrar que los motivos de su petición se basan en circunstancias de fuerza mayor. La solicitud debe detallar el cambio que se va a realizar, especificando las variables que serán afectadas y los montos.</w:t>
      </w:r>
    </w:p>
    <w:p w14:paraId="1EC3B640" w14:textId="77777777" w:rsidR="003C1E7C" w:rsidRPr="006F15E1" w:rsidRDefault="003C1E7C" w:rsidP="007422B6">
      <w:pPr>
        <w:pStyle w:val="Prrafodelista"/>
        <w:numPr>
          <w:ilvl w:val="0"/>
          <w:numId w:val="23"/>
        </w:numPr>
        <w:spacing w:after="0"/>
        <w:jc w:val="both"/>
        <w:rPr>
          <w:rFonts w:ascii="Roboto" w:hAnsi="Roboto"/>
          <w:bCs/>
          <w:iCs/>
          <w:sz w:val="24"/>
          <w:szCs w:val="24"/>
        </w:rPr>
      </w:pPr>
      <w:r w:rsidRPr="006F15E1">
        <w:rPr>
          <w:rFonts w:ascii="Roboto" w:hAnsi="Roboto"/>
          <w:bCs/>
          <w:iCs/>
          <w:sz w:val="24"/>
          <w:szCs w:val="24"/>
        </w:rPr>
        <w:t>La Superintendencia valorará la solicitud en un plazo máximo de tres días hábiles y la aprobará o rechazará, según corresponda.</w:t>
      </w:r>
    </w:p>
    <w:p w14:paraId="5533710B" w14:textId="7BBDD65B" w:rsidR="003C1E7C" w:rsidRPr="006F15E1" w:rsidRDefault="004307E2" w:rsidP="007422B6">
      <w:pPr>
        <w:pStyle w:val="Prrafodelista"/>
        <w:numPr>
          <w:ilvl w:val="0"/>
          <w:numId w:val="23"/>
        </w:numPr>
        <w:spacing w:after="0"/>
        <w:jc w:val="both"/>
        <w:rPr>
          <w:rFonts w:ascii="Roboto" w:hAnsi="Roboto"/>
          <w:bCs/>
          <w:iCs/>
          <w:sz w:val="24"/>
          <w:szCs w:val="24"/>
        </w:rPr>
      </w:pPr>
      <w:r w:rsidRPr="006F15E1">
        <w:rPr>
          <w:rFonts w:ascii="Roboto" w:hAnsi="Roboto"/>
          <w:bCs/>
          <w:iCs/>
          <w:sz w:val="24"/>
          <w:szCs w:val="24"/>
        </w:rPr>
        <w:t xml:space="preserve">Cuando la información recibida requiera correcciones que ameriten su sustitución o en caso de que por fuerza mayor la entidad deba sustituir información de carácter público, la cual es publicada por la entidad supervisada o por la </w:t>
      </w:r>
      <w:r w:rsidRPr="006F15E1">
        <w:rPr>
          <w:rFonts w:ascii="Roboto" w:hAnsi="Roboto"/>
          <w:bCs/>
          <w:iCs/>
          <w:sz w:val="24"/>
          <w:szCs w:val="24"/>
        </w:rPr>
        <w:lastRenderedPageBreak/>
        <w:t xml:space="preserve">Superintendencia, la entidad deberá comunicarlo como hecho relevante, mediante el servicio correspondiente en </w:t>
      </w:r>
      <w:proofErr w:type="spellStart"/>
      <w:r w:rsidRPr="006F15E1">
        <w:rPr>
          <w:rFonts w:ascii="Roboto" w:hAnsi="Roboto"/>
          <w:bCs/>
          <w:iCs/>
          <w:sz w:val="24"/>
          <w:szCs w:val="24"/>
        </w:rPr>
        <w:t>Sugese</w:t>
      </w:r>
      <w:proofErr w:type="spellEnd"/>
      <w:r w:rsidRPr="006F15E1">
        <w:rPr>
          <w:rFonts w:ascii="Roboto" w:hAnsi="Roboto"/>
          <w:bCs/>
          <w:iCs/>
          <w:sz w:val="24"/>
          <w:szCs w:val="24"/>
        </w:rPr>
        <w:t xml:space="preserve"> en Línea, en los términos que esté dispuesto en la normativa relacionada con la revelación de hechos relevantes.</w:t>
      </w:r>
    </w:p>
    <w:p w14:paraId="31848AE3" w14:textId="77777777" w:rsidR="003C1E7C" w:rsidRPr="006F15E1" w:rsidRDefault="003C1E7C" w:rsidP="007422B6">
      <w:pPr>
        <w:spacing w:after="0"/>
        <w:jc w:val="both"/>
        <w:rPr>
          <w:rFonts w:ascii="Roboto" w:hAnsi="Roboto"/>
          <w:b/>
          <w:bCs/>
          <w:iCs/>
          <w:sz w:val="24"/>
          <w:szCs w:val="24"/>
        </w:rPr>
      </w:pPr>
    </w:p>
    <w:p w14:paraId="4ED6D817" w14:textId="77777777" w:rsidR="00730A59" w:rsidRPr="006F15E1" w:rsidRDefault="00730A59" w:rsidP="00730A59">
      <w:pPr>
        <w:spacing w:after="0"/>
        <w:jc w:val="both"/>
        <w:rPr>
          <w:rFonts w:ascii="Roboto" w:hAnsi="Roboto"/>
          <w:sz w:val="24"/>
          <w:szCs w:val="24"/>
        </w:rPr>
      </w:pPr>
      <w:r w:rsidRPr="006F15E1">
        <w:rPr>
          <w:rStyle w:val="Refdenotaalpie"/>
          <w:rFonts w:ascii="Roboto" w:hAnsi="Roboto"/>
          <w:b/>
          <w:bCs/>
          <w:iCs/>
          <w:sz w:val="24"/>
          <w:szCs w:val="24"/>
        </w:rPr>
        <w:footnoteReference w:id="25"/>
      </w:r>
      <w:r w:rsidRPr="006F15E1">
        <w:rPr>
          <w:rFonts w:ascii="Roboto" w:hAnsi="Roboto"/>
          <w:b/>
          <w:bCs/>
          <w:iCs/>
          <w:sz w:val="24"/>
          <w:szCs w:val="24"/>
        </w:rPr>
        <w:t>Artículo 11.  Horario de operación de los servicios y comunicación en caso de interrupción.</w:t>
      </w:r>
      <w:r w:rsidRPr="006F15E1">
        <w:rPr>
          <w:rFonts w:ascii="Roboto" w:hAnsi="Roboto"/>
          <w:sz w:val="24"/>
          <w:szCs w:val="24"/>
        </w:rPr>
        <w:t xml:space="preserve"> </w:t>
      </w:r>
    </w:p>
    <w:p w14:paraId="232CBDAE" w14:textId="77777777" w:rsidR="00730A59" w:rsidRPr="006F15E1" w:rsidRDefault="00730A59" w:rsidP="00730A59">
      <w:pPr>
        <w:spacing w:after="0"/>
        <w:jc w:val="both"/>
        <w:rPr>
          <w:rFonts w:ascii="Roboto" w:hAnsi="Roboto"/>
          <w:b/>
          <w:color w:val="0000FF"/>
          <w:sz w:val="24"/>
          <w:szCs w:val="24"/>
        </w:rPr>
      </w:pPr>
      <w:r w:rsidRPr="006F15E1">
        <w:rPr>
          <w:rFonts w:ascii="Roboto" w:hAnsi="Roboto"/>
          <w:sz w:val="24"/>
          <w:szCs w:val="24"/>
        </w:rPr>
        <w:t xml:space="preserve">Los servicios de Web </w:t>
      </w:r>
      <w:proofErr w:type="spellStart"/>
      <w:r w:rsidRPr="006F15E1">
        <w:rPr>
          <w:rFonts w:ascii="Roboto" w:hAnsi="Roboto"/>
          <w:sz w:val="24"/>
          <w:szCs w:val="24"/>
        </w:rPr>
        <w:t>Services</w:t>
      </w:r>
      <w:proofErr w:type="spellEnd"/>
      <w:r w:rsidRPr="006F15E1">
        <w:rPr>
          <w:rFonts w:ascii="Roboto" w:hAnsi="Roboto"/>
          <w:sz w:val="24"/>
          <w:szCs w:val="24"/>
        </w:rPr>
        <w:t>, Formularios, Registro Único de Beneficiarios y correo electrónico dispuestos para el cumplimiento de este acuerdo, operan 24 horas diarias los 365 días del año. Si por algún motivo estos servicios dejaran de operar o se interrumpieran,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las entidades supervisadas la manera en que deberán comunicar lo normado en este acuerdo. Los plazos se entenderán suspendidos mientras esta situación se normaliza.</w:t>
      </w:r>
    </w:p>
    <w:p w14:paraId="06756F17" w14:textId="77777777" w:rsidR="00730A59" w:rsidRPr="006F15E1" w:rsidRDefault="00730A59" w:rsidP="00730A59">
      <w:pPr>
        <w:spacing w:after="0"/>
        <w:jc w:val="both"/>
        <w:rPr>
          <w:rFonts w:ascii="Roboto" w:hAnsi="Roboto"/>
          <w:sz w:val="24"/>
          <w:szCs w:val="24"/>
        </w:rPr>
      </w:pPr>
    </w:p>
    <w:p w14:paraId="623385A4" w14:textId="77777777" w:rsidR="00730A59" w:rsidRPr="006F15E1" w:rsidRDefault="00730A59" w:rsidP="00730A59">
      <w:pPr>
        <w:spacing w:after="0"/>
        <w:jc w:val="both"/>
        <w:rPr>
          <w:rFonts w:ascii="Roboto" w:hAnsi="Roboto"/>
          <w:b/>
          <w:bCs/>
          <w:sz w:val="24"/>
          <w:szCs w:val="24"/>
        </w:rPr>
      </w:pPr>
      <w:r w:rsidRPr="006F15E1">
        <w:rPr>
          <w:rStyle w:val="Refdenotaalpie"/>
          <w:rFonts w:ascii="Roboto" w:hAnsi="Roboto"/>
          <w:b/>
          <w:bCs/>
          <w:sz w:val="24"/>
          <w:szCs w:val="24"/>
        </w:rPr>
        <w:footnoteReference w:id="26"/>
      </w:r>
      <w:r w:rsidRPr="006F15E1">
        <w:rPr>
          <w:rFonts w:ascii="Roboto" w:hAnsi="Roboto"/>
          <w:b/>
          <w:bCs/>
          <w:sz w:val="24"/>
          <w:szCs w:val="24"/>
        </w:rPr>
        <w:t xml:space="preserve">Artículo 12.  Vigencia </w:t>
      </w:r>
    </w:p>
    <w:p w14:paraId="6D9ADEEF" w14:textId="77777777" w:rsidR="00730A59" w:rsidRPr="006F15E1" w:rsidRDefault="00730A59" w:rsidP="00730A59">
      <w:pPr>
        <w:spacing w:after="0"/>
        <w:jc w:val="both"/>
        <w:rPr>
          <w:rFonts w:ascii="Roboto" w:hAnsi="Roboto"/>
          <w:sz w:val="24"/>
          <w:szCs w:val="24"/>
        </w:rPr>
      </w:pPr>
      <w:r w:rsidRPr="006F15E1">
        <w:rPr>
          <w:rFonts w:ascii="Roboto" w:hAnsi="Roboto"/>
          <w:sz w:val="24"/>
          <w:szCs w:val="24"/>
        </w:rPr>
        <w:t>Estas disposiciones rigen a partir de su notificación.</w:t>
      </w:r>
    </w:p>
    <w:p w14:paraId="6967686A" w14:textId="77777777" w:rsidR="00730A59" w:rsidRPr="006F15E1" w:rsidRDefault="00730A59" w:rsidP="00730A59">
      <w:pPr>
        <w:spacing w:after="0"/>
        <w:jc w:val="both"/>
        <w:rPr>
          <w:rFonts w:ascii="Roboto" w:hAnsi="Roboto"/>
          <w:sz w:val="24"/>
          <w:szCs w:val="24"/>
        </w:rPr>
      </w:pPr>
    </w:p>
    <w:p w14:paraId="3F1D926F" w14:textId="77777777" w:rsidR="00730A59" w:rsidRPr="006F15E1" w:rsidRDefault="00730A59" w:rsidP="00730A59">
      <w:pPr>
        <w:spacing w:after="0"/>
        <w:jc w:val="both"/>
        <w:rPr>
          <w:rFonts w:ascii="Roboto" w:hAnsi="Roboto"/>
          <w:b/>
          <w:sz w:val="24"/>
          <w:szCs w:val="24"/>
        </w:rPr>
      </w:pPr>
      <w:r w:rsidRPr="006F15E1">
        <w:rPr>
          <w:rStyle w:val="Refdenotaalpie"/>
          <w:rFonts w:ascii="Roboto" w:hAnsi="Roboto"/>
          <w:b/>
          <w:sz w:val="24"/>
          <w:szCs w:val="24"/>
        </w:rPr>
        <w:footnoteReference w:id="27"/>
      </w:r>
      <w:r w:rsidRPr="006F15E1">
        <w:rPr>
          <w:rFonts w:ascii="Roboto" w:hAnsi="Roboto"/>
          <w:b/>
          <w:sz w:val="24"/>
          <w:szCs w:val="24"/>
        </w:rPr>
        <w:t>Artículo 13. Derogatoria</w:t>
      </w:r>
    </w:p>
    <w:p w14:paraId="6C8783B0" w14:textId="77777777" w:rsidR="00730A59" w:rsidRPr="006F15E1" w:rsidRDefault="00730A59" w:rsidP="00730A59">
      <w:pPr>
        <w:pStyle w:val="Sangra2detindependiente"/>
        <w:spacing w:after="0"/>
        <w:ind w:left="0"/>
        <w:rPr>
          <w:rFonts w:ascii="Roboto" w:eastAsiaTheme="minorHAnsi" w:hAnsi="Roboto" w:cstheme="minorBidi"/>
          <w:b w:val="0"/>
          <w:bCs w:val="0"/>
          <w:iCs w:val="0"/>
          <w:lang w:val="es-CR" w:eastAsia="en-US"/>
        </w:rPr>
      </w:pPr>
      <w:r w:rsidRPr="006F15E1">
        <w:rPr>
          <w:rFonts w:ascii="Roboto" w:eastAsiaTheme="minorHAnsi" w:hAnsi="Roboto" w:cstheme="minorBidi"/>
          <w:b w:val="0"/>
          <w:bCs w:val="0"/>
          <w:iCs w:val="0"/>
          <w:lang w:val="es-CR" w:eastAsia="en-US"/>
        </w:rPr>
        <w:t>El presente acuerdo deroga los acuerdos SGS-A-003-2010 de fecha 11 de marzo de 2010, SGS-A-016-2012 de fecha 11 de octubre de 2012, y el segundo apartado de la parte dispositiva del acuerdo SGS-A-009-2010, relacionada con la información adicional a saldos contables.</w:t>
      </w:r>
    </w:p>
    <w:p w14:paraId="67452520" w14:textId="77777777" w:rsidR="003C1E7C" w:rsidRPr="006F15E1" w:rsidRDefault="003C1E7C" w:rsidP="007422B6">
      <w:pPr>
        <w:pStyle w:val="Sangra2detindependiente"/>
        <w:spacing w:after="0"/>
        <w:ind w:left="0"/>
        <w:rPr>
          <w:rFonts w:ascii="Roboto" w:eastAsiaTheme="minorHAnsi" w:hAnsi="Roboto" w:cstheme="minorBidi"/>
          <w:b w:val="0"/>
          <w:bCs w:val="0"/>
          <w:iCs w:val="0"/>
          <w:lang w:val="es-CR" w:eastAsia="en-US"/>
        </w:rPr>
      </w:pPr>
    </w:p>
    <w:p w14:paraId="62AE34F5" w14:textId="4F8FDC03" w:rsidR="003C1E7C" w:rsidRPr="006F15E1" w:rsidRDefault="003C1E7C" w:rsidP="007422B6">
      <w:pPr>
        <w:spacing w:after="0"/>
        <w:jc w:val="both"/>
        <w:rPr>
          <w:rFonts w:ascii="Roboto" w:hAnsi="Roboto"/>
          <w:bCs/>
          <w:iCs/>
          <w:sz w:val="24"/>
          <w:szCs w:val="24"/>
        </w:rPr>
      </w:pPr>
      <w:r w:rsidRPr="006F15E1">
        <w:rPr>
          <w:rFonts w:ascii="Roboto" w:hAnsi="Roboto"/>
          <w:b/>
          <w:bCs/>
          <w:iCs/>
          <w:sz w:val="24"/>
          <w:szCs w:val="24"/>
        </w:rPr>
        <w:t xml:space="preserve">Transitorio </w:t>
      </w:r>
      <w:r w:rsidR="007422B6" w:rsidRPr="006F15E1">
        <w:rPr>
          <w:rFonts w:ascii="Roboto" w:hAnsi="Roboto"/>
          <w:b/>
          <w:bCs/>
          <w:iCs/>
          <w:sz w:val="24"/>
          <w:szCs w:val="24"/>
        </w:rPr>
        <w:t>I</w:t>
      </w:r>
      <w:r w:rsidR="007422B6" w:rsidRPr="006F15E1">
        <w:rPr>
          <w:rFonts w:ascii="Roboto" w:hAnsi="Roboto"/>
          <w:bCs/>
          <w:iCs/>
          <w:sz w:val="24"/>
          <w:szCs w:val="24"/>
        </w:rPr>
        <w:t>: Disposiciones</w:t>
      </w:r>
      <w:r w:rsidRPr="006F15E1">
        <w:rPr>
          <w:rFonts w:ascii="Roboto" w:hAnsi="Roboto"/>
          <w:bCs/>
          <w:iCs/>
          <w:sz w:val="24"/>
          <w:szCs w:val="24"/>
        </w:rPr>
        <w:t xml:space="preserve"> particulares sobre los primeros envíos de información </w:t>
      </w:r>
    </w:p>
    <w:p w14:paraId="50329044" w14:textId="77777777" w:rsidR="003C1E7C" w:rsidRPr="006F15E1" w:rsidRDefault="003C1E7C" w:rsidP="007422B6">
      <w:pPr>
        <w:spacing w:after="0"/>
        <w:jc w:val="both"/>
        <w:rPr>
          <w:rFonts w:ascii="Roboto" w:hAnsi="Roboto"/>
          <w:bCs/>
          <w:iCs/>
          <w:sz w:val="24"/>
          <w:szCs w:val="24"/>
        </w:rPr>
      </w:pPr>
    </w:p>
    <w:p w14:paraId="3ED564CF" w14:textId="77777777" w:rsidR="003C1E7C" w:rsidRPr="006F15E1" w:rsidRDefault="003C1E7C" w:rsidP="007422B6">
      <w:pPr>
        <w:spacing w:after="0"/>
        <w:jc w:val="both"/>
        <w:rPr>
          <w:rFonts w:ascii="Roboto" w:hAnsi="Roboto"/>
          <w:bCs/>
          <w:iCs/>
          <w:sz w:val="24"/>
          <w:szCs w:val="24"/>
        </w:rPr>
      </w:pPr>
      <w:r w:rsidRPr="006F15E1">
        <w:rPr>
          <w:rFonts w:ascii="Roboto" w:hAnsi="Roboto"/>
          <w:bCs/>
          <w:iCs/>
          <w:sz w:val="24"/>
          <w:szCs w:val="24"/>
        </w:rPr>
        <w:t xml:space="preserve">Para los primeros envíos de la información de los modelos, dispuesta en el artículo </w:t>
      </w:r>
      <w:proofErr w:type="gramStart"/>
      <w:r w:rsidRPr="006F15E1">
        <w:rPr>
          <w:rFonts w:ascii="Roboto" w:hAnsi="Roboto"/>
          <w:bCs/>
          <w:iCs/>
          <w:sz w:val="24"/>
          <w:szCs w:val="24"/>
        </w:rPr>
        <w:t>2  de</w:t>
      </w:r>
      <w:proofErr w:type="gramEnd"/>
      <w:r w:rsidRPr="006F15E1">
        <w:rPr>
          <w:rFonts w:ascii="Roboto" w:hAnsi="Roboto"/>
          <w:bCs/>
          <w:iCs/>
          <w:sz w:val="24"/>
          <w:szCs w:val="24"/>
        </w:rPr>
        <w:t xml:space="preserve"> este acuerdo, por parte de las </w:t>
      </w:r>
      <w:proofErr w:type="gramStart"/>
      <w:r w:rsidRPr="006F15E1">
        <w:rPr>
          <w:rFonts w:ascii="Roboto" w:hAnsi="Roboto"/>
          <w:bCs/>
          <w:iCs/>
          <w:sz w:val="24"/>
          <w:szCs w:val="24"/>
        </w:rPr>
        <w:t>aseguradoras,  rige</w:t>
      </w:r>
      <w:proofErr w:type="gramEnd"/>
      <w:r w:rsidRPr="006F15E1">
        <w:rPr>
          <w:rFonts w:ascii="Roboto" w:hAnsi="Roboto"/>
          <w:bCs/>
          <w:iCs/>
          <w:sz w:val="24"/>
          <w:szCs w:val="24"/>
        </w:rPr>
        <w:t xml:space="preserve"> lo siguiente:</w:t>
      </w:r>
    </w:p>
    <w:p w14:paraId="1B892674" w14:textId="77777777" w:rsidR="003C1E7C" w:rsidRPr="006F15E1" w:rsidRDefault="003C1E7C" w:rsidP="007422B6">
      <w:pPr>
        <w:spacing w:after="0"/>
        <w:jc w:val="both"/>
        <w:rPr>
          <w:rFonts w:ascii="Roboto" w:hAnsi="Roboto"/>
          <w:bCs/>
          <w:iCs/>
          <w:sz w:val="24"/>
          <w:szCs w:val="24"/>
        </w:rPr>
      </w:pPr>
    </w:p>
    <w:p w14:paraId="7794EE07" w14:textId="77777777" w:rsidR="003C1E7C" w:rsidRPr="006F15E1" w:rsidRDefault="003C1E7C" w:rsidP="007422B6">
      <w:pPr>
        <w:spacing w:after="0"/>
        <w:jc w:val="both"/>
        <w:rPr>
          <w:rFonts w:ascii="Roboto" w:hAnsi="Roboto"/>
          <w:bCs/>
          <w:iCs/>
          <w:sz w:val="24"/>
          <w:szCs w:val="24"/>
        </w:rPr>
      </w:pPr>
      <w:r w:rsidRPr="006F15E1">
        <w:rPr>
          <w:rFonts w:ascii="Roboto" w:hAnsi="Roboto"/>
          <w:bCs/>
          <w:iCs/>
          <w:sz w:val="24"/>
          <w:szCs w:val="24"/>
        </w:rPr>
        <w:lastRenderedPageBreak/>
        <w:t>a.- La información trimestral, correspondiente al cierre de marzo y junio de 2014 del modelo 2, específicamente lo relacionado con la cuenta técnica financiera, deberá remitirse a la Superintendencia a través del Sistema de Supervisión de Seguros a más tardar el 12 de setiembre de 2014.</w:t>
      </w:r>
    </w:p>
    <w:p w14:paraId="277C8419" w14:textId="77777777" w:rsidR="003C1E7C" w:rsidRPr="006F15E1" w:rsidRDefault="003C1E7C" w:rsidP="007422B6">
      <w:pPr>
        <w:spacing w:after="0"/>
        <w:jc w:val="both"/>
        <w:rPr>
          <w:rFonts w:ascii="Roboto" w:hAnsi="Roboto"/>
          <w:bCs/>
          <w:iCs/>
          <w:sz w:val="24"/>
          <w:szCs w:val="24"/>
        </w:rPr>
      </w:pPr>
    </w:p>
    <w:p w14:paraId="6EE468CE" w14:textId="77777777" w:rsidR="003C1E7C" w:rsidRPr="006F15E1" w:rsidRDefault="003C1E7C" w:rsidP="007422B6">
      <w:pPr>
        <w:spacing w:after="0"/>
        <w:jc w:val="both"/>
        <w:rPr>
          <w:rFonts w:ascii="Roboto" w:hAnsi="Roboto"/>
          <w:bCs/>
          <w:iCs/>
          <w:sz w:val="24"/>
          <w:szCs w:val="24"/>
        </w:rPr>
      </w:pPr>
      <w:r w:rsidRPr="006F15E1">
        <w:rPr>
          <w:rFonts w:ascii="Roboto" w:hAnsi="Roboto"/>
          <w:bCs/>
          <w:iCs/>
          <w:sz w:val="24"/>
          <w:szCs w:val="24"/>
        </w:rPr>
        <w:t>b.- La información mensual definida en el modelo 5 del SSS, debe remitirse a partir del corte mensual correspondiente a enero del 2015, de conformidad con el Plan de Cuentas para las Entidades de Seguros vigente para esa fecha.</w:t>
      </w:r>
    </w:p>
    <w:p w14:paraId="4B9589BE" w14:textId="77777777" w:rsidR="003C1E7C" w:rsidRPr="006F15E1" w:rsidRDefault="003C1E7C" w:rsidP="007422B6">
      <w:pPr>
        <w:spacing w:after="0"/>
        <w:jc w:val="both"/>
        <w:rPr>
          <w:rFonts w:ascii="Roboto" w:hAnsi="Roboto"/>
          <w:bCs/>
          <w:iCs/>
          <w:sz w:val="24"/>
          <w:szCs w:val="24"/>
        </w:rPr>
      </w:pPr>
    </w:p>
    <w:p w14:paraId="42D20EDF" w14:textId="77777777" w:rsidR="003C1E7C" w:rsidRPr="006F15E1" w:rsidRDefault="003C1E7C" w:rsidP="007422B6">
      <w:pPr>
        <w:spacing w:after="0"/>
        <w:jc w:val="both"/>
        <w:rPr>
          <w:rFonts w:ascii="Roboto" w:hAnsi="Roboto"/>
          <w:bCs/>
          <w:iCs/>
          <w:sz w:val="24"/>
          <w:szCs w:val="24"/>
        </w:rPr>
      </w:pPr>
      <w:r w:rsidRPr="006F15E1">
        <w:rPr>
          <w:rFonts w:ascii="Roboto" w:hAnsi="Roboto"/>
          <w:bCs/>
          <w:iCs/>
          <w:sz w:val="24"/>
          <w:szCs w:val="24"/>
        </w:rPr>
        <w:t>c.- La información de saldos contables de conformidad con el Anexo 1, debe entregarse para todos los meses del 2014, utilizando para ello el Plan de Cuentas para las Entidades de Seguros vigente durante el 2014, es decir, el último reporte de saldos contables con ese formato será el correspondiente a diciembre de 2014.</w:t>
      </w:r>
    </w:p>
    <w:p w14:paraId="0F915A7B" w14:textId="77777777" w:rsidR="003C1E7C" w:rsidRPr="006F15E1" w:rsidRDefault="003C1E7C" w:rsidP="007422B6">
      <w:pPr>
        <w:spacing w:after="0"/>
        <w:jc w:val="both"/>
        <w:rPr>
          <w:rFonts w:ascii="Roboto" w:hAnsi="Roboto"/>
          <w:bCs/>
          <w:iCs/>
          <w:sz w:val="24"/>
          <w:szCs w:val="24"/>
        </w:rPr>
      </w:pPr>
    </w:p>
    <w:p w14:paraId="5648CF83" w14:textId="77777777" w:rsidR="003C1E7C" w:rsidRPr="006F15E1" w:rsidRDefault="003C1E7C" w:rsidP="007422B6">
      <w:pPr>
        <w:spacing w:after="0"/>
        <w:jc w:val="both"/>
        <w:rPr>
          <w:rFonts w:ascii="Roboto" w:hAnsi="Roboto"/>
          <w:bCs/>
          <w:iCs/>
          <w:sz w:val="24"/>
          <w:szCs w:val="24"/>
        </w:rPr>
      </w:pPr>
      <w:r w:rsidRPr="006F15E1">
        <w:rPr>
          <w:rFonts w:ascii="Roboto" w:hAnsi="Roboto"/>
          <w:bCs/>
          <w:iCs/>
          <w:sz w:val="24"/>
          <w:szCs w:val="24"/>
        </w:rPr>
        <w:t>d.- La aplicación de la versión del Estándar de Negocio incluida en este acuerdo para los modelos con periodicidad de envío mensual rige para la revelación de la información correspondiente al cierre de agosto de 2014.</w:t>
      </w:r>
    </w:p>
    <w:p w14:paraId="424DC296" w14:textId="77777777" w:rsidR="003C1E7C" w:rsidRPr="006F15E1" w:rsidRDefault="003C1E7C" w:rsidP="007422B6">
      <w:pPr>
        <w:spacing w:after="0"/>
        <w:jc w:val="both"/>
        <w:rPr>
          <w:rFonts w:ascii="Roboto" w:hAnsi="Roboto"/>
          <w:sz w:val="24"/>
          <w:szCs w:val="24"/>
        </w:rPr>
      </w:pPr>
    </w:p>
    <w:p w14:paraId="3C2EC0D8" w14:textId="77777777" w:rsidR="003C1E7C" w:rsidRPr="006F15E1" w:rsidRDefault="003C1E7C" w:rsidP="007422B6">
      <w:pPr>
        <w:spacing w:after="0"/>
        <w:jc w:val="both"/>
        <w:rPr>
          <w:rFonts w:ascii="Roboto" w:hAnsi="Roboto"/>
          <w:color w:val="000000"/>
          <w:sz w:val="24"/>
          <w:szCs w:val="24"/>
        </w:rPr>
      </w:pPr>
      <w:r w:rsidRPr="006F15E1">
        <w:rPr>
          <w:rFonts w:ascii="Roboto" w:hAnsi="Roboto"/>
          <w:b/>
          <w:color w:val="000000"/>
          <w:sz w:val="24"/>
          <w:szCs w:val="24"/>
        </w:rPr>
        <w:t>Transitorio II</w:t>
      </w:r>
      <w:r w:rsidRPr="006F15E1">
        <w:rPr>
          <w:rFonts w:ascii="Roboto" w:hAnsi="Roboto"/>
          <w:color w:val="000000"/>
          <w:sz w:val="24"/>
          <w:szCs w:val="24"/>
        </w:rPr>
        <w:t>: Remisión de información para el Registro Único de Personas Beneficiarias</w:t>
      </w:r>
    </w:p>
    <w:p w14:paraId="68A8FBD4" w14:textId="77777777" w:rsidR="003C1E7C" w:rsidRPr="006F15E1" w:rsidRDefault="003C1E7C" w:rsidP="007422B6">
      <w:pPr>
        <w:spacing w:after="0"/>
        <w:jc w:val="both"/>
        <w:rPr>
          <w:rFonts w:ascii="Roboto" w:hAnsi="Roboto"/>
          <w:color w:val="000000"/>
          <w:sz w:val="24"/>
          <w:szCs w:val="24"/>
        </w:rPr>
      </w:pPr>
      <w:r w:rsidRPr="006F15E1">
        <w:rPr>
          <w:rFonts w:ascii="Roboto" w:hAnsi="Roboto"/>
          <w:color w:val="000000"/>
          <w:sz w:val="24"/>
          <w:szCs w:val="24"/>
        </w:rPr>
        <w:t xml:space="preserve">La remisión del primer bloque de información para el Registro deberá enviarse dentro del plazo otorgado en el transitorio único del “Reglamento Sobre el Registro Único de Personas Beneficiarias”, en un dispositivo físico y de conformidad con lo establecido en el estándar electrónico definido en este acuerdo; la primera carga de la información al Registro estará a cargo de la Superintendencia.  </w:t>
      </w:r>
    </w:p>
    <w:p w14:paraId="35D1DA4B" w14:textId="77777777" w:rsidR="003C1E7C" w:rsidRPr="006F15E1" w:rsidRDefault="003C1E7C" w:rsidP="007422B6">
      <w:pPr>
        <w:spacing w:after="0"/>
        <w:jc w:val="both"/>
        <w:rPr>
          <w:rFonts w:ascii="Roboto" w:hAnsi="Roboto"/>
          <w:color w:val="000000"/>
          <w:sz w:val="24"/>
          <w:szCs w:val="24"/>
        </w:rPr>
      </w:pPr>
    </w:p>
    <w:p w14:paraId="4EB046C3" w14:textId="77777777" w:rsidR="003C1E7C" w:rsidRPr="006F15E1" w:rsidRDefault="003C1E7C" w:rsidP="007422B6">
      <w:pPr>
        <w:spacing w:after="0"/>
        <w:jc w:val="both"/>
        <w:rPr>
          <w:rFonts w:ascii="Roboto" w:hAnsi="Roboto"/>
          <w:color w:val="000000"/>
          <w:sz w:val="24"/>
          <w:szCs w:val="24"/>
        </w:rPr>
      </w:pPr>
      <w:r w:rsidRPr="006F15E1">
        <w:rPr>
          <w:rFonts w:ascii="Roboto" w:hAnsi="Roboto"/>
          <w:color w:val="000000"/>
          <w:sz w:val="24"/>
          <w:szCs w:val="24"/>
        </w:rPr>
        <w:t>Con fundamento en el artículo 17 de la Ley Reguladora del Contrato de Seguros, en la primera carga debe proporcionarse la información de todas aquellas pólizas que fueron canceladas, por cualquier causa, en los últimos cuatro años.</w:t>
      </w:r>
    </w:p>
    <w:p w14:paraId="5B9786AC" w14:textId="77777777" w:rsidR="003C1E7C" w:rsidRPr="006F15E1" w:rsidRDefault="003C1E7C" w:rsidP="007422B6">
      <w:pPr>
        <w:spacing w:after="0"/>
        <w:jc w:val="both"/>
        <w:rPr>
          <w:rFonts w:ascii="Roboto" w:hAnsi="Roboto"/>
          <w:sz w:val="24"/>
          <w:szCs w:val="24"/>
        </w:rPr>
      </w:pPr>
    </w:p>
    <w:p w14:paraId="5F165A89" w14:textId="77777777" w:rsidR="003C1E7C" w:rsidRPr="006F15E1" w:rsidRDefault="003C1E7C" w:rsidP="007422B6">
      <w:pPr>
        <w:spacing w:after="0"/>
        <w:jc w:val="both"/>
        <w:rPr>
          <w:rFonts w:ascii="Roboto" w:hAnsi="Roboto"/>
          <w:sz w:val="24"/>
          <w:szCs w:val="24"/>
        </w:rPr>
      </w:pPr>
    </w:p>
    <w:p w14:paraId="779C22BE" w14:textId="77777777" w:rsidR="003C1E7C" w:rsidRPr="006F15E1" w:rsidRDefault="003C1E7C" w:rsidP="007422B6">
      <w:pPr>
        <w:spacing w:after="0"/>
        <w:jc w:val="both"/>
        <w:rPr>
          <w:rFonts w:ascii="Roboto" w:hAnsi="Roboto"/>
          <w:b/>
          <w:bCs/>
          <w:sz w:val="24"/>
          <w:szCs w:val="24"/>
        </w:rPr>
      </w:pPr>
      <w:r w:rsidRPr="006F15E1">
        <w:rPr>
          <w:rFonts w:ascii="Roboto" w:hAnsi="Roboto"/>
          <w:b/>
          <w:bCs/>
          <w:sz w:val="24"/>
          <w:szCs w:val="24"/>
        </w:rPr>
        <w:t xml:space="preserve">Transitorio III: </w:t>
      </w:r>
      <w:r w:rsidRPr="006F15E1">
        <w:rPr>
          <w:rFonts w:ascii="Roboto" w:hAnsi="Roboto"/>
          <w:bCs/>
          <w:sz w:val="24"/>
          <w:szCs w:val="24"/>
        </w:rPr>
        <w:t>Primera carga de información para intermediarios de seguros</w:t>
      </w:r>
    </w:p>
    <w:p w14:paraId="3BEDBF38" w14:textId="77777777" w:rsidR="003C1E7C" w:rsidRPr="006F15E1" w:rsidRDefault="003C1E7C" w:rsidP="007422B6">
      <w:pPr>
        <w:spacing w:after="0"/>
        <w:jc w:val="both"/>
        <w:rPr>
          <w:rFonts w:ascii="Roboto" w:hAnsi="Roboto"/>
          <w:sz w:val="24"/>
          <w:szCs w:val="24"/>
        </w:rPr>
      </w:pPr>
      <w:r w:rsidRPr="006F15E1">
        <w:rPr>
          <w:rFonts w:ascii="Roboto" w:hAnsi="Roboto"/>
          <w:bCs/>
          <w:sz w:val="24"/>
          <w:szCs w:val="24"/>
        </w:rPr>
        <w:t>Para efectos de carga inicial, los intermediarios de seguros deberán realizar una carga con la información planteada en el Modelo 1 definido en el artículo 3 de este acuerdo, con corte al primer semestre del año 2014, antes del 30 de setiembre de 2014.</w:t>
      </w:r>
    </w:p>
    <w:p w14:paraId="2ACDAC46" w14:textId="77777777" w:rsidR="003C1E7C" w:rsidRPr="006F15E1" w:rsidRDefault="003C1E7C" w:rsidP="007422B6">
      <w:pPr>
        <w:spacing w:after="0"/>
        <w:jc w:val="both"/>
        <w:rPr>
          <w:rFonts w:ascii="Roboto" w:hAnsi="Roboto"/>
          <w:sz w:val="24"/>
          <w:szCs w:val="24"/>
        </w:rPr>
      </w:pPr>
    </w:p>
    <w:p w14:paraId="2F56C69B" w14:textId="77777777" w:rsidR="003C1E7C" w:rsidRPr="006F15E1" w:rsidRDefault="003C1E7C" w:rsidP="007422B6">
      <w:pPr>
        <w:spacing w:after="0"/>
        <w:jc w:val="both"/>
        <w:rPr>
          <w:rFonts w:ascii="Roboto" w:hAnsi="Roboto"/>
          <w:sz w:val="24"/>
          <w:szCs w:val="24"/>
        </w:rPr>
      </w:pPr>
      <w:r w:rsidRPr="006F15E1">
        <w:rPr>
          <w:rFonts w:ascii="Roboto" w:hAnsi="Roboto"/>
          <w:b/>
          <w:sz w:val="24"/>
          <w:szCs w:val="24"/>
        </w:rPr>
        <w:t>Transitorio IV:</w:t>
      </w:r>
      <w:r w:rsidRPr="006F15E1">
        <w:rPr>
          <w:rFonts w:ascii="Roboto" w:hAnsi="Roboto"/>
          <w:sz w:val="24"/>
          <w:szCs w:val="24"/>
        </w:rPr>
        <w:t xml:space="preserve"> </w:t>
      </w:r>
      <w:r w:rsidRPr="006F15E1">
        <w:rPr>
          <w:rFonts w:ascii="Roboto" w:hAnsi="Roboto"/>
          <w:bCs/>
          <w:sz w:val="24"/>
          <w:szCs w:val="24"/>
        </w:rPr>
        <w:t xml:space="preserve">Las entidades que a la fecha comercialicen el Seguro Obligatorio de Vehículos Automotores deberán entregar a la Superintendencia la información de todas </w:t>
      </w:r>
      <w:proofErr w:type="gramStart"/>
      <w:r w:rsidRPr="006F15E1">
        <w:rPr>
          <w:rFonts w:ascii="Roboto" w:hAnsi="Roboto"/>
          <w:bCs/>
          <w:sz w:val="24"/>
          <w:szCs w:val="24"/>
        </w:rPr>
        <w:t>las  pólizas</w:t>
      </w:r>
      <w:proofErr w:type="gramEnd"/>
      <w:r w:rsidRPr="006F15E1">
        <w:rPr>
          <w:rFonts w:ascii="Roboto" w:hAnsi="Roboto"/>
          <w:bCs/>
          <w:sz w:val="24"/>
          <w:szCs w:val="24"/>
        </w:rPr>
        <w:t xml:space="preserve"> de dicho producto al 18 de enero de 2015. Dicha información debe ser </w:t>
      </w:r>
      <w:proofErr w:type="gramStart"/>
      <w:r w:rsidRPr="006F15E1">
        <w:rPr>
          <w:rFonts w:ascii="Roboto" w:hAnsi="Roboto"/>
          <w:bCs/>
          <w:sz w:val="24"/>
          <w:szCs w:val="24"/>
        </w:rPr>
        <w:t>entregada,  en</w:t>
      </w:r>
      <w:proofErr w:type="gramEnd"/>
      <w:r w:rsidRPr="006F15E1">
        <w:rPr>
          <w:rFonts w:ascii="Roboto" w:hAnsi="Roboto"/>
          <w:bCs/>
          <w:sz w:val="24"/>
          <w:szCs w:val="24"/>
        </w:rPr>
        <w:t xml:space="preserve"> un </w:t>
      </w:r>
      <w:proofErr w:type="gramStart"/>
      <w:r w:rsidRPr="006F15E1">
        <w:rPr>
          <w:rFonts w:ascii="Roboto" w:hAnsi="Roboto"/>
          <w:bCs/>
          <w:sz w:val="24"/>
          <w:szCs w:val="24"/>
        </w:rPr>
        <w:t>dispositivo  electrónico</w:t>
      </w:r>
      <w:proofErr w:type="gramEnd"/>
      <w:r w:rsidRPr="006F15E1">
        <w:rPr>
          <w:rFonts w:ascii="Roboto" w:hAnsi="Roboto"/>
          <w:bCs/>
          <w:sz w:val="24"/>
          <w:szCs w:val="24"/>
        </w:rPr>
        <w:t xml:space="preserve"> de almacenamiento de </w:t>
      </w:r>
      <w:proofErr w:type="gramStart"/>
      <w:r w:rsidRPr="006F15E1">
        <w:rPr>
          <w:rFonts w:ascii="Roboto" w:hAnsi="Roboto"/>
          <w:bCs/>
          <w:sz w:val="24"/>
          <w:szCs w:val="24"/>
        </w:rPr>
        <w:t xml:space="preserve">datos, </w:t>
      </w:r>
      <w:r w:rsidRPr="006F15E1">
        <w:rPr>
          <w:rFonts w:ascii="Roboto" w:hAnsi="Roboto"/>
          <w:bCs/>
          <w:strike/>
          <w:sz w:val="24"/>
          <w:szCs w:val="24"/>
        </w:rPr>
        <w:t xml:space="preserve"> </w:t>
      </w:r>
      <w:r w:rsidRPr="006F15E1">
        <w:rPr>
          <w:rFonts w:ascii="Roboto" w:hAnsi="Roboto"/>
          <w:bCs/>
          <w:sz w:val="24"/>
          <w:szCs w:val="24"/>
        </w:rPr>
        <w:t>a</w:t>
      </w:r>
      <w:proofErr w:type="gramEnd"/>
      <w:r w:rsidRPr="006F15E1">
        <w:rPr>
          <w:rFonts w:ascii="Roboto" w:hAnsi="Roboto"/>
          <w:bCs/>
          <w:sz w:val="24"/>
          <w:szCs w:val="24"/>
        </w:rPr>
        <w:t xml:space="preserve"> más </w:t>
      </w:r>
      <w:proofErr w:type="gramStart"/>
      <w:r w:rsidRPr="006F15E1">
        <w:rPr>
          <w:rFonts w:ascii="Roboto" w:hAnsi="Roboto"/>
          <w:bCs/>
          <w:sz w:val="24"/>
          <w:szCs w:val="24"/>
        </w:rPr>
        <w:t>tardar  a</w:t>
      </w:r>
      <w:proofErr w:type="gramEnd"/>
      <w:r w:rsidRPr="006F15E1">
        <w:rPr>
          <w:rFonts w:ascii="Roboto" w:hAnsi="Roboto"/>
          <w:bCs/>
          <w:sz w:val="24"/>
          <w:szCs w:val="24"/>
        </w:rPr>
        <w:t xml:space="preserve"> las a las 5:00 p.m. del 21 de enero de 2015, posterior a esa fecha se incorporarán los movimientos de acuerdo con lo dispuesto en el artículo 2 de este acuerdo, el primer corte que debe entregarse es el correspondiente al 1° de febrero de 2015.  El servicio de Registro de SOA estará disponible a partir del 2 de febrero de 2015 para las aseguradoras y para los usuarios finales a partir del 5 de febrero de 2015.</w:t>
      </w:r>
    </w:p>
    <w:p w14:paraId="2F0E0598" w14:textId="77777777" w:rsidR="003C1E7C" w:rsidRPr="006F15E1" w:rsidRDefault="003C1E7C" w:rsidP="007422B6">
      <w:pPr>
        <w:spacing w:after="0"/>
        <w:jc w:val="both"/>
        <w:rPr>
          <w:rFonts w:ascii="Roboto" w:hAnsi="Roboto"/>
          <w:sz w:val="24"/>
          <w:szCs w:val="24"/>
        </w:rPr>
      </w:pPr>
    </w:p>
    <w:p w14:paraId="47F97787" w14:textId="77777777" w:rsidR="003C1E7C" w:rsidRPr="006F15E1" w:rsidRDefault="003C1E7C" w:rsidP="007422B6">
      <w:pPr>
        <w:spacing w:after="0"/>
        <w:jc w:val="both"/>
        <w:rPr>
          <w:rFonts w:ascii="Roboto" w:hAnsi="Roboto"/>
          <w:sz w:val="24"/>
          <w:szCs w:val="24"/>
        </w:rPr>
      </w:pPr>
      <w:r w:rsidRPr="006F15E1">
        <w:rPr>
          <w:rFonts w:ascii="Roboto" w:hAnsi="Roboto"/>
          <w:b/>
          <w:sz w:val="24"/>
          <w:szCs w:val="24"/>
        </w:rPr>
        <w:t>Transitorio V</w:t>
      </w:r>
      <w:r w:rsidRPr="006F15E1">
        <w:rPr>
          <w:rStyle w:val="Refdenotaalpie"/>
          <w:rFonts w:ascii="Roboto" w:hAnsi="Roboto"/>
          <w:b/>
          <w:sz w:val="24"/>
          <w:szCs w:val="24"/>
        </w:rPr>
        <w:footnoteReference w:id="28"/>
      </w:r>
      <w:r w:rsidRPr="006F15E1">
        <w:rPr>
          <w:rFonts w:ascii="Roboto" w:hAnsi="Roboto"/>
          <w:b/>
          <w:sz w:val="24"/>
          <w:szCs w:val="24"/>
        </w:rPr>
        <w:t>:</w:t>
      </w:r>
      <w:r w:rsidRPr="006F15E1">
        <w:rPr>
          <w:rFonts w:ascii="Roboto" w:hAnsi="Roboto"/>
          <w:sz w:val="24"/>
          <w:szCs w:val="24"/>
        </w:rPr>
        <w:t xml:space="preserve"> Las aseguradoras deberán remitir la información requerida mediante el Anexo 11 - Ingresos por primas y siniestros pagados según ramo de seguros- correspondiente al mes de junio 2015 y de cada uno de los meses siguientes a este periodo, hasta el mes inmediato anterior al momento de </w:t>
      </w:r>
      <w:proofErr w:type="gramStart"/>
      <w:r w:rsidRPr="006F15E1">
        <w:rPr>
          <w:rFonts w:ascii="Roboto" w:hAnsi="Roboto"/>
          <w:sz w:val="24"/>
          <w:szCs w:val="24"/>
        </w:rPr>
        <w:t>entrada en vigencia</w:t>
      </w:r>
      <w:proofErr w:type="gramEnd"/>
      <w:r w:rsidRPr="006F15E1">
        <w:rPr>
          <w:rFonts w:ascii="Roboto" w:hAnsi="Roboto"/>
          <w:sz w:val="24"/>
          <w:szCs w:val="24"/>
        </w:rPr>
        <w:t xml:space="preserve"> de la incorporación del Anexo en cita, en </w:t>
      </w:r>
      <w:proofErr w:type="gramStart"/>
      <w:r w:rsidRPr="006F15E1">
        <w:rPr>
          <w:rFonts w:ascii="Roboto" w:hAnsi="Roboto"/>
          <w:sz w:val="24"/>
          <w:szCs w:val="24"/>
        </w:rPr>
        <w:t xml:space="preserve">los  </w:t>
      </w:r>
      <w:r w:rsidRPr="006F15E1">
        <w:rPr>
          <w:rFonts w:ascii="Roboto" w:hAnsi="Roboto"/>
          <w:b/>
          <w:sz w:val="24"/>
          <w:szCs w:val="24"/>
        </w:rPr>
        <w:t>diez</w:t>
      </w:r>
      <w:proofErr w:type="gramEnd"/>
      <w:r w:rsidRPr="006F15E1">
        <w:rPr>
          <w:rFonts w:ascii="Roboto" w:hAnsi="Roboto"/>
          <w:b/>
          <w:sz w:val="24"/>
          <w:szCs w:val="24"/>
        </w:rPr>
        <w:t xml:space="preserve"> (10) días hábiles</w:t>
      </w:r>
      <w:r w:rsidRPr="006F15E1">
        <w:rPr>
          <w:rFonts w:ascii="Roboto" w:hAnsi="Roboto"/>
          <w:sz w:val="24"/>
          <w:szCs w:val="24"/>
        </w:rPr>
        <w:t xml:space="preserve"> posteriores a </w:t>
      </w:r>
      <w:proofErr w:type="gramStart"/>
      <w:r w:rsidRPr="006F15E1">
        <w:rPr>
          <w:rFonts w:ascii="Roboto" w:hAnsi="Roboto"/>
          <w:sz w:val="24"/>
          <w:szCs w:val="24"/>
        </w:rPr>
        <w:t>la  fecha</w:t>
      </w:r>
      <w:proofErr w:type="gramEnd"/>
      <w:r w:rsidRPr="006F15E1">
        <w:rPr>
          <w:rFonts w:ascii="Roboto" w:hAnsi="Roboto"/>
          <w:sz w:val="24"/>
          <w:szCs w:val="24"/>
        </w:rPr>
        <w:t xml:space="preserve"> de </w:t>
      </w:r>
      <w:proofErr w:type="gramStart"/>
      <w:r w:rsidRPr="006F15E1">
        <w:rPr>
          <w:rFonts w:ascii="Roboto" w:hAnsi="Roboto"/>
          <w:sz w:val="24"/>
          <w:szCs w:val="24"/>
        </w:rPr>
        <w:t>entrada en vigencia</w:t>
      </w:r>
      <w:proofErr w:type="gramEnd"/>
      <w:r w:rsidRPr="006F15E1">
        <w:rPr>
          <w:rFonts w:ascii="Roboto" w:hAnsi="Roboto"/>
          <w:sz w:val="24"/>
          <w:szCs w:val="24"/>
        </w:rPr>
        <w:t xml:space="preserve"> de este acuerdo.</w:t>
      </w:r>
    </w:p>
    <w:p w14:paraId="486B51AE" w14:textId="77777777" w:rsidR="003C1E7C" w:rsidRPr="006F15E1" w:rsidRDefault="003C1E7C" w:rsidP="007422B6">
      <w:pPr>
        <w:spacing w:after="0"/>
        <w:jc w:val="both"/>
        <w:rPr>
          <w:rFonts w:ascii="Roboto" w:hAnsi="Roboto"/>
          <w:sz w:val="24"/>
          <w:szCs w:val="24"/>
        </w:rPr>
      </w:pPr>
    </w:p>
    <w:p w14:paraId="58295FAB" w14:textId="77777777" w:rsidR="003C1E7C" w:rsidRPr="006F15E1" w:rsidRDefault="003C1E7C" w:rsidP="007422B6">
      <w:pPr>
        <w:spacing w:after="0"/>
        <w:jc w:val="both"/>
        <w:rPr>
          <w:rFonts w:ascii="Roboto" w:hAnsi="Roboto"/>
          <w:sz w:val="24"/>
          <w:szCs w:val="24"/>
        </w:rPr>
      </w:pPr>
      <w:r w:rsidRPr="006F15E1">
        <w:rPr>
          <w:rFonts w:ascii="Roboto" w:hAnsi="Roboto"/>
          <w:b/>
          <w:sz w:val="24"/>
          <w:szCs w:val="24"/>
        </w:rPr>
        <w:t>Transitorio VI</w:t>
      </w:r>
      <w:r w:rsidRPr="006F15E1">
        <w:rPr>
          <w:rStyle w:val="Refdenotaalpie"/>
          <w:rFonts w:ascii="Roboto" w:hAnsi="Roboto"/>
          <w:b/>
          <w:sz w:val="24"/>
          <w:szCs w:val="24"/>
        </w:rPr>
        <w:footnoteReference w:id="29"/>
      </w:r>
      <w:r w:rsidRPr="006F15E1">
        <w:rPr>
          <w:rFonts w:ascii="Roboto" w:hAnsi="Roboto"/>
          <w:b/>
          <w:sz w:val="24"/>
          <w:szCs w:val="24"/>
        </w:rPr>
        <w:t>:</w:t>
      </w:r>
      <w:r w:rsidRPr="006F15E1">
        <w:rPr>
          <w:rFonts w:ascii="Roboto" w:hAnsi="Roboto"/>
          <w:sz w:val="24"/>
          <w:szCs w:val="24"/>
        </w:rPr>
        <w:t xml:space="preserve"> El Instituto Nacional de Seguros debe entregar a la Superintendencia la información del Seguro de Riesgos del Trabajo correspondiente al cierre de 2017, 2018 y 2019, en archivo de Excel y utilizando el formato en el que la entidad entregó la información del periodo 2008-2014, a más tardar el 31 de marzo del año siguiente. Posterior a la última fecha se remitirán las estadísticas de riesgos de trabajo según lo dispuesto en el artículo 2 de este acuerdo</w:t>
      </w:r>
    </w:p>
    <w:p w14:paraId="46480CB2" w14:textId="77777777" w:rsidR="003C1E7C" w:rsidRPr="006F15E1" w:rsidRDefault="003C1E7C" w:rsidP="007422B6">
      <w:pPr>
        <w:spacing w:after="0"/>
        <w:jc w:val="both"/>
        <w:rPr>
          <w:rFonts w:ascii="Roboto" w:hAnsi="Roboto"/>
          <w:sz w:val="24"/>
          <w:szCs w:val="24"/>
        </w:rPr>
      </w:pPr>
    </w:p>
    <w:p w14:paraId="551BDFE1" w14:textId="0DB37093" w:rsidR="003C1E7C" w:rsidRPr="006F15E1" w:rsidRDefault="00D93EB7" w:rsidP="007422B6">
      <w:pPr>
        <w:spacing w:after="0"/>
        <w:jc w:val="both"/>
        <w:rPr>
          <w:rFonts w:ascii="Roboto" w:hAnsi="Roboto"/>
          <w:b/>
          <w:sz w:val="24"/>
          <w:szCs w:val="24"/>
        </w:rPr>
      </w:pPr>
      <w:r w:rsidRPr="006F15E1">
        <w:rPr>
          <w:rFonts w:ascii="Roboto" w:hAnsi="Roboto"/>
          <w:b/>
          <w:sz w:val="24"/>
          <w:szCs w:val="24"/>
        </w:rPr>
        <w:t>Transitorio VII</w:t>
      </w:r>
      <w:r w:rsidRPr="006F15E1">
        <w:rPr>
          <w:rStyle w:val="Refdenotaalpie"/>
          <w:rFonts w:ascii="Roboto" w:hAnsi="Roboto"/>
          <w:b/>
          <w:sz w:val="24"/>
          <w:szCs w:val="24"/>
        </w:rPr>
        <w:footnoteReference w:id="30"/>
      </w:r>
      <w:r w:rsidRPr="006F15E1">
        <w:rPr>
          <w:rFonts w:ascii="Roboto" w:hAnsi="Roboto"/>
          <w:b/>
          <w:sz w:val="24"/>
          <w:szCs w:val="24"/>
        </w:rPr>
        <w:t xml:space="preserve">: </w:t>
      </w:r>
      <w:r w:rsidRPr="006F15E1">
        <w:rPr>
          <w:rFonts w:ascii="Roboto" w:hAnsi="Roboto"/>
          <w:bCs/>
          <w:sz w:val="24"/>
          <w:szCs w:val="24"/>
        </w:rPr>
        <w:t xml:space="preserve">La información del Modelo 2 del Estándar de Negocio para Intermediarios de Seguros, con corte al 31 de diciembre de 2022, deberá ser enviada por parte de las Sociedades Corredoras y Sociedades Agencias pertenecientes a grupos o conglomerados financieros, mediante un formulario en Excel remitido por la Superintendencia y deberá ser enviado por la entidad al correo oficial de la </w:t>
      </w:r>
      <w:r w:rsidRPr="006F15E1">
        <w:rPr>
          <w:rFonts w:ascii="Roboto" w:hAnsi="Roboto"/>
          <w:bCs/>
          <w:sz w:val="24"/>
          <w:szCs w:val="24"/>
        </w:rPr>
        <w:lastRenderedPageBreak/>
        <w:t>Superintendencia, según el plazo establecido en el artículo 3. A partir del corte de marzo de 2023, la información del modelo 2, se remitirá por los medios indicados en el artículo 3.</w:t>
      </w:r>
    </w:p>
    <w:p w14:paraId="2968A510" w14:textId="77777777" w:rsidR="003C1E7C" w:rsidRPr="006F15E1" w:rsidRDefault="003C1E7C" w:rsidP="007422B6">
      <w:pPr>
        <w:spacing w:after="0"/>
        <w:jc w:val="both"/>
        <w:rPr>
          <w:rFonts w:ascii="Roboto" w:hAnsi="Roboto"/>
          <w:sz w:val="24"/>
          <w:szCs w:val="24"/>
        </w:rPr>
      </w:pPr>
    </w:p>
    <w:p w14:paraId="2E9126FD" w14:textId="77777777" w:rsidR="003C1E7C" w:rsidRPr="006F15E1" w:rsidRDefault="003C1E7C" w:rsidP="007422B6">
      <w:pPr>
        <w:spacing w:after="0"/>
        <w:jc w:val="both"/>
        <w:rPr>
          <w:rFonts w:ascii="Roboto" w:hAnsi="Roboto"/>
          <w:sz w:val="24"/>
          <w:szCs w:val="24"/>
        </w:rPr>
      </w:pPr>
    </w:p>
    <w:p w14:paraId="11917907" w14:textId="77777777" w:rsidR="003C1E7C" w:rsidRPr="006F15E1" w:rsidRDefault="003C1E7C" w:rsidP="007422B6">
      <w:pPr>
        <w:spacing w:after="0"/>
        <w:jc w:val="both"/>
        <w:rPr>
          <w:rFonts w:ascii="Roboto" w:hAnsi="Roboto"/>
          <w:sz w:val="24"/>
          <w:szCs w:val="24"/>
        </w:rPr>
      </w:pPr>
    </w:p>
    <w:p w14:paraId="14DCAF1A" w14:textId="77777777" w:rsidR="003C1E7C" w:rsidRPr="006F15E1" w:rsidRDefault="003C1E7C" w:rsidP="007422B6">
      <w:pPr>
        <w:spacing w:after="0"/>
        <w:jc w:val="both"/>
        <w:rPr>
          <w:rFonts w:ascii="Roboto" w:hAnsi="Roboto"/>
          <w:sz w:val="24"/>
          <w:szCs w:val="24"/>
        </w:rPr>
      </w:pPr>
    </w:p>
    <w:p w14:paraId="71363CB4" w14:textId="77777777" w:rsidR="003C1E7C" w:rsidRPr="006F15E1" w:rsidRDefault="003C1E7C" w:rsidP="007422B6">
      <w:pPr>
        <w:spacing w:after="0"/>
        <w:jc w:val="both"/>
        <w:rPr>
          <w:rFonts w:ascii="Roboto" w:hAnsi="Roboto"/>
          <w:sz w:val="24"/>
          <w:szCs w:val="24"/>
        </w:rPr>
      </w:pPr>
    </w:p>
    <w:p w14:paraId="48C3B170" w14:textId="77777777" w:rsidR="003C1E7C" w:rsidRPr="006F15E1" w:rsidRDefault="003C1E7C" w:rsidP="007422B6">
      <w:pPr>
        <w:spacing w:after="0"/>
        <w:jc w:val="both"/>
        <w:rPr>
          <w:rFonts w:ascii="Roboto" w:hAnsi="Roboto"/>
          <w:sz w:val="24"/>
          <w:szCs w:val="24"/>
        </w:rPr>
      </w:pPr>
    </w:p>
    <w:p w14:paraId="0DCAD913" w14:textId="19B0E600" w:rsidR="00EB4749" w:rsidRPr="006F15E1" w:rsidRDefault="00713412" w:rsidP="007422B6">
      <w:pPr>
        <w:spacing w:after="0"/>
        <w:rPr>
          <w:rFonts w:ascii="Roboto" w:hAnsi="Roboto"/>
        </w:rPr>
      </w:pPr>
      <w:r w:rsidRPr="006F15E1">
        <w:rPr>
          <w:rFonts w:ascii="Roboto" w:hAnsi="Roboto"/>
          <w:noProof/>
        </w:rPr>
        <w:drawing>
          <wp:inline distT="0" distB="0" distL="0" distR="0" wp14:anchorId="32745EB3" wp14:editId="3561C48E">
            <wp:extent cx="2756747" cy="535298"/>
            <wp:effectExtent l="0" t="0" r="5715" b="0"/>
            <wp:docPr id="3"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6747" cy="535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00EB4749" w:rsidRPr="006F15E1">
        <w:rPr>
          <w:rFonts w:ascii="Roboto" w:hAnsi="Roboto"/>
        </w:rPr>
        <w:br w:type="page"/>
      </w: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6F15E1" w14:paraId="1EDEFDAE" w14:textId="77777777" w:rsidTr="001C4533">
        <w:trPr>
          <w:trHeight w:val="625"/>
          <w:jc w:val="center"/>
        </w:trPr>
        <w:tc>
          <w:tcPr>
            <w:tcW w:w="5000" w:type="pct"/>
          </w:tcPr>
          <w:p w14:paraId="500F3954" w14:textId="1EBFAA4E" w:rsidR="001C4533" w:rsidRPr="006F15E1" w:rsidRDefault="00EB4749" w:rsidP="007422B6">
            <w:pPr>
              <w:autoSpaceDE w:val="0"/>
              <w:autoSpaceDN w:val="0"/>
              <w:adjustRightInd w:val="0"/>
              <w:jc w:val="center"/>
              <w:rPr>
                <w:rFonts w:ascii="Roboto" w:hAnsi="Roboto"/>
                <w:b/>
                <w:sz w:val="32"/>
                <w:szCs w:val="24"/>
              </w:rPr>
            </w:pPr>
            <w:r w:rsidRPr="006F15E1">
              <w:rPr>
                <w:rFonts w:ascii="Roboto" w:hAnsi="Roboto"/>
                <w:b/>
                <w:bCs/>
                <w:iCs/>
                <w:sz w:val="16"/>
                <w:szCs w:val="16"/>
              </w:rPr>
              <w:lastRenderedPageBreak/>
              <w:t>Anexo 1</w:t>
            </w:r>
            <w:r w:rsidR="006472AD" w:rsidRPr="006F15E1">
              <w:rPr>
                <w:rFonts w:ascii="Roboto" w:hAnsi="Roboto"/>
                <w:b/>
                <w:bCs/>
                <w:iCs/>
                <w:sz w:val="16"/>
                <w:szCs w:val="16"/>
              </w:rPr>
              <w:t xml:space="preserve">. </w:t>
            </w:r>
            <w:r w:rsidR="001C4533" w:rsidRPr="006F15E1">
              <w:rPr>
                <w:rFonts w:ascii="Roboto" w:hAnsi="Roboto"/>
                <w:b/>
                <w:bCs/>
                <w:iCs/>
                <w:sz w:val="16"/>
                <w:szCs w:val="16"/>
              </w:rPr>
              <w:t>Reporte de saldos contables y datos adicionales</w:t>
            </w:r>
            <w:r w:rsidR="00B96502" w:rsidRPr="006F15E1">
              <w:rPr>
                <w:rStyle w:val="Refdenotaalpie"/>
                <w:rFonts w:ascii="Roboto" w:hAnsi="Roboto"/>
                <w:b/>
                <w:sz w:val="32"/>
                <w:szCs w:val="24"/>
              </w:rPr>
              <w:footnoteReference w:id="31"/>
            </w:r>
            <w:r w:rsidR="00B96502" w:rsidRPr="006F15E1">
              <w:rPr>
                <w:rFonts w:ascii="Roboto" w:hAnsi="Roboto"/>
                <w:b/>
                <w:sz w:val="32"/>
                <w:szCs w:val="24"/>
              </w:rPr>
              <w:t xml:space="preserve"> </w:t>
            </w:r>
            <w:r w:rsidR="00B96502" w:rsidRPr="006F15E1">
              <w:rPr>
                <w:rFonts w:ascii="Roboto" w:eastAsiaTheme="minorHAnsi" w:hAnsi="Roboto"/>
                <w:b/>
                <w:bCs/>
                <w:iCs/>
                <w:sz w:val="32"/>
                <w:lang w:eastAsia="en-US"/>
              </w:rPr>
              <w:t>(ELIMINADO)</w:t>
            </w:r>
          </w:p>
          <w:p w14:paraId="4E6BF691" w14:textId="77777777" w:rsidR="001C4533" w:rsidRPr="006F15E1" w:rsidRDefault="001C4533" w:rsidP="007422B6">
            <w:pPr>
              <w:rPr>
                <w:rFonts w:ascii="Roboto" w:hAnsi="Roboto"/>
                <w:sz w:val="24"/>
                <w:szCs w:val="24"/>
              </w:rPr>
            </w:pPr>
          </w:p>
        </w:tc>
      </w:tr>
    </w:tbl>
    <w:p w14:paraId="66EC18B2" w14:textId="3036428D" w:rsidR="00F03F95" w:rsidRPr="006F15E1" w:rsidRDefault="00F03F95" w:rsidP="007422B6">
      <w:pPr>
        <w:spacing w:after="0"/>
        <w:rPr>
          <w:rFonts w:ascii="Roboto" w:hAnsi="Roboto"/>
        </w:rPr>
      </w:pP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6F15E1" w14:paraId="10088C7A" w14:textId="77777777" w:rsidTr="001C4533">
        <w:trPr>
          <w:trHeight w:val="625"/>
          <w:jc w:val="center"/>
        </w:trPr>
        <w:tc>
          <w:tcPr>
            <w:tcW w:w="5000" w:type="pct"/>
          </w:tcPr>
          <w:p w14:paraId="6BB6D05A" w14:textId="54254947" w:rsidR="001C4533" w:rsidRPr="006F15E1" w:rsidRDefault="006472AD" w:rsidP="007422B6">
            <w:pPr>
              <w:pStyle w:val="Sangra2detindependiente"/>
              <w:spacing w:after="0"/>
              <w:ind w:left="0"/>
              <w:jc w:val="center"/>
              <w:rPr>
                <w:rFonts w:ascii="Roboto" w:eastAsiaTheme="minorHAnsi" w:hAnsi="Roboto" w:cstheme="minorBidi"/>
                <w:bCs w:val="0"/>
                <w:iCs w:val="0"/>
                <w:sz w:val="32"/>
                <w:lang w:val="es-CR" w:eastAsia="en-US"/>
              </w:rPr>
            </w:pPr>
            <w:r w:rsidRPr="006F15E1">
              <w:rPr>
                <w:rFonts w:ascii="Roboto" w:eastAsiaTheme="minorHAnsi" w:hAnsi="Roboto" w:cstheme="minorBidi"/>
                <w:bCs w:val="0"/>
                <w:iCs w:val="0"/>
                <w:sz w:val="16"/>
                <w:szCs w:val="16"/>
                <w:lang w:val="es-CR" w:eastAsia="en-US"/>
              </w:rPr>
              <w:t xml:space="preserve">Anexo 2. </w:t>
            </w:r>
            <w:r w:rsidR="001C4533" w:rsidRPr="006F15E1">
              <w:rPr>
                <w:rFonts w:ascii="Roboto" w:eastAsiaTheme="minorHAnsi" w:hAnsi="Roboto" w:cstheme="minorBidi"/>
                <w:bCs w:val="0"/>
                <w:iCs w:val="0"/>
                <w:sz w:val="16"/>
                <w:szCs w:val="16"/>
                <w:lang w:val="es-CR" w:eastAsia="en-US"/>
              </w:rPr>
              <w:t xml:space="preserve">Registro auxiliar de primas y siniestros del mes para el cálculo de los requerimientos de </w:t>
            </w:r>
            <w:proofErr w:type="gramStart"/>
            <w:r w:rsidR="001C4533" w:rsidRPr="006F15E1">
              <w:rPr>
                <w:rFonts w:ascii="Roboto" w:eastAsiaTheme="minorHAnsi" w:hAnsi="Roboto" w:cstheme="minorBidi"/>
                <w:bCs w:val="0"/>
                <w:iCs w:val="0"/>
                <w:sz w:val="16"/>
                <w:szCs w:val="16"/>
                <w:lang w:val="es-CR" w:eastAsia="en-US"/>
              </w:rPr>
              <w:t>capi</w:t>
            </w:r>
            <w:r w:rsidRPr="006F15E1">
              <w:rPr>
                <w:rFonts w:ascii="Roboto" w:eastAsiaTheme="minorHAnsi" w:hAnsi="Roboto" w:cstheme="minorBidi"/>
                <w:bCs w:val="0"/>
                <w:iCs w:val="0"/>
                <w:sz w:val="16"/>
                <w:szCs w:val="16"/>
                <w:lang w:val="es-CR" w:eastAsia="en-US"/>
              </w:rPr>
              <w:t>tal  de</w:t>
            </w:r>
            <w:proofErr w:type="gramEnd"/>
            <w:r w:rsidRPr="006F15E1">
              <w:rPr>
                <w:rFonts w:ascii="Roboto" w:eastAsiaTheme="minorHAnsi" w:hAnsi="Roboto" w:cstheme="minorBidi"/>
                <w:bCs w:val="0"/>
                <w:iCs w:val="0"/>
                <w:sz w:val="16"/>
                <w:szCs w:val="16"/>
                <w:lang w:val="es-CR" w:eastAsia="en-US"/>
              </w:rPr>
              <w:t xml:space="preserve"> ramos distintos de vida</w:t>
            </w:r>
            <w:r w:rsidR="0064638D" w:rsidRPr="006F15E1">
              <w:rPr>
                <w:rStyle w:val="Refdenotaalpie"/>
                <w:rFonts w:ascii="Roboto" w:eastAsiaTheme="minorHAnsi" w:hAnsi="Roboto" w:cstheme="minorBidi"/>
                <w:bCs w:val="0"/>
                <w:iCs w:val="0"/>
                <w:sz w:val="32"/>
                <w:lang w:val="es-CR" w:eastAsia="en-US"/>
              </w:rPr>
              <w:footnoteReference w:id="32"/>
            </w:r>
            <w:r w:rsidR="0064638D" w:rsidRPr="006F15E1">
              <w:rPr>
                <w:rFonts w:ascii="Roboto" w:eastAsiaTheme="minorHAnsi" w:hAnsi="Roboto" w:cstheme="minorBidi"/>
                <w:bCs w:val="0"/>
                <w:iCs w:val="0"/>
                <w:sz w:val="32"/>
                <w:lang w:val="es-CR" w:eastAsia="en-US"/>
              </w:rPr>
              <w:t xml:space="preserve"> (ELIMINADO)</w:t>
            </w:r>
          </w:p>
          <w:p w14:paraId="5F640C39" w14:textId="77777777" w:rsidR="001C4533" w:rsidRPr="006F15E1" w:rsidRDefault="001C4533" w:rsidP="007422B6">
            <w:pPr>
              <w:autoSpaceDE w:val="0"/>
              <w:autoSpaceDN w:val="0"/>
              <w:adjustRightInd w:val="0"/>
              <w:jc w:val="center"/>
              <w:rPr>
                <w:rFonts w:ascii="Roboto" w:hAnsi="Roboto"/>
                <w:sz w:val="24"/>
                <w:szCs w:val="24"/>
              </w:rPr>
            </w:pPr>
          </w:p>
          <w:p w14:paraId="717E296F" w14:textId="77777777" w:rsidR="001C4533" w:rsidRPr="006F15E1" w:rsidRDefault="001C4533" w:rsidP="007422B6">
            <w:pPr>
              <w:jc w:val="center"/>
              <w:rPr>
                <w:rFonts w:ascii="Roboto" w:hAnsi="Roboto"/>
                <w:sz w:val="24"/>
                <w:szCs w:val="24"/>
              </w:rPr>
            </w:pPr>
          </w:p>
        </w:tc>
      </w:tr>
      <w:tr w:rsidR="001C4533" w:rsidRPr="006F15E1" w14:paraId="039D5BE8" w14:textId="77777777" w:rsidTr="001C4533">
        <w:trPr>
          <w:trHeight w:val="625"/>
          <w:jc w:val="center"/>
        </w:trPr>
        <w:tc>
          <w:tcPr>
            <w:tcW w:w="5000" w:type="pct"/>
          </w:tcPr>
          <w:p w14:paraId="3301CF41" w14:textId="3DD8DCC9" w:rsidR="001C4533" w:rsidRPr="006F15E1" w:rsidRDefault="001C4533" w:rsidP="007422B6">
            <w:pPr>
              <w:autoSpaceDE w:val="0"/>
              <w:autoSpaceDN w:val="0"/>
              <w:adjustRightInd w:val="0"/>
              <w:jc w:val="center"/>
              <w:rPr>
                <w:rFonts w:ascii="Roboto" w:hAnsi="Roboto"/>
                <w:b/>
                <w:sz w:val="32"/>
                <w:szCs w:val="24"/>
              </w:rPr>
            </w:pPr>
            <w:r w:rsidRPr="006F15E1">
              <w:rPr>
                <w:rFonts w:ascii="Roboto" w:hAnsi="Roboto"/>
                <w:b/>
                <w:sz w:val="16"/>
                <w:szCs w:val="16"/>
              </w:rPr>
              <w:t>Anexo 3. Registro auxiliar de reaseguro cedido y retrocedido</w:t>
            </w:r>
            <w:r w:rsidR="0064638D" w:rsidRPr="006F15E1">
              <w:rPr>
                <w:rStyle w:val="Refdenotaalpie"/>
                <w:rFonts w:ascii="Roboto" w:hAnsi="Roboto"/>
                <w:b/>
                <w:sz w:val="32"/>
                <w:szCs w:val="24"/>
              </w:rPr>
              <w:footnoteReference w:id="33"/>
            </w:r>
            <w:r w:rsidR="0064638D" w:rsidRPr="006F15E1">
              <w:rPr>
                <w:rFonts w:ascii="Roboto" w:hAnsi="Roboto"/>
                <w:b/>
                <w:sz w:val="32"/>
                <w:szCs w:val="24"/>
              </w:rPr>
              <w:t xml:space="preserve"> </w:t>
            </w:r>
            <w:r w:rsidR="0064638D" w:rsidRPr="006F15E1">
              <w:rPr>
                <w:rFonts w:ascii="Roboto" w:eastAsiaTheme="minorHAnsi" w:hAnsi="Roboto"/>
                <w:b/>
                <w:bCs/>
                <w:iCs/>
                <w:sz w:val="32"/>
                <w:lang w:eastAsia="en-US"/>
              </w:rPr>
              <w:t>(ELIMINADO)</w:t>
            </w:r>
          </w:p>
          <w:p w14:paraId="6778CD86" w14:textId="77777777" w:rsidR="001C4533" w:rsidRPr="006F15E1" w:rsidRDefault="001C4533" w:rsidP="007422B6">
            <w:pPr>
              <w:autoSpaceDE w:val="0"/>
              <w:autoSpaceDN w:val="0"/>
              <w:adjustRightInd w:val="0"/>
              <w:jc w:val="both"/>
              <w:rPr>
                <w:rFonts w:ascii="Roboto" w:hAnsi="Roboto"/>
                <w:b/>
                <w:sz w:val="24"/>
                <w:szCs w:val="24"/>
              </w:rPr>
            </w:pPr>
          </w:p>
          <w:p w14:paraId="0F0666AB" w14:textId="77777777" w:rsidR="001C4533" w:rsidRPr="006F15E1" w:rsidRDefault="001C4533" w:rsidP="007422B6">
            <w:pPr>
              <w:rPr>
                <w:rFonts w:ascii="Roboto" w:hAnsi="Roboto"/>
                <w:sz w:val="24"/>
                <w:szCs w:val="24"/>
              </w:rPr>
            </w:pPr>
          </w:p>
        </w:tc>
      </w:tr>
    </w:tbl>
    <w:p w14:paraId="79A695EF" w14:textId="77777777" w:rsidR="00F75D24" w:rsidRPr="006F15E1" w:rsidRDefault="00F75D24" w:rsidP="007422B6">
      <w:pPr>
        <w:spacing w:after="0"/>
        <w:rPr>
          <w:rFonts w:ascii="Roboto" w:hAnsi="Roboto"/>
        </w:rPr>
      </w:pPr>
      <w:r w:rsidRPr="006F15E1">
        <w:rPr>
          <w:rFonts w:ascii="Roboto" w:hAnsi="Roboto"/>
        </w:rPr>
        <w:br w:type="page"/>
      </w: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6F15E1" w14:paraId="248891D4" w14:textId="77777777" w:rsidTr="001C4533">
        <w:trPr>
          <w:trHeight w:val="625"/>
          <w:jc w:val="center"/>
        </w:trPr>
        <w:tc>
          <w:tcPr>
            <w:tcW w:w="5000" w:type="pct"/>
          </w:tcPr>
          <w:p w14:paraId="7C41C8EE" w14:textId="77777777" w:rsidR="00D26894" w:rsidRPr="006F15E1" w:rsidRDefault="001C4533" w:rsidP="007422B6">
            <w:pPr>
              <w:ind w:right="338"/>
              <w:jc w:val="center"/>
              <w:rPr>
                <w:rFonts w:ascii="Roboto" w:hAnsi="Roboto"/>
                <w:b/>
                <w:sz w:val="32"/>
                <w:szCs w:val="24"/>
              </w:rPr>
            </w:pPr>
            <w:r w:rsidRPr="006F15E1">
              <w:rPr>
                <w:rFonts w:ascii="Roboto" w:hAnsi="Roboto"/>
                <w:b/>
                <w:sz w:val="32"/>
                <w:szCs w:val="24"/>
              </w:rPr>
              <w:lastRenderedPageBreak/>
              <w:t xml:space="preserve">Anexo 4. </w:t>
            </w:r>
          </w:p>
          <w:p w14:paraId="46DB8615" w14:textId="02C64302" w:rsidR="001C4533" w:rsidRPr="006F15E1" w:rsidRDefault="00623C63" w:rsidP="007422B6">
            <w:pPr>
              <w:ind w:right="338"/>
              <w:jc w:val="center"/>
              <w:rPr>
                <w:rFonts w:ascii="Roboto" w:hAnsi="Roboto"/>
                <w:b/>
                <w:sz w:val="32"/>
                <w:szCs w:val="24"/>
              </w:rPr>
            </w:pPr>
            <w:r w:rsidRPr="006F15E1">
              <w:rPr>
                <w:rFonts w:ascii="Roboto" w:hAnsi="Roboto"/>
                <w:b/>
                <w:sz w:val="32"/>
                <w:szCs w:val="24"/>
              </w:rPr>
              <w:t xml:space="preserve">Régimen de </w:t>
            </w:r>
            <w:r w:rsidR="001C4533" w:rsidRPr="006F15E1">
              <w:rPr>
                <w:rFonts w:ascii="Roboto" w:hAnsi="Roboto"/>
                <w:b/>
                <w:sz w:val="32"/>
                <w:szCs w:val="24"/>
              </w:rPr>
              <w:t>Suficiencia de Capital</w:t>
            </w:r>
            <w:r w:rsidRPr="006F15E1">
              <w:rPr>
                <w:rFonts w:ascii="Roboto" w:hAnsi="Roboto"/>
                <w:b/>
                <w:sz w:val="32"/>
                <w:szCs w:val="24"/>
              </w:rPr>
              <w:t xml:space="preserve"> y Solvencia</w:t>
            </w:r>
            <w:r w:rsidR="0077476C" w:rsidRPr="006F15E1">
              <w:rPr>
                <w:rStyle w:val="Refdenotaalpie"/>
                <w:rFonts w:ascii="Roboto" w:hAnsi="Roboto"/>
                <w:b/>
                <w:sz w:val="32"/>
                <w:szCs w:val="24"/>
              </w:rPr>
              <w:footnoteReference w:id="34"/>
            </w:r>
          </w:p>
          <w:p w14:paraId="6EB3B34F" w14:textId="77777777" w:rsidR="001C4533" w:rsidRPr="006F15E1" w:rsidRDefault="001C4533" w:rsidP="007422B6">
            <w:pPr>
              <w:ind w:right="338"/>
              <w:jc w:val="both"/>
              <w:rPr>
                <w:rFonts w:ascii="Roboto" w:hAnsi="Roboto"/>
                <w:b/>
                <w:sz w:val="24"/>
                <w:szCs w:val="24"/>
              </w:rPr>
            </w:pPr>
          </w:p>
          <w:p w14:paraId="7D3CE776" w14:textId="1554CA9B" w:rsidR="001C4533" w:rsidRPr="006F15E1" w:rsidRDefault="001C4533" w:rsidP="007422B6">
            <w:pPr>
              <w:jc w:val="center"/>
              <w:rPr>
                <w:rFonts w:ascii="Roboto" w:hAnsi="Roboto"/>
                <w:sz w:val="24"/>
                <w:szCs w:val="24"/>
              </w:rPr>
            </w:pPr>
          </w:p>
        </w:tc>
      </w:tr>
    </w:tbl>
    <w:p w14:paraId="25FEBE4B" w14:textId="4380D774" w:rsidR="00A912A1" w:rsidRPr="006F15E1" w:rsidRDefault="00A912A1" w:rsidP="007422B6">
      <w:pPr>
        <w:spacing w:after="0"/>
        <w:jc w:val="center"/>
        <w:rPr>
          <w:rFonts w:ascii="Roboto" w:hAnsi="Roboto"/>
          <w:b/>
        </w:rPr>
      </w:pPr>
    </w:p>
    <w:p w14:paraId="74FA8FE5" w14:textId="5BD07C05" w:rsidR="00F75D24" w:rsidRPr="006F15E1" w:rsidRDefault="006F15E1" w:rsidP="00B24DB3">
      <w:pPr>
        <w:spacing w:after="0"/>
        <w:jc w:val="center"/>
        <w:rPr>
          <w:rFonts w:ascii="Roboto" w:hAnsi="Roboto"/>
        </w:rPr>
      </w:pPr>
      <w:r>
        <w:rPr>
          <w:rFonts w:ascii="Roboto" w:hAnsi="Roboto"/>
        </w:rPr>
        <w:object w:dxaOrig="1525" w:dyaOrig="992" w14:anchorId="6832A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6.2pt;height:49.8pt" o:ole="">
            <v:imagedata r:id="rId16" o:title=""/>
          </v:shape>
          <o:OLEObject Type="Embed" ProgID="Excel.Sheet.12" ShapeID="_x0000_i1038" DrawAspect="Icon" ObjectID="_1810445377" r:id="rId17"/>
        </w:object>
      </w:r>
    </w:p>
    <w:p w14:paraId="4EA0EBBD" w14:textId="77777777" w:rsidR="00B24DB3" w:rsidRPr="006F15E1" w:rsidRDefault="00B24DB3">
      <w:pPr>
        <w:rPr>
          <w:rFonts w:ascii="Roboto" w:hAnsi="Roboto"/>
        </w:rPr>
      </w:pPr>
      <w:r w:rsidRPr="006F15E1">
        <w:rPr>
          <w:rFonts w:ascii="Roboto" w:hAnsi="Roboto"/>
        </w:rPr>
        <w:br w:type="page"/>
      </w:r>
    </w:p>
    <w:p w14:paraId="539304C3" w14:textId="30EB5176" w:rsidR="00B24DB3" w:rsidRPr="006F15E1" w:rsidRDefault="00B24DB3" w:rsidP="00B24DB3">
      <w:pPr>
        <w:spacing w:after="0"/>
        <w:jc w:val="center"/>
        <w:rPr>
          <w:rFonts w:ascii="Roboto" w:hAnsi="Roboto"/>
        </w:rPr>
      </w:pPr>
    </w:p>
    <w:tbl>
      <w:tblPr>
        <w:tblStyle w:val="Tablaconcuadrcula"/>
        <w:tblW w:w="52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13"/>
      </w:tblGrid>
      <w:tr w:rsidR="001C4533" w:rsidRPr="006F15E1" w14:paraId="3B59C8E9" w14:textId="77777777" w:rsidTr="00D26894">
        <w:trPr>
          <w:trHeight w:val="625"/>
          <w:jc w:val="center"/>
        </w:trPr>
        <w:tc>
          <w:tcPr>
            <w:tcW w:w="5000" w:type="pct"/>
          </w:tcPr>
          <w:p w14:paraId="62A34D4B" w14:textId="77777777" w:rsidR="00D26894" w:rsidRPr="006F15E1" w:rsidRDefault="001C4533" w:rsidP="007422B6">
            <w:pPr>
              <w:jc w:val="center"/>
              <w:rPr>
                <w:rFonts w:ascii="Roboto" w:hAnsi="Roboto"/>
                <w:b/>
                <w:sz w:val="32"/>
                <w:szCs w:val="24"/>
              </w:rPr>
            </w:pPr>
            <w:r w:rsidRPr="006F15E1">
              <w:rPr>
                <w:rFonts w:ascii="Roboto" w:hAnsi="Roboto"/>
                <w:b/>
                <w:sz w:val="32"/>
                <w:szCs w:val="24"/>
              </w:rPr>
              <w:t xml:space="preserve">Anexo 5. </w:t>
            </w:r>
          </w:p>
          <w:p w14:paraId="264F4483" w14:textId="38999EF2" w:rsidR="001C4533" w:rsidRPr="006F15E1" w:rsidRDefault="001C4533" w:rsidP="007422B6">
            <w:pPr>
              <w:jc w:val="center"/>
              <w:rPr>
                <w:rFonts w:ascii="Roboto" w:hAnsi="Roboto"/>
                <w:b/>
                <w:sz w:val="32"/>
                <w:szCs w:val="24"/>
              </w:rPr>
            </w:pPr>
            <w:r w:rsidRPr="006F15E1">
              <w:rPr>
                <w:rFonts w:ascii="Roboto" w:hAnsi="Roboto"/>
                <w:b/>
                <w:sz w:val="32"/>
                <w:szCs w:val="24"/>
              </w:rPr>
              <w:t>Estándar de Negocio para Entidades de Seguros</w:t>
            </w:r>
            <w:r w:rsidR="007D798A" w:rsidRPr="006F15E1">
              <w:rPr>
                <w:rStyle w:val="Refdenotaalpie"/>
                <w:rFonts w:ascii="Roboto" w:hAnsi="Roboto"/>
                <w:b/>
                <w:sz w:val="32"/>
                <w:szCs w:val="24"/>
              </w:rPr>
              <w:footnoteReference w:id="35"/>
            </w:r>
          </w:p>
          <w:p w14:paraId="4A042EE7" w14:textId="77777777" w:rsidR="001C4533" w:rsidRPr="006F15E1" w:rsidRDefault="001C4533" w:rsidP="007422B6">
            <w:pPr>
              <w:jc w:val="center"/>
              <w:rPr>
                <w:rFonts w:ascii="Roboto" w:hAnsi="Roboto"/>
                <w:b/>
                <w:sz w:val="24"/>
                <w:szCs w:val="24"/>
              </w:rPr>
            </w:pPr>
          </w:p>
          <w:p w14:paraId="1D88418A" w14:textId="0E1445DF" w:rsidR="001C4533" w:rsidRPr="006F15E1" w:rsidRDefault="001C4533" w:rsidP="007422B6">
            <w:pPr>
              <w:jc w:val="center"/>
              <w:rPr>
                <w:rFonts w:ascii="Roboto" w:hAnsi="Roboto"/>
                <w:sz w:val="24"/>
                <w:szCs w:val="24"/>
              </w:rPr>
            </w:pPr>
            <w:r w:rsidRPr="006F15E1">
              <w:rPr>
                <w:rFonts w:ascii="Roboto" w:hAnsi="Roboto"/>
                <w:sz w:val="24"/>
                <w:szCs w:val="24"/>
              </w:rPr>
              <w:t>Estándar de Negocio Entidades Asegurador.</w:t>
            </w:r>
          </w:p>
          <w:p w14:paraId="0F471B02" w14:textId="77777777" w:rsidR="001C4533" w:rsidRPr="006F15E1" w:rsidRDefault="001C4533" w:rsidP="007422B6">
            <w:pPr>
              <w:rPr>
                <w:rFonts w:ascii="Roboto" w:hAnsi="Roboto"/>
                <w:i/>
                <w:sz w:val="24"/>
                <w:szCs w:val="24"/>
              </w:rPr>
            </w:pPr>
          </w:p>
          <w:p w14:paraId="032E65EC" w14:textId="1F8EC41B" w:rsidR="001C4533" w:rsidRPr="006F15E1" w:rsidRDefault="001C4533" w:rsidP="007422B6">
            <w:pPr>
              <w:jc w:val="center"/>
              <w:rPr>
                <w:rFonts w:ascii="Roboto" w:hAnsi="Roboto"/>
              </w:rPr>
            </w:pPr>
          </w:p>
          <w:p w14:paraId="02BC6F66" w14:textId="5896079A" w:rsidR="00357608" w:rsidRPr="006F15E1" w:rsidRDefault="00357608" w:rsidP="007422B6">
            <w:pPr>
              <w:jc w:val="center"/>
              <w:rPr>
                <w:rFonts w:ascii="Roboto" w:hAnsi="Roboto" w:cs="Arial"/>
                <w:b/>
                <w:szCs w:val="16"/>
              </w:rPr>
            </w:pPr>
          </w:p>
          <w:bookmarkStart w:id="0" w:name="_MON_1751971892"/>
          <w:bookmarkEnd w:id="0"/>
          <w:p w14:paraId="596CA3A2" w14:textId="192FD5BF" w:rsidR="000C151A" w:rsidRPr="006F15E1" w:rsidRDefault="003B2C92" w:rsidP="007422B6">
            <w:pPr>
              <w:jc w:val="center"/>
              <w:rPr>
                <w:rFonts w:ascii="Roboto" w:hAnsi="Roboto" w:cstheme="minorHAnsi"/>
                <w:b/>
                <w:sz w:val="24"/>
                <w:szCs w:val="24"/>
              </w:rPr>
            </w:pPr>
            <w:r w:rsidRPr="006F15E1">
              <w:rPr>
                <w:rFonts w:ascii="Roboto" w:hAnsi="Roboto" w:cstheme="minorHAnsi"/>
                <w:b/>
                <w:sz w:val="24"/>
                <w:szCs w:val="24"/>
              </w:rPr>
              <w:object w:dxaOrig="1516" w:dyaOrig="987" w14:anchorId="5B27B7AF">
                <v:shape id="_x0000_i1026" type="#_x0000_t75" style="width:76.2pt;height:49.2pt" o:ole="">
                  <v:imagedata r:id="rId18" o:title=""/>
                </v:shape>
                <o:OLEObject Type="Embed" ProgID="Word.Document.12" ShapeID="_x0000_i1026" DrawAspect="Icon" ObjectID="_1810445378" r:id="rId19">
                  <o:FieldCodes>\s</o:FieldCodes>
                </o:OLEObject>
              </w:object>
            </w:r>
          </w:p>
          <w:p w14:paraId="2608D17F" w14:textId="77777777" w:rsidR="001C4533" w:rsidRPr="006F15E1" w:rsidRDefault="001C4533" w:rsidP="007422B6">
            <w:pPr>
              <w:rPr>
                <w:rFonts w:ascii="Roboto" w:hAnsi="Roboto"/>
                <w:sz w:val="24"/>
                <w:szCs w:val="24"/>
              </w:rPr>
            </w:pPr>
          </w:p>
        </w:tc>
      </w:tr>
    </w:tbl>
    <w:p w14:paraId="02699C64" w14:textId="77777777" w:rsidR="00245562" w:rsidRPr="006F15E1" w:rsidRDefault="00245562" w:rsidP="007422B6">
      <w:pPr>
        <w:spacing w:after="0"/>
        <w:rPr>
          <w:rFonts w:ascii="Roboto" w:hAnsi="Roboto"/>
        </w:rPr>
      </w:pPr>
      <w:r w:rsidRPr="006F15E1">
        <w:rPr>
          <w:rFonts w:ascii="Roboto" w:hAnsi="Roboto"/>
        </w:rPr>
        <w:br w:type="page"/>
      </w:r>
    </w:p>
    <w:p w14:paraId="4D33C334" w14:textId="1DA0439B" w:rsidR="004A1EAC" w:rsidRPr="006F15E1" w:rsidRDefault="004A1EAC" w:rsidP="007422B6">
      <w:pPr>
        <w:autoSpaceDE w:val="0"/>
        <w:autoSpaceDN w:val="0"/>
        <w:adjustRightInd w:val="0"/>
        <w:spacing w:after="0"/>
        <w:jc w:val="center"/>
        <w:rPr>
          <w:rFonts w:ascii="Roboto" w:hAnsi="Roboto"/>
          <w:b/>
          <w:bCs/>
          <w:iCs/>
          <w:sz w:val="32"/>
          <w:szCs w:val="24"/>
        </w:rPr>
      </w:pPr>
      <w:r w:rsidRPr="006F15E1">
        <w:rPr>
          <w:rFonts w:ascii="Roboto" w:hAnsi="Roboto"/>
          <w:b/>
          <w:bCs/>
          <w:iCs/>
          <w:sz w:val="16"/>
          <w:szCs w:val="16"/>
        </w:rPr>
        <w:lastRenderedPageBreak/>
        <w:t>ANEXO 6. Registro auxiliar de inversiones</w:t>
      </w:r>
      <w:r w:rsidR="004D4B90" w:rsidRPr="006F15E1">
        <w:rPr>
          <w:rStyle w:val="Refdenotaalpie"/>
          <w:rFonts w:ascii="Roboto" w:hAnsi="Roboto"/>
          <w:b/>
          <w:bCs/>
          <w:iCs/>
          <w:sz w:val="32"/>
          <w:szCs w:val="24"/>
        </w:rPr>
        <w:footnoteReference w:id="36"/>
      </w:r>
      <w:r w:rsidR="004D4B90" w:rsidRPr="006F15E1">
        <w:rPr>
          <w:rFonts w:ascii="Roboto" w:hAnsi="Roboto"/>
          <w:b/>
          <w:bCs/>
          <w:iCs/>
          <w:sz w:val="32"/>
          <w:szCs w:val="24"/>
        </w:rPr>
        <w:t xml:space="preserve"> (ELIMINADO)</w:t>
      </w:r>
    </w:p>
    <w:p w14:paraId="0B868964" w14:textId="126C8D9B" w:rsidR="00F14300" w:rsidRPr="006F15E1" w:rsidRDefault="00F14300" w:rsidP="007422B6">
      <w:pPr>
        <w:autoSpaceDE w:val="0"/>
        <w:autoSpaceDN w:val="0"/>
        <w:adjustRightInd w:val="0"/>
        <w:spacing w:after="0"/>
        <w:jc w:val="center"/>
        <w:rPr>
          <w:rFonts w:ascii="Roboto" w:hAnsi="Roboto"/>
          <w:b/>
          <w:bCs/>
          <w:iCs/>
          <w:sz w:val="32"/>
          <w:szCs w:val="24"/>
        </w:rPr>
      </w:pPr>
      <w:r w:rsidRPr="006F15E1">
        <w:rPr>
          <w:rFonts w:ascii="Roboto" w:hAnsi="Roboto"/>
          <w:b/>
          <w:bCs/>
          <w:iCs/>
          <w:sz w:val="16"/>
          <w:szCs w:val="16"/>
        </w:rPr>
        <w:t>ANEXO 7. Estándar para Registro Único de Personas Beneficiarias</w:t>
      </w:r>
      <w:r w:rsidR="00357ACC" w:rsidRPr="006F15E1">
        <w:rPr>
          <w:rStyle w:val="Refdenotaalpie"/>
          <w:rFonts w:ascii="Roboto" w:hAnsi="Roboto"/>
          <w:b/>
          <w:bCs/>
          <w:iCs/>
          <w:sz w:val="32"/>
          <w:szCs w:val="32"/>
        </w:rPr>
        <w:footnoteReference w:id="37"/>
      </w:r>
      <w:r w:rsidR="00357ACC" w:rsidRPr="006F15E1">
        <w:rPr>
          <w:rFonts w:ascii="Roboto" w:hAnsi="Roboto"/>
          <w:b/>
          <w:bCs/>
          <w:iCs/>
          <w:sz w:val="32"/>
          <w:szCs w:val="24"/>
        </w:rPr>
        <w:t xml:space="preserve"> (ELIMINADO)</w:t>
      </w:r>
    </w:p>
    <w:p w14:paraId="2CEB166E" w14:textId="77777777" w:rsidR="00F14300" w:rsidRPr="006F15E1" w:rsidRDefault="00F14300" w:rsidP="007422B6">
      <w:pPr>
        <w:tabs>
          <w:tab w:val="left" w:pos="7056"/>
        </w:tabs>
        <w:spacing w:after="0"/>
        <w:rPr>
          <w:rFonts w:ascii="Roboto" w:hAnsi="Roboto"/>
        </w:rPr>
      </w:pPr>
    </w:p>
    <w:p w14:paraId="710F9B59" w14:textId="77777777" w:rsidR="00117D12" w:rsidRPr="006F15E1" w:rsidRDefault="00117D12" w:rsidP="007422B6">
      <w:pPr>
        <w:spacing w:after="0"/>
        <w:rPr>
          <w:rFonts w:ascii="Roboto" w:hAnsi="Roboto"/>
        </w:rPr>
      </w:pPr>
      <w:r w:rsidRPr="006F15E1">
        <w:rPr>
          <w:rFonts w:ascii="Roboto" w:hAnsi="Roboto"/>
        </w:rPr>
        <w:br w:type="page"/>
      </w:r>
    </w:p>
    <w:tbl>
      <w:tblPr>
        <w:tblW w:w="5209" w:type="pct"/>
        <w:jc w:val="center"/>
        <w:tblLayout w:type="fixed"/>
        <w:tblLook w:val="04A0" w:firstRow="1" w:lastRow="0" w:firstColumn="1" w:lastColumn="0" w:noHBand="0" w:noVBand="1"/>
      </w:tblPr>
      <w:tblGrid>
        <w:gridCol w:w="9751"/>
      </w:tblGrid>
      <w:tr w:rsidR="00117D12" w:rsidRPr="006F15E1" w14:paraId="507CE937" w14:textId="77777777" w:rsidTr="00AB3F6E">
        <w:trPr>
          <w:trHeight w:val="146"/>
          <w:jc w:val="center"/>
        </w:trPr>
        <w:tc>
          <w:tcPr>
            <w:tcW w:w="5000" w:type="pct"/>
          </w:tcPr>
          <w:p w14:paraId="080F90D1" w14:textId="79C40C0F" w:rsidR="00117D12" w:rsidRPr="006F15E1" w:rsidRDefault="00117D12" w:rsidP="007422B6">
            <w:pPr>
              <w:pStyle w:val="Textoindependiente3"/>
              <w:tabs>
                <w:tab w:val="left" w:pos="857"/>
                <w:tab w:val="left" w:pos="1168"/>
              </w:tabs>
              <w:spacing w:after="0"/>
              <w:ind w:left="241"/>
              <w:rPr>
                <w:rFonts w:ascii="Roboto" w:hAnsi="Roboto"/>
                <w:bCs/>
                <w:sz w:val="32"/>
                <w:szCs w:val="32"/>
              </w:rPr>
            </w:pPr>
          </w:p>
          <w:p w14:paraId="52218823" w14:textId="77777777" w:rsidR="00D26894" w:rsidRPr="006F15E1" w:rsidRDefault="00117D12" w:rsidP="007422B6">
            <w:pPr>
              <w:pStyle w:val="Textoindependiente3"/>
              <w:tabs>
                <w:tab w:val="left" w:pos="857"/>
                <w:tab w:val="left" w:pos="1168"/>
              </w:tabs>
              <w:spacing w:after="0"/>
              <w:ind w:left="241"/>
              <w:jc w:val="center"/>
              <w:rPr>
                <w:rFonts w:ascii="Roboto" w:hAnsi="Roboto"/>
                <w:b/>
                <w:bCs/>
                <w:sz w:val="32"/>
                <w:szCs w:val="32"/>
              </w:rPr>
            </w:pPr>
            <w:r w:rsidRPr="006F15E1">
              <w:rPr>
                <w:rFonts w:ascii="Roboto" w:hAnsi="Roboto"/>
                <w:b/>
                <w:bCs/>
                <w:sz w:val="32"/>
                <w:szCs w:val="32"/>
              </w:rPr>
              <w:t xml:space="preserve">ANEXO 8. </w:t>
            </w:r>
          </w:p>
          <w:p w14:paraId="58335B3F" w14:textId="6B708DAA" w:rsidR="00117D12" w:rsidRPr="006F15E1" w:rsidRDefault="00117D12" w:rsidP="007422B6">
            <w:pPr>
              <w:pStyle w:val="Textoindependiente3"/>
              <w:tabs>
                <w:tab w:val="left" w:pos="857"/>
                <w:tab w:val="left" w:pos="1168"/>
              </w:tabs>
              <w:spacing w:after="0"/>
              <w:ind w:left="241"/>
              <w:jc w:val="center"/>
              <w:rPr>
                <w:rFonts w:ascii="Roboto" w:hAnsi="Roboto"/>
                <w:b/>
                <w:bCs/>
                <w:sz w:val="32"/>
                <w:szCs w:val="32"/>
              </w:rPr>
            </w:pPr>
            <w:r w:rsidRPr="006F15E1">
              <w:rPr>
                <w:rFonts w:ascii="Roboto" w:hAnsi="Roboto"/>
                <w:b/>
                <w:bCs/>
                <w:sz w:val="32"/>
                <w:szCs w:val="32"/>
              </w:rPr>
              <w:t>Estándar de Negocio para Intermediarios de Seguros</w:t>
            </w:r>
            <w:r w:rsidR="00DC3491" w:rsidRPr="006F15E1">
              <w:rPr>
                <w:rStyle w:val="Refdenotaalpie"/>
                <w:rFonts w:ascii="Roboto" w:hAnsi="Roboto"/>
                <w:b/>
                <w:bCs/>
                <w:sz w:val="32"/>
                <w:szCs w:val="32"/>
              </w:rPr>
              <w:footnoteReference w:id="38"/>
            </w:r>
          </w:p>
          <w:p w14:paraId="45405801" w14:textId="77777777" w:rsidR="00117D12" w:rsidRPr="006F15E1" w:rsidRDefault="00117D12" w:rsidP="007422B6">
            <w:pPr>
              <w:pStyle w:val="Textoindependiente3"/>
              <w:tabs>
                <w:tab w:val="left" w:pos="857"/>
                <w:tab w:val="left" w:pos="1168"/>
              </w:tabs>
              <w:spacing w:after="0"/>
              <w:ind w:left="241"/>
              <w:rPr>
                <w:rFonts w:ascii="Roboto" w:hAnsi="Roboto"/>
                <w:b/>
                <w:sz w:val="32"/>
                <w:szCs w:val="32"/>
              </w:rPr>
            </w:pPr>
          </w:p>
        </w:tc>
      </w:tr>
      <w:bookmarkStart w:id="1" w:name="_MON_1734846819"/>
      <w:bookmarkEnd w:id="1"/>
      <w:tr w:rsidR="00117D12" w:rsidRPr="006F15E1" w14:paraId="56FB1791" w14:textId="77777777" w:rsidTr="00AB3F6E">
        <w:trPr>
          <w:trHeight w:val="146"/>
          <w:jc w:val="center"/>
        </w:trPr>
        <w:tc>
          <w:tcPr>
            <w:tcW w:w="5000" w:type="pct"/>
          </w:tcPr>
          <w:p w14:paraId="630BCE6D" w14:textId="128CCA70" w:rsidR="00117D12" w:rsidRPr="006F15E1" w:rsidRDefault="00D25BB3" w:rsidP="007422B6">
            <w:pPr>
              <w:pStyle w:val="Textoindependiente3"/>
              <w:tabs>
                <w:tab w:val="left" w:pos="857"/>
                <w:tab w:val="left" w:pos="1168"/>
              </w:tabs>
              <w:spacing w:after="0"/>
              <w:ind w:left="241"/>
              <w:jc w:val="center"/>
              <w:rPr>
                <w:rFonts w:ascii="Roboto" w:hAnsi="Roboto"/>
                <w:b/>
                <w:i/>
                <w:sz w:val="24"/>
                <w:szCs w:val="24"/>
              </w:rPr>
            </w:pPr>
            <w:r w:rsidRPr="006F15E1">
              <w:rPr>
                <w:rFonts w:ascii="Roboto" w:hAnsi="Roboto"/>
                <w:b/>
                <w:i/>
                <w:sz w:val="24"/>
                <w:szCs w:val="24"/>
              </w:rPr>
              <w:object w:dxaOrig="1510" w:dyaOrig="1002" w14:anchorId="1DF32562">
                <v:shape id="_x0000_i1027" type="#_x0000_t75" style="width:75.6pt;height:49.2pt" o:ole="">
                  <v:imagedata r:id="rId20" o:title=""/>
                </v:shape>
                <o:OLEObject Type="Embed" ProgID="Word.Document.12" ShapeID="_x0000_i1027" DrawAspect="Icon" ObjectID="_1810445379" r:id="rId21">
                  <o:FieldCodes>\s</o:FieldCodes>
                </o:OLEObject>
              </w:object>
            </w:r>
          </w:p>
        </w:tc>
      </w:tr>
    </w:tbl>
    <w:p w14:paraId="0C076C5B" w14:textId="6FEC4F47" w:rsidR="002A462A" w:rsidRPr="006F15E1" w:rsidRDefault="002A462A" w:rsidP="007422B6">
      <w:pPr>
        <w:tabs>
          <w:tab w:val="left" w:pos="7056"/>
        </w:tabs>
        <w:spacing w:after="0"/>
        <w:jc w:val="center"/>
        <w:rPr>
          <w:rFonts w:ascii="Roboto" w:hAnsi="Roboto"/>
        </w:rPr>
      </w:pPr>
    </w:p>
    <w:p w14:paraId="57AA5A97" w14:textId="218B7507" w:rsidR="002A462A" w:rsidRPr="006F15E1" w:rsidRDefault="002A462A" w:rsidP="007422B6">
      <w:pPr>
        <w:spacing w:after="0"/>
        <w:rPr>
          <w:rFonts w:ascii="Roboto" w:hAnsi="Roboto"/>
        </w:rPr>
      </w:pPr>
      <w:r w:rsidRPr="006F15E1">
        <w:rPr>
          <w:rFonts w:ascii="Roboto" w:hAnsi="Roboto"/>
        </w:rPr>
        <w:br w:type="page"/>
      </w:r>
    </w:p>
    <w:p w14:paraId="6B0E4359" w14:textId="1BE02A8D" w:rsidR="002A462A" w:rsidRPr="006F15E1" w:rsidRDefault="002A462A" w:rsidP="007422B6">
      <w:pPr>
        <w:spacing w:after="0"/>
        <w:jc w:val="center"/>
        <w:rPr>
          <w:rFonts w:ascii="Roboto" w:hAnsi="Roboto"/>
          <w:b/>
          <w:color w:val="000000"/>
          <w:sz w:val="32"/>
          <w:szCs w:val="32"/>
        </w:rPr>
      </w:pPr>
      <w:r w:rsidRPr="006F15E1">
        <w:rPr>
          <w:rFonts w:ascii="Roboto" w:hAnsi="Roboto"/>
          <w:b/>
          <w:color w:val="000000"/>
          <w:sz w:val="32"/>
          <w:szCs w:val="32"/>
        </w:rPr>
        <w:lastRenderedPageBreak/>
        <w:t>ANEXO 9</w:t>
      </w:r>
    </w:p>
    <w:p w14:paraId="1D3AA871" w14:textId="77777777" w:rsidR="002A462A" w:rsidRPr="006F15E1" w:rsidRDefault="002A462A" w:rsidP="007422B6">
      <w:pPr>
        <w:spacing w:after="0"/>
        <w:jc w:val="center"/>
        <w:rPr>
          <w:rFonts w:ascii="Roboto" w:hAnsi="Roboto"/>
          <w:b/>
          <w:color w:val="000000"/>
          <w:sz w:val="32"/>
          <w:szCs w:val="32"/>
        </w:rPr>
      </w:pPr>
      <w:r w:rsidRPr="006F15E1">
        <w:rPr>
          <w:rFonts w:ascii="Roboto" w:hAnsi="Roboto"/>
          <w:b/>
          <w:color w:val="000000"/>
          <w:sz w:val="32"/>
          <w:szCs w:val="32"/>
        </w:rPr>
        <w:t>Estándar Electrónico para el Registro Seguro Obligatorio de Vehículos Automotores (SOA).</w:t>
      </w:r>
    </w:p>
    <w:p w14:paraId="6E5CBB4F" w14:textId="77777777" w:rsidR="002A462A" w:rsidRPr="006F15E1" w:rsidRDefault="002A462A" w:rsidP="007422B6">
      <w:pPr>
        <w:spacing w:after="0"/>
        <w:jc w:val="both"/>
        <w:rPr>
          <w:rFonts w:ascii="Roboto" w:hAnsi="Roboto"/>
          <w:color w:val="000000"/>
        </w:rPr>
      </w:pPr>
      <w:r w:rsidRPr="006F15E1">
        <w:rPr>
          <w:rFonts w:ascii="Roboto" w:hAnsi="Roboto"/>
          <w:color w:val="000000"/>
        </w:rPr>
        <w:t xml:space="preserve"> </w:t>
      </w:r>
    </w:p>
    <w:bookmarkStart w:id="2" w:name="_MON_1477073600"/>
    <w:bookmarkEnd w:id="2"/>
    <w:p w14:paraId="768AB1BE" w14:textId="77777777" w:rsidR="002A462A" w:rsidRPr="006F15E1" w:rsidRDefault="002A462A" w:rsidP="007422B6">
      <w:pPr>
        <w:spacing w:after="0"/>
        <w:jc w:val="center"/>
        <w:rPr>
          <w:rFonts w:ascii="Roboto" w:hAnsi="Roboto"/>
          <w:color w:val="000000"/>
        </w:rPr>
      </w:pPr>
      <w:r w:rsidRPr="006F15E1">
        <w:rPr>
          <w:rFonts w:ascii="Roboto" w:hAnsi="Roboto" w:cs="Calibri"/>
          <w:b/>
          <w:bCs/>
          <w:i/>
          <w:sz w:val="18"/>
          <w:szCs w:val="18"/>
        </w:rPr>
        <w:object w:dxaOrig="1241" w:dyaOrig="803" w14:anchorId="7D20B6B5">
          <v:shape id="_x0000_i1028" type="#_x0000_t75" style="width:61.2pt;height:40.8pt" o:ole="">
            <v:imagedata r:id="rId22" o:title=""/>
          </v:shape>
          <o:OLEObject Type="Embed" ProgID="Word.Document.12" ShapeID="_x0000_i1028" DrawAspect="Icon" ObjectID="_1810445380" r:id="rId23">
            <o:FieldCodes>\s</o:FieldCodes>
          </o:OLEObject>
        </w:object>
      </w:r>
    </w:p>
    <w:p w14:paraId="6B1DC3C5" w14:textId="77777777" w:rsidR="00117D12" w:rsidRPr="006F15E1" w:rsidRDefault="00117D12" w:rsidP="007422B6">
      <w:pPr>
        <w:tabs>
          <w:tab w:val="left" w:pos="7056"/>
        </w:tabs>
        <w:spacing w:after="0"/>
        <w:jc w:val="center"/>
        <w:rPr>
          <w:rFonts w:ascii="Roboto" w:hAnsi="Roboto"/>
        </w:rPr>
      </w:pPr>
    </w:p>
    <w:p w14:paraId="41D1C387" w14:textId="77777777" w:rsidR="002A462A" w:rsidRPr="006F15E1" w:rsidRDefault="002A462A" w:rsidP="007422B6">
      <w:pPr>
        <w:tabs>
          <w:tab w:val="left" w:pos="7056"/>
        </w:tabs>
        <w:spacing w:after="0"/>
        <w:jc w:val="center"/>
        <w:rPr>
          <w:rFonts w:ascii="Roboto" w:hAnsi="Roboto"/>
        </w:rPr>
      </w:pPr>
    </w:p>
    <w:p w14:paraId="06B0B3AF" w14:textId="77777777" w:rsidR="002A462A" w:rsidRPr="006F15E1" w:rsidRDefault="002A462A" w:rsidP="007422B6">
      <w:pPr>
        <w:spacing w:after="0"/>
        <w:rPr>
          <w:rFonts w:ascii="Roboto" w:hAnsi="Roboto"/>
        </w:rPr>
      </w:pPr>
      <w:r w:rsidRPr="006F15E1">
        <w:rPr>
          <w:rFonts w:ascii="Roboto" w:hAnsi="Roboto"/>
        </w:rPr>
        <w:br w:type="page"/>
      </w:r>
    </w:p>
    <w:p w14:paraId="6B553F4C" w14:textId="77777777" w:rsidR="008732F9" w:rsidRPr="006F15E1" w:rsidRDefault="008732F9" w:rsidP="008732F9">
      <w:pPr>
        <w:spacing w:after="0"/>
        <w:jc w:val="center"/>
        <w:rPr>
          <w:rFonts w:ascii="Roboto" w:hAnsi="Roboto"/>
          <w:b/>
          <w:color w:val="000000"/>
          <w:sz w:val="32"/>
          <w:szCs w:val="32"/>
        </w:rPr>
      </w:pPr>
      <w:r w:rsidRPr="006F15E1">
        <w:rPr>
          <w:rFonts w:ascii="Roboto" w:hAnsi="Roboto"/>
          <w:b/>
          <w:i/>
          <w:iCs/>
          <w:color w:val="000000"/>
          <w:sz w:val="16"/>
          <w:szCs w:val="16"/>
        </w:rPr>
        <w:lastRenderedPageBreak/>
        <w:t xml:space="preserve">ANEXO 10 </w:t>
      </w:r>
      <w:r w:rsidRPr="006F15E1">
        <w:rPr>
          <w:rFonts w:ascii="Roboto" w:hAnsi="Roboto"/>
          <w:b/>
          <w:color w:val="000000"/>
          <w:sz w:val="16"/>
          <w:szCs w:val="16"/>
        </w:rPr>
        <w:t xml:space="preserve">Asegurados y Siniestralidad del Seguro Obligatorio para </w:t>
      </w:r>
      <w:proofErr w:type="gramStart"/>
      <w:r w:rsidRPr="006F15E1">
        <w:rPr>
          <w:rFonts w:ascii="Roboto" w:hAnsi="Roboto"/>
          <w:b/>
          <w:color w:val="000000"/>
          <w:sz w:val="16"/>
          <w:szCs w:val="16"/>
        </w:rPr>
        <w:t>los  Vehículos</w:t>
      </w:r>
      <w:proofErr w:type="gramEnd"/>
      <w:r w:rsidRPr="006F15E1">
        <w:rPr>
          <w:rFonts w:ascii="Roboto" w:hAnsi="Roboto"/>
          <w:b/>
          <w:color w:val="000000"/>
          <w:sz w:val="16"/>
          <w:szCs w:val="16"/>
        </w:rPr>
        <w:t xml:space="preserve"> Automotores (SOA)</w:t>
      </w:r>
      <w:r w:rsidRPr="006F15E1">
        <w:rPr>
          <w:rStyle w:val="Refdenotaalpie"/>
          <w:rFonts w:ascii="Roboto" w:hAnsi="Roboto"/>
          <w:b/>
          <w:color w:val="000000"/>
          <w:sz w:val="32"/>
          <w:szCs w:val="32"/>
        </w:rPr>
        <w:footnoteReference w:id="39"/>
      </w:r>
      <w:r w:rsidRPr="006F15E1">
        <w:rPr>
          <w:rFonts w:ascii="Roboto" w:hAnsi="Roboto"/>
          <w:b/>
          <w:color w:val="000000"/>
          <w:sz w:val="32"/>
          <w:szCs w:val="32"/>
        </w:rPr>
        <w:t xml:space="preserve"> (ELIMINADO)</w:t>
      </w:r>
    </w:p>
    <w:p w14:paraId="406A46E3" w14:textId="77777777" w:rsidR="008732F9" w:rsidRPr="006F15E1" w:rsidRDefault="008732F9" w:rsidP="008732F9">
      <w:pPr>
        <w:spacing w:after="0"/>
        <w:rPr>
          <w:rFonts w:ascii="Roboto" w:hAnsi="Roboto"/>
        </w:rPr>
      </w:pPr>
    </w:p>
    <w:p w14:paraId="482E4B1B" w14:textId="77777777" w:rsidR="008732F9" w:rsidRPr="006F15E1" w:rsidRDefault="008732F9" w:rsidP="008732F9">
      <w:pPr>
        <w:autoSpaceDE w:val="0"/>
        <w:autoSpaceDN w:val="0"/>
        <w:adjustRightInd w:val="0"/>
        <w:spacing w:after="0"/>
        <w:jc w:val="center"/>
        <w:rPr>
          <w:rFonts w:ascii="Roboto" w:hAnsi="Roboto"/>
          <w:b/>
          <w:bCs/>
          <w:iCs/>
          <w:sz w:val="32"/>
          <w:szCs w:val="24"/>
        </w:rPr>
      </w:pPr>
      <w:r w:rsidRPr="006F15E1">
        <w:rPr>
          <w:rFonts w:ascii="Roboto" w:hAnsi="Roboto"/>
          <w:b/>
          <w:i/>
          <w:color w:val="000000"/>
          <w:sz w:val="16"/>
          <w:szCs w:val="16"/>
        </w:rPr>
        <w:t>ANEXO 11</w:t>
      </w:r>
      <w:r w:rsidRPr="006F15E1">
        <w:rPr>
          <w:rFonts w:ascii="Roboto" w:hAnsi="Roboto"/>
          <w:b/>
          <w:sz w:val="16"/>
          <w:szCs w:val="16"/>
        </w:rPr>
        <w:t xml:space="preserve"> Ingresos por primas y siniestros pagados según ramo de seguros</w:t>
      </w:r>
      <w:r w:rsidRPr="006F15E1">
        <w:rPr>
          <w:rStyle w:val="Refdenotaalpie"/>
          <w:rFonts w:ascii="Roboto" w:hAnsi="Roboto"/>
          <w:b/>
          <w:color w:val="000000"/>
          <w:sz w:val="32"/>
          <w:szCs w:val="32"/>
        </w:rPr>
        <w:footnoteReference w:id="40"/>
      </w:r>
      <w:r w:rsidRPr="006F15E1">
        <w:rPr>
          <w:rFonts w:ascii="Roboto" w:hAnsi="Roboto"/>
          <w:b/>
          <w:bCs/>
          <w:sz w:val="32"/>
          <w:szCs w:val="24"/>
        </w:rPr>
        <w:t>(ELIMINADO</w:t>
      </w:r>
      <w:r w:rsidRPr="006F15E1">
        <w:rPr>
          <w:rFonts w:ascii="Roboto" w:hAnsi="Roboto"/>
          <w:b/>
          <w:bCs/>
          <w:iCs/>
          <w:sz w:val="32"/>
          <w:szCs w:val="24"/>
        </w:rPr>
        <w:t>)</w:t>
      </w:r>
    </w:p>
    <w:p w14:paraId="33042014" w14:textId="77777777" w:rsidR="008732F9" w:rsidRPr="006F15E1" w:rsidRDefault="008732F9" w:rsidP="008732F9">
      <w:pPr>
        <w:spacing w:after="0"/>
        <w:jc w:val="center"/>
        <w:rPr>
          <w:rFonts w:ascii="Roboto" w:hAnsi="Roboto"/>
          <w:b/>
          <w:i/>
          <w:color w:val="000000"/>
          <w:sz w:val="28"/>
          <w:szCs w:val="24"/>
        </w:rPr>
      </w:pPr>
    </w:p>
    <w:p w14:paraId="404F6DDE" w14:textId="77777777" w:rsidR="008732F9" w:rsidRPr="006F15E1" w:rsidRDefault="008732F9" w:rsidP="008732F9">
      <w:pPr>
        <w:spacing w:after="0"/>
        <w:jc w:val="center"/>
        <w:rPr>
          <w:rFonts w:ascii="Roboto" w:hAnsi="Roboto"/>
          <w:b/>
          <w:bCs/>
          <w:iCs/>
          <w:sz w:val="32"/>
          <w:szCs w:val="24"/>
        </w:rPr>
      </w:pPr>
      <w:r w:rsidRPr="006F15E1">
        <w:rPr>
          <w:rFonts w:ascii="Roboto" w:hAnsi="Roboto"/>
          <w:b/>
          <w:i/>
          <w:color w:val="000000"/>
          <w:sz w:val="16"/>
          <w:szCs w:val="16"/>
        </w:rPr>
        <w:t>ANEXO 12</w:t>
      </w:r>
      <w:r w:rsidRPr="006F15E1">
        <w:rPr>
          <w:rFonts w:ascii="Roboto" w:hAnsi="Roboto"/>
          <w:b/>
          <w:iCs/>
          <w:sz w:val="16"/>
          <w:szCs w:val="16"/>
        </w:rPr>
        <w:t xml:space="preserve"> Remisión de Información Seguro Obligatorio de Riesgos del Trabajo</w:t>
      </w:r>
      <w:r w:rsidRPr="006F15E1">
        <w:rPr>
          <w:rStyle w:val="Refdenotaalpie"/>
          <w:rFonts w:ascii="Roboto" w:hAnsi="Roboto"/>
          <w:b/>
          <w:iCs/>
          <w:color w:val="000000"/>
          <w:sz w:val="32"/>
          <w:szCs w:val="32"/>
        </w:rPr>
        <w:footnoteReference w:id="41"/>
      </w:r>
      <w:r w:rsidRPr="006F15E1">
        <w:rPr>
          <w:rFonts w:ascii="Roboto" w:hAnsi="Roboto"/>
          <w:b/>
          <w:bCs/>
          <w:iCs/>
          <w:sz w:val="32"/>
          <w:szCs w:val="24"/>
        </w:rPr>
        <w:t>(ELIMINADO)</w:t>
      </w:r>
    </w:p>
    <w:p w14:paraId="58574599" w14:textId="5F9B7E9D" w:rsidR="0055461F" w:rsidRPr="006F15E1" w:rsidRDefault="0055461F" w:rsidP="007C0945">
      <w:pPr>
        <w:spacing w:after="0"/>
        <w:jc w:val="center"/>
        <w:rPr>
          <w:rFonts w:ascii="Roboto" w:hAnsi="Roboto"/>
          <w:b/>
          <w:bCs/>
          <w:iCs/>
          <w:sz w:val="32"/>
          <w:szCs w:val="24"/>
        </w:rPr>
      </w:pPr>
    </w:p>
    <w:p w14:paraId="2C7E6301" w14:textId="63356777" w:rsidR="0073018D" w:rsidRPr="006F15E1" w:rsidRDefault="0073018D" w:rsidP="007422B6">
      <w:pPr>
        <w:tabs>
          <w:tab w:val="left" w:pos="7056"/>
        </w:tabs>
        <w:spacing w:after="0"/>
        <w:jc w:val="center"/>
        <w:rPr>
          <w:rFonts w:ascii="Roboto" w:hAnsi="Roboto"/>
          <w:b/>
          <w:i/>
          <w:color w:val="000000"/>
          <w:sz w:val="28"/>
          <w:szCs w:val="24"/>
        </w:rPr>
      </w:pPr>
    </w:p>
    <w:p w14:paraId="064C3705" w14:textId="6A3F21D2" w:rsidR="002C0C4D" w:rsidRPr="006F15E1" w:rsidRDefault="002C0C4D" w:rsidP="007422B6">
      <w:pPr>
        <w:tabs>
          <w:tab w:val="left" w:pos="7056"/>
        </w:tabs>
        <w:spacing w:after="0"/>
        <w:jc w:val="center"/>
        <w:rPr>
          <w:rFonts w:ascii="Roboto" w:hAnsi="Roboto"/>
        </w:rPr>
      </w:pPr>
    </w:p>
    <w:p w14:paraId="05C824F9" w14:textId="77777777" w:rsidR="002C0C4D" w:rsidRPr="006F15E1" w:rsidRDefault="002C0C4D" w:rsidP="007422B6">
      <w:pPr>
        <w:tabs>
          <w:tab w:val="left" w:pos="7056"/>
        </w:tabs>
        <w:spacing w:after="0"/>
        <w:jc w:val="center"/>
        <w:rPr>
          <w:rFonts w:ascii="Roboto" w:hAnsi="Roboto"/>
        </w:rPr>
      </w:pPr>
    </w:p>
    <w:p w14:paraId="19A0BD8C" w14:textId="77777777" w:rsidR="002C0C4D" w:rsidRPr="006F15E1" w:rsidRDefault="002C0C4D" w:rsidP="007422B6">
      <w:pPr>
        <w:spacing w:after="0"/>
        <w:rPr>
          <w:rFonts w:ascii="Roboto" w:hAnsi="Roboto"/>
        </w:rPr>
      </w:pPr>
      <w:r w:rsidRPr="006F15E1">
        <w:rPr>
          <w:rFonts w:ascii="Roboto" w:hAnsi="Roboto"/>
        </w:rPr>
        <w:br w:type="page"/>
      </w:r>
    </w:p>
    <w:p w14:paraId="3D4643CD" w14:textId="35364286" w:rsidR="002C0C4D" w:rsidRPr="006F15E1" w:rsidRDefault="002C0C4D" w:rsidP="007422B6">
      <w:pPr>
        <w:spacing w:after="0"/>
        <w:jc w:val="center"/>
        <w:rPr>
          <w:rFonts w:ascii="Roboto" w:hAnsi="Roboto"/>
          <w:b/>
          <w:sz w:val="36"/>
        </w:rPr>
      </w:pPr>
      <w:r w:rsidRPr="006F15E1">
        <w:rPr>
          <w:rFonts w:ascii="Roboto" w:hAnsi="Roboto"/>
          <w:b/>
          <w:sz w:val="36"/>
        </w:rPr>
        <w:lastRenderedPageBreak/>
        <w:t>Anexo 13</w:t>
      </w:r>
      <w:r w:rsidRPr="006F15E1">
        <w:rPr>
          <w:rStyle w:val="Refdenotaalpie"/>
          <w:rFonts w:ascii="Roboto" w:hAnsi="Roboto"/>
          <w:b/>
          <w:sz w:val="36"/>
        </w:rPr>
        <w:footnoteReference w:id="42"/>
      </w:r>
    </w:p>
    <w:p w14:paraId="4BA3E052" w14:textId="77777777" w:rsidR="002C0C4D" w:rsidRPr="006F15E1" w:rsidRDefault="002C0C4D" w:rsidP="007422B6">
      <w:pPr>
        <w:spacing w:after="0"/>
        <w:jc w:val="center"/>
        <w:rPr>
          <w:rFonts w:ascii="Roboto" w:hAnsi="Roboto"/>
          <w:b/>
        </w:rPr>
      </w:pPr>
      <w:r w:rsidRPr="006F15E1">
        <w:rPr>
          <w:rFonts w:ascii="Roboto" w:hAnsi="Roboto"/>
          <w:b/>
        </w:rPr>
        <w:t>Provisión de riesgos catastróficos (PRCAT)</w:t>
      </w:r>
    </w:p>
    <w:p w14:paraId="2E7529CF" w14:textId="77777777" w:rsidR="002C0C4D" w:rsidRPr="006F15E1" w:rsidRDefault="002C0C4D" w:rsidP="007422B6">
      <w:pPr>
        <w:spacing w:after="0"/>
        <w:jc w:val="both"/>
        <w:rPr>
          <w:rFonts w:ascii="Roboto" w:hAnsi="Roboto"/>
          <w:color w:val="000000"/>
        </w:rPr>
      </w:pPr>
      <w:r w:rsidRPr="006F15E1">
        <w:rPr>
          <w:rFonts w:ascii="Roboto" w:hAnsi="Roboto"/>
          <w:color w:val="000000"/>
        </w:rPr>
        <w:t xml:space="preserve">El reporte sobre el cálculo de la constitución mensual de la provisión de riesgos </w:t>
      </w:r>
      <w:proofErr w:type="gramStart"/>
      <w:r w:rsidRPr="006F15E1">
        <w:rPr>
          <w:rFonts w:ascii="Roboto" w:hAnsi="Roboto"/>
          <w:color w:val="000000"/>
        </w:rPr>
        <w:t>catastróficos,</w:t>
      </w:r>
      <w:proofErr w:type="gramEnd"/>
      <w:r w:rsidRPr="006F15E1">
        <w:rPr>
          <w:rFonts w:ascii="Roboto" w:hAnsi="Roboto"/>
          <w:color w:val="000000"/>
        </w:rPr>
        <w:t xml:space="preserve"> se debe realizar mediante hoja electrónica con el siguiente formato,</w:t>
      </w:r>
      <w:r w:rsidRPr="006F15E1">
        <w:rPr>
          <w:rFonts w:ascii="Roboto" w:hAnsi="Roboto"/>
          <w:bCs/>
        </w:rPr>
        <w:t xml:space="preserve"> sin alterar la estructura de contenido, renglones y columnas</w:t>
      </w:r>
      <w:r w:rsidRPr="006F15E1">
        <w:rPr>
          <w:rFonts w:ascii="Roboto" w:hAnsi="Roboto"/>
          <w:color w:val="000000"/>
        </w:rPr>
        <w:t>:</w:t>
      </w:r>
    </w:p>
    <w:tbl>
      <w:tblPr>
        <w:tblW w:w="7361" w:type="dxa"/>
        <w:jc w:val="center"/>
        <w:tblLayout w:type="fixed"/>
        <w:tblCellMar>
          <w:left w:w="70" w:type="dxa"/>
          <w:right w:w="70" w:type="dxa"/>
        </w:tblCellMar>
        <w:tblLook w:val="04A0" w:firstRow="1" w:lastRow="0" w:firstColumn="1" w:lastColumn="0" w:noHBand="0" w:noVBand="1"/>
      </w:tblPr>
      <w:tblGrid>
        <w:gridCol w:w="210"/>
        <w:gridCol w:w="1198"/>
        <w:gridCol w:w="601"/>
        <w:gridCol w:w="391"/>
        <w:gridCol w:w="1843"/>
        <w:gridCol w:w="1701"/>
        <w:gridCol w:w="1257"/>
        <w:gridCol w:w="160"/>
      </w:tblGrid>
      <w:tr w:rsidR="002C0C4D" w:rsidRPr="006F15E1" w14:paraId="304D7AE5" w14:textId="77777777" w:rsidTr="000350F6">
        <w:trPr>
          <w:trHeight w:val="191"/>
          <w:jc w:val="center"/>
        </w:trPr>
        <w:tc>
          <w:tcPr>
            <w:tcW w:w="210" w:type="dxa"/>
            <w:tcBorders>
              <w:top w:val="single" w:sz="4" w:space="0" w:color="auto"/>
              <w:left w:val="single" w:sz="8" w:space="0" w:color="auto"/>
              <w:bottom w:val="nil"/>
              <w:right w:val="nil"/>
            </w:tcBorders>
            <w:shd w:val="clear" w:color="auto" w:fill="auto"/>
            <w:noWrap/>
            <w:vAlign w:val="bottom"/>
            <w:hideMark/>
          </w:tcPr>
          <w:p w14:paraId="0AA004B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single" w:sz="4" w:space="0" w:color="auto"/>
              <w:left w:val="nil"/>
              <w:bottom w:val="nil"/>
              <w:right w:val="nil"/>
            </w:tcBorders>
            <w:shd w:val="clear" w:color="auto" w:fill="auto"/>
            <w:noWrap/>
            <w:vAlign w:val="bottom"/>
            <w:hideMark/>
          </w:tcPr>
          <w:p w14:paraId="37E2574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601" w:type="dxa"/>
            <w:tcBorders>
              <w:top w:val="single" w:sz="4" w:space="0" w:color="auto"/>
              <w:left w:val="nil"/>
              <w:bottom w:val="nil"/>
              <w:right w:val="nil"/>
            </w:tcBorders>
            <w:shd w:val="clear" w:color="auto" w:fill="auto"/>
            <w:noWrap/>
            <w:vAlign w:val="bottom"/>
            <w:hideMark/>
          </w:tcPr>
          <w:p w14:paraId="013BBE87"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2234" w:type="dxa"/>
            <w:gridSpan w:val="2"/>
            <w:tcBorders>
              <w:top w:val="single" w:sz="4" w:space="0" w:color="auto"/>
              <w:left w:val="nil"/>
              <w:bottom w:val="nil"/>
              <w:right w:val="nil"/>
            </w:tcBorders>
            <w:shd w:val="clear" w:color="auto" w:fill="auto"/>
            <w:noWrap/>
            <w:vAlign w:val="bottom"/>
            <w:hideMark/>
          </w:tcPr>
          <w:p w14:paraId="6C08F23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single" w:sz="4" w:space="0" w:color="auto"/>
              <w:left w:val="nil"/>
              <w:bottom w:val="nil"/>
              <w:right w:val="nil"/>
            </w:tcBorders>
            <w:shd w:val="clear" w:color="auto" w:fill="auto"/>
            <w:noWrap/>
            <w:vAlign w:val="bottom"/>
            <w:hideMark/>
          </w:tcPr>
          <w:p w14:paraId="2E40480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single" w:sz="4" w:space="0" w:color="auto"/>
              <w:left w:val="nil"/>
              <w:bottom w:val="nil"/>
              <w:right w:val="nil"/>
            </w:tcBorders>
            <w:shd w:val="clear" w:color="auto" w:fill="auto"/>
            <w:noWrap/>
            <w:vAlign w:val="bottom"/>
            <w:hideMark/>
          </w:tcPr>
          <w:p w14:paraId="7316F34D"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single" w:sz="4" w:space="0" w:color="auto"/>
              <w:left w:val="nil"/>
              <w:bottom w:val="nil"/>
              <w:right w:val="single" w:sz="8" w:space="0" w:color="auto"/>
            </w:tcBorders>
            <w:shd w:val="clear" w:color="auto" w:fill="auto"/>
            <w:noWrap/>
            <w:vAlign w:val="bottom"/>
            <w:hideMark/>
          </w:tcPr>
          <w:p w14:paraId="5280BFD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1D8A4848"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tcPr>
          <w:p w14:paraId="27707577" w14:textId="77777777" w:rsidR="002C0C4D" w:rsidRPr="006F15E1" w:rsidRDefault="002C0C4D" w:rsidP="007422B6">
            <w:pPr>
              <w:spacing w:after="0"/>
              <w:rPr>
                <w:rFonts w:ascii="Roboto" w:hAnsi="Roboto"/>
                <w:color w:val="000000"/>
                <w:sz w:val="16"/>
                <w:szCs w:val="16"/>
                <w:lang w:eastAsia="es-ES_tradnl"/>
              </w:rPr>
            </w:pPr>
          </w:p>
        </w:tc>
        <w:tc>
          <w:tcPr>
            <w:tcW w:w="6991" w:type="dxa"/>
            <w:gridSpan w:val="6"/>
            <w:tcBorders>
              <w:top w:val="nil"/>
              <w:left w:val="nil"/>
              <w:bottom w:val="nil"/>
              <w:right w:val="nil"/>
            </w:tcBorders>
            <w:shd w:val="clear" w:color="auto" w:fill="auto"/>
            <w:noWrap/>
            <w:vAlign w:val="bottom"/>
          </w:tcPr>
          <w:p w14:paraId="20571AA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Nombre de la entidad: ____________________________________________</w:t>
            </w:r>
          </w:p>
        </w:tc>
        <w:tc>
          <w:tcPr>
            <w:tcW w:w="160" w:type="dxa"/>
            <w:tcBorders>
              <w:top w:val="nil"/>
              <w:left w:val="nil"/>
              <w:bottom w:val="nil"/>
              <w:right w:val="single" w:sz="8" w:space="0" w:color="auto"/>
            </w:tcBorders>
            <w:shd w:val="clear" w:color="auto" w:fill="auto"/>
            <w:noWrap/>
            <w:vAlign w:val="bottom"/>
          </w:tcPr>
          <w:p w14:paraId="48A5D933" w14:textId="77777777" w:rsidR="002C0C4D" w:rsidRPr="006F15E1" w:rsidRDefault="002C0C4D" w:rsidP="007422B6">
            <w:pPr>
              <w:spacing w:after="0"/>
              <w:rPr>
                <w:rFonts w:ascii="Roboto" w:hAnsi="Roboto"/>
                <w:color w:val="000000"/>
                <w:sz w:val="16"/>
                <w:szCs w:val="16"/>
                <w:lang w:eastAsia="es-ES_tradnl"/>
              </w:rPr>
            </w:pPr>
          </w:p>
        </w:tc>
      </w:tr>
      <w:tr w:rsidR="002C0C4D" w:rsidRPr="006F15E1" w14:paraId="7B90ADD3"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hideMark/>
          </w:tcPr>
          <w:p w14:paraId="5D03A1F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6991" w:type="dxa"/>
            <w:gridSpan w:val="6"/>
            <w:tcBorders>
              <w:top w:val="nil"/>
              <w:left w:val="nil"/>
              <w:bottom w:val="nil"/>
              <w:right w:val="nil"/>
            </w:tcBorders>
            <w:shd w:val="clear" w:color="auto" w:fill="auto"/>
            <w:noWrap/>
            <w:vAlign w:val="bottom"/>
            <w:hideMark/>
          </w:tcPr>
          <w:p w14:paraId="6F692FD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Año de reporte:           ________</w:t>
            </w:r>
          </w:p>
        </w:tc>
        <w:tc>
          <w:tcPr>
            <w:tcW w:w="160" w:type="dxa"/>
            <w:tcBorders>
              <w:top w:val="nil"/>
              <w:left w:val="nil"/>
              <w:bottom w:val="nil"/>
              <w:right w:val="single" w:sz="8" w:space="0" w:color="auto"/>
            </w:tcBorders>
            <w:shd w:val="clear" w:color="auto" w:fill="auto"/>
            <w:noWrap/>
            <w:vAlign w:val="bottom"/>
            <w:hideMark/>
          </w:tcPr>
          <w:p w14:paraId="315DEE6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1F44AA8E"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hideMark/>
          </w:tcPr>
          <w:p w14:paraId="78697CD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nil"/>
              <w:bottom w:val="nil"/>
              <w:right w:val="nil"/>
            </w:tcBorders>
            <w:shd w:val="clear" w:color="auto" w:fill="auto"/>
            <w:noWrap/>
            <w:vAlign w:val="bottom"/>
            <w:hideMark/>
          </w:tcPr>
          <w:p w14:paraId="01E875B8" w14:textId="77777777" w:rsidR="002C0C4D" w:rsidRPr="006F15E1" w:rsidRDefault="002C0C4D" w:rsidP="007422B6">
            <w:pPr>
              <w:spacing w:after="0"/>
              <w:rPr>
                <w:rFonts w:ascii="Roboto" w:hAnsi="Roboto"/>
                <w:color w:val="000000"/>
                <w:sz w:val="16"/>
                <w:szCs w:val="16"/>
                <w:lang w:eastAsia="es-ES_tradnl"/>
              </w:rPr>
            </w:pPr>
          </w:p>
        </w:tc>
        <w:tc>
          <w:tcPr>
            <w:tcW w:w="601" w:type="dxa"/>
            <w:tcBorders>
              <w:top w:val="nil"/>
              <w:left w:val="nil"/>
              <w:bottom w:val="nil"/>
              <w:right w:val="nil"/>
            </w:tcBorders>
            <w:shd w:val="clear" w:color="auto" w:fill="auto"/>
            <w:noWrap/>
            <w:vAlign w:val="bottom"/>
            <w:hideMark/>
          </w:tcPr>
          <w:p w14:paraId="4DF8CD50" w14:textId="77777777" w:rsidR="002C0C4D" w:rsidRPr="006F15E1" w:rsidRDefault="002C0C4D" w:rsidP="007422B6">
            <w:pPr>
              <w:spacing w:after="0"/>
              <w:rPr>
                <w:rFonts w:ascii="Roboto" w:hAnsi="Roboto"/>
                <w:color w:val="000000"/>
                <w:sz w:val="16"/>
                <w:szCs w:val="16"/>
                <w:lang w:eastAsia="es-ES_tradnl"/>
              </w:rPr>
            </w:pPr>
          </w:p>
        </w:tc>
        <w:tc>
          <w:tcPr>
            <w:tcW w:w="2234" w:type="dxa"/>
            <w:gridSpan w:val="2"/>
            <w:tcBorders>
              <w:top w:val="nil"/>
              <w:left w:val="nil"/>
              <w:bottom w:val="nil"/>
              <w:right w:val="nil"/>
            </w:tcBorders>
            <w:shd w:val="clear" w:color="auto" w:fill="auto"/>
            <w:noWrap/>
            <w:vAlign w:val="bottom"/>
            <w:hideMark/>
          </w:tcPr>
          <w:p w14:paraId="5CE95C1E" w14:textId="77777777" w:rsidR="002C0C4D" w:rsidRPr="006F15E1" w:rsidRDefault="002C0C4D" w:rsidP="007422B6">
            <w:pPr>
              <w:spacing w:after="0"/>
              <w:rPr>
                <w:rFonts w:ascii="Roboto" w:hAnsi="Roboto"/>
                <w:color w:val="000000"/>
                <w:sz w:val="16"/>
                <w:szCs w:val="16"/>
                <w:lang w:eastAsia="es-ES_tradnl"/>
              </w:rPr>
            </w:pPr>
          </w:p>
        </w:tc>
        <w:tc>
          <w:tcPr>
            <w:tcW w:w="1701" w:type="dxa"/>
            <w:tcBorders>
              <w:top w:val="nil"/>
              <w:left w:val="nil"/>
              <w:bottom w:val="nil"/>
              <w:right w:val="nil"/>
            </w:tcBorders>
            <w:shd w:val="clear" w:color="auto" w:fill="auto"/>
            <w:noWrap/>
            <w:vAlign w:val="bottom"/>
            <w:hideMark/>
          </w:tcPr>
          <w:p w14:paraId="7F7FC482"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63A2B8B8"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749550A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73EEBE97" w14:textId="77777777" w:rsidTr="000350F6">
        <w:trPr>
          <w:trHeight w:val="127"/>
          <w:jc w:val="center"/>
        </w:trPr>
        <w:tc>
          <w:tcPr>
            <w:tcW w:w="210" w:type="dxa"/>
            <w:vMerge w:val="restart"/>
            <w:tcBorders>
              <w:top w:val="nil"/>
              <w:left w:val="single" w:sz="8" w:space="0" w:color="auto"/>
              <w:right w:val="nil"/>
            </w:tcBorders>
            <w:shd w:val="clear" w:color="auto" w:fill="auto"/>
            <w:noWrap/>
            <w:vAlign w:val="bottom"/>
            <w:hideMark/>
          </w:tcPr>
          <w:p w14:paraId="284FDBE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4033" w:type="dxa"/>
            <w:gridSpan w:val="4"/>
            <w:vMerge w:val="restart"/>
            <w:tcBorders>
              <w:top w:val="nil"/>
              <w:left w:val="nil"/>
              <w:right w:val="nil"/>
            </w:tcBorders>
            <w:shd w:val="clear" w:color="auto" w:fill="auto"/>
            <w:noWrap/>
            <w:vAlign w:val="bottom"/>
            <w:hideMark/>
          </w:tcPr>
          <w:p w14:paraId="1AB52B3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xml:space="preserve">Monto de la provisión al cierre del año: </w:t>
            </w:r>
          </w:p>
          <w:p w14:paraId="3347396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Monto de la provisión al cierre del año anterior:</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1807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vMerge w:val="restart"/>
            <w:tcBorders>
              <w:top w:val="nil"/>
              <w:left w:val="nil"/>
              <w:right w:val="nil"/>
            </w:tcBorders>
            <w:shd w:val="clear" w:color="auto" w:fill="auto"/>
            <w:noWrap/>
            <w:vAlign w:val="bottom"/>
            <w:hideMark/>
          </w:tcPr>
          <w:p w14:paraId="7359B4C9" w14:textId="77777777" w:rsidR="002C0C4D" w:rsidRPr="006F15E1" w:rsidRDefault="002C0C4D" w:rsidP="007422B6">
            <w:pPr>
              <w:spacing w:after="0"/>
              <w:rPr>
                <w:rFonts w:ascii="Roboto" w:hAnsi="Roboto"/>
                <w:color w:val="000000"/>
                <w:sz w:val="16"/>
                <w:szCs w:val="16"/>
                <w:lang w:eastAsia="es-ES_tradnl"/>
              </w:rPr>
            </w:pPr>
          </w:p>
        </w:tc>
        <w:tc>
          <w:tcPr>
            <w:tcW w:w="160" w:type="dxa"/>
            <w:vMerge w:val="restart"/>
            <w:tcBorders>
              <w:top w:val="nil"/>
              <w:left w:val="nil"/>
              <w:right w:val="single" w:sz="8" w:space="0" w:color="auto"/>
            </w:tcBorders>
            <w:shd w:val="clear" w:color="auto" w:fill="auto"/>
            <w:noWrap/>
            <w:vAlign w:val="bottom"/>
            <w:hideMark/>
          </w:tcPr>
          <w:p w14:paraId="53796A4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4FF0A79B" w14:textId="77777777" w:rsidTr="000350F6">
        <w:trPr>
          <w:trHeight w:val="126"/>
          <w:jc w:val="center"/>
        </w:trPr>
        <w:tc>
          <w:tcPr>
            <w:tcW w:w="210" w:type="dxa"/>
            <w:vMerge/>
            <w:tcBorders>
              <w:left w:val="single" w:sz="8" w:space="0" w:color="auto"/>
              <w:bottom w:val="nil"/>
              <w:right w:val="nil"/>
            </w:tcBorders>
            <w:shd w:val="clear" w:color="auto" w:fill="auto"/>
            <w:noWrap/>
            <w:vAlign w:val="bottom"/>
          </w:tcPr>
          <w:p w14:paraId="2912ABC8" w14:textId="77777777" w:rsidR="002C0C4D" w:rsidRPr="006F15E1" w:rsidRDefault="002C0C4D" w:rsidP="007422B6">
            <w:pPr>
              <w:spacing w:after="0"/>
              <w:rPr>
                <w:rFonts w:ascii="Roboto" w:hAnsi="Roboto"/>
                <w:color w:val="000000"/>
                <w:sz w:val="16"/>
                <w:szCs w:val="16"/>
                <w:lang w:eastAsia="es-ES_tradnl"/>
              </w:rPr>
            </w:pPr>
          </w:p>
        </w:tc>
        <w:tc>
          <w:tcPr>
            <w:tcW w:w="4033" w:type="dxa"/>
            <w:gridSpan w:val="4"/>
            <w:vMerge/>
            <w:tcBorders>
              <w:left w:val="nil"/>
              <w:bottom w:val="nil"/>
              <w:right w:val="nil"/>
            </w:tcBorders>
            <w:shd w:val="clear" w:color="auto" w:fill="auto"/>
            <w:noWrap/>
            <w:vAlign w:val="bottom"/>
          </w:tcPr>
          <w:p w14:paraId="4C54D41F" w14:textId="77777777" w:rsidR="002C0C4D" w:rsidRPr="006F15E1" w:rsidRDefault="002C0C4D" w:rsidP="007422B6">
            <w:pPr>
              <w:spacing w:after="0"/>
              <w:rPr>
                <w:rFonts w:ascii="Roboto" w:hAnsi="Roboto"/>
                <w:color w:val="000000"/>
                <w:sz w:val="16"/>
                <w:szCs w:val="16"/>
                <w:lang w:eastAsia="es-ES_tradnl"/>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A9980" w14:textId="77777777" w:rsidR="002C0C4D" w:rsidRPr="006F15E1" w:rsidRDefault="002C0C4D" w:rsidP="007422B6">
            <w:pPr>
              <w:spacing w:after="0"/>
              <w:rPr>
                <w:rFonts w:ascii="Roboto" w:hAnsi="Roboto"/>
                <w:color w:val="000000"/>
                <w:sz w:val="16"/>
                <w:szCs w:val="16"/>
                <w:lang w:eastAsia="es-ES_tradnl"/>
              </w:rPr>
            </w:pPr>
          </w:p>
        </w:tc>
        <w:tc>
          <w:tcPr>
            <w:tcW w:w="1257" w:type="dxa"/>
            <w:vMerge/>
            <w:tcBorders>
              <w:left w:val="nil"/>
              <w:bottom w:val="nil"/>
              <w:right w:val="nil"/>
            </w:tcBorders>
            <w:shd w:val="clear" w:color="auto" w:fill="auto"/>
            <w:noWrap/>
            <w:vAlign w:val="bottom"/>
          </w:tcPr>
          <w:p w14:paraId="47BFC773" w14:textId="77777777" w:rsidR="002C0C4D" w:rsidRPr="006F15E1" w:rsidRDefault="002C0C4D" w:rsidP="007422B6">
            <w:pPr>
              <w:spacing w:after="0"/>
              <w:rPr>
                <w:rFonts w:ascii="Roboto" w:hAnsi="Roboto"/>
                <w:color w:val="000000"/>
                <w:sz w:val="16"/>
                <w:szCs w:val="16"/>
                <w:lang w:eastAsia="es-ES_tradnl"/>
              </w:rPr>
            </w:pPr>
          </w:p>
        </w:tc>
        <w:tc>
          <w:tcPr>
            <w:tcW w:w="160" w:type="dxa"/>
            <w:vMerge/>
            <w:tcBorders>
              <w:left w:val="nil"/>
              <w:bottom w:val="nil"/>
              <w:right w:val="single" w:sz="8" w:space="0" w:color="auto"/>
            </w:tcBorders>
            <w:shd w:val="clear" w:color="auto" w:fill="auto"/>
            <w:noWrap/>
            <w:vAlign w:val="bottom"/>
          </w:tcPr>
          <w:p w14:paraId="23535BAC" w14:textId="77777777" w:rsidR="002C0C4D" w:rsidRPr="006F15E1" w:rsidRDefault="002C0C4D" w:rsidP="007422B6">
            <w:pPr>
              <w:spacing w:after="0"/>
              <w:rPr>
                <w:rFonts w:ascii="Roboto" w:hAnsi="Roboto"/>
                <w:color w:val="000000"/>
                <w:sz w:val="16"/>
                <w:szCs w:val="16"/>
                <w:lang w:eastAsia="es-ES_tradnl"/>
              </w:rPr>
            </w:pPr>
          </w:p>
        </w:tc>
      </w:tr>
      <w:tr w:rsidR="002C0C4D" w:rsidRPr="006F15E1" w14:paraId="4073B780"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hideMark/>
          </w:tcPr>
          <w:p w14:paraId="5E5AC22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nil"/>
              <w:bottom w:val="nil"/>
              <w:right w:val="nil"/>
            </w:tcBorders>
            <w:shd w:val="clear" w:color="auto" w:fill="auto"/>
            <w:noWrap/>
            <w:vAlign w:val="bottom"/>
            <w:hideMark/>
          </w:tcPr>
          <w:p w14:paraId="5AD6E14D" w14:textId="77777777" w:rsidR="002C0C4D" w:rsidRPr="006F15E1" w:rsidRDefault="002C0C4D" w:rsidP="007422B6">
            <w:pPr>
              <w:spacing w:after="0"/>
              <w:rPr>
                <w:rFonts w:ascii="Roboto" w:hAnsi="Roboto"/>
                <w:color w:val="000000"/>
                <w:sz w:val="16"/>
                <w:szCs w:val="16"/>
                <w:lang w:eastAsia="es-ES_tradnl"/>
              </w:rPr>
            </w:pPr>
          </w:p>
        </w:tc>
        <w:tc>
          <w:tcPr>
            <w:tcW w:w="992" w:type="dxa"/>
            <w:gridSpan w:val="2"/>
            <w:tcBorders>
              <w:top w:val="nil"/>
              <w:left w:val="nil"/>
              <w:bottom w:val="nil"/>
              <w:right w:val="nil"/>
            </w:tcBorders>
            <w:shd w:val="clear" w:color="auto" w:fill="auto"/>
            <w:noWrap/>
            <w:vAlign w:val="bottom"/>
            <w:hideMark/>
          </w:tcPr>
          <w:p w14:paraId="008E3B57" w14:textId="77777777" w:rsidR="002C0C4D" w:rsidRPr="006F15E1" w:rsidRDefault="002C0C4D" w:rsidP="007422B6">
            <w:pPr>
              <w:spacing w:after="0"/>
              <w:rPr>
                <w:rFonts w:ascii="Roboto" w:hAnsi="Roboto"/>
                <w:color w:val="000000"/>
                <w:sz w:val="16"/>
                <w:szCs w:val="16"/>
                <w:lang w:eastAsia="es-ES_tradnl"/>
              </w:rPr>
            </w:pPr>
          </w:p>
        </w:tc>
        <w:tc>
          <w:tcPr>
            <w:tcW w:w="1843" w:type="dxa"/>
            <w:tcBorders>
              <w:top w:val="nil"/>
              <w:left w:val="nil"/>
              <w:bottom w:val="nil"/>
              <w:right w:val="nil"/>
            </w:tcBorders>
            <w:shd w:val="clear" w:color="auto" w:fill="auto"/>
            <w:noWrap/>
            <w:vAlign w:val="bottom"/>
            <w:hideMark/>
          </w:tcPr>
          <w:p w14:paraId="6B872F73" w14:textId="77777777" w:rsidR="002C0C4D" w:rsidRPr="006F15E1" w:rsidRDefault="002C0C4D" w:rsidP="007422B6">
            <w:pPr>
              <w:spacing w:after="0"/>
              <w:rPr>
                <w:rFonts w:ascii="Roboto" w:hAnsi="Roboto"/>
                <w:color w:val="000000"/>
                <w:sz w:val="16"/>
                <w:szCs w:val="16"/>
                <w:lang w:eastAsia="es-ES_tradnl"/>
              </w:rPr>
            </w:pPr>
          </w:p>
        </w:tc>
        <w:tc>
          <w:tcPr>
            <w:tcW w:w="1701" w:type="dxa"/>
            <w:tcBorders>
              <w:top w:val="nil"/>
              <w:left w:val="nil"/>
              <w:bottom w:val="nil"/>
              <w:right w:val="nil"/>
            </w:tcBorders>
            <w:shd w:val="clear" w:color="auto" w:fill="auto"/>
            <w:noWrap/>
            <w:vAlign w:val="bottom"/>
            <w:hideMark/>
          </w:tcPr>
          <w:p w14:paraId="3C344D7C"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3D8D530E"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71B8251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7AB997C1" w14:textId="77777777" w:rsidTr="006D2520">
        <w:trPr>
          <w:trHeight w:val="860"/>
          <w:jc w:val="center"/>
        </w:trPr>
        <w:tc>
          <w:tcPr>
            <w:tcW w:w="210" w:type="dxa"/>
            <w:tcBorders>
              <w:top w:val="nil"/>
              <w:left w:val="single" w:sz="8" w:space="0" w:color="auto"/>
              <w:bottom w:val="nil"/>
              <w:right w:val="nil"/>
            </w:tcBorders>
            <w:shd w:val="clear" w:color="auto" w:fill="auto"/>
            <w:noWrap/>
            <w:vAlign w:val="bottom"/>
            <w:hideMark/>
          </w:tcPr>
          <w:p w14:paraId="325382B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14:paraId="48CB7350" w14:textId="77777777" w:rsidR="002C0C4D" w:rsidRPr="006F15E1" w:rsidRDefault="002C0C4D" w:rsidP="007422B6">
            <w:pPr>
              <w:spacing w:after="0"/>
              <w:jc w:val="center"/>
              <w:rPr>
                <w:rFonts w:ascii="Roboto" w:hAnsi="Roboto"/>
                <w:bCs/>
                <w:color w:val="000000" w:themeColor="text1"/>
                <w:sz w:val="16"/>
                <w:szCs w:val="16"/>
                <w:lang w:eastAsia="es-ES_tradnl"/>
              </w:rPr>
            </w:pPr>
            <w:r w:rsidRPr="006F15E1">
              <w:rPr>
                <w:rFonts w:ascii="Roboto" w:hAnsi="Roboto"/>
                <w:bCs/>
                <w:color w:val="000000" w:themeColor="text1"/>
                <w:sz w:val="16"/>
                <w:szCs w:val="16"/>
                <w:lang w:eastAsia="es-ES_tradnl"/>
              </w:rPr>
              <w:t>Mes (</w:t>
            </w:r>
            <m:oMath>
              <m:r>
                <w:rPr>
                  <w:rFonts w:ascii="Cambria Math" w:hAnsi="Cambria Math"/>
                  <w:color w:val="000000" w:themeColor="text1"/>
                  <w:sz w:val="16"/>
                  <w:szCs w:val="16"/>
                  <w:lang w:eastAsia="es-ES_tradnl"/>
                </w:rPr>
                <m:t>m</m:t>
              </m:r>
            </m:oMath>
            <w:r w:rsidRPr="006F15E1">
              <w:rPr>
                <w:rFonts w:ascii="Roboto" w:hAnsi="Roboto"/>
                <w:bCs/>
                <w:color w:val="000000" w:themeColor="text1"/>
                <w:sz w:val="16"/>
                <w:szCs w:val="16"/>
                <w:lang w:eastAsia="es-ES_tradnl"/>
              </w:rPr>
              <w:t>)</w:t>
            </w:r>
          </w:p>
          <w:p w14:paraId="4013980F" w14:textId="77777777" w:rsidR="002C0C4D" w:rsidRPr="006F15E1" w:rsidRDefault="002C0C4D" w:rsidP="007422B6">
            <w:pPr>
              <w:spacing w:after="0"/>
              <w:jc w:val="center"/>
              <w:rPr>
                <w:rFonts w:ascii="Roboto" w:hAnsi="Roboto"/>
                <w:bCs/>
                <w:color w:val="000000" w:themeColor="text1"/>
                <w:sz w:val="16"/>
                <w:szCs w:val="16"/>
                <w:lang w:eastAsia="es-ES_tradnl"/>
              </w:rPr>
            </w:pPr>
          </w:p>
        </w:tc>
        <w:tc>
          <w:tcPr>
            <w:tcW w:w="992" w:type="dxa"/>
            <w:gridSpan w:val="2"/>
            <w:tcBorders>
              <w:top w:val="single" w:sz="4" w:space="0" w:color="auto"/>
              <w:left w:val="nil"/>
              <w:bottom w:val="single" w:sz="4" w:space="0" w:color="auto"/>
              <w:right w:val="single" w:sz="4" w:space="0" w:color="auto"/>
            </w:tcBorders>
            <w:shd w:val="clear" w:color="auto" w:fill="auto"/>
            <w:hideMark/>
          </w:tcPr>
          <w:p w14:paraId="4ABD42AD" w14:textId="77777777" w:rsidR="002C0C4D" w:rsidRPr="006F15E1" w:rsidRDefault="002C0C4D" w:rsidP="007422B6">
            <w:pPr>
              <w:spacing w:after="0"/>
              <w:jc w:val="center"/>
              <w:rPr>
                <w:rFonts w:ascii="Roboto" w:hAnsi="Roboto"/>
                <w:bCs/>
                <w:color w:val="000000" w:themeColor="text1"/>
                <w:sz w:val="16"/>
                <w:szCs w:val="16"/>
                <w:lang w:eastAsia="es-ES_tradnl"/>
              </w:rPr>
            </w:pPr>
            <w:r w:rsidRPr="006F15E1">
              <w:rPr>
                <w:rFonts w:ascii="Roboto" w:hAnsi="Roboto"/>
                <w:bCs/>
                <w:color w:val="000000" w:themeColor="text1"/>
                <w:sz w:val="16"/>
                <w:szCs w:val="16"/>
                <w:lang w:eastAsia="es-ES_tradnl"/>
              </w:rPr>
              <w:t xml:space="preserve">Rendimientos del mes </w:t>
            </w:r>
            <m:oMath>
              <m:r>
                <w:rPr>
                  <w:rFonts w:ascii="Cambria Math" w:hAnsi="Cambria Math"/>
                  <w:color w:val="000000" w:themeColor="text1"/>
                  <w:sz w:val="16"/>
                  <w:szCs w:val="16"/>
                  <w:lang w:eastAsia="es-ES_tradnl"/>
                </w:rPr>
                <m:t>(</m:t>
              </m:r>
              <m:sSub>
                <m:sSubPr>
                  <m:ctrlPr>
                    <w:rPr>
                      <w:rFonts w:ascii="Cambria Math" w:hAnsi="Cambria Math"/>
                      <w:i/>
                      <w:color w:val="000000" w:themeColor="text1"/>
                      <w:sz w:val="16"/>
                      <w:szCs w:val="16"/>
                      <w:lang w:val="en-US"/>
                    </w:rPr>
                  </m:ctrlPr>
                </m:sSubPr>
                <m:e>
                  <m:r>
                    <w:rPr>
                      <w:rFonts w:ascii="Cambria Math" w:hAnsi="Cambria Math"/>
                      <w:color w:val="000000" w:themeColor="text1"/>
                      <w:sz w:val="16"/>
                      <w:szCs w:val="16"/>
                      <w:lang w:val="en-US"/>
                    </w:rPr>
                    <m:t>Rend</m:t>
                  </m:r>
                </m:e>
                <m:sub>
                  <m:r>
                    <w:rPr>
                      <w:rFonts w:ascii="Cambria Math" w:hAnsi="Cambria Math"/>
                      <w:color w:val="000000" w:themeColor="text1"/>
                      <w:sz w:val="16"/>
                      <w:szCs w:val="16"/>
                      <w:lang w:val="en-US"/>
                    </w:rPr>
                    <m:t>m</m:t>
                  </m:r>
                </m:sub>
              </m:sSub>
              <m:r>
                <w:rPr>
                  <w:rFonts w:ascii="Cambria Math" w:hAnsi="Cambria Math"/>
                  <w:color w:val="000000" w:themeColor="text1"/>
                  <w:sz w:val="16"/>
                  <w:szCs w:val="16"/>
                </w:rPr>
                <m:t>)</m:t>
              </m:r>
            </m:oMath>
          </w:p>
        </w:tc>
        <w:tc>
          <w:tcPr>
            <w:tcW w:w="1843" w:type="dxa"/>
            <w:tcBorders>
              <w:top w:val="single" w:sz="4" w:space="0" w:color="auto"/>
              <w:left w:val="nil"/>
              <w:bottom w:val="single" w:sz="4" w:space="0" w:color="auto"/>
              <w:right w:val="single" w:sz="4" w:space="0" w:color="auto"/>
            </w:tcBorders>
            <w:shd w:val="clear" w:color="auto" w:fill="auto"/>
            <w:hideMark/>
          </w:tcPr>
          <w:p w14:paraId="59B3CEC6" w14:textId="77777777" w:rsidR="002C0C4D" w:rsidRPr="006F15E1" w:rsidRDefault="002C0C4D" w:rsidP="007422B6">
            <w:pPr>
              <w:spacing w:after="0"/>
              <w:jc w:val="center"/>
              <w:rPr>
                <w:rFonts w:ascii="Roboto" w:hAnsi="Roboto"/>
                <w:bCs/>
                <w:color w:val="000000" w:themeColor="text1"/>
                <w:sz w:val="16"/>
                <w:szCs w:val="16"/>
                <w:lang w:eastAsia="es-ES_tradnl"/>
              </w:rPr>
            </w:pPr>
            <w:r w:rsidRPr="006F15E1">
              <w:rPr>
                <w:rFonts w:ascii="Roboto" w:hAnsi="Roboto"/>
                <w:bCs/>
                <w:color w:val="000000" w:themeColor="text1"/>
                <w:sz w:val="16"/>
                <w:szCs w:val="16"/>
                <w:lang w:eastAsia="es-ES_tradnl"/>
              </w:rPr>
              <w:t xml:space="preserve">Aportación por la prima </w:t>
            </w:r>
            <w:r w:rsidRPr="006F15E1">
              <w:rPr>
                <w:rFonts w:ascii="Roboto" w:hAnsi="Roboto"/>
                <w:color w:val="000000" w:themeColor="text1"/>
                <w:sz w:val="16"/>
                <w:szCs w:val="16"/>
                <w:lang w:val="es-ES_tradnl"/>
              </w:rPr>
              <w:t>de riesgo retenida</w:t>
            </w:r>
            <w:r w:rsidRPr="006F15E1">
              <w:rPr>
                <w:rFonts w:ascii="Roboto" w:hAnsi="Roboto"/>
                <w:bCs/>
                <w:color w:val="000000" w:themeColor="text1"/>
                <w:sz w:val="16"/>
                <w:szCs w:val="16"/>
                <w:lang w:eastAsia="es-ES_tradnl"/>
              </w:rPr>
              <w:t xml:space="preserve"> devengada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AP</m:t>
                  </m:r>
                </m:e>
                <m:sub>
                  <m:r>
                    <w:rPr>
                      <w:rFonts w:ascii="Cambria Math" w:hAnsi="Cambria Math"/>
                      <w:color w:val="000000" w:themeColor="text1"/>
                      <w:sz w:val="16"/>
                      <w:szCs w:val="16"/>
                    </w:rPr>
                    <m:t>m</m:t>
                  </m:r>
                </m:sub>
              </m:sSub>
            </m:oMath>
            <w:r w:rsidRPr="006F15E1">
              <w:rPr>
                <w:rFonts w:ascii="Roboto" w:hAnsi="Roboto"/>
                <w:bCs/>
                <w:color w:val="000000" w:themeColor="text1"/>
                <w:sz w:val="16"/>
                <w:szCs w:val="16"/>
                <w:lang w:eastAsia="es-ES_tradnl"/>
              </w:rPr>
              <w:t>)</w:t>
            </w:r>
          </w:p>
        </w:tc>
        <w:tc>
          <w:tcPr>
            <w:tcW w:w="1701" w:type="dxa"/>
            <w:tcBorders>
              <w:top w:val="single" w:sz="4" w:space="0" w:color="auto"/>
              <w:left w:val="nil"/>
              <w:bottom w:val="single" w:sz="4" w:space="0" w:color="auto"/>
              <w:right w:val="single" w:sz="4" w:space="0" w:color="auto"/>
            </w:tcBorders>
            <w:shd w:val="clear" w:color="auto" w:fill="auto"/>
            <w:hideMark/>
          </w:tcPr>
          <w:p w14:paraId="6210594B" w14:textId="77777777" w:rsidR="002C0C4D" w:rsidRPr="006F15E1" w:rsidRDefault="002C0C4D" w:rsidP="007422B6">
            <w:pPr>
              <w:spacing w:after="0"/>
              <w:jc w:val="center"/>
              <w:rPr>
                <w:rFonts w:ascii="Roboto" w:hAnsi="Roboto"/>
                <w:bCs/>
                <w:color w:val="000000" w:themeColor="text1"/>
                <w:sz w:val="16"/>
                <w:szCs w:val="16"/>
                <w:lang w:eastAsia="es-ES_tradnl"/>
              </w:rPr>
            </w:pPr>
            <w:r w:rsidRPr="006F15E1">
              <w:rPr>
                <w:rFonts w:ascii="Roboto" w:hAnsi="Roboto"/>
                <w:bCs/>
                <w:color w:val="000000" w:themeColor="text1"/>
                <w:sz w:val="16"/>
                <w:szCs w:val="16"/>
                <w:lang w:eastAsia="es-ES_tradnl"/>
              </w:rPr>
              <w:t>Siniestros reportados, ajustes y otras pérdidas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S</m:t>
                  </m:r>
                </m:e>
                <m:sub>
                  <m:r>
                    <w:rPr>
                      <w:rFonts w:ascii="Cambria Math" w:hAnsi="Cambria Math"/>
                      <w:color w:val="000000" w:themeColor="text1"/>
                      <w:sz w:val="16"/>
                      <w:szCs w:val="16"/>
                    </w:rPr>
                    <m:t>m</m:t>
                  </m:r>
                </m:sub>
              </m:sSub>
            </m:oMath>
            <w:r w:rsidRPr="006F15E1">
              <w:rPr>
                <w:rFonts w:ascii="Roboto" w:hAnsi="Roboto"/>
                <w:bCs/>
                <w:color w:val="000000" w:themeColor="text1"/>
                <w:sz w:val="16"/>
                <w:szCs w:val="16"/>
                <w:lang w:eastAsia="es-ES_tradnl"/>
              </w:rPr>
              <w:t>)</w:t>
            </w:r>
          </w:p>
        </w:tc>
        <w:tc>
          <w:tcPr>
            <w:tcW w:w="1257" w:type="dxa"/>
            <w:tcBorders>
              <w:top w:val="single" w:sz="4" w:space="0" w:color="auto"/>
              <w:left w:val="nil"/>
              <w:bottom w:val="single" w:sz="4" w:space="0" w:color="auto"/>
              <w:right w:val="single" w:sz="4" w:space="0" w:color="auto"/>
            </w:tcBorders>
            <w:shd w:val="clear" w:color="auto" w:fill="auto"/>
            <w:hideMark/>
          </w:tcPr>
          <w:p w14:paraId="283E8A82" w14:textId="77777777" w:rsidR="002C0C4D" w:rsidRPr="006F15E1" w:rsidRDefault="002C0C4D" w:rsidP="007422B6">
            <w:pPr>
              <w:spacing w:after="0"/>
              <w:jc w:val="center"/>
              <w:rPr>
                <w:rFonts w:ascii="Roboto" w:hAnsi="Roboto"/>
                <w:bCs/>
                <w:color w:val="000000" w:themeColor="text1"/>
                <w:sz w:val="16"/>
                <w:szCs w:val="16"/>
                <w:lang w:eastAsia="es-ES_tradnl"/>
              </w:rPr>
            </w:pPr>
            <w:r w:rsidRPr="006F15E1">
              <w:rPr>
                <w:rFonts w:ascii="Roboto" w:hAnsi="Roboto"/>
                <w:bCs/>
                <w:color w:val="000000" w:themeColor="text1"/>
                <w:sz w:val="16"/>
                <w:szCs w:val="16"/>
                <w:lang w:eastAsia="es-ES_tradnl"/>
              </w:rPr>
              <w:t>Monto de la provisión al cierre del mes (</w:t>
            </w:r>
            <m:oMath>
              <m:sSub>
                <m:sSubPr>
                  <m:ctrlPr>
                    <w:rPr>
                      <w:rFonts w:ascii="Cambria Math" w:hAnsi="Cambria Math"/>
                      <w:i/>
                      <w:color w:val="000000" w:themeColor="text1"/>
                      <w:sz w:val="16"/>
                      <w:szCs w:val="16"/>
                    </w:rPr>
                  </m:ctrlPr>
                </m:sSubPr>
                <m:e>
                  <m:r>
                    <w:rPr>
                      <w:rFonts w:ascii="Cambria Math" w:hAnsi="Cambria Math"/>
                      <w:color w:val="000000" w:themeColor="text1"/>
                      <w:sz w:val="16"/>
                      <w:szCs w:val="16"/>
                    </w:rPr>
                    <m:t>PRCAT</m:t>
                  </m:r>
                </m:e>
                <m:sub>
                  <m:r>
                    <w:rPr>
                      <w:rFonts w:ascii="Cambria Math" w:hAnsi="Cambria Math"/>
                      <w:color w:val="000000" w:themeColor="text1"/>
                      <w:sz w:val="16"/>
                      <w:szCs w:val="16"/>
                    </w:rPr>
                    <m:t>m</m:t>
                  </m:r>
                </m:sub>
              </m:sSub>
            </m:oMath>
            <w:r w:rsidRPr="006F15E1">
              <w:rPr>
                <w:rFonts w:ascii="Roboto" w:hAnsi="Roboto"/>
                <w:bCs/>
                <w:color w:val="000000" w:themeColor="text1"/>
                <w:sz w:val="16"/>
                <w:szCs w:val="16"/>
                <w:lang w:eastAsia="es-ES_tradnl"/>
              </w:rPr>
              <w:t>)</w:t>
            </w:r>
          </w:p>
        </w:tc>
        <w:tc>
          <w:tcPr>
            <w:tcW w:w="160" w:type="dxa"/>
            <w:tcBorders>
              <w:top w:val="nil"/>
              <w:left w:val="nil"/>
              <w:bottom w:val="nil"/>
              <w:right w:val="single" w:sz="8" w:space="0" w:color="auto"/>
            </w:tcBorders>
            <w:shd w:val="clear" w:color="auto" w:fill="auto"/>
            <w:noWrap/>
            <w:vAlign w:val="bottom"/>
            <w:hideMark/>
          </w:tcPr>
          <w:p w14:paraId="02546529" w14:textId="77777777" w:rsidR="002C0C4D" w:rsidRPr="006F15E1" w:rsidRDefault="002C0C4D" w:rsidP="007422B6">
            <w:pPr>
              <w:spacing w:after="0"/>
              <w:rPr>
                <w:rFonts w:ascii="Roboto" w:hAnsi="Roboto"/>
                <w:color w:val="FF0000"/>
                <w:sz w:val="16"/>
                <w:szCs w:val="16"/>
                <w:lang w:eastAsia="es-ES_tradnl"/>
              </w:rPr>
            </w:pPr>
            <w:r w:rsidRPr="006F15E1">
              <w:rPr>
                <w:rFonts w:ascii="Roboto" w:hAnsi="Roboto"/>
                <w:color w:val="FF0000"/>
                <w:sz w:val="16"/>
                <w:szCs w:val="16"/>
                <w:lang w:eastAsia="es-ES_tradnl"/>
              </w:rPr>
              <w:t> </w:t>
            </w:r>
          </w:p>
        </w:tc>
      </w:tr>
      <w:tr w:rsidR="002C0C4D" w:rsidRPr="006F15E1" w14:paraId="464FB9CC"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3CFFBA5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399D0D8D"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Enero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91DA18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CB9B6D"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7E16927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42FCDDD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79D6F3B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0A5C59A9"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7B97A18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31D5AE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Febrero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1835A1F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9279B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7A541FD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5599ED"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56FEDC7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1795D53E"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3E8641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55557D7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Marzo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4BBAD1F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14B54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0A7A9359"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1B73862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39EEC20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4B23237D"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6A22716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466674D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Abril</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639DE4F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3B66287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592BD278"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013632F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174EF53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23A544A2"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E15613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353E70D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Mayo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377AB78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DE7E77"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67A69AA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7D89045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0C7946F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421B5A3B"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1646C3D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33D3991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Junio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7A4277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8A2D6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02FDE02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8E0AE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4445BAC8"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65802611"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2E615F87"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89A8C9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Julio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C0F7E4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6D31D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7D1D746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6E07337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254F125C"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18EE1DD2"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0041416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6277D7F9"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Agosto</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2AA5627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BE825D"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189BE03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F43FF8"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6B46DF3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7DD1F49D"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01FAB6DE"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A46114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Septiembre</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3D10C3B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30C019"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3446695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0C43AB1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1B07303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7381E54D"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tcPr>
          <w:p w14:paraId="7AA2192D" w14:textId="77777777" w:rsidR="002C0C4D" w:rsidRPr="006F15E1" w:rsidRDefault="002C0C4D" w:rsidP="007422B6">
            <w:pPr>
              <w:spacing w:after="0"/>
              <w:rPr>
                <w:rFonts w:ascii="Roboto" w:hAnsi="Roboto"/>
                <w:color w:val="000000"/>
                <w:sz w:val="16"/>
                <w:szCs w:val="16"/>
                <w:lang w:eastAsia="es-ES_tradnl"/>
              </w:rPr>
            </w:pPr>
          </w:p>
        </w:tc>
        <w:tc>
          <w:tcPr>
            <w:tcW w:w="1198" w:type="dxa"/>
            <w:tcBorders>
              <w:top w:val="nil"/>
              <w:left w:val="single" w:sz="4" w:space="0" w:color="auto"/>
              <w:bottom w:val="single" w:sz="4" w:space="0" w:color="auto"/>
              <w:right w:val="single" w:sz="4" w:space="0" w:color="auto"/>
            </w:tcBorders>
            <w:shd w:val="clear" w:color="auto" w:fill="auto"/>
            <w:noWrap/>
            <w:vAlign w:val="bottom"/>
          </w:tcPr>
          <w:p w14:paraId="37ACD42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Octubre</w:t>
            </w:r>
          </w:p>
        </w:tc>
        <w:tc>
          <w:tcPr>
            <w:tcW w:w="992" w:type="dxa"/>
            <w:gridSpan w:val="2"/>
            <w:tcBorders>
              <w:top w:val="nil"/>
              <w:left w:val="nil"/>
              <w:bottom w:val="single" w:sz="4" w:space="0" w:color="auto"/>
              <w:right w:val="single" w:sz="4" w:space="0" w:color="auto"/>
            </w:tcBorders>
            <w:shd w:val="clear" w:color="auto" w:fill="auto"/>
            <w:noWrap/>
            <w:vAlign w:val="bottom"/>
          </w:tcPr>
          <w:p w14:paraId="7C5398EE" w14:textId="77777777" w:rsidR="002C0C4D" w:rsidRPr="006F15E1" w:rsidRDefault="002C0C4D" w:rsidP="007422B6">
            <w:pPr>
              <w:spacing w:after="0"/>
              <w:rPr>
                <w:rFonts w:ascii="Roboto" w:hAnsi="Roboto"/>
                <w:color w:val="000000"/>
                <w:sz w:val="16"/>
                <w:szCs w:val="16"/>
                <w:lang w:eastAsia="es-ES_tradnl"/>
              </w:rPr>
            </w:pPr>
          </w:p>
        </w:tc>
        <w:tc>
          <w:tcPr>
            <w:tcW w:w="1843" w:type="dxa"/>
            <w:tcBorders>
              <w:top w:val="nil"/>
              <w:left w:val="nil"/>
              <w:bottom w:val="single" w:sz="4" w:space="0" w:color="auto"/>
              <w:right w:val="single" w:sz="4" w:space="0" w:color="auto"/>
            </w:tcBorders>
            <w:shd w:val="clear" w:color="auto" w:fill="auto"/>
            <w:noWrap/>
            <w:vAlign w:val="bottom"/>
          </w:tcPr>
          <w:p w14:paraId="2E1EEE94" w14:textId="77777777" w:rsidR="002C0C4D" w:rsidRPr="006F15E1" w:rsidRDefault="002C0C4D" w:rsidP="007422B6">
            <w:pPr>
              <w:spacing w:after="0"/>
              <w:rPr>
                <w:rFonts w:ascii="Roboto" w:hAnsi="Roboto"/>
                <w:color w:val="000000"/>
                <w:sz w:val="16"/>
                <w:szCs w:val="16"/>
                <w:lang w:eastAsia="es-ES_tradnl"/>
              </w:rPr>
            </w:pPr>
          </w:p>
        </w:tc>
        <w:tc>
          <w:tcPr>
            <w:tcW w:w="1701" w:type="dxa"/>
            <w:tcBorders>
              <w:top w:val="nil"/>
              <w:left w:val="nil"/>
              <w:bottom w:val="single" w:sz="4" w:space="0" w:color="auto"/>
              <w:right w:val="single" w:sz="4" w:space="0" w:color="auto"/>
            </w:tcBorders>
            <w:shd w:val="clear" w:color="auto" w:fill="auto"/>
            <w:noWrap/>
            <w:vAlign w:val="bottom"/>
          </w:tcPr>
          <w:p w14:paraId="73B37104"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single" w:sz="4" w:space="0" w:color="auto"/>
              <w:right w:val="single" w:sz="4" w:space="0" w:color="auto"/>
            </w:tcBorders>
            <w:shd w:val="clear" w:color="auto" w:fill="auto"/>
            <w:noWrap/>
            <w:vAlign w:val="bottom"/>
          </w:tcPr>
          <w:p w14:paraId="46038AB5"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tcPr>
          <w:p w14:paraId="10ED1D18" w14:textId="77777777" w:rsidR="002C0C4D" w:rsidRPr="006F15E1" w:rsidRDefault="002C0C4D" w:rsidP="007422B6">
            <w:pPr>
              <w:spacing w:after="0"/>
              <w:rPr>
                <w:rFonts w:ascii="Roboto" w:hAnsi="Roboto"/>
                <w:color w:val="000000"/>
                <w:sz w:val="16"/>
                <w:szCs w:val="16"/>
                <w:lang w:eastAsia="es-ES_tradnl"/>
              </w:rPr>
            </w:pPr>
          </w:p>
        </w:tc>
      </w:tr>
      <w:tr w:rsidR="002C0C4D" w:rsidRPr="006F15E1" w14:paraId="3C0FC78F"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5946B508"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089BC9B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Noviembre</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B95B10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B5C4B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10498D6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70C1B2B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51F195E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01BB942C" w14:textId="77777777" w:rsidTr="000350F6">
        <w:trPr>
          <w:trHeight w:hRule="exact" w:val="181"/>
          <w:jc w:val="center"/>
        </w:trPr>
        <w:tc>
          <w:tcPr>
            <w:tcW w:w="210" w:type="dxa"/>
            <w:tcBorders>
              <w:top w:val="nil"/>
              <w:left w:val="single" w:sz="8" w:space="0" w:color="auto"/>
              <w:bottom w:val="nil"/>
              <w:right w:val="nil"/>
            </w:tcBorders>
            <w:shd w:val="clear" w:color="auto" w:fill="auto"/>
            <w:noWrap/>
            <w:vAlign w:val="bottom"/>
            <w:hideMark/>
          </w:tcPr>
          <w:p w14:paraId="4467853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single" w:sz="4" w:space="0" w:color="auto"/>
              <w:bottom w:val="single" w:sz="4" w:space="0" w:color="auto"/>
              <w:right w:val="single" w:sz="4" w:space="0" w:color="auto"/>
            </w:tcBorders>
            <w:shd w:val="clear" w:color="auto" w:fill="auto"/>
            <w:noWrap/>
            <w:vAlign w:val="bottom"/>
            <w:hideMark/>
          </w:tcPr>
          <w:p w14:paraId="526ED87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Diciembre</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0173114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6A34D8"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4" w:space="0" w:color="auto"/>
              <w:right w:val="single" w:sz="4" w:space="0" w:color="auto"/>
            </w:tcBorders>
            <w:shd w:val="clear" w:color="auto" w:fill="auto"/>
            <w:noWrap/>
            <w:vAlign w:val="bottom"/>
            <w:hideMark/>
          </w:tcPr>
          <w:p w14:paraId="237A25D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4" w:space="0" w:color="auto"/>
              <w:right w:val="single" w:sz="4" w:space="0" w:color="auto"/>
            </w:tcBorders>
            <w:shd w:val="clear" w:color="auto" w:fill="auto"/>
            <w:noWrap/>
            <w:vAlign w:val="bottom"/>
            <w:hideMark/>
          </w:tcPr>
          <w:p w14:paraId="2009EF6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nil"/>
              <w:right w:val="single" w:sz="8" w:space="0" w:color="auto"/>
            </w:tcBorders>
            <w:shd w:val="clear" w:color="auto" w:fill="auto"/>
            <w:noWrap/>
            <w:vAlign w:val="bottom"/>
            <w:hideMark/>
          </w:tcPr>
          <w:p w14:paraId="38326E3B"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09A15D48" w14:textId="77777777" w:rsidTr="000350F6">
        <w:trPr>
          <w:trHeight w:val="88"/>
          <w:jc w:val="center"/>
        </w:trPr>
        <w:tc>
          <w:tcPr>
            <w:tcW w:w="210" w:type="dxa"/>
            <w:tcBorders>
              <w:top w:val="nil"/>
              <w:left w:val="single" w:sz="8" w:space="0" w:color="auto"/>
              <w:bottom w:val="nil"/>
              <w:right w:val="nil"/>
            </w:tcBorders>
            <w:shd w:val="clear" w:color="auto" w:fill="auto"/>
            <w:noWrap/>
            <w:vAlign w:val="bottom"/>
            <w:hideMark/>
          </w:tcPr>
          <w:p w14:paraId="142FFB15"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nil"/>
              <w:bottom w:val="nil"/>
              <w:right w:val="nil"/>
            </w:tcBorders>
            <w:shd w:val="clear" w:color="auto" w:fill="auto"/>
            <w:noWrap/>
            <w:vAlign w:val="bottom"/>
            <w:hideMark/>
          </w:tcPr>
          <w:p w14:paraId="0FC016B9" w14:textId="77777777" w:rsidR="002C0C4D" w:rsidRPr="006F15E1" w:rsidRDefault="002C0C4D" w:rsidP="007422B6">
            <w:pPr>
              <w:spacing w:after="0"/>
              <w:rPr>
                <w:rFonts w:ascii="Roboto" w:hAnsi="Roboto"/>
                <w:color w:val="000000"/>
                <w:sz w:val="16"/>
                <w:szCs w:val="16"/>
                <w:lang w:eastAsia="es-ES_tradnl"/>
              </w:rPr>
            </w:pPr>
          </w:p>
        </w:tc>
        <w:tc>
          <w:tcPr>
            <w:tcW w:w="992" w:type="dxa"/>
            <w:gridSpan w:val="2"/>
            <w:tcBorders>
              <w:top w:val="nil"/>
              <w:left w:val="nil"/>
              <w:bottom w:val="nil"/>
              <w:right w:val="nil"/>
            </w:tcBorders>
            <w:shd w:val="clear" w:color="auto" w:fill="auto"/>
            <w:noWrap/>
            <w:vAlign w:val="bottom"/>
            <w:hideMark/>
          </w:tcPr>
          <w:p w14:paraId="57346344" w14:textId="77777777" w:rsidR="002C0C4D" w:rsidRPr="006F15E1" w:rsidRDefault="002C0C4D" w:rsidP="007422B6">
            <w:pPr>
              <w:spacing w:after="0"/>
              <w:rPr>
                <w:rFonts w:ascii="Roboto" w:hAnsi="Roboto"/>
                <w:color w:val="000000"/>
                <w:sz w:val="16"/>
                <w:szCs w:val="16"/>
                <w:lang w:eastAsia="es-ES_tradnl"/>
              </w:rPr>
            </w:pPr>
          </w:p>
        </w:tc>
        <w:tc>
          <w:tcPr>
            <w:tcW w:w="1843" w:type="dxa"/>
            <w:tcBorders>
              <w:top w:val="nil"/>
              <w:left w:val="nil"/>
              <w:bottom w:val="nil"/>
              <w:right w:val="nil"/>
            </w:tcBorders>
            <w:shd w:val="clear" w:color="auto" w:fill="auto"/>
            <w:noWrap/>
            <w:vAlign w:val="bottom"/>
            <w:hideMark/>
          </w:tcPr>
          <w:p w14:paraId="0FD0FA0D" w14:textId="77777777" w:rsidR="002C0C4D" w:rsidRPr="006F15E1" w:rsidRDefault="002C0C4D" w:rsidP="007422B6">
            <w:pPr>
              <w:spacing w:after="0"/>
              <w:rPr>
                <w:rFonts w:ascii="Roboto" w:hAnsi="Roboto"/>
                <w:color w:val="000000"/>
                <w:sz w:val="16"/>
                <w:szCs w:val="16"/>
                <w:lang w:eastAsia="es-ES_tradnl"/>
              </w:rPr>
            </w:pPr>
          </w:p>
        </w:tc>
        <w:tc>
          <w:tcPr>
            <w:tcW w:w="1701" w:type="dxa"/>
            <w:tcBorders>
              <w:top w:val="nil"/>
              <w:left w:val="nil"/>
              <w:bottom w:val="nil"/>
              <w:right w:val="nil"/>
            </w:tcBorders>
            <w:shd w:val="clear" w:color="auto" w:fill="auto"/>
            <w:noWrap/>
            <w:vAlign w:val="bottom"/>
            <w:hideMark/>
          </w:tcPr>
          <w:p w14:paraId="5F159019"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594604F1"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6E388709"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64E2A9DE"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hideMark/>
          </w:tcPr>
          <w:p w14:paraId="0E84541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2190" w:type="dxa"/>
            <w:gridSpan w:val="3"/>
            <w:tcBorders>
              <w:top w:val="nil"/>
              <w:left w:val="nil"/>
              <w:bottom w:val="nil"/>
              <w:right w:val="nil"/>
            </w:tcBorders>
            <w:shd w:val="clear" w:color="auto" w:fill="auto"/>
            <w:noWrap/>
            <w:vAlign w:val="bottom"/>
            <w:hideMark/>
          </w:tcPr>
          <w:p w14:paraId="059BEF40" w14:textId="77777777" w:rsidR="002C0C4D" w:rsidRPr="006F15E1" w:rsidRDefault="002C0C4D" w:rsidP="007422B6">
            <w:pPr>
              <w:spacing w:after="0"/>
              <w:rPr>
                <w:rFonts w:ascii="Roboto" w:hAnsi="Roboto"/>
                <w:color w:val="000000" w:themeColor="text1"/>
                <w:sz w:val="16"/>
                <w:szCs w:val="16"/>
                <w:lang w:eastAsia="es-ES_tradnl"/>
              </w:rPr>
            </w:pPr>
            <w:r w:rsidRPr="006F15E1">
              <w:rPr>
                <w:rFonts w:ascii="Roboto" w:hAnsi="Roboto"/>
                <w:color w:val="000000" w:themeColor="text1"/>
                <w:sz w:val="16"/>
                <w:szCs w:val="16"/>
                <w:lang w:eastAsia="es-ES_tradnl"/>
              </w:rPr>
              <w:t>PML al cierre del año: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61063"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nil"/>
              <w:right w:val="nil"/>
            </w:tcBorders>
            <w:shd w:val="clear" w:color="auto" w:fill="auto"/>
            <w:noWrap/>
            <w:vAlign w:val="bottom"/>
            <w:hideMark/>
          </w:tcPr>
          <w:p w14:paraId="171F9144"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31149560"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7DB35C23"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0F4C531F"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hideMark/>
          </w:tcPr>
          <w:p w14:paraId="669B8CED"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2190" w:type="dxa"/>
            <w:gridSpan w:val="3"/>
            <w:tcBorders>
              <w:top w:val="nil"/>
              <w:left w:val="nil"/>
              <w:bottom w:val="nil"/>
              <w:right w:val="nil"/>
            </w:tcBorders>
            <w:shd w:val="clear" w:color="auto" w:fill="auto"/>
            <w:noWrap/>
            <w:vAlign w:val="bottom"/>
            <w:hideMark/>
          </w:tcPr>
          <w:p w14:paraId="787A53C9" w14:textId="77777777" w:rsidR="002C0C4D" w:rsidRPr="006F15E1" w:rsidRDefault="002C0C4D" w:rsidP="007422B6">
            <w:pPr>
              <w:spacing w:after="0"/>
              <w:rPr>
                <w:rFonts w:ascii="Roboto" w:hAnsi="Roboto"/>
                <w:color w:val="000000" w:themeColor="text1"/>
                <w:sz w:val="16"/>
                <w:szCs w:val="16"/>
                <w:lang w:eastAsia="es-ES_tradnl"/>
              </w:rPr>
            </w:pPr>
            <w:r w:rsidRPr="006F15E1">
              <w:rPr>
                <w:rFonts w:ascii="Roboto" w:hAnsi="Roboto"/>
                <w:color w:val="000000" w:themeColor="text1"/>
                <w:sz w:val="16"/>
                <w:szCs w:val="16"/>
                <w:lang w:eastAsia="es-ES_tradnl"/>
              </w:rPr>
              <w:t>PML promedio 5 Años:</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7ED313F"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nil"/>
              <w:right w:val="nil"/>
            </w:tcBorders>
            <w:shd w:val="clear" w:color="auto" w:fill="auto"/>
            <w:noWrap/>
            <w:vAlign w:val="bottom"/>
            <w:hideMark/>
          </w:tcPr>
          <w:p w14:paraId="3186EEAB"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207ED31D"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3C75D3D4"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1858BB80" w14:textId="77777777" w:rsidTr="000350F6">
        <w:trPr>
          <w:trHeight w:val="191"/>
          <w:jc w:val="center"/>
        </w:trPr>
        <w:tc>
          <w:tcPr>
            <w:tcW w:w="210" w:type="dxa"/>
            <w:tcBorders>
              <w:top w:val="nil"/>
              <w:left w:val="single" w:sz="8" w:space="0" w:color="auto"/>
              <w:bottom w:val="nil"/>
              <w:right w:val="nil"/>
            </w:tcBorders>
            <w:shd w:val="clear" w:color="auto" w:fill="auto"/>
            <w:noWrap/>
            <w:vAlign w:val="bottom"/>
            <w:hideMark/>
          </w:tcPr>
          <w:p w14:paraId="7E1D7D56"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2190" w:type="dxa"/>
            <w:gridSpan w:val="3"/>
            <w:tcBorders>
              <w:top w:val="nil"/>
              <w:left w:val="nil"/>
              <w:bottom w:val="nil"/>
              <w:right w:val="nil"/>
            </w:tcBorders>
            <w:shd w:val="clear" w:color="auto" w:fill="auto"/>
            <w:noWrap/>
            <w:vAlign w:val="bottom"/>
            <w:hideMark/>
          </w:tcPr>
          <w:p w14:paraId="4C5E4B78" w14:textId="77777777" w:rsidR="002C0C4D" w:rsidRPr="006F15E1" w:rsidRDefault="002C0C4D" w:rsidP="007422B6">
            <w:pPr>
              <w:spacing w:after="0"/>
              <w:rPr>
                <w:rFonts w:ascii="Roboto" w:hAnsi="Roboto"/>
                <w:color w:val="000000" w:themeColor="text1"/>
                <w:sz w:val="16"/>
                <w:szCs w:val="16"/>
                <w:lang w:eastAsia="es-ES_tradnl"/>
              </w:rPr>
            </w:pPr>
            <w:r w:rsidRPr="006F15E1">
              <w:rPr>
                <w:rFonts w:ascii="Roboto" w:hAnsi="Roboto"/>
                <w:color w:val="000000" w:themeColor="text1"/>
                <w:sz w:val="16"/>
                <w:szCs w:val="16"/>
                <w:lang w:eastAsia="es-ES_tradnl"/>
              </w:rPr>
              <w:t>Límite al cierre del año:</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88224EA"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nil"/>
              <w:right w:val="nil"/>
            </w:tcBorders>
            <w:shd w:val="clear" w:color="auto" w:fill="auto"/>
            <w:noWrap/>
            <w:vAlign w:val="bottom"/>
            <w:hideMark/>
          </w:tcPr>
          <w:p w14:paraId="13CF1B8C" w14:textId="77777777" w:rsidR="002C0C4D" w:rsidRPr="006F15E1" w:rsidRDefault="002C0C4D" w:rsidP="007422B6">
            <w:pPr>
              <w:spacing w:after="0"/>
              <w:rPr>
                <w:rFonts w:ascii="Roboto" w:hAnsi="Roboto"/>
                <w:color w:val="000000"/>
                <w:sz w:val="16"/>
                <w:szCs w:val="16"/>
                <w:lang w:eastAsia="es-ES_tradnl"/>
              </w:rPr>
            </w:pPr>
          </w:p>
        </w:tc>
        <w:tc>
          <w:tcPr>
            <w:tcW w:w="1257" w:type="dxa"/>
            <w:tcBorders>
              <w:top w:val="nil"/>
              <w:left w:val="nil"/>
              <w:bottom w:val="nil"/>
              <w:right w:val="nil"/>
            </w:tcBorders>
            <w:shd w:val="clear" w:color="auto" w:fill="auto"/>
            <w:noWrap/>
            <w:vAlign w:val="bottom"/>
            <w:hideMark/>
          </w:tcPr>
          <w:p w14:paraId="0B608AFA" w14:textId="77777777" w:rsidR="002C0C4D" w:rsidRPr="006F15E1" w:rsidRDefault="002C0C4D" w:rsidP="007422B6">
            <w:pPr>
              <w:spacing w:after="0"/>
              <w:rPr>
                <w:rFonts w:ascii="Roboto" w:hAnsi="Roboto"/>
                <w:color w:val="000000"/>
                <w:sz w:val="16"/>
                <w:szCs w:val="16"/>
                <w:lang w:eastAsia="es-ES_tradnl"/>
              </w:rPr>
            </w:pPr>
          </w:p>
        </w:tc>
        <w:tc>
          <w:tcPr>
            <w:tcW w:w="160" w:type="dxa"/>
            <w:tcBorders>
              <w:top w:val="nil"/>
              <w:left w:val="nil"/>
              <w:bottom w:val="nil"/>
              <w:right w:val="single" w:sz="8" w:space="0" w:color="auto"/>
            </w:tcBorders>
            <w:shd w:val="clear" w:color="auto" w:fill="auto"/>
            <w:noWrap/>
            <w:vAlign w:val="bottom"/>
            <w:hideMark/>
          </w:tcPr>
          <w:p w14:paraId="11C0466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r w:rsidR="002C0C4D" w:rsidRPr="006F15E1" w14:paraId="61C09C3A" w14:textId="77777777" w:rsidTr="000350F6">
        <w:trPr>
          <w:trHeight w:val="77"/>
          <w:jc w:val="center"/>
        </w:trPr>
        <w:tc>
          <w:tcPr>
            <w:tcW w:w="210" w:type="dxa"/>
            <w:tcBorders>
              <w:top w:val="nil"/>
              <w:left w:val="single" w:sz="8" w:space="0" w:color="auto"/>
              <w:bottom w:val="single" w:sz="8" w:space="0" w:color="auto"/>
              <w:right w:val="nil"/>
            </w:tcBorders>
            <w:shd w:val="clear" w:color="auto" w:fill="auto"/>
            <w:noWrap/>
            <w:vAlign w:val="bottom"/>
            <w:hideMark/>
          </w:tcPr>
          <w:p w14:paraId="1F1DE330"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198" w:type="dxa"/>
            <w:tcBorders>
              <w:top w:val="nil"/>
              <w:left w:val="nil"/>
              <w:bottom w:val="single" w:sz="8" w:space="0" w:color="auto"/>
              <w:right w:val="nil"/>
            </w:tcBorders>
            <w:shd w:val="clear" w:color="auto" w:fill="auto"/>
            <w:noWrap/>
            <w:vAlign w:val="bottom"/>
            <w:hideMark/>
          </w:tcPr>
          <w:p w14:paraId="58A1591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992" w:type="dxa"/>
            <w:gridSpan w:val="2"/>
            <w:tcBorders>
              <w:top w:val="nil"/>
              <w:left w:val="nil"/>
              <w:bottom w:val="single" w:sz="8" w:space="0" w:color="auto"/>
              <w:right w:val="nil"/>
            </w:tcBorders>
            <w:shd w:val="clear" w:color="auto" w:fill="auto"/>
            <w:noWrap/>
            <w:vAlign w:val="bottom"/>
            <w:hideMark/>
          </w:tcPr>
          <w:p w14:paraId="40E2B698"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843" w:type="dxa"/>
            <w:tcBorders>
              <w:top w:val="nil"/>
              <w:left w:val="nil"/>
              <w:bottom w:val="single" w:sz="8" w:space="0" w:color="auto"/>
              <w:right w:val="nil"/>
            </w:tcBorders>
            <w:shd w:val="clear" w:color="auto" w:fill="auto"/>
            <w:noWrap/>
            <w:vAlign w:val="bottom"/>
            <w:hideMark/>
          </w:tcPr>
          <w:p w14:paraId="5483C1C1"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701" w:type="dxa"/>
            <w:tcBorders>
              <w:top w:val="nil"/>
              <w:left w:val="nil"/>
              <w:bottom w:val="single" w:sz="8" w:space="0" w:color="auto"/>
              <w:right w:val="nil"/>
            </w:tcBorders>
            <w:shd w:val="clear" w:color="auto" w:fill="auto"/>
            <w:noWrap/>
            <w:vAlign w:val="bottom"/>
            <w:hideMark/>
          </w:tcPr>
          <w:p w14:paraId="5DACEF77"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257" w:type="dxa"/>
            <w:tcBorders>
              <w:top w:val="nil"/>
              <w:left w:val="nil"/>
              <w:bottom w:val="single" w:sz="8" w:space="0" w:color="auto"/>
              <w:right w:val="nil"/>
            </w:tcBorders>
            <w:shd w:val="clear" w:color="auto" w:fill="auto"/>
            <w:noWrap/>
            <w:vAlign w:val="bottom"/>
            <w:hideMark/>
          </w:tcPr>
          <w:p w14:paraId="4E6B86B7"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c>
          <w:tcPr>
            <w:tcW w:w="160" w:type="dxa"/>
            <w:tcBorders>
              <w:top w:val="nil"/>
              <w:left w:val="nil"/>
              <w:bottom w:val="single" w:sz="8" w:space="0" w:color="auto"/>
              <w:right w:val="single" w:sz="8" w:space="0" w:color="auto"/>
            </w:tcBorders>
            <w:shd w:val="clear" w:color="auto" w:fill="auto"/>
            <w:noWrap/>
            <w:vAlign w:val="bottom"/>
            <w:hideMark/>
          </w:tcPr>
          <w:p w14:paraId="0E1BF632" w14:textId="77777777" w:rsidR="002C0C4D" w:rsidRPr="006F15E1" w:rsidRDefault="002C0C4D" w:rsidP="007422B6">
            <w:pPr>
              <w:spacing w:after="0"/>
              <w:rPr>
                <w:rFonts w:ascii="Roboto" w:hAnsi="Roboto"/>
                <w:color w:val="000000"/>
                <w:sz w:val="16"/>
                <w:szCs w:val="16"/>
                <w:lang w:eastAsia="es-ES_tradnl"/>
              </w:rPr>
            </w:pPr>
            <w:r w:rsidRPr="006F15E1">
              <w:rPr>
                <w:rFonts w:ascii="Roboto" w:hAnsi="Roboto"/>
                <w:color w:val="000000"/>
                <w:sz w:val="16"/>
                <w:szCs w:val="16"/>
                <w:lang w:eastAsia="es-ES_tradnl"/>
              </w:rPr>
              <w:t> </w:t>
            </w:r>
          </w:p>
        </w:tc>
      </w:tr>
    </w:tbl>
    <w:p w14:paraId="08C70E88" w14:textId="33FD5B35" w:rsidR="002C0C4D" w:rsidRPr="006F15E1" w:rsidRDefault="002C0C4D" w:rsidP="007422B6">
      <w:pPr>
        <w:tabs>
          <w:tab w:val="left" w:pos="7056"/>
        </w:tabs>
        <w:spacing w:after="0"/>
        <w:rPr>
          <w:rFonts w:ascii="Roboto" w:hAnsi="Roboto"/>
        </w:rPr>
      </w:pPr>
    </w:p>
    <w:p w14:paraId="4B4E42E5" w14:textId="14693944" w:rsidR="001B14B0" w:rsidRPr="006F15E1" w:rsidRDefault="001B14B0">
      <w:pPr>
        <w:rPr>
          <w:rFonts w:ascii="Roboto" w:hAnsi="Roboto"/>
        </w:rPr>
      </w:pPr>
      <w:r w:rsidRPr="006F15E1">
        <w:rPr>
          <w:rFonts w:ascii="Roboto" w:hAnsi="Roboto"/>
        </w:rPr>
        <w:br w:type="page"/>
      </w:r>
    </w:p>
    <w:p w14:paraId="7C7F3AFB" w14:textId="207554DF" w:rsidR="0055461F" w:rsidRPr="006F15E1" w:rsidRDefault="001B14B0" w:rsidP="007C0945">
      <w:pPr>
        <w:jc w:val="center"/>
        <w:rPr>
          <w:rFonts w:ascii="Roboto" w:hAnsi="Roboto"/>
          <w:b/>
          <w:bCs/>
          <w:iCs/>
          <w:sz w:val="32"/>
          <w:szCs w:val="24"/>
        </w:rPr>
      </w:pPr>
      <w:r w:rsidRPr="006F15E1">
        <w:rPr>
          <w:rFonts w:ascii="Roboto" w:hAnsi="Roboto"/>
          <w:b/>
          <w:sz w:val="16"/>
          <w:szCs w:val="16"/>
        </w:rPr>
        <w:lastRenderedPageBreak/>
        <w:t>Anexo 14</w:t>
      </w:r>
      <w:r w:rsidR="007C0945" w:rsidRPr="006F15E1">
        <w:rPr>
          <w:rFonts w:ascii="Roboto" w:hAnsi="Roboto"/>
          <w:b/>
          <w:sz w:val="16"/>
          <w:szCs w:val="16"/>
        </w:rPr>
        <w:t xml:space="preserve"> Aporte al Instituto Nacional de Estadística y Censos (INEC)</w:t>
      </w:r>
      <w:r w:rsidR="0055461F" w:rsidRPr="006F15E1">
        <w:rPr>
          <w:rStyle w:val="Refdenotaalpie"/>
          <w:rFonts w:ascii="Roboto" w:hAnsi="Roboto"/>
          <w:b/>
          <w:sz w:val="32"/>
          <w:szCs w:val="32"/>
        </w:rPr>
        <w:footnoteReference w:id="43"/>
      </w:r>
      <w:r w:rsidR="0055461F" w:rsidRPr="006F15E1">
        <w:rPr>
          <w:rFonts w:ascii="Roboto" w:hAnsi="Roboto"/>
          <w:b/>
          <w:bCs/>
          <w:iCs/>
          <w:sz w:val="32"/>
          <w:szCs w:val="24"/>
        </w:rPr>
        <w:t>(ELIMINADO)</w:t>
      </w:r>
    </w:p>
    <w:p w14:paraId="7555F033" w14:textId="38069922" w:rsidR="001B14B0" w:rsidRPr="006F15E1" w:rsidRDefault="001B14B0" w:rsidP="001B14B0">
      <w:pPr>
        <w:jc w:val="center"/>
        <w:rPr>
          <w:rFonts w:ascii="Roboto" w:hAnsi="Roboto"/>
          <w:b/>
        </w:rPr>
      </w:pPr>
    </w:p>
    <w:p w14:paraId="23C692AA" w14:textId="7B434CFF" w:rsidR="0049538A" w:rsidRPr="006F15E1" w:rsidRDefault="0049538A">
      <w:pPr>
        <w:rPr>
          <w:rFonts w:ascii="Roboto" w:hAnsi="Roboto"/>
        </w:rPr>
      </w:pPr>
      <w:r w:rsidRPr="006F15E1">
        <w:rPr>
          <w:rFonts w:ascii="Roboto" w:hAnsi="Roboto"/>
        </w:rPr>
        <w:br w:type="page"/>
      </w:r>
    </w:p>
    <w:p w14:paraId="79E244BB" w14:textId="77777777" w:rsidR="0049538A" w:rsidRPr="006F15E1" w:rsidRDefault="0049538A" w:rsidP="0049538A">
      <w:pPr>
        <w:pStyle w:val="Textoindependiente3"/>
        <w:tabs>
          <w:tab w:val="left" w:pos="857"/>
          <w:tab w:val="left" w:pos="1168"/>
        </w:tabs>
        <w:spacing w:after="0"/>
        <w:jc w:val="center"/>
        <w:rPr>
          <w:rFonts w:ascii="Roboto" w:hAnsi="Roboto"/>
          <w:b/>
          <w:bCs/>
          <w:sz w:val="24"/>
          <w:szCs w:val="24"/>
        </w:rPr>
      </w:pPr>
      <w:r w:rsidRPr="006F15E1">
        <w:rPr>
          <w:rFonts w:ascii="Roboto" w:hAnsi="Roboto"/>
          <w:b/>
          <w:bCs/>
          <w:sz w:val="24"/>
          <w:szCs w:val="24"/>
        </w:rPr>
        <w:lastRenderedPageBreak/>
        <w:t>ANEXO 15.</w:t>
      </w:r>
      <w:r w:rsidRPr="006F15E1">
        <w:rPr>
          <w:rStyle w:val="Refdenotaalpie"/>
          <w:rFonts w:ascii="Roboto" w:hAnsi="Roboto"/>
          <w:b/>
          <w:bCs/>
          <w:sz w:val="24"/>
          <w:szCs w:val="24"/>
        </w:rPr>
        <w:footnoteReference w:id="44"/>
      </w:r>
    </w:p>
    <w:p w14:paraId="7873AD9F" w14:textId="77777777" w:rsidR="0049538A" w:rsidRPr="006F15E1" w:rsidRDefault="0049538A" w:rsidP="0049538A">
      <w:pPr>
        <w:pStyle w:val="Textoindependiente3"/>
        <w:tabs>
          <w:tab w:val="left" w:pos="857"/>
          <w:tab w:val="left" w:pos="1168"/>
        </w:tabs>
        <w:spacing w:after="0"/>
        <w:jc w:val="center"/>
        <w:rPr>
          <w:rFonts w:ascii="Roboto" w:hAnsi="Roboto"/>
          <w:b/>
          <w:bCs/>
          <w:sz w:val="24"/>
          <w:szCs w:val="24"/>
        </w:rPr>
      </w:pPr>
      <w:r w:rsidRPr="006F15E1">
        <w:rPr>
          <w:rFonts w:ascii="Roboto" w:hAnsi="Roboto"/>
          <w:b/>
          <w:bCs/>
          <w:sz w:val="24"/>
          <w:szCs w:val="24"/>
        </w:rPr>
        <w:t>Requerimiento de Información Crediticia</w:t>
      </w:r>
    </w:p>
    <w:p w14:paraId="08D897FD" w14:textId="77777777" w:rsidR="0049538A" w:rsidRPr="006F15E1" w:rsidRDefault="0049538A" w:rsidP="0049538A">
      <w:pPr>
        <w:pStyle w:val="Textoindependiente3"/>
        <w:tabs>
          <w:tab w:val="left" w:pos="857"/>
          <w:tab w:val="left" w:pos="1168"/>
        </w:tabs>
        <w:spacing w:after="0"/>
        <w:jc w:val="both"/>
        <w:rPr>
          <w:rFonts w:ascii="Roboto" w:hAnsi="Roboto"/>
          <w:b/>
          <w:bCs/>
          <w:sz w:val="24"/>
          <w:szCs w:val="24"/>
        </w:rPr>
      </w:pPr>
    </w:p>
    <w:bookmarkStart w:id="3" w:name="_MON_1745319921"/>
    <w:bookmarkEnd w:id="3"/>
    <w:p w14:paraId="5FEDCCD8" w14:textId="784B75AF" w:rsidR="001B14B0" w:rsidRDefault="0049538A" w:rsidP="0049538A">
      <w:pPr>
        <w:tabs>
          <w:tab w:val="left" w:pos="7056"/>
        </w:tabs>
        <w:spacing w:after="0"/>
        <w:jc w:val="center"/>
        <w:rPr>
          <w:rFonts w:ascii="Roboto" w:hAnsi="Roboto"/>
          <w:b/>
          <w:bCs/>
          <w:iCs/>
        </w:rPr>
      </w:pPr>
      <w:r w:rsidRPr="006F15E1">
        <w:rPr>
          <w:rFonts w:ascii="Roboto" w:hAnsi="Roboto"/>
          <w:b/>
          <w:bCs/>
          <w:iCs/>
        </w:rPr>
        <w:object w:dxaOrig="1779" w:dyaOrig="1158" w14:anchorId="3A4B6804">
          <v:shape id="_x0000_i1029" type="#_x0000_t75" style="width:88.8pt;height:57.6pt" o:ole="">
            <v:imagedata r:id="rId24" o:title=""/>
          </v:shape>
          <o:OLEObject Type="Embed" ProgID="Excel.Sheet.12" ShapeID="_x0000_i1029" DrawAspect="Icon" ObjectID="_1810445381" r:id="rId25"/>
        </w:object>
      </w:r>
    </w:p>
    <w:p w14:paraId="03F5BA18" w14:textId="77777777" w:rsidR="003A6DE4" w:rsidRDefault="003A6DE4" w:rsidP="0049538A">
      <w:pPr>
        <w:tabs>
          <w:tab w:val="left" w:pos="7056"/>
        </w:tabs>
        <w:spacing w:after="0"/>
        <w:jc w:val="center"/>
        <w:rPr>
          <w:rFonts w:ascii="Roboto" w:hAnsi="Roboto"/>
          <w:b/>
          <w:bCs/>
          <w:iCs/>
        </w:rPr>
      </w:pPr>
    </w:p>
    <w:p w14:paraId="257AED81" w14:textId="77777777" w:rsidR="003A6DE4" w:rsidRDefault="003A6DE4" w:rsidP="0049538A">
      <w:pPr>
        <w:tabs>
          <w:tab w:val="left" w:pos="7056"/>
        </w:tabs>
        <w:spacing w:after="0"/>
        <w:jc w:val="center"/>
        <w:rPr>
          <w:rFonts w:ascii="Roboto" w:hAnsi="Roboto"/>
          <w:b/>
          <w:bCs/>
          <w:iCs/>
        </w:rPr>
      </w:pPr>
    </w:p>
    <w:p w14:paraId="3C214D79" w14:textId="64A5DF11" w:rsidR="003A6DE4" w:rsidRDefault="003A6DE4">
      <w:pPr>
        <w:rPr>
          <w:rFonts w:ascii="Roboto" w:hAnsi="Roboto"/>
          <w:b/>
          <w:bCs/>
          <w:iCs/>
        </w:rPr>
      </w:pPr>
      <w:r>
        <w:rPr>
          <w:rFonts w:ascii="Roboto" w:hAnsi="Roboto"/>
          <w:b/>
          <w:bCs/>
          <w:iCs/>
        </w:rPr>
        <w:br w:type="page"/>
      </w:r>
    </w:p>
    <w:p w14:paraId="40461D7D" w14:textId="77777777" w:rsidR="003A6DE4" w:rsidRPr="00B42D6A" w:rsidRDefault="003A6DE4" w:rsidP="003A6DE4">
      <w:pPr>
        <w:pStyle w:val="Prrafodelista"/>
        <w:spacing w:after="0" w:line="240" w:lineRule="auto"/>
        <w:ind w:left="567"/>
        <w:jc w:val="center"/>
        <w:rPr>
          <w:rFonts w:ascii="Roboto" w:hAnsi="Roboto"/>
          <w:b/>
          <w:bCs/>
          <w:sz w:val="24"/>
          <w:szCs w:val="24"/>
        </w:rPr>
      </w:pPr>
      <w:r w:rsidRPr="00B42D6A">
        <w:rPr>
          <w:rFonts w:ascii="Roboto" w:hAnsi="Roboto"/>
          <w:b/>
          <w:bCs/>
          <w:sz w:val="24"/>
          <w:szCs w:val="24"/>
        </w:rPr>
        <w:lastRenderedPageBreak/>
        <w:t>ANEXO 16.</w:t>
      </w:r>
      <w:r>
        <w:rPr>
          <w:rStyle w:val="Refdenotaalpie"/>
          <w:rFonts w:ascii="Roboto" w:hAnsi="Roboto"/>
          <w:b/>
          <w:bCs/>
          <w:sz w:val="24"/>
          <w:szCs w:val="24"/>
        </w:rPr>
        <w:footnoteReference w:id="45"/>
      </w:r>
    </w:p>
    <w:p w14:paraId="5CE60A3E" w14:textId="77777777" w:rsidR="003A6DE4" w:rsidRPr="00B42D6A" w:rsidRDefault="003A6DE4" w:rsidP="003A6DE4">
      <w:pPr>
        <w:pStyle w:val="Prrafodelista"/>
        <w:spacing w:after="0" w:line="240" w:lineRule="auto"/>
        <w:ind w:left="567"/>
        <w:jc w:val="center"/>
        <w:rPr>
          <w:rFonts w:ascii="Roboto" w:hAnsi="Roboto"/>
          <w:b/>
          <w:sz w:val="24"/>
          <w:szCs w:val="24"/>
        </w:rPr>
      </w:pPr>
      <w:r w:rsidRPr="00B42D6A">
        <w:rPr>
          <w:rFonts w:ascii="Roboto" w:hAnsi="Roboto"/>
          <w:b/>
          <w:sz w:val="24"/>
          <w:szCs w:val="24"/>
        </w:rPr>
        <w:t>Oficio de remisión del informe trimestral de la gestión realizada por la Instancia de Atención del Consumidor de Seguros (Defensoría del Asegurado)</w:t>
      </w:r>
    </w:p>
    <w:p w14:paraId="0023D175" w14:textId="77777777" w:rsidR="003A6DE4" w:rsidRDefault="003A6DE4" w:rsidP="003A6DE4">
      <w:pPr>
        <w:pStyle w:val="Prrafodelista"/>
        <w:spacing w:after="0" w:line="240" w:lineRule="auto"/>
        <w:ind w:left="1080"/>
        <w:jc w:val="both"/>
        <w:rPr>
          <w:rFonts w:ascii="Roboto" w:hAnsi="Roboto"/>
          <w:b/>
          <w:sz w:val="24"/>
          <w:szCs w:val="24"/>
        </w:rPr>
      </w:pPr>
    </w:p>
    <w:p w14:paraId="79271C50" w14:textId="77777777" w:rsidR="003A6DE4" w:rsidRDefault="003A6DE4" w:rsidP="003A6DE4">
      <w:pPr>
        <w:pStyle w:val="Prrafodelista"/>
        <w:spacing w:after="0" w:line="240" w:lineRule="auto"/>
        <w:ind w:left="1080"/>
        <w:jc w:val="both"/>
        <w:rPr>
          <w:rFonts w:ascii="Roboto" w:hAnsi="Roboto"/>
          <w:b/>
          <w:sz w:val="24"/>
          <w:szCs w:val="24"/>
        </w:rPr>
      </w:pPr>
    </w:p>
    <w:p w14:paraId="6C762CB6" w14:textId="77777777" w:rsidR="003A6DE4" w:rsidRPr="00B42D6A" w:rsidRDefault="003A6DE4" w:rsidP="003A6DE4">
      <w:pPr>
        <w:pStyle w:val="Prrafodelista"/>
        <w:spacing w:after="0" w:line="240" w:lineRule="auto"/>
        <w:ind w:left="1080"/>
        <w:jc w:val="both"/>
        <w:rPr>
          <w:rFonts w:ascii="Roboto" w:hAnsi="Roboto"/>
          <w:b/>
          <w:sz w:val="24"/>
          <w:szCs w:val="24"/>
        </w:rPr>
      </w:pPr>
    </w:p>
    <w:bookmarkStart w:id="4" w:name="_MON_1799566143"/>
    <w:bookmarkEnd w:id="4"/>
    <w:p w14:paraId="0C9E2FE4" w14:textId="77777777" w:rsidR="003A6DE4" w:rsidRDefault="003A6DE4" w:rsidP="003A6DE4">
      <w:pPr>
        <w:pStyle w:val="Prrafodelista"/>
        <w:spacing w:after="0" w:line="240" w:lineRule="auto"/>
        <w:ind w:left="1080"/>
        <w:jc w:val="center"/>
        <w:rPr>
          <w:rFonts w:ascii="Roboto" w:hAnsi="Roboto"/>
          <w:b/>
        </w:rPr>
      </w:pPr>
      <w:r w:rsidRPr="006E7015">
        <w:rPr>
          <w:rFonts w:ascii="Arial Narrow" w:hAnsi="Arial Narrow" w:cstheme="minorHAnsi"/>
        </w:rPr>
        <w:object w:dxaOrig="1508" w:dyaOrig="983" w14:anchorId="1062327B">
          <v:shape id="_x0000_i1039" type="#_x0000_t75" style="width:75pt;height:49.8pt" o:ole="">
            <v:imagedata r:id="rId26" o:title=""/>
          </v:shape>
          <o:OLEObject Type="Embed" ProgID="Word.Document.12" ShapeID="_x0000_i1039" DrawAspect="Icon" ObjectID="_1810445382" r:id="rId27">
            <o:FieldCodes>\s</o:FieldCodes>
          </o:OLEObject>
        </w:object>
      </w:r>
    </w:p>
    <w:p w14:paraId="2B9FF55A" w14:textId="77777777" w:rsidR="003A6DE4" w:rsidRDefault="003A6DE4" w:rsidP="003A6DE4">
      <w:pPr>
        <w:rPr>
          <w:rFonts w:ascii="Roboto" w:hAnsi="Roboto"/>
        </w:rPr>
      </w:pPr>
      <w:r>
        <w:rPr>
          <w:rFonts w:ascii="Roboto" w:hAnsi="Roboto"/>
        </w:rPr>
        <w:br w:type="page"/>
      </w:r>
    </w:p>
    <w:p w14:paraId="32944806" w14:textId="77777777" w:rsidR="003A6DE4" w:rsidRPr="00B42D6A" w:rsidRDefault="003A6DE4" w:rsidP="003A6DE4">
      <w:pPr>
        <w:pStyle w:val="Prrafodelista"/>
        <w:spacing w:after="0" w:line="240" w:lineRule="auto"/>
        <w:ind w:left="709"/>
        <w:jc w:val="center"/>
        <w:rPr>
          <w:rFonts w:ascii="Roboto" w:hAnsi="Roboto"/>
          <w:b/>
          <w:bCs/>
          <w:sz w:val="24"/>
          <w:szCs w:val="24"/>
        </w:rPr>
      </w:pPr>
      <w:r w:rsidRPr="00B42D6A">
        <w:rPr>
          <w:rFonts w:ascii="Roboto" w:hAnsi="Roboto"/>
          <w:b/>
          <w:bCs/>
          <w:sz w:val="24"/>
          <w:szCs w:val="24"/>
        </w:rPr>
        <w:lastRenderedPageBreak/>
        <w:t>ANEXO 17.</w:t>
      </w:r>
      <w:r>
        <w:rPr>
          <w:rStyle w:val="Refdenotaalpie"/>
          <w:rFonts w:ascii="Roboto" w:hAnsi="Roboto"/>
          <w:b/>
          <w:bCs/>
          <w:sz w:val="24"/>
          <w:szCs w:val="24"/>
        </w:rPr>
        <w:footnoteReference w:id="46"/>
      </w:r>
    </w:p>
    <w:p w14:paraId="7D9BEF35" w14:textId="77777777" w:rsidR="003A6DE4" w:rsidRDefault="003A6DE4" w:rsidP="003A6DE4">
      <w:pPr>
        <w:pStyle w:val="Prrafodelista"/>
        <w:spacing w:after="0" w:line="240" w:lineRule="auto"/>
        <w:ind w:left="709"/>
        <w:jc w:val="center"/>
        <w:rPr>
          <w:rFonts w:ascii="Roboto" w:hAnsi="Roboto"/>
          <w:b/>
          <w:sz w:val="24"/>
          <w:szCs w:val="24"/>
        </w:rPr>
      </w:pPr>
      <w:r w:rsidRPr="00B42D6A">
        <w:rPr>
          <w:rFonts w:ascii="Roboto" w:hAnsi="Roboto"/>
          <w:b/>
          <w:sz w:val="24"/>
          <w:szCs w:val="24"/>
        </w:rPr>
        <w:t>Matriz con información estadística del informe trimestral de la Instancia de Atención del Consumidor de Seguros (Defensoría del Asegurado)</w:t>
      </w:r>
    </w:p>
    <w:p w14:paraId="6234CD12" w14:textId="77777777" w:rsidR="003A6DE4" w:rsidRPr="00B42D6A" w:rsidRDefault="003A6DE4" w:rsidP="003A6DE4">
      <w:pPr>
        <w:pStyle w:val="Prrafodelista"/>
        <w:spacing w:after="0" w:line="240" w:lineRule="auto"/>
        <w:ind w:left="709"/>
        <w:jc w:val="center"/>
        <w:rPr>
          <w:rFonts w:ascii="Roboto" w:hAnsi="Roboto"/>
          <w:b/>
          <w:sz w:val="24"/>
          <w:szCs w:val="24"/>
        </w:rPr>
      </w:pPr>
    </w:p>
    <w:bookmarkStart w:id="5" w:name="_MON_1798952883"/>
    <w:bookmarkEnd w:id="5"/>
    <w:p w14:paraId="1EAC1F75" w14:textId="5B79FC86" w:rsidR="003A6DE4" w:rsidRDefault="00BF6436" w:rsidP="003A6DE4">
      <w:pPr>
        <w:pStyle w:val="Prrafodelista"/>
        <w:spacing w:after="0" w:line="240" w:lineRule="auto"/>
        <w:ind w:left="1080"/>
        <w:jc w:val="center"/>
        <w:rPr>
          <w:rFonts w:ascii="Roboto" w:hAnsi="Roboto"/>
          <w:b/>
        </w:rPr>
      </w:pPr>
      <w:r w:rsidRPr="006E7015">
        <w:rPr>
          <w:rFonts w:ascii="Arial Narrow" w:hAnsi="Arial Narrow" w:cstheme="minorHAnsi"/>
        </w:rPr>
        <w:object w:dxaOrig="1376" w:dyaOrig="893" w14:anchorId="22375860">
          <v:shape id="_x0000_i1044" type="#_x0000_t75" style="width:68.4pt;height:45pt" o:ole="">
            <v:imagedata r:id="rId28" o:title=""/>
          </v:shape>
          <o:OLEObject Type="Embed" ProgID="Excel.Sheet.12" ShapeID="_x0000_i1044" DrawAspect="Icon" ObjectID="_1810445383" r:id="rId29"/>
        </w:object>
      </w:r>
    </w:p>
    <w:p w14:paraId="4C3F7EE8" w14:textId="77777777" w:rsidR="003A6DE4" w:rsidRPr="00456525" w:rsidRDefault="003A6DE4" w:rsidP="003A6DE4">
      <w:pPr>
        <w:tabs>
          <w:tab w:val="left" w:pos="7056"/>
        </w:tabs>
        <w:spacing w:after="0"/>
        <w:rPr>
          <w:rFonts w:ascii="Roboto" w:hAnsi="Roboto"/>
        </w:rPr>
      </w:pPr>
    </w:p>
    <w:p w14:paraId="4A6B6D49" w14:textId="77777777" w:rsidR="003A6DE4" w:rsidRPr="006F15E1" w:rsidRDefault="003A6DE4" w:rsidP="0049538A">
      <w:pPr>
        <w:tabs>
          <w:tab w:val="left" w:pos="7056"/>
        </w:tabs>
        <w:spacing w:after="0"/>
        <w:jc w:val="center"/>
        <w:rPr>
          <w:rFonts w:ascii="Roboto" w:hAnsi="Roboto"/>
        </w:rPr>
      </w:pPr>
    </w:p>
    <w:sectPr w:rsidR="003A6DE4" w:rsidRPr="006F15E1" w:rsidSect="00805C28">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98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19FD4" w14:textId="77777777" w:rsidR="00AF4AF3" w:rsidRDefault="00AF4AF3">
      <w:pPr>
        <w:spacing w:after="0" w:line="240" w:lineRule="auto"/>
      </w:pPr>
      <w:r>
        <w:separator/>
      </w:r>
    </w:p>
  </w:endnote>
  <w:endnote w:type="continuationSeparator" w:id="0">
    <w:p w14:paraId="3DB942B0" w14:textId="77777777" w:rsidR="00AF4AF3" w:rsidRDefault="00AF4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6233" w14:textId="77777777" w:rsidR="00EC2F13" w:rsidRDefault="00EC2F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761A" w14:textId="68591515" w:rsidR="00B804E5" w:rsidRDefault="00B56391" w:rsidP="00522F86">
    <w:pPr>
      <w:pStyle w:val="Piedepgina"/>
      <w:pBdr>
        <w:bottom w:val="single" w:sz="4" w:space="1" w:color="auto"/>
      </w:pBdr>
      <w:rPr>
        <w:sz w:val="16"/>
        <w:szCs w:val="16"/>
      </w:rPr>
    </w:pPr>
    <w:r>
      <w:rPr>
        <w:noProof/>
        <w:sz w:val="16"/>
        <w:szCs w:val="16"/>
      </w:rPr>
      <mc:AlternateContent>
        <mc:Choice Requires="wps">
          <w:drawing>
            <wp:anchor distT="0" distB="0" distL="114300" distR="114300" simplePos="0" relativeHeight="251662336" behindDoc="0" locked="0" layoutInCell="0" allowOverlap="1" wp14:anchorId="3C8AB573" wp14:editId="25C19696">
              <wp:simplePos x="0" y="0"/>
              <wp:positionH relativeFrom="page">
                <wp:posOffset>0</wp:posOffset>
              </wp:positionH>
              <wp:positionV relativeFrom="page">
                <wp:posOffset>9594215</wp:posOffset>
              </wp:positionV>
              <wp:extent cx="7772400" cy="273050"/>
              <wp:effectExtent l="0" t="0" r="0" b="12700"/>
              <wp:wrapNone/>
              <wp:docPr id="4" name="MSIPCM4b71439eb5a23f524aa7a480"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FD27FD" w14:textId="5BD014C5" w:rsidR="00B56391" w:rsidRPr="00B56391" w:rsidRDefault="00B56391" w:rsidP="00B56391">
                          <w:pPr>
                            <w:spacing w:after="0"/>
                            <w:jc w:val="center"/>
                            <w:rPr>
                              <w:rFonts w:ascii="Calibri" w:hAnsi="Calibri" w:cs="Calibri"/>
                              <w:color w:val="000000"/>
                              <w:sz w:val="20"/>
                            </w:rPr>
                          </w:pPr>
                          <w:r w:rsidRPr="00B5639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8AB573" id="_x0000_t202" coordsize="21600,21600" o:spt="202" path="m,l,21600r21600,l21600,xe">
              <v:stroke joinstyle="miter"/>
              <v:path gradientshapeok="t" o:connecttype="rect"/>
            </v:shapetype>
            <v:shape id="MSIPCM4b71439eb5a23f524aa7a480"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1EFD27FD" w14:textId="5BD014C5" w:rsidR="00B56391" w:rsidRPr="00B56391" w:rsidRDefault="00B56391" w:rsidP="00B56391">
                    <w:pPr>
                      <w:spacing w:after="0"/>
                      <w:jc w:val="center"/>
                      <w:rPr>
                        <w:rFonts w:ascii="Calibri" w:hAnsi="Calibri" w:cs="Calibri"/>
                        <w:color w:val="000000"/>
                        <w:sz w:val="20"/>
                      </w:rPr>
                    </w:pPr>
                    <w:r w:rsidRPr="00B56391">
                      <w:rPr>
                        <w:rFonts w:ascii="Calibri" w:hAnsi="Calibri" w:cs="Calibri"/>
                        <w:color w:val="000000"/>
                        <w:sz w:val="20"/>
                      </w:rPr>
                      <w:t>Uso Interno</w:t>
                    </w:r>
                  </w:p>
                </w:txbxContent>
              </v:textbox>
              <w10:wrap anchorx="page" anchory="page"/>
            </v:shape>
          </w:pict>
        </mc:Fallback>
      </mc:AlternateContent>
    </w:r>
  </w:p>
  <w:p w14:paraId="22DDB710" w14:textId="77777777" w:rsidR="00B804E5" w:rsidRDefault="00B804E5" w:rsidP="00522F86">
    <w:pPr>
      <w:pStyle w:val="Piedepgina"/>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w:t>
    </w:r>
    <w:proofErr w:type="gramStart"/>
    <w:r w:rsidRPr="00121F8C">
      <w:rPr>
        <w:rFonts w:ascii="Baskerville Old Face" w:hAnsi="Baskerville Old Face"/>
        <w:sz w:val="18"/>
        <w:szCs w:val="18"/>
      </w:rPr>
      <w:t>5103  •</w:t>
    </w:r>
    <w:proofErr w:type="gramEnd"/>
    <w:r w:rsidRPr="00121F8C">
      <w:rPr>
        <w:rFonts w:ascii="Baskerville Old Face" w:hAnsi="Baskerville Old Face"/>
        <w:sz w:val="18"/>
        <w:szCs w:val="18"/>
      </w:rPr>
      <w:t xml:space="preserve">  Fax: 2243-5151</w:t>
    </w:r>
  </w:p>
  <w:p w14:paraId="2EC49EC8" w14:textId="5CC5BF2B" w:rsidR="00B804E5" w:rsidRDefault="00B804E5" w:rsidP="00522F86">
    <w:pPr>
      <w:pStyle w:val="Piedepgina"/>
      <w:jc w:val="right"/>
      <w:rPr>
        <w:rFonts w:ascii="Baskerville Old Face" w:hAnsi="Baskerville Old Face"/>
        <w:sz w:val="18"/>
        <w:szCs w:val="18"/>
      </w:rPr>
    </w:pPr>
    <w:r>
      <w:rPr>
        <w:rFonts w:ascii="Baskerville Old Face" w:hAnsi="Baskerville Old Face"/>
        <w:sz w:val="18"/>
        <w:szCs w:val="18"/>
      </w:rPr>
      <w:t xml:space="preserve">Dirección: </w:t>
    </w:r>
    <w:r w:rsidRPr="00121F8C">
      <w:rPr>
        <w:rFonts w:ascii="Baskerville Old Face" w:hAnsi="Baskerville Old Face"/>
        <w:sz w:val="18"/>
        <w:szCs w:val="18"/>
      </w:rPr>
      <w:t>Edificio</w:t>
    </w:r>
    <w:r>
      <w:rPr>
        <w:rFonts w:ascii="Baskerville Old Face" w:hAnsi="Baskerville Old Face"/>
        <w:sz w:val="18"/>
        <w:szCs w:val="18"/>
      </w:rPr>
      <w:t xml:space="preserve"> </w:t>
    </w:r>
    <w:proofErr w:type="spellStart"/>
    <w:r>
      <w:rPr>
        <w:rFonts w:ascii="Baskerville Old Face" w:hAnsi="Baskerville Old Face"/>
        <w:sz w:val="18"/>
        <w:szCs w:val="18"/>
      </w:rPr>
      <w:t>ODMs</w:t>
    </w:r>
    <w:proofErr w:type="spellEnd"/>
    <w:r>
      <w:rPr>
        <w:rFonts w:ascii="Baskerville Old Face" w:hAnsi="Baskerville Old Face"/>
        <w:sz w:val="18"/>
        <w:szCs w:val="18"/>
      </w:rPr>
      <w:t>, Barrio</w:t>
    </w:r>
    <w:r w:rsidRPr="00121F8C">
      <w:rPr>
        <w:rFonts w:ascii="Baskerville Old Face" w:hAnsi="Baskerville Old Face"/>
        <w:sz w:val="18"/>
        <w:szCs w:val="18"/>
      </w:rPr>
      <w:t xml:space="preserve"> </w:t>
    </w:r>
    <w:proofErr w:type="spellStart"/>
    <w:r w:rsidRPr="00121F8C">
      <w:rPr>
        <w:rFonts w:ascii="Baskerville Old Face" w:hAnsi="Baskerville Old Face"/>
        <w:sz w:val="18"/>
        <w:szCs w:val="18"/>
      </w:rPr>
      <w:t>To</w:t>
    </w:r>
    <w:r>
      <w:rPr>
        <w:rFonts w:ascii="Baskerville Old Face" w:hAnsi="Baskerville Old Face"/>
        <w:sz w:val="18"/>
        <w:szCs w:val="18"/>
      </w:rPr>
      <w:t>u</w:t>
    </w:r>
    <w:r w:rsidRPr="00121F8C">
      <w:rPr>
        <w:rFonts w:ascii="Baskerville Old Face" w:hAnsi="Baskerville Old Face"/>
        <w:sz w:val="18"/>
        <w:szCs w:val="18"/>
      </w:rPr>
      <w:t>r</w:t>
    </w:r>
    <w:r>
      <w:rPr>
        <w:rFonts w:ascii="Baskerville Old Face" w:hAnsi="Baskerville Old Face"/>
        <w:sz w:val="18"/>
        <w:szCs w:val="18"/>
      </w:rPr>
      <w:t>non</w:t>
    </w:r>
    <w:proofErr w:type="spellEnd"/>
    <w:r>
      <w:rPr>
        <w:rFonts w:ascii="Baskerville Old Face" w:hAnsi="Baskerville Old Face"/>
        <w:sz w:val="18"/>
        <w:szCs w:val="18"/>
      </w:rPr>
      <w:t>, Piso 4</w:t>
    </w:r>
  </w:p>
  <w:p w14:paraId="480C1A73" w14:textId="77777777" w:rsidR="00B804E5" w:rsidRPr="00121F8C" w:rsidRDefault="00B804E5" w:rsidP="00522F86">
    <w:pPr>
      <w:pStyle w:val="Piedepgina"/>
      <w:jc w:val="right"/>
      <w:rPr>
        <w:rFonts w:ascii="Baskerville Old Face" w:hAnsi="Baskerville Old Face"/>
        <w:sz w:val="18"/>
        <w:szCs w:val="18"/>
      </w:rPr>
    </w:pPr>
    <w:hyperlink r:id="rId1" w:history="1">
      <w:r w:rsidRPr="00121F8C">
        <w:rPr>
          <w:rStyle w:val="Hipervnculo"/>
          <w:rFonts w:ascii="Baskerville Old Face" w:hAnsi="Baskerville Old Face"/>
          <w:sz w:val="18"/>
          <w:szCs w:val="18"/>
        </w:rPr>
        <w:t>sugese@sugese.fi.cr</w:t>
      </w:r>
    </w:hyperlink>
  </w:p>
  <w:p w14:paraId="0A9D9DB7" w14:textId="77777777" w:rsidR="00B804E5" w:rsidRDefault="00B804E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8F8D" w14:textId="2AABF789" w:rsidR="0034631E" w:rsidRDefault="00B56391">
    <w:pPr>
      <w:pStyle w:val="Piedepgina"/>
    </w:pPr>
    <w:r>
      <w:rPr>
        <w:noProof/>
      </w:rPr>
      <mc:AlternateContent>
        <mc:Choice Requires="wps">
          <w:drawing>
            <wp:anchor distT="0" distB="0" distL="114300" distR="114300" simplePos="0" relativeHeight="251663360" behindDoc="0" locked="0" layoutInCell="0" allowOverlap="1" wp14:anchorId="224401DC" wp14:editId="2AA21E2F">
              <wp:simplePos x="0" y="0"/>
              <wp:positionH relativeFrom="page">
                <wp:posOffset>0</wp:posOffset>
              </wp:positionH>
              <wp:positionV relativeFrom="page">
                <wp:posOffset>9594215</wp:posOffset>
              </wp:positionV>
              <wp:extent cx="7772400" cy="273050"/>
              <wp:effectExtent l="0" t="0" r="0" b="12700"/>
              <wp:wrapNone/>
              <wp:docPr id="5" name="MSIPCM439b439caa954b0a95bc2175"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03D243" w14:textId="5AA241E9" w:rsidR="00B56391" w:rsidRPr="00B56391" w:rsidRDefault="00B56391" w:rsidP="00B56391">
                          <w:pPr>
                            <w:spacing w:after="0"/>
                            <w:jc w:val="center"/>
                            <w:rPr>
                              <w:rFonts w:ascii="Calibri" w:hAnsi="Calibri" w:cs="Calibri"/>
                              <w:color w:val="000000"/>
                              <w:sz w:val="20"/>
                            </w:rPr>
                          </w:pPr>
                          <w:r w:rsidRPr="00B5639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4401DC" id="_x0000_t202" coordsize="21600,21600" o:spt="202" path="m,l,21600r21600,l21600,xe">
              <v:stroke joinstyle="miter"/>
              <v:path gradientshapeok="t" o:connecttype="rect"/>
            </v:shapetype>
            <v:shape id="MSIPCM439b439caa954b0a95bc2175"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0303D243" w14:textId="5AA241E9" w:rsidR="00B56391" w:rsidRPr="00B56391" w:rsidRDefault="00B56391" w:rsidP="00B56391">
                    <w:pPr>
                      <w:spacing w:after="0"/>
                      <w:jc w:val="center"/>
                      <w:rPr>
                        <w:rFonts w:ascii="Calibri" w:hAnsi="Calibri" w:cs="Calibri"/>
                        <w:color w:val="000000"/>
                        <w:sz w:val="20"/>
                      </w:rPr>
                    </w:pPr>
                    <w:r w:rsidRPr="00B56391">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F0BA5" w14:textId="77777777" w:rsidR="00AF4AF3" w:rsidRDefault="00AF4AF3">
      <w:pPr>
        <w:spacing w:after="0" w:line="240" w:lineRule="auto"/>
      </w:pPr>
      <w:r>
        <w:separator/>
      </w:r>
    </w:p>
  </w:footnote>
  <w:footnote w:type="continuationSeparator" w:id="0">
    <w:p w14:paraId="2EE20C24" w14:textId="77777777" w:rsidR="00AF4AF3" w:rsidRDefault="00AF4AF3">
      <w:pPr>
        <w:spacing w:after="0" w:line="240" w:lineRule="auto"/>
      </w:pPr>
      <w:r>
        <w:continuationSeparator/>
      </w:r>
    </w:p>
  </w:footnote>
  <w:footnote w:id="1">
    <w:p w14:paraId="47B3DAB8" w14:textId="2ABABDF8" w:rsidR="00B804E5" w:rsidRPr="00D15E6B" w:rsidRDefault="00B804E5">
      <w:pPr>
        <w:pStyle w:val="Textonotapie"/>
        <w:rPr>
          <w:lang w:val="es-CR"/>
        </w:rPr>
      </w:pPr>
      <w:r>
        <w:rPr>
          <w:rStyle w:val="Refdenotaalpie"/>
        </w:rPr>
        <w:footnoteRef/>
      </w:r>
      <w:r>
        <w:t xml:space="preserve"> </w:t>
      </w:r>
      <w:r w:rsidR="00284756" w:rsidRPr="008353F1">
        <w:rPr>
          <w:rFonts w:asciiTheme="majorHAnsi" w:hAnsiTheme="majorHAnsi"/>
          <w:lang w:val="es-CR"/>
        </w:rPr>
        <w:t xml:space="preserve">Fecha última actualización </w:t>
      </w:r>
      <w:r w:rsidR="006F15E1">
        <w:rPr>
          <w:rFonts w:asciiTheme="majorHAnsi" w:hAnsiTheme="majorHAnsi"/>
          <w:lang w:val="es-CR"/>
        </w:rPr>
        <w:t>03</w:t>
      </w:r>
      <w:r w:rsidR="00284756" w:rsidRPr="008353F1">
        <w:rPr>
          <w:rFonts w:asciiTheme="majorHAnsi" w:hAnsiTheme="majorHAnsi"/>
          <w:lang w:val="es-CR"/>
        </w:rPr>
        <w:t>/</w:t>
      </w:r>
      <w:r w:rsidR="00730A59">
        <w:rPr>
          <w:rFonts w:asciiTheme="majorHAnsi" w:hAnsiTheme="majorHAnsi"/>
          <w:lang w:val="es-CR"/>
        </w:rPr>
        <w:t>0</w:t>
      </w:r>
      <w:r w:rsidR="006F15E1">
        <w:rPr>
          <w:rFonts w:asciiTheme="majorHAnsi" w:hAnsiTheme="majorHAnsi"/>
          <w:lang w:val="es-CR"/>
        </w:rPr>
        <w:t>6</w:t>
      </w:r>
      <w:r w:rsidR="00284756" w:rsidRPr="008353F1">
        <w:rPr>
          <w:rFonts w:asciiTheme="majorHAnsi" w:hAnsiTheme="majorHAnsi"/>
          <w:lang w:val="es-CR"/>
        </w:rPr>
        <w:t>/202</w:t>
      </w:r>
      <w:r w:rsidR="006F15E1">
        <w:rPr>
          <w:rFonts w:asciiTheme="majorHAnsi" w:hAnsiTheme="majorHAnsi"/>
          <w:lang w:val="es-CR"/>
        </w:rPr>
        <w:t>5</w:t>
      </w:r>
      <w:r w:rsidR="00284756" w:rsidRPr="008353F1">
        <w:rPr>
          <w:rFonts w:asciiTheme="majorHAnsi" w:hAnsiTheme="majorHAnsi"/>
          <w:lang w:val="es-CR"/>
        </w:rPr>
        <w:t>. Modificado</w:t>
      </w:r>
      <w:r w:rsidR="00284756" w:rsidRPr="008353F1">
        <w:rPr>
          <w:rFonts w:asciiTheme="majorHAnsi" w:hAnsiTheme="majorHAnsi"/>
        </w:rPr>
        <w:t xml:space="preserve"> mediante </w:t>
      </w:r>
      <w:r w:rsidR="00284756">
        <w:rPr>
          <w:rFonts w:asciiTheme="majorHAnsi" w:hAnsiTheme="majorHAnsi"/>
        </w:rPr>
        <w:t>a</w:t>
      </w:r>
      <w:r w:rsidR="00284756" w:rsidRPr="008353F1">
        <w:rPr>
          <w:rFonts w:asciiTheme="majorHAnsi" w:hAnsiTheme="majorHAnsi"/>
        </w:rPr>
        <w:t>cuerdo de Superintendente SGS-A-0</w:t>
      </w:r>
      <w:r w:rsidR="00730A59">
        <w:rPr>
          <w:rFonts w:asciiTheme="majorHAnsi" w:hAnsiTheme="majorHAnsi"/>
        </w:rPr>
        <w:t>10</w:t>
      </w:r>
      <w:r w:rsidR="006F15E1">
        <w:rPr>
          <w:rFonts w:asciiTheme="majorHAnsi" w:hAnsiTheme="majorHAnsi"/>
        </w:rPr>
        <w:t>5</w:t>
      </w:r>
      <w:r w:rsidR="00284756" w:rsidRPr="008353F1">
        <w:rPr>
          <w:rFonts w:asciiTheme="majorHAnsi" w:hAnsiTheme="majorHAnsi"/>
        </w:rPr>
        <w:t>-202</w:t>
      </w:r>
      <w:r w:rsidR="006F15E1">
        <w:rPr>
          <w:rFonts w:asciiTheme="majorHAnsi" w:hAnsiTheme="majorHAnsi"/>
        </w:rPr>
        <w:t>5</w:t>
      </w:r>
      <w:r w:rsidR="00284756" w:rsidRPr="008353F1">
        <w:rPr>
          <w:rFonts w:asciiTheme="majorHAnsi" w:hAnsiTheme="majorHAnsi"/>
        </w:rPr>
        <w:t xml:space="preserve"> del </w:t>
      </w:r>
      <w:r w:rsidR="006F15E1">
        <w:rPr>
          <w:rFonts w:asciiTheme="majorHAnsi" w:hAnsiTheme="majorHAnsi"/>
        </w:rPr>
        <w:t>02</w:t>
      </w:r>
      <w:r w:rsidR="00284756" w:rsidRPr="008353F1">
        <w:rPr>
          <w:rFonts w:asciiTheme="majorHAnsi" w:hAnsiTheme="majorHAnsi"/>
        </w:rPr>
        <w:t>/</w:t>
      </w:r>
      <w:r w:rsidR="00730A59">
        <w:rPr>
          <w:rFonts w:asciiTheme="majorHAnsi" w:hAnsiTheme="majorHAnsi"/>
        </w:rPr>
        <w:t>0</w:t>
      </w:r>
      <w:r w:rsidR="006F15E1">
        <w:rPr>
          <w:rFonts w:asciiTheme="majorHAnsi" w:hAnsiTheme="majorHAnsi"/>
        </w:rPr>
        <w:t>6</w:t>
      </w:r>
      <w:r w:rsidR="00284756" w:rsidRPr="008353F1">
        <w:rPr>
          <w:rFonts w:asciiTheme="majorHAnsi" w:hAnsiTheme="majorHAnsi"/>
        </w:rPr>
        <w:t>/202</w:t>
      </w:r>
      <w:r w:rsidR="006F15E1">
        <w:rPr>
          <w:rFonts w:asciiTheme="majorHAnsi" w:hAnsiTheme="majorHAnsi"/>
        </w:rPr>
        <w:t>5</w:t>
      </w:r>
      <w:r w:rsidRPr="00BE76A6">
        <w:rPr>
          <w:rFonts w:ascii="Cambria" w:hAnsi="Cambria"/>
        </w:rPr>
        <w:t>.</w:t>
      </w:r>
      <w:r w:rsidR="00EC2F13">
        <w:rPr>
          <w:rFonts w:ascii="Cambria" w:hAnsi="Cambria"/>
        </w:rPr>
        <w:t xml:space="preserve"> Entrada en vigor efectiva de la NIIF 17 a partir del 1° de enero del 2026.</w:t>
      </w:r>
    </w:p>
  </w:footnote>
  <w:footnote w:id="2">
    <w:p w14:paraId="3A5D4DB4" w14:textId="77777777" w:rsidR="00B804E5" w:rsidRDefault="00B804E5" w:rsidP="002A0072">
      <w:pPr>
        <w:pStyle w:val="Textonotapie"/>
      </w:pPr>
      <w:r>
        <w:rPr>
          <w:rStyle w:val="Refdenotaalpie"/>
        </w:rPr>
        <w:footnoteRef/>
      </w:r>
      <w:r>
        <w:t xml:space="preserve"> Modific</w:t>
      </w:r>
      <w:r w:rsidRPr="002A0072">
        <w:t>ado mediante acuerdo de Superintendente SGS-A-0076-2021 del 24/02/2021.</w:t>
      </w:r>
    </w:p>
  </w:footnote>
  <w:footnote w:id="3">
    <w:p w14:paraId="04AC3B7D" w14:textId="520D64CE" w:rsidR="00B804E5" w:rsidRPr="006A1821" w:rsidRDefault="00B804E5">
      <w:pPr>
        <w:pStyle w:val="Textonotapie"/>
      </w:pPr>
      <w:r>
        <w:rPr>
          <w:rStyle w:val="Refdenotaalpie"/>
        </w:rPr>
        <w:footnoteRef/>
      </w:r>
      <w:r>
        <w:t xml:space="preserve"> Adicionado mediante acuerdo SGS-A-0085-2021 del 9 de noviembre de 2021.</w:t>
      </w:r>
    </w:p>
  </w:footnote>
  <w:footnote w:id="4">
    <w:p w14:paraId="68F030B6" w14:textId="77777777" w:rsidR="00B804E5" w:rsidRPr="006A1821" w:rsidRDefault="00B804E5" w:rsidP="006A1821">
      <w:pPr>
        <w:pStyle w:val="Textonotapie"/>
      </w:pPr>
      <w:r>
        <w:rPr>
          <w:rStyle w:val="Refdenotaalpie"/>
        </w:rPr>
        <w:footnoteRef/>
      </w:r>
      <w:r>
        <w:t xml:space="preserve"> Adicionado mediante acuerdo SGS-A-0085-2021 del 9 de noviembre de 2021.</w:t>
      </w:r>
    </w:p>
  </w:footnote>
  <w:footnote w:id="5">
    <w:p w14:paraId="61EF74B6" w14:textId="77777777" w:rsidR="00B804E5" w:rsidRPr="006A1821" w:rsidRDefault="00B804E5" w:rsidP="006A1821">
      <w:pPr>
        <w:pStyle w:val="Textonotapie"/>
      </w:pPr>
      <w:r>
        <w:rPr>
          <w:rStyle w:val="Refdenotaalpie"/>
        </w:rPr>
        <w:footnoteRef/>
      </w:r>
      <w:r>
        <w:t xml:space="preserve"> Adicionado mediante acuerdo SGS-A-0085-2021 del 9 de noviembre de 2021.</w:t>
      </w:r>
    </w:p>
  </w:footnote>
  <w:footnote w:id="6">
    <w:p w14:paraId="27105F29" w14:textId="77777777" w:rsidR="00B804E5" w:rsidRPr="006A1821" w:rsidRDefault="00B804E5" w:rsidP="006A1821">
      <w:pPr>
        <w:pStyle w:val="Textonotapie"/>
      </w:pPr>
      <w:r>
        <w:rPr>
          <w:rStyle w:val="Refdenotaalpie"/>
        </w:rPr>
        <w:footnoteRef/>
      </w:r>
      <w:r>
        <w:t xml:space="preserve"> Adicionado mediante acuerdo SGS-A-0085-2021 del 9 de noviembre de 2021.</w:t>
      </w:r>
    </w:p>
  </w:footnote>
  <w:footnote w:id="7">
    <w:p w14:paraId="51D5EA37" w14:textId="56129DFC" w:rsidR="0049248B" w:rsidRPr="0049248B" w:rsidRDefault="0049248B" w:rsidP="0049248B">
      <w:pPr>
        <w:pStyle w:val="Textonotapie"/>
      </w:pPr>
      <w:r>
        <w:rPr>
          <w:rStyle w:val="Refdenotaalpie"/>
        </w:rPr>
        <w:footnoteRef/>
      </w:r>
      <w:r>
        <w:t xml:space="preserve"> </w:t>
      </w:r>
      <w:r w:rsidRPr="006D63B9">
        <w:rPr>
          <w:rFonts w:asciiTheme="minorHAnsi" w:hAnsiTheme="minorHAnsi" w:cstheme="minorHAnsi"/>
        </w:rPr>
        <w:t>Modificado mediante acuerdo de Superintendente SGS-A-0096-2023 del 2</w:t>
      </w:r>
      <w:r w:rsidR="004F32EC">
        <w:rPr>
          <w:rFonts w:asciiTheme="minorHAnsi" w:hAnsiTheme="minorHAnsi" w:cstheme="minorHAnsi"/>
        </w:rPr>
        <w:t>6</w:t>
      </w:r>
      <w:r w:rsidRPr="006D63B9">
        <w:rPr>
          <w:rFonts w:asciiTheme="minorHAnsi" w:hAnsiTheme="minorHAnsi" w:cstheme="minorHAnsi"/>
        </w:rPr>
        <w:t>/07/2023.</w:t>
      </w:r>
      <w:r w:rsidR="0011249C">
        <w:rPr>
          <w:rFonts w:asciiTheme="minorHAnsi" w:hAnsiTheme="minorHAnsi" w:cstheme="minorHAnsi"/>
        </w:rPr>
        <w:t xml:space="preserve"> Rige a</w:t>
      </w:r>
      <w:r w:rsidR="0011249C" w:rsidRPr="0011249C">
        <w:rPr>
          <w:rFonts w:asciiTheme="minorHAnsi" w:hAnsiTheme="minorHAnsi" w:cstheme="minorHAnsi"/>
        </w:rPr>
        <w:t xml:space="preserve"> partir de la entrega de información correspondiente al mes de agosto 2023.</w:t>
      </w:r>
    </w:p>
  </w:footnote>
  <w:footnote w:id="8">
    <w:p w14:paraId="04751A63" w14:textId="77777777" w:rsidR="002D44EE" w:rsidRPr="007B60C6" w:rsidRDefault="002D44EE">
      <w:pPr>
        <w:pStyle w:val="Textonotapie"/>
      </w:pPr>
      <w:r>
        <w:rPr>
          <w:rStyle w:val="Refdenotaalpie"/>
        </w:rPr>
        <w:footnoteRef/>
      </w:r>
      <w:r>
        <w:t xml:space="preserve"> Adicionado mediante acuerdo SGS-A-0098-2023 del 5 de octubre de 2023.</w:t>
      </w:r>
    </w:p>
  </w:footnote>
  <w:footnote w:id="9">
    <w:p w14:paraId="1493B3A1" w14:textId="17F0F193" w:rsidR="00E778B3" w:rsidRPr="00E778B3" w:rsidRDefault="00E778B3">
      <w:pPr>
        <w:pStyle w:val="Textonotapie"/>
      </w:pPr>
      <w:r>
        <w:rPr>
          <w:rStyle w:val="Refdenotaalpie"/>
        </w:rPr>
        <w:footnoteRef/>
      </w:r>
      <w:r>
        <w:t xml:space="preserve"> Adicionado mediante acuerdo SGS-A-0092-2022 del 23 de diciembre de 2022.</w:t>
      </w:r>
    </w:p>
  </w:footnote>
  <w:footnote w:id="10">
    <w:p w14:paraId="397F7DCA" w14:textId="77777777" w:rsidR="0049538A" w:rsidRPr="000A1C3A" w:rsidRDefault="0049538A">
      <w:pPr>
        <w:pStyle w:val="Textonotapie"/>
      </w:pPr>
      <w:r>
        <w:rPr>
          <w:rStyle w:val="Refdenotaalpie"/>
        </w:rPr>
        <w:footnoteRef/>
      </w:r>
      <w:r>
        <w:t xml:space="preserve"> Adicionado mediante acuerdo SGS-A-0095-2023 del 22 de junio de 2023.</w:t>
      </w:r>
    </w:p>
  </w:footnote>
  <w:footnote w:id="11">
    <w:p w14:paraId="5DD0461F" w14:textId="77777777" w:rsidR="006F15E1" w:rsidRPr="00456525" w:rsidRDefault="006F15E1">
      <w:pPr>
        <w:pStyle w:val="Textonotapie"/>
      </w:pPr>
      <w:r>
        <w:rPr>
          <w:rStyle w:val="Refdenotaalpie"/>
        </w:rPr>
        <w:footnoteRef/>
      </w:r>
      <w:r>
        <w:t xml:space="preserve"> Adicionado mediante acuerdo SGS-A-0105-2025 del 2 de junio de 2025.</w:t>
      </w:r>
    </w:p>
  </w:footnote>
  <w:footnote w:id="12">
    <w:p w14:paraId="06B0F17E" w14:textId="77777777" w:rsidR="0049538A" w:rsidRPr="00B63FE9" w:rsidRDefault="0049538A" w:rsidP="0049538A">
      <w:pPr>
        <w:pStyle w:val="Textonotapie"/>
      </w:pPr>
      <w:r>
        <w:rPr>
          <w:rStyle w:val="Refdenotaalpie"/>
        </w:rPr>
        <w:footnoteRef/>
      </w:r>
      <w:r>
        <w:t xml:space="preserve"> Adicionado mediante acuerdo SGS-A-0095-2023 del 22 de junio de 2023.</w:t>
      </w:r>
    </w:p>
  </w:footnote>
  <w:footnote w:id="13">
    <w:p w14:paraId="3804629B" w14:textId="5702558A" w:rsidR="004709D6" w:rsidRPr="004709D6" w:rsidRDefault="004709D6">
      <w:pPr>
        <w:pStyle w:val="Textonotapie"/>
      </w:pPr>
      <w:r>
        <w:rPr>
          <w:rStyle w:val="Refdenotaalpie"/>
        </w:rPr>
        <w:footnoteRef/>
      </w:r>
      <w:r>
        <w:t xml:space="preserve"> Adicionado mediante acuerdo SGS-A-0092-2022 del 23 de diciembre de 2022.</w:t>
      </w:r>
    </w:p>
  </w:footnote>
  <w:footnote w:id="14">
    <w:p w14:paraId="34B03A31" w14:textId="431B27D5" w:rsidR="00B804E5" w:rsidRPr="004471EC" w:rsidRDefault="00B804E5">
      <w:pPr>
        <w:pStyle w:val="Textonotapie"/>
      </w:pPr>
      <w:r>
        <w:rPr>
          <w:rStyle w:val="Refdenotaalpie"/>
        </w:rPr>
        <w:footnoteRef/>
      </w:r>
      <w:r>
        <w:t xml:space="preserve"> Modific</w:t>
      </w:r>
      <w:r w:rsidRPr="002A0072">
        <w:t>ado mediante acuerdo de Superintendente SGS-A-00</w:t>
      </w:r>
      <w:r w:rsidR="00B42118">
        <w:t>89</w:t>
      </w:r>
      <w:r w:rsidRPr="002A0072">
        <w:t>-202</w:t>
      </w:r>
      <w:r w:rsidR="00B42118">
        <w:t>2</w:t>
      </w:r>
      <w:r w:rsidRPr="002A0072">
        <w:t xml:space="preserve"> del 24/0</w:t>
      </w:r>
      <w:r w:rsidR="00B42118">
        <w:t>8</w:t>
      </w:r>
      <w:r w:rsidRPr="002A0072">
        <w:t>/202</w:t>
      </w:r>
      <w:r w:rsidR="00B42118">
        <w:t>2</w:t>
      </w:r>
      <w:r w:rsidRPr="002A0072">
        <w:t>.</w:t>
      </w:r>
    </w:p>
  </w:footnote>
  <w:footnote w:id="15">
    <w:p w14:paraId="3B460529" w14:textId="6EF2D53B" w:rsidR="00AB10CD" w:rsidRPr="00AB10CD" w:rsidRDefault="00AB10CD">
      <w:pPr>
        <w:pStyle w:val="Textonotapie"/>
      </w:pPr>
      <w:r>
        <w:rPr>
          <w:rStyle w:val="Refdenotaalpie"/>
        </w:rPr>
        <w:footnoteRef/>
      </w:r>
      <w:r>
        <w:t xml:space="preserve"> Adicionado mediante acuerdo SGS-A-0092-2022 del 23 de diciembre de 2022.</w:t>
      </w:r>
    </w:p>
  </w:footnote>
  <w:footnote w:id="16">
    <w:p w14:paraId="227CACA3" w14:textId="77777777" w:rsidR="002D44EE" w:rsidRPr="0052637A" w:rsidRDefault="002D44EE">
      <w:pPr>
        <w:pStyle w:val="Textonotapie"/>
      </w:pPr>
      <w:r>
        <w:rPr>
          <w:rStyle w:val="Refdenotaalpie"/>
        </w:rPr>
        <w:footnoteRef/>
      </w:r>
      <w:r>
        <w:t xml:space="preserve"> Modificado mediante acuerdo SGS-A-0098-2023 del 5 de octubre de 2023.</w:t>
      </w:r>
    </w:p>
  </w:footnote>
  <w:footnote w:id="17">
    <w:p w14:paraId="45202240" w14:textId="77777777" w:rsidR="002D44EE" w:rsidRPr="0052637A" w:rsidRDefault="002D44EE" w:rsidP="0052637A">
      <w:pPr>
        <w:pStyle w:val="Textonotapie"/>
      </w:pPr>
      <w:r>
        <w:rPr>
          <w:rStyle w:val="Refdenotaalpie"/>
        </w:rPr>
        <w:footnoteRef/>
      </w:r>
      <w:r>
        <w:t xml:space="preserve"> Modificado mediante acuerdo SGS-A-0098-2023 del 5 de octubre de 2023.</w:t>
      </w:r>
    </w:p>
  </w:footnote>
  <w:footnote w:id="18">
    <w:p w14:paraId="47340DBD" w14:textId="145FE9A0" w:rsidR="002D44EE" w:rsidRPr="0052637A" w:rsidRDefault="002D44EE" w:rsidP="0052637A">
      <w:pPr>
        <w:pStyle w:val="Textonotapie"/>
      </w:pPr>
      <w:r>
        <w:rPr>
          <w:rStyle w:val="Refdenotaalpie"/>
        </w:rPr>
        <w:footnoteRef/>
      </w:r>
      <w:r>
        <w:t xml:space="preserve"> </w:t>
      </w:r>
      <w:r w:rsidR="00E301EE">
        <w:t>Adicionado</w:t>
      </w:r>
      <w:r>
        <w:t xml:space="preserve"> mediante acuerdo SGS-A-0098-2023 del 5 de octubre de 2023.</w:t>
      </w:r>
    </w:p>
  </w:footnote>
  <w:footnote w:id="19">
    <w:p w14:paraId="39DF72AB" w14:textId="3E323A34" w:rsidR="002D44EE" w:rsidRPr="0052637A" w:rsidRDefault="002D44EE" w:rsidP="0052637A">
      <w:pPr>
        <w:pStyle w:val="Textonotapie"/>
      </w:pPr>
      <w:r>
        <w:rPr>
          <w:rStyle w:val="Refdenotaalpie"/>
        </w:rPr>
        <w:footnoteRef/>
      </w:r>
      <w:r>
        <w:t xml:space="preserve"> </w:t>
      </w:r>
      <w:r w:rsidR="00E301EE">
        <w:t>Adicionado</w:t>
      </w:r>
      <w:r>
        <w:t xml:space="preserve"> mediante acuerdo SGS-A-0098-2023 del 5 de octubre de 2023.</w:t>
      </w:r>
    </w:p>
  </w:footnote>
  <w:footnote w:id="20">
    <w:p w14:paraId="7C451546" w14:textId="3EAAB6D2" w:rsidR="00AB10CD" w:rsidRPr="00AB10CD" w:rsidRDefault="00AB10CD">
      <w:pPr>
        <w:pStyle w:val="Textonotapie"/>
      </w:pPr>
      <w:r>
        <w:rPr>
          <w:rStyle w:val="Refdenotaalpie"/>
        </w:rPr>
        <w:footnoteRef/>
      </w:r>
      <w:r>
        <w:t xml:space="preserve"> Adicionado mediante acuerdo SGS-A-0092-2022 del 23 de diciembre de 2022.</w:t>
      </w:r>
    </w:p>
  </w:footnote>
  <w:footnote w:id="21">
    <w:p w14:paraId="0548EB14" w14:textId="402F893C" w:rsidR="00944231" w:rsidRPr="00944231" w:rsidRDefault="00944231">
      <w:pPr>
        <w:pStyle w:val="Textonotapie"/>
      </w:pPr>
      <w:r>
        <w:rPr>
          <w:rStyle w:val="Refdenotaalpie"/>
        </w:rPr>
        <w:footnoteRef/>
      </w:r>
      <w:r>
        <w:t xml:space="preserve"> Adicionado mediante acuerdo SGS-A-0092-2022 del 23 de diciembre de 2022.</w:t>
      </w:r>
    </w:p>
  </w:footnote>
  <w:footnote w:id="22">
    <w:p w14:paraId="1B3F19F1" w14:textId="383E3CDE" w:rsidR="00B804E5" w:rsidRPr="000350F6" w:rsidRDefault="00B804E5">
      <w:pPr>
        <w:pStyle w:val="Textonotapie"/>
        <w:rPr>
          <w:lang w:val="es-CR"/>
        </w:rPr>
      </w:pPr>
      <w:r>
        <w:rPr>
          <w:rStyle w:val="Refdenotaalpie"/>
        </w:rPr>
        <w:footnoteRef/>
      </w:r>
      <w:r>
        <w:t xml:space="preserve"> Elimina</w:t>
      </w:r>
      <w:r w:rsidRPr="002A0072">
        <w:t>do mediante acuerdo de Superintendente SGS-A-0076-2021 del 24/02/2021.</w:t>
      </w:r>
    </w:p>
  </w:footnote>
  <w:footnote w:id="23">
    <w:p w14:paraId="5ED2E3A1" w14:textId="3A7D1578" w:rsidR="00B804E5" w:rsidRPr="005359A7" w:rsidRDefault="00B804E5">
      <w:pPr>
        <w:pStyle w:val="Textonotapie"/>
        <w:rPr>
          <w:lang w:val="es-CR"/>
        </w:rPr>
      </w:pPr>
      <w:r>
        <w:rPr>
          <w:rStyle w:val="Refdenotaalpie"/>
        </w:rPr>
        <w:footnoteRef/>
      </w:r>
      <w:r>
        <w:t xml:space="preserve"> Modific</w:t>
      </w:r>
      <w:r w:rsidRPr="002A0072">
        <w:t>ado mediante acuerdo de Superintendente SGS-A-0076-2021 del 24/02/2021.</w:t>
      </w:r>
    </w:p>
  </w:footnote>
  <w:footnote w:id="24">
    <w:p w14:paraId="14A57C8B" w14:textId="1B3605B8" w:rsidR="00B804E5" w:rsidRPr="004307E2" w:rsidRDefault="00B804E5">
      <w:pPr>
        <w:pStyle w:val="Textonotapie"/>
      </w:pPr>
      <w:r>
        <w:rPr>
          <w:rStyle w:val="Refdenotaalpie"/>
        </w:rPr>
        <w:footnoteRef/>
      </w:r>
      <w:r>
        <w:t xml:space="preserve"> Modificado mediante acuerdo de Superintendente SGS-A-0078-2021 del 29/04/2021.</w:t>
      </w:r>
    </w:p>
  </w:footnote>
  <w:footnote w:id="25">
    <w:p w14:paraId="25D3EF33" w14:textId="77777777" w:rsidR="00730A59" w:rsidRPr="00311840" w:rsidRDefault="00730A59" w:rsidP="00730A59">
      <w:pPr>
        <w:pStyle w:val="Textonotapie"/>
      </w:pPr>
      <w:r>
        <w:rPr>
          <w:rStyle w:val="Refdenotaalpie"/>
        </w:rPr>
        <w:footnoteRef/>
      </w:r>
      <w:r>
        <w:t xml:space="preserve"> Adicionado mediante acuerdo de Superintendente SGS-A-0100-2024 del 17/05/2024.</w:t>
      </w:r>
    </w:p>
  </w:footnote>
  <w:footnote w:id="26">
    <w:p w14:paraId="4E8C3F88" w14:textId="77777777" w:rsidR="00730A59" w:rsidRPr="00311840" w:rsidRDefault="00730A59" w:rsidP="00730A59">
      <w:pPr>
        <w:pStyle w:val="Textonotapie"/>
      </w:pPr>
      <w:r>
        <w:rPr>
          <w:rStyle w:val="Refdenotaalpie"/>
        </w:rPr>
        <w:footnoteRef/>
      </w:r>
      <w:r>
        <w:t xml:space="preserve"> Modificado mediante acuerdo de Superintendente SGS-A-0100-2024 del 17/05/2024.</w:t>
      </w:r>
    </w:p>
  </w:footnote>
  <w:footnote w:id="27">
    <w:p w14:paraId="756E3399" w14:textId="77777777" w:rsidR="00730A59" w:rsidRPr="00311840" w:rsidRDefault="00730A59" w:rsidP="00730A59">
      <w:pPr>
        <w:pStyle w:val="Textonotapie"/>
      </w:pPr>
      <w:r>
        <w:rPr>
          <w:rStyle w:val="Refdenotaalpie"/>
        </w:rPr>
        <w:footnoteRef/>
      </w:r>
      <w:r>
        <w:t xml:space="preserve"> Modificado mediante acuerdo de Superintendente SGS-A-0100-2024 del 17/05/2024.</w:t>
      </w:r>
    </w:p>
  </w:footnote>
  <w:footnote w:id="28">
    <w:p w14:paraId="5B73705A" w14:textId="77777777" w:rsidR="00B804E5" w:rsidRPr="001F3CAB" w:rsidRDefault="00B804E5">
      <w:pPr>
        <w:pStyle w:val="Textonotapie"/>
      </w:pPr>
      <w:r>
        <w:rPr>
          <w:rStyle w:val="Refdenotaalpie"/>
        </w:rPr>
        <w:footnoteRef/>
      </w:r>
      <w:r>
        <w:t xml:space="preserve"> </w:t>
      </w:r>
      <w:r>
        <w:rPr>
          <w:lang w:val="es-CR"/>
        </w:rPr>
        <w:t>Adicionado mediante acuerdo SGS-DES-A-046-2015 del 14 de setiembre de 2015.</w:t>
      </w:r>
    </w:p>
  </w:footnote>
  <w:footnote w:id="29">
    <w:p w14:paraId="76AA16DE" w14:textId="77777777" w:rsidR="00B804E5" w:rsidRPr="00F74C67" w:rsidRDefault="00B804E5" w:rsidP="00F74C67">
      <w:pPr>
        <w:pStyle w:val="Textonotapie"/>
        <w:jc w:val="both"/>
      </w:pPr>
      <w:r>
        <w:rPr>
          <w:rStyle w:val="Refdenotaalpie"/>
        </w:rPr>
        <w:footnoteRef/>
      </w:r>
      <w:r>
        <w:t xml:space="preserve"> Modifica</w:t>
      </w:r>
      <w:r w:rsidRPr="003F4998">
        <w:t>d</w:t>
      </w:r>
      <w:r>
        <w:t>o mediante acuerdo SGS-A-060-2017 del 22 de diciembre de 2017</w:t>
      </w:r>
      <w:r w:rsidRPr="003F4998">
        <w:t xml:space="preserve">. </w:t>
      </w:r>
    </w:p>
  </w:footnote>
  <w:footnote w:id="30">
    <w:p w14:paraId="37F26C3A" w14:textId="3039BDA5" w:rsidR="00D93EB7" w:rsidRPr="00D93EB7" w:rsidRDefault="00D93EB7">
      <w:pPr>
        <w:pStyle w:val="Textonotapie"/>
      </w:pPr>
      <w:r>
        <w:rPr>
          <w:rStyle w:val="Refdenotaalpie"/>
        </w:rPr>
        <w:footnoteRef/>
      </w:r>
      <w:r>
        <w:t xml:space="preserve"> Adicionado mediante acuerdo SGS-A-0092-2022 del 23 de diciembre de 2022.</w:t>
      </w:r>
    </w:p>
  </w:footnote>
  <w:footnote w:id="31">
    <w:p w14:paraId="39F52DD4" w14:textId="135B6D36" w:rsidR="00B804E5" w:rsidRPr="0064638D" w:rsidRDefault="00B804E5" w:rsidP="00B96502">
      <w:pPr>
        <w:pStyle w:val="Textonotapie"/>
      </w:pPr>
      <w:r>
        <w:rPr>
          <w:rStyle w:val="Refdenotaalpie"/>
        </w:rPr>
        <w:footnoteRef/>
      </w:r>
      <w:r>
        <w:t xml:space="preserve"> Eliminado mediante artículo primero del acuerdo SGS-DES-A-042-2014 del 18 de diciembre de 2014.</w:t>
      </w:r>
    </w:p>
  </w:footnote>
  <w:footnote w:id="32">
    <w:p w14:paraId="01C1FFFA" w14:textId="12FECDAE" w:rsidR="00B804E5" w:rsidRPr="0064638D" w:rsidRDefault="00B804E5">
      <w:pPr>
        <w:pStyle w:val="Textonotapie"/>
      </w:pPr>
      <w:r>
        <w:rPr>
          <w:rStyle w:val="Refdenotaalpie"/>
        </w:rPr>
        <w:footnoteRef/>
      </w:r>
      <w:r>
        <w:t xml:space="preserve"> Eliminado mediante acuerdo SGS-DES-A-042-2014 del 18 de diciembre de 2014.</w:t>
      </w:r>
    </w:p>
  </w:footnote>
  <w:footnote w:id="33">
    <w:p w14:paraId="439AF0FF" w14:textId="6E11BB84" w:rsidR="00B804E5" w:rsidRPr="0064638D" w:rsidRDefault="00B804E5">
      <w:pPr>
        <w:pStyle w:val="Textonotapie"/>
      </w:pPr>
      <w:r>
        <w:rPr>
          <w:rStyle w:val="Refdenotaalpie"/>
        </w:rPr>
        <w:footnoteRef/>
      </w:r>
      <w:r>
        <w:t xml:space="preserve"> Eliminado mediante acuerdo SGS-DES-A-042-2014 del 18 de diciembre de 2014.</w:t>
      </w:r>
    </w:p>
  </w:footnote>
  <w:footnote w:id="34">
    <w:p w14:paraId="66A92E17" w14:textId="49DA8F45" w:rsidR="00B804E5" w:rsidRPr="0077476C" w:rsidRDefault="00B804E5">
      <w:pPr>
        <w:pStyle w:val="Textonotapie"/>
        <w:rPr>
          <w:lang w:val="es-CR"/>
        </w:rPr>
      </w:pPr>
      <w:r>
        <w:rPr>
          <w:rStyle w:val="Refdenotaalpie"/>
        </w:rPr>
        <w:footnoteRef/>
      </w:r>
      <w:r>
        <w:t xml:space="preserve"> </w:t>
      </w:r>
      <w:r>
        <w:rPr>
          <w:lang w:val="es-CR"/>
        </w:rPr>
        <w:t>Modificado mediante acuerdo SGS-A-0</w:t>
      </w:r>
      <w:r w:rsidR="006F15E1">
        <w:rPr>
          <w:lang w:val="es-CR"/>
        </w:rPr>
        <w:t>105</w:t>
      </w:r>
      <w:r>
        <w:rPr>
          <w:lang w:val="es-CR"/>
        </w:rPr>
        <w:t>-202</w:t>
      </w:r>
      <w:r w:rsidR="006F15E1">
        <w:rPr>
          <w:lang w:val="es-CR"/>
        </w:rPr>
        <w:t>5</w:t>
      </w:r>
      <w:r>
        <w:rPr>
          <w:lang w:val="es-CR"/>
        </w:rPr>
        <w:t xml:space="preserve"> del </w:t>
      </w:r>
      <w:r w:rsidR="006F15E1">
        <w:rPr>
          <w:lang w:val="es-CR"/>
        </w:rPr>
        <w:t>2</w:t>
      </w:r>
      <w:r>
        <w:rPr>
          <w:lang w:val="es-CR"/>
        </w:rPr>
        <w:t xml:space="preserve"> de </w:t>
      </w:r>
      <w:r w:rsidR="006F15E1">
        <w:rPr>
          <w:lang w:val="es-CR"/>
        </w:rPr>
        <w:t>junio</w:t>
      </w:r>
      <w:r>
        <w:rPr>
          <w:lang w:val="es-CR"/>
        </w:rPr>
        <w:t xml:space="preserve"> de 202</w:t>
      </w:r>
      <w:r w:rsidR="006F15E1">
        <w:rPr>
          <w:lang w:val="es-CR"/>
        </w:rPr>
        <w:t>5</w:t>
      </w:r>
      <w:r>
        <w:rPr>
          <w:lang w:val="es-CR"/>
        </w:rPr>
        <w:t xml:space="preserve">. </w:t>
      </w:r>
    </w:p>
  </w:footnote>
  <w:footnote w:id="35">
    <w:p w14:paraId="3BA992C2" w14:textId="78B14ED6" w:rsidR="00B804E5" w:rsidRPr="007D798A" w:rsidRDefault="00B804E5">
      <w:pPr>
        <w:pStyle w:val="Textonotapie"/>
      </w:pPr>
      <w:r>
        <w:rPr>
          <w:rStyle w:val="Refdenotaalpie"/>
        </w:rPr>
        <w:footnoteRef/>
      </w:r>
      <w:r>
        <w:t xml:space="preserve"> </w:t>
      </w:r>
      <w:r w:rsidR="003B2C92" w:rsidRPr="003B2C92">
        <w:t>Modificado mediante acuerdo de Superintendente SGS-A-0096-2023 del 2</w:t>
      </w:r>
      <w:r w:rsidR="004F32EC">
        <w:t>6</w:t>
      </w:r>
      <w:r w:rsidR="003B2C92" w:rsidRPr="003B2C92">
        <w:t>/07/2023.</w:t>
      </w:r>
      <w:r w:rsidR="0011249C">
        <w:t xml:space="preserve"> </w:t>
      </w:r>
      <w:r w:rsidR="0011249C">
        <w:rPr>
          <w:rFonts w:asciiTheme="minorHAnsi" w:hAnsiTheme="minorHAnsi" w:cstheme="minorHAnsi"/>
        </w:rPr>
        <w:t>Rige a</w:t>
      </w:r>
      <w:r w:rsidR="0011249C" w:rsidRPr="0011249C">
        <w:rPr>
          <w:rFonts w:asciiTheme="minorHAnsi" w:hAnsiTheme="minorHAnsi" w:cstheme="minorHAnsi"/>
        </w:rPr>
        <w:t xml:space="preserve"> partir de la entrega de información correspondiente al mes de agosto 2023.</w:t>
      </w:r>
    </w:p>
  </w:footnote>
  <w:footnote w:id="36">
    <w:p w14:paraId="284E5C8A" w14:textId="5686165B" w:rsidR="00B804E5" w:rsidRPr="004D4B90" w:rsidRDefault="00B804E5">
      <w:pPr>
        <w:pStyle w:val="Textonotapie"/>
      </w:pPr>
      <w:r>
        <w:rPr>
          <w:rStyle w:val="Refdenotaalpie"/>
        </w:rPr>
        <w:footnoteRef/>
      </w:r>
      <w:r>
        <w:t xml:space="preserve"> Eliminado mediante acuerdo SGS-DES-A-042-2014 del 18 de diciembre de 2014.</w:t>
      </w:r>
    </w:p>
  </w:footnote>
  <w:footnote w:id="37">
    <w:p w14:paraId="69812B81" w14:textId="2DD542D9" w:rsidR="00B804E5" w:rsidRPr="00357ACC" w:rsidRDefault="00B804E5">
      <w:pPr>
        <w:pStyle w:val="Textonotapie"/>
        <w:rPr>
          <w:lang w:val="es-CR"/>
        </w:rPr>
      </w:pPr>
      <w:r>
        <w:rPr>
          <w:rStyle w:val="Refdenotaalpie"/>
        </w:rPr>
        <w:footnoteRef/>
      </w:r>
      <w:r>
        <w:t xml:space="preserve"> Eliminado mediante acuerdo SGS-DES-A-045-2015 del 1° de julio de 2015</w:t>
      </w:r>
    </w:p>
  </w:footnote>
  <w:footnote w:id="38">
    <w:p w14:paraId="04BEB5BC" w14:textId="6369B80D" w:rsidR="00B804E5" w:rsidRPr="00DC3491" w:rsidRDefault="00B804E5">
      <w:pPr>
        <w:pStyle w:val="Textonotapie"/>
        <w:rPr>
          <w:lang w:val="es-CR"/>
        </w:rPr>
      </w:pPr>
      <w:r>
        <w:rPr>
          <w:rStyle w:val="Refdenotaalpie"/>
        </w:rPr>
        <w:footnoteRef/>
      </w:r>
      <w:r>
        <w:t xml:space="preserve"> </w:t>
      </w:r>
      <w:r w:rsidR="00B303AD" w:rsidRPr="00B303AD">
        <w:t>Adicionado mediante acuerdo SGS-A-0092-2022 del 23 de diciembre de 2022.</w:t>
      </w:r>
    </w:p>
  </w:footnote>
  <w:footnote w:id="39">
    <w:p w14:paraId="4236A5E1" w14:textId="77777777" w:rsidR="008732F9" w:rsidRPr="002A0430" w:rsidRDefault="008732F9" w:rsidP="008732F9">
      <w:pPr>
        <w:pStyle w:val="Textonotapie"/>
      </w:pPr>
      <w:r>
        <w:rPr>
          <w:rStyle w:val="Refdenotaalpie"/>
        </w:rPr>
        <w:footnoteRef/>
      </w:r>
      <w:r>
        <w:t xml:space="preserve"> </w:t>
      </w:r>
      <w:r w:rsidRPr="008732F9">
        <w:rPr>
          <w:rFonts w:asciiTheme="minorHAnsi" w:hAnsiTheme="minorHAnsi" w:cstheme="minorHAnsi"/>
          <w:lang w:val="es-CR"/>
        </w:rPr>
        <w:t>Eliminado</w:t>
      </w:r>
      <w:r w:rsidRPr="008732F9">
        <w:rPr>
          <w:rFonts w:asciiTheme="minorHAnsi" w:hAnsiTheme="minorHAnsi" w:cstheme="minorHAnsi"/>
        </w:rPr>
        <w:t xml:space="preserve"> mediante acuerdo de Superintendente SGS-A-0096-2023 del 26/07/2023.</w:t>
      </w:r>
      <w:r>
        <w:rPr>
          <w:rFonts w:asciiTheme="majorHAnsi" w:hAnsiTheme="majorHAnsi"/>
        </w:rPr>
        <w:t xml:space="preserve"> </w:t>
      </w:r>
      <w:r>
        <w:t>Rige a partir de la información correspondiente al mes de agosto de 2023.</w:t>
      </w:r>
    </w:p>
  </w:footnote>
  <w:footnote w:id="40">
    <w:p w14:paraId="45868679" w14:textId="77777777" w:rsidR="008732F9" w:rsidRDefault="008732F9" w:rsidP="008732F9">
      <w:pPr>
        <w:pStyle w:val="Textonotapie"/>
      </w:pPr>
      <w:r>
        <w:rPr>
          <w:rStyle w:val="Refdenotaalpie"/>
        </w:rPr>
        <w:footnoteRef/>
      </w:r>
      <w:r>
        <w:t xml:space="preserve"> Eliminado mediante acuerdo SGS-A-0075-2020 del 23 de diciembre de 2020.</w:t>
      </w:r>
    </w:p>
  </w:footnote>
  <w:footnote w:id="41">
    <w:p w14:paraId="54E1B2B6" w14:textId="77777777" w:rsidR="008732F9" w:rsidRDefault="008732F9" w:rsidP="008732F9">
      <w:pPr>
        <w:pStyle w:val="Textonotapie"/>
      </w:pPr>
      <w:r>
        <w:rPr>
          <w:rStyle w:val="Refdenotaalpie"/>
        </w:rPr>
        <w:footnoteRef/>
      </w:r>
      <w:r>
        <w:t xml:space="preserve"> Eliminado mediante acuerdo SGS-A-0075-2020 del 23 de diciembre de 2020.</w:t>
      </w:r>
    </w:p>
  </w:footnote>
  <w:footnote w:id="42">
    <w:p w14:paraId="7DA2E644" w14:textId="0EB14831" w:rsidR="00B804E5" w:rsidRPr="002C0C4D" w:rsidRDefault="00B804E5">
      <w:pPr>
        <w:pStyle w:val="Textonotapie"/>
        <w:rPr>
          <w:lang w:val="es-CR"/>
        </w:rPr>
      </w:pPr>
      <w:r>
        <w:rPr>
          <w:rStyle w:val="Refdenotaalpie"/>
        </w:rPr>
        <w:footnoteRef/>
      </w:r>
      <w:r>
        <w:t xml:space="preserve"> </w:t>
      </w:r>
      <w:r>
        <w:rPr>
          <w:lang w:val="es-CR"/>
        </w:rPr>
        <w:t>Adicionado mediante acuerdo SGS-A-0059-2017 del 5 de diciembre de 2017.</w:t>
      </w:r>
    </w:p>
  </w:footnote>
  <w:footnote w:id="43">
    <w:p w14:paraId="7E126EA8" w14:textId="0E0BF9EA" w:rsidR="00B804E5" w:rsidRDefault="00B804E5">
      <w:pPr>
        <w:pStyle w:val="Textonotapie"/>
      </w:pPr>
      <w:r>
        <w:rPr>
          <w:rStyle w:val="Refdenotaalpie"/>
        </w:rPr>
        <w:footnoteRef/>
      </w:r>
      <w:r>
        <w:t xml:space="preserve"> Eliminado mediante acuerdo SGS-A-0075-2020 del 23 de diciembre de 2020.</w:t>
      </w:r>
    </w:p>
  </w:footnote>
  <w:footnote w:id="44">
    <w:p w14:paraId="01EEC44C" w14:textId="77777777" w:rsidR="0049538A" w:rsidRPr="00B63FE9" w:rsidRDefault="0049538A" w:rsidP="0049538A">
      <w:pPr>
        <w:pStyle w:val="Textonotapie"/>
        <w:rPr>
          <w:lang w:val="es-CR"/>
        </w:rPr>
      </w:pPr>
      <w:r>
        <w:rPr>
          <w:rStyle w:val="Refdenotaalpie"/>
        </w:rPr>
        <w:footnoteRef/>
      </w:r>
      <w:r>
        <w:t xml:space="preserve"> Adicionado mediante acuerdo SGS-A-0095-2023 del 22 de junio de 2023.</w:t>
      </w:r>
    </w:p>
  </w:footnote>
  <w:footnote w:id="45">
    <w:p w14:paraId="3AF454FC" w14:textId="77777777" w:rsidR="003A6DE4" w:rsidRPr="00F05C82" w:rsidRDefault="003A6DE4" w:rsidP="003A6DE4">
      <w:pPr>
        <w:pStyle w:val="Textonotapie"/>
        <w:rPr>
          <w:lang w:val="es-CR"/>
        </w:rPr>
      </w:pPr>
      <w:r>
        <w:rPr>
          <w:rStyle w:val="Refdenotaalpie"/>
        </w:rPr>
        <w:footnoteRef/>
      </w:r>
      <w:r>
        <w:t xml:space="preserve"> Adicionado mediante acuerdo SGS-A-0105-2025 del 2 de junio de 2025.</w:t>
      </w:r>
    </w:p>
  </w:footnote>
  <w:footnote w:id="46">
    <w:p w14:paraId="4A6D250F" w14:textId="77777777" w:rsidR="003A6DE4" w:rsidRPr="00F05C82" w:rsidRDefault="003A6DE4" w:rsidP="003A6DE4">
      <w:pPr>
        <w:pStyle w:val="Textonotapie"/>
        <w:rPr>
          <w:lang w:val="es-CR"/>
        </w:rPr>
      </w:pPr>
      <w:r>
        <w:rPr>
          <w:rStyle w:val="Refdenotaalpie"/>
        </w:rPr>
        <w:footnoteRef/>
      </w:r>
      <w:r>
        <w:t xml:space="preserve"> Adicionado mediante acuerdo SGS-A-0105-2025 del 2 de junio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9465" w14:textId="77777777" w:rsidR="00EC2F13" w:rsidRDefault="00EC2F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BEE8" w14:textId="77777777" w:rsidR="00B804E5" w:rsidRDefault="00B804E5" w:rsidP="00522F86">
    <w:pPr>
      <w:pStyle w:val="Encabezado"/>
    </w:pPr>
    <w:r w:rsidRPr="004C2692">
      <w:rPr>
        <w:noProof/>
      </w:rPr>
      <w:drawing>
        <wp:anchor distT="0" distB="0" distL="114300" distR="114300" simplePos="0" relativeHeight="251659264" behindDoc="0" locked="0" layoutInCell="1" allowOverlap="1" wp14:anchorId="272AA8B4" wp14:editId="2A96CDAB">
          <wp:simplePos x="0" y="0"/>
          <wp:positionH relativeFrom="column">
            <wp:posOffset>2158365</wp:posOffset>
          </wp:positionH>
          <wp:positionV relativeFrom="paragraph">
            <wp:posOffset>-241300</wp:posOffset>
          </wp:positionV>
          <wp:extent cx="1343025" cy="981075"/>
          <wp:effectExtent l="19050" t="0" r="9525" b="0"/>
          <wp:wrapNone/>
          <wp:docPr id="2"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343025" cy="981075"/>
                  </a:xfrm>
                  <a:prstGeom prst="rect">
                    <a:avLst/>
                  </a:prstGeom>
                </pic:spPr>
              </pic:pic>
            </a:graphicData>
          </a:graphic>
        </wp:anchor>
      </w:drawing>
    </w:r>
  </w:p>
  <w:p w14:paraId="628691D3" w14:textId="77777777" w:rsidR="00B804E5" w:rsidRDefault="00B804E5" w:rsidP="00522F86">
    <w:pPr>
      <w:pStyle w:val="Encabezado"/>
    </w:pPr>
  </w:p>
  <w:p w14:paraId="5F952C02" w14:textId="77777777" w:rsidR="00B804E5" w:rsidRDefault="00B804E5" w:rsidP="00522F86">
    <w:pPr>
      <w:pStyle w:val="Encabezado"/>
    </w:pPr>
  </w:p>
  <w:p w14:paraId="78C63931" w14:textId="77777777" w:rsidR="00B804E5" w:rsidRDefault="00B804E5" w:rsidP="00522F86">
    <w:pPr>
      <w:pStyle w:val="Encabezado"/>
    </w:pPr>
  </w:p>
  <w:p w14:paraId="52A393C5" w14:textId="02BA0A32" w:rsidR="00B804E5" w:rsidRPr="001D3EA0" w:rsidRDefault="00B804E5" w:rsidP="00522F86">
    <w:pPr>
      <w:pStyle w:val="Encabezado"/>
      <w:pBdr>
        <w:bottom w:val="single" w:sz="4" w:space="1" w:color="auto"/>
      </w:pBdr>
      <w:rPr>
        <w:rFonts w:asciiTheme="majorHAnsi" w:hAnsiTheme="majorHAnsi"/>
        <w:b/>
        <w:i/>
        <w:iCs/>
      </w:rPr>
    </w:pPr>
    <w:r w:rsidRPr="001D3EA0">
      <w:rPr>
        <w:rFonts w:asciiTheme="majorHAnsi" w:hAnsiTheme="majorHAnsi"/>
        <w:b/>
        <w:i/>
        <w:iCs/>
      </w:rPr>
      <w:t>SGS-DES-A-</w:t>
    </w:r>
    <w:r>
      <w:rPr>
        <w:rFonts w:asciiTheme="majorHAnsi" w:hAnsiTheme="majorHAnsi"/>
        <w:b/>
        <w:i/>
        <w:iCs/>
      </w:rPr>
      <w:t>021</w:t>
    </w:r>
    <w:r w:rsidRPr="001D3EA0">
      <w:rPr>
        <w:rFonts w:asciiTheme="majorHAnsi" w:hAnsiTheme="majorHAnsi"/>
        <w:b/>
        <w:i/>
        <w:iCs/>
      </w:rPr>
      <w:t>-2013</w:t>
    </w:r>
  </w:p>
  <w:p w14:paraId="678CFF4A" w14:textId="77777777" w:rsidR="00B804E5" w:rsidRPr="001D3EA0" w:rsidRDefault="00B804E5" w:rsidP="00522F86">
    <w:pPr>
      <w:pStyle w:val="Encabezado"/>
      <w:pBdr>
        <w:bottom w:val="single" w:sz="4" w:space="1" w:color="auto"/>
      </w:pBdr>
      <w:rPr>
        <w:rStyle w:val="Nmerodepgina"/>
        <w:rFonts w:asciiTheme="majorHAnsi" w:hAnsiTheme="majorHAnsi"/>
        <w:b/>
        <w:i/>
        <w:iCs/>
      </w:rPr>
    </w:pPr>
    <w:r w:rsidRPr="001D3EA0">
      <w:rPr>
        <w:rFonts w:asciiTheme="majorHAnsi" w:hAnsiTheme="majorHAnsi"/>
        <w:b/>
        <w:i/>
        <w:iCs/>
      </w:rPr>
      <w:t xml:space="preserve">Página </w:t>
    </w:r>
    <w:r w:rsidRPr="001D3EA0">
      <w:rPr>
        <w:rStyle w:val="Nmerodepgina"/>
        <w:rFonts w:asciiTheme="majorHAnsi" w:hAnsiTheme="majorHAnsi"/>
        <w:b/>
        <w:i/>
        <w:iCs/>
      </w:rPr>
      <w:fldChar w:fldCharType="begin"/>
    </w:r>
    <w:r w:rsidRPr="001D3EA0">
      <w:rPr>
        <w:rStyle w:val="Nmerodepgina"/>
        <w:rFonts w:asciiTheme="majorHAnsi" w:hAnsiTheme="majorHAnsi"/>
        <w:b/>
        <w:i/>
        <w:iCs/>
      </w:rPr>
      <w:instrText xml:space="preserve"> PAGE </w:instrText>
    </w:r>
    <w:r w:rsidRPr="001D3EA0">
      <w:rPr>
        <w:rStyle w:val="Nmerodepgina"/>
        <w:rFonts w:asciiTheme="majorHAnsi" w:hAnsiTheme="majorHAnsi"/>
        <w:b/>
        <w:i/>
        <w:iCs/>
      </w:rPr>
      <w:fldChar w:fldCharType="separate"/>
    </w:r>
    <w:r>
      <w:rPr>
        <w:rStyle w:val="Nmerodepgina"/>
        <w:rFonts w:asciiTheme="majorHAnsi" w:hAnsiTheme="majorHAnsi"/>
        <w:b/>
        <w:i/>
        <w:iCs/>
        <w:noProof/>
      </w:rPr>
      <w:t>27</w:t>
    </w:r>
    <w:r w:rsidRPr="001D3EA0">
      <w:rPr>
        <w:rStyle w:val="Nmerodepgina"/>
        <w:rFonts w:asciiTheme="majorHAnsi" w:hAnsiTheme="majorHAnsi"/>
        <w:b/>
        <w:i/>
        <w:iCs/>
      </w:rPr>
      <w:fldChar w:fldCharType="end"/>
    </w:r>
  </w:p>
  <w:p w14:paraId="67D8BE31" w14:textId="77777777" w:rsidR="00B804E5" w:rsidRDefault="00B804E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5824" w14:textId="490AD60F" w:rsidR="00B804E5" w:rsidRDefault="00B804E5">
    <w:pPr>
      <w:pStyle w:val="Encabezado"/>
    </w:pPr>
    <w:r w:rsidRPr="004C2692">
      <w:rPr>
        <w:noProof/>
      </w:rPr>
      <w:drawing>
        <wp:anchor distT="0" distB="0" distL="114300" distR="114300" simplePos="0" relativeHeight="251661312" behindDoc="0" locked="0" layoutInCell="1" allowOverlap="1" wp14:anchorId="3FC2CA2D" wp14:editId="2ED2FA30">
          <wp:simplePos x="0" y="0"/>
          <wp:positionH relativeFrom="column">
            <wp:posOffset>2310765</wp:posOffset>
          </wp:positionH>
          <wp:positionV relativeFrom="paragraph">
            <wp:posOffset>-88900</wp:posOffset>
          </wp:positionV>
          <wp:extent cx="1343025" cy="981075"/>
          <wp:effectExtent l="19050" t="0" r="9525" b="0"/>
          <wp:wrapNone/>
          <wp:docPr id="1" name="7 Imagen" descr="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jpg"/>
                  <pic:cNvPicPr/>
                </pic:nvPicPr>
                <pic:blipFill>
                  <a:blip r:embed="rId1"/>
                  <a:stretch>
                    <a:fillRect/>
                  </a:stretch>
                </pic:blipFill>
                <pic:spPr>
                  <a:xfrm>
                    <a:off x="0" y="0"/>
                    <a:ext cx="1343025" cy="9810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D0C"/>
    <w:multiLevelType w:val="hybridMultilevel"/>
    <w:tmpl w:val="EE664AC2"/>
    <w:lvl w:ilvl="0" w:tplc="A35EE244">
      <w:start w:val="8"/>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1324A1"/>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C3A31DC"/>
    <w:multiLevelType w:val="hybridMultilevel"/>
    <w:tmpl w:val="FFAADAE0"/>
    <w:lvl w:ilvl="0" w:tplc="5D0AD508">
      <w:start w:val="6"/>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08208CC"/>
    <w:multiLevelType w:val="hybridMultilevel"/>
    <w:tmpl w:val="24C859E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27959C3"/>
    <w:multiLevelType w:val="hybridMultilevel"/>
    <w:tmpl w:val="B7442ACA"/>
    <w:lvl w:ilvl="0" w:tplc="9A949900">
      <w:start w:val="2"/>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15B6A38"/>
    <w:multiLevelType w:val="multilevel"/>
    <w:tmpl w:val="CD1C4274"/>
    <w:lvl w:ilvl="0">
      <w:start w:val="1"/>
      <w:numFmt w:val="decimal"/>
      <w:lvlText w:val="%1."/>
      <w:lvlJc w:val="left"/>
      <w:pPr>
        <w:ind w:left="360" w:hanging="360"/>
      </w:pPr>
      <w:rPr>
        <w:rFonts w:hint="default"/>
        <w:b/>
        <w:i/>
        <w:sz w:val="18"/>
      </w:rPr>
    </w:lvl>
    <w:lvl w:ilvl="1">
      <w:start w:val="1"/>
      <w:numFmt w:val="decimal"/>
      <w:lvlText w:val="%1.%2."/>
      <w:lvlJc w:val="left"/>
      <w:pPr>
        <w:ind w:left="574" w:hanging="432"/>
      </w:pPr>
      <w:rPr>
        <w:rFonts w:hint="default"/>
        <w:i/>
        <w:sz w:val="18"/>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095836"/>
    <w:multiLevelType w:val="hybridMultilevel"/>
    <w:tmpl w:val="EEC209D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C601879"/>
    <w:multiLevelType w:val="hybridMultilevel"/>
    <w:tmpl w:val="18B2E024"/>
    <w:lvl w:ilvl="0" w:tplc="82C41934">
      <w:start w:val="7"/>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038139F"/>
    <w:multiLevelType w:val="hybridMultilevel"/>
    <w:tmpl w:val="F6F0E48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84165A3"/>
    <w:multiLevelType w:val="hybridMultilevel"/>
    <w:tmpl w:val="C452FAE2"/>
    <w:lvl w:ilvl="0" w:tplc="B60EBBBA">
      <w:start w:val="3"/>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CBF3920"/>
    <w:multiLevelType w:val="hybridMultilevel"/>
    <w:tmpl w:val="C06EE10A"/>
    <w:lvl w:ilvl="0" w:tplc="140A000F">
      <w:start w:val="1"/>
      <w:numFmt w:val="decimal"/>
      <w:lvlText w:val="%1."/>
      <w:lvlJc w:val="left"/>
      <w:pPr>
        <w:ind w:left="961" w:hanging="360"/>
      </w:pPr>
    </w:lvl>
    <w:lvl w:ilvl="1" w:tplc="140A0019" w:tentative="1">
      <w:start w:val="1"/>
      <w:numFmt w:val="lowerLetter"/>
      <w:lvlText w:val="%2."/>
      <w:lvlJc w:val="left"/>
      <w:pPr>
        <w:ind w:left="1681" w:hanging="360"/>
      </w:pPr>
    </w:lvl>
    <w:lvl w:ilvl="2" w:tplc="140A001B" w:tentative="1">
      <w:start w:val="1"/>
      <w:numFmt w:val="lowerRoman"/>
      <w:lvlText w:val="%3."/>
      <w:lvlJc w:val="right"/>
      <w:pPr>
        <w:ind w:left="2401" w:hanging="180"/>
      </w:pPr>
    </w:lvl>
    <w:lvl w:ilvl="3" w:tplc="140A000F" w:tentative="1">
      <w:start w:val="1"/>
      <w:numFmt w:val="decimal"/>
      <w:lvlText w:val="%4."/>
      <w:lvlJc w:val="left"/>
      <w:pPr>
        <w:ind w:left="3121" w:hanging="360"/>
      </w:pPr>
    </w:lvl>
    <w:lvl w:ilvl="4" w:tplc="140A0019" w:tentative="1">
      <w:start w:val="1"/>
      <w:numFmt w:val="lowerLetter"/>
      <w:lvlText w:val="%5."/>
      <w:lvlJc w:val="left"/>
      <w:pPr>
        <w:ind w:left="3841" w:hanging="360"/>
      </w:pPr>
    </w:lvl>
    <w:lvl w:ilvl="5" w:tplc="140A001B" w:tentative="1">
      <w:start w:val="1"/>
      <w:numFmt w:val="lowerRoman"/>
      <w:lvlText w:val="%6."/>
      <w:lvlJc w:val="right"/>
      <w:pPr>
        <w:ind w:left="4561" w:hanging="180"/>
      </w:pPr>
    </w:lvl>
    <w:lvl w:ilvl="6" w:tplc="140A000F" w:tentative="1">
      <w:start w:val="1"/>
      <w:numFmt w:val="decimal"/>
      <w:lvlText w:val="%7."/>
      <w:lvlJc w:val="left"/>
      <w:pPr>
        <w:ind w:left="5281" w:hanging="360"/>
      </w:pPr>
    </w:lvl>
    <w:lvl w:ilvl="7" w:tplc="140A0019" w:tentative="1">
      <w:start w:val="1"/>
      <w:numFmt w:val="lowerLetter"/>
      <w:lvlText w:val="%8."/>
      <w:lvlJc w:val="left"/>
      <w:pPr>
        <w:ind w:left="6001" w:hanging="360"/>
      </w:pPr>
    </w:lvl>
    <w:lvl w:ilvl="8" w:tplc="140A001B" w:tentative="1">
      <w:start w:val="1"/>
      <w:numFmt w:val="lowerRoman"/>
      <w:lvlText w:val="%9."/>
      <w:lvlJc w:val="right"/>
      <w:pPr>
        <w:ind w:left="6721" w:hanging="180"/>
      </w:pPr>
    </w:lvl>
  </w:abstractNum>
  <w:abstractNum w:abstractNumId="11" w15:restartNumberingAfterBreak="0">
    <w:nsid w:val="41290FC2"/>
    <w:multiLevelType w:val="multilevel"/>
    <w:tmpl w:val="CD1C4274"/>
    <w:lvl w:ilvl="0">
      <w:start w:val="1"/>
      <w:numFmt w:val="decimal"/>
      <w:lvlText w:val="%1."/>
      <w:lvlJc w:val="left"/>
      <w:pPr>
        <w:ind w:left="360" w:hanging="360"/>
      </w:pPr>
      <w:rPr>
        <w:rFonts w:hint="default"/>
        <w:b/>
        <w:i/>
        <w:sz w:val="18"/>
      </w:rPr>
    </w:lvl>
    <w:lvl w:ilvl="1">
      <w:start w:val="1"/>
      <w:numFmt w:val="decimal"/>
      <w:lvlText w:val="%1.%2."/>
      <w:lvlJc w:val="left"/>
      <w:pPr>
        <w:ind w:left="574" w:hanging="432"/>
      </w:pPr>
      <w:rPr>
        <w:rFonts w:hint="default"/>
        <w:i/>
        <w:sz w:val="18"/>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C011CB"/>
    <w:multiLevelType w:val="hybridMultilevel"/>
    <w:tmpl w:val="933C0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D550649"/>
    <w:multiLevelType w:val="hybridMultilevel"/>
    <w:tmpl w:val="90A8DF88"/>
    <w:lvl w:ilvl="0" w:tplc="3D94E25C">
      <w:start w:val="6"/>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E8100FC"/>
    <w:multiLevelType w:val="hybridMultilevel"/>
    <w:tmpl w:val="063A3922"/>
    <w:lvl w:ilvl="0" w:tplc="C7CEC98C">
      <w:start w:val="10"/>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EC8270C"/>
    <w:multiLevelType w:val="hybridMultilevel"/>
    <w:tmpl w:val="5E7E81D8"/>
    <w:lvl w:ilvl="0" w:tplc="54C47B82">
      <w:start w:val="4"/>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FC21530"/>
    <w:multiLevelType w:val="hybridMultilevel"/>
    <w:tmpl w:val="EB2481C8"/>
    <w:lvl w:ilvl="0" w:tplc="D4185606">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AE728C8"/>
    <w:multiLevelType w:val="hybridMultilevel"/>
    <w:tmpl w:val="9528BD8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0E3282A"/>
    <w:multiLevelType w:val="hybridMultilevel"/>
    <w:tmpl w:val="0C58EEB4"/>
    <w:lvl w:ilvl="0" w:tplc="47EA68EC">
      <w:start w:val="5"/>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20E0667"/>
    <w:multiLevelType w:val="hybridMultilevel"/>
    <w:tmpl w:val="DB169652"/>
    <w:lvl w:ilvl="0" w:tplc="579A33DC">
      <w:start w:val="1"/>
      <w:numFmt w:val="upperLetter"/>
      <w:lvlText w:val="%1."/>
      <w:lvlJc w:val="left"/>
      <w:pPr>
        <w:ind w:left="720" w:hanging="360"/>
      </w:pPr>
      <w:rPr>
        <w:rFonts w:ascii="Arial Narrow" w:hAnsi="Arial Narrow"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4BA7646"/>
    <w:multiLevelType w:val="hybridMultilevel"/>
    <w:tmpl w:val="764A7D12"/>
    <w:lvl w:ilvl="0" w:tplc="7AF23118">
      <w:start w:val="9"/>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9BF07AD"/>
    <w:multiLevelType w:val="hybridMultilevel"/>
    <w:tmpl w:val="27288A90"/>
    <w:lvl w:ilvl="0" w:tplc="140A000F">
      <w:start w:val="1"/>
      <w:numFmt w:val="decimal"/>
      <w:lvlText w:val="%1."/>
      <w:lvlJc w:val="left"/>
      <w:pPr>
        <w:ind w:left="360" w:hanging="360"/>
      </w:pPr>
      <w:rPr>
        <w:rFonts w:hint="default"/>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71D12BA6"/>
    <w:multiLevelType w:val="hybridMultilevel"/>
    <w:tmpl w:val="9370D6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5F61F7B"/>
    <w:multiLevelType w:val="hybridMultilevel"/>
    <w:tmpl w:val="CBA2C4E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31347413">
    <w:abstractNumId w:val="9"/>
  </w:num>
  <w:num w:numId="2" w16cid:durableId="1342852441">
    <w:abstractNumId w:val="15"/>
  </w:num>
  <w:num w:numId="3" w16cid:durableId="664164789">
    <w:abstractNumId w:val="18"/>
  </w:num>
  <w:num w:numId="4" w16cid:durableId="1735347273">
    <w:abstractNumId w:val="13"/>
  </w:num>
  <w:num w:numId="5" w16cid:durableId="900870024">
    <w:abstractNumId w:val="7"/>
  </w:num>
  <w:num w:numId="6" w16cid:durableId="441072435">
    <w:abstractNumId w:val="0"/>
  </w:num>
  <w:num w:numId="7" w16cid:durableId="1805268373">
    <w:abstractNumId w:val="20"/>
  </w:num>
  <w:num w:numId="8" w16cid:durableId="254630450">
    <w:abstractNumId w:val="14"/>
  </w:num>
  <w:num w:numId="9" w16cid:durableId="1538471452">
    <w:abstractNumId w:val="5"/>
  </w:num>
  <w:num w:numId="10" w16cid:durableId="1189562676">
    <w:abstractNumId w:val="23"/>
  </w:num>
  <w:num w:numId="11" w16cid:durableId="1398868197">
    <w:abstractNumId w:val="16"/>
  </w:num>
  <w:num w:numId="12" w16cid:durableId="1988507279">
    <w:abstractNumId w:val="11"/>
  </w:num>
  <w:num w:numId="13" w16cid:durableId="1026370644">
    <w:abstractNumId w:val="19"/>
  </w:num>
  <w:num w:numId="14" w16cid:durableId="874540327">
    <w:abstractNumId w:val="3"/>
  </w:num>
  <w:num w:numId="15" w16cid:durableId="563302034">
    <w:abstractNumId w:val="21"/>
  </w:num>
  <w:num w:numId="16" w16cid:durableId="564990044">
    <w:abstractNumId w:val="4"/>
  </w:num>
  <w:num w:numId="17" w16cid:durableId="1385789774">
    <w:abstractNumId w:val="2"/>
  </w:num>
  <w:num w:numId="18" w16cid:durableId="594637003">
    <w:abstractNumId w:val="12"/>
  </w:num>
  <w:num w:numId="19" w16cid:durableId="636109282">
    <w:abstractNumId w:val="22"/>
  </w:num>
  <w:num w:numId="20" w16cid:durableId="1388534284">
    <w:abstractNumId w:val="1"/>
  </w:num>
  <w:num w:numId="21" w16cid:durableId="816455108">
    <w:abstractNumId w:val="10"/>
  </w:num>
  <w:num w:numId="22" w16cid:durableId="1675255938">
    <w:abstractNumId w:val="17"/>
  </w:num>
  <w:num w:numId="23" w16cid:durableId="2052144908">
    <w:abstractNumId w:val="8"/>
  </w:num>
  <w:num w:numId="24" w16cid:durableId="259876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1AE"/>
    <w:rsid w:val="0001286B"/>
    <w:rsid w:val="00027C9B"/>
    <w:rsid w:val="00030922"/>
    <w:rsid w:val="000350F6"/>
    <w:rsid w:val="00035C29"/>
    <w:rsid w:val="00037069"/>
    <w:rsid w:val="000451BF"/>
    <w:rsid w:val="00045C6F"/>
    <w:rsid w:val="0007142E"/>
    <w:rsid w:val="00072AA0"/>
    <w:rsid w:val="00083882"/>
    <w:rsid w:val="00093F39"/>
    <w:rsid w:val="000A3A80"/>
    <w:rsid w:val="000B0D57"/>
    <w:rsid w:val="000B1C58"/>
    <w:rsid w:val="000B4539"/>
    <w:rsid w:val="000B4BCB"/>
    <w:rsid w:val="000C151A"/>
    <w:rsid w:val="000C2B97"/>
    <w:rsid w:val="000C3480"/>
    <w:rsid w:val="000D7CE5"/>
    <w:rsid w:val="00101F5B"/>
    <w:rsid w:val="00103C96"/>
    <w:rsid w:val="0011249C"/>
    <w:rsid w:val="00113DF5"/>
    <w:rsid w:val="00117D12"/>
    <w:rsid w:val="00136AC3"/>
    <w:rsid w:val="00167490"/>
    <w:rsid w:val="0017356B"/>
    <w:rsid w:val="001761AE"/>
    <w:rsid w:val="001844D9"/>
    <w:rsid w:val="001A5873"/>
    <w:rsid w:val="001B14B0"/>
    <w:rsid w:val="001B655B"/>
    <w:rsid w:val="001C0C82"/>
    <w:rsid w:val="001C4533"/>
    <w:rsid w:val="001C5E79"/>
    <w:rsid w:val="001D3EA0"/>
    <w:rsid w:val="001E02AC"/>
    <w:rsid w:val="001F3CAB"/>
    <w:rsid w:val="001F45E3"/>
    <w:rsid w:val="00210910"/>
    <w:rsid w:val="00212D34"/>
    <w:rsid w:val="00214C1A"/>
    <w:rsid w:val="002167DF"/>
    <w:rsid w:val="00220B01"/>
    <w:rsid w:val="00245562"/>
    <w:rsid w:val="0025352E"/>
    <w:rsid w:val="00284756"/>
    <w:rsid w:val="002A0072"/>
    <w:rsid w:val="002A462A"/>
    <w:rsid w:val="002A5993"/>
    <w:rsid w:val="002B4F98"/>
    <w:rsid w:val="002C0C4D"/>
    <w:rsid w:val="002D025F"/>
    <w:rsid w:val="002D44EE"/>
    <w:rsid w:val="00301BD4"/>
    <w:rsid w:val="00303089"/>
    <w:rsid w:val="003238D7"/>
    <w:rsid w:val="00342DB3"/>
    <w:rsid w:val="0034631E"/>
    <w:rsid w:val="00357608"/>
    <w:rsid w:val="00357ACC"/>
    <w:rsid w:val="00360DC1"/>
    <w:rsid w:val="00364E1A"/>
    <w:rsid w:val="003828DF"/>
    <w:rsid w:val="003875FA"/>
    <w:rsid w:val="00395F72"/>
    <w:rsid w:val="003A6DE4"/>
    <w:rsid w:val="003B1618"/>
    <w:rsid w:val="003B2C92"/>
    <w:rsid w:val="003B3706"/>
    <w:rsid w:val="003B6081"/>
    <w:rsid w:val="003B7051"/>
    <w:rsid w:val="003C1E7C"/>
    <w:rsid w:val="003F2C66"/>
    <w:rsid w:val="003F4998"/>
    <w:rsid w:val="004307E2"/>
    <w:rsid w:val="0043171A"/>
    <w:rsid w:val="00432038"/>
    <w:rsid w:val="00437A0A"/>
    <w:rsid w:val="00440EBC"/>
    <w:rsid w:val="004471EC"/>
    <w:rsid w:val="004504B6"/>
    <w:rsid w:val="00454834"/>
    <w:rsid w:val="004709D6"/>
    <w:rsid w:val="00470A9B"/>
    <w:rsid w:val="00482E4C"/>
    <w:rsid w:val="00484864"/>
    <w:rsid w:val="00487C38"/>
    <w:rsid w:val="0049248B"/>
    <w:rsid w:val="0049538A"/>
    <w:rsid w:val="004A1EAC"/>
    <w:rsid w:val="004A2A24"/>
    <w:rsid w:val="004B3F67"/>
    <w:rsid w:val="004C6115"/>
    <w:rsid w:val="004D4B90"/>
    <w:rsid w:val="004E0468"/>
    <w:rsid w:val="004F32EC"/>
    <w:rsid w:val="00522F86"/>
    <w:rsid w:val="005244DC"/>
    <w:rsid w:val="005359A7"/>
    <w:rsid w:val="0053633D"/>
    <w:rsid w:val="005374DE"/>
    <w:rsid w:val="00542D1E"/>
    <w:rsid w:val="00543DEA"/>
    <w:rsid w:val="00553274"/>
    <w:rsid w:val="00554473"/>
    <w:rsid w:val="0055461F"/>
    <w:rsid w:val="005747DD"/>
    <w:rsid w:val="00592053"/>
    <w:rsid w:val="00594367"/>
    <w:rsid w:val="005C0F2A"/>
    <w:rsid w:val="005C2135"/>
    <w:rsid w:val="005C36FC"/>
    <w:rsid w:val="005D1999"/>
    <w:rsid w:val="005D4E54"/>
    <w:rsid w:val="005D623E"/>
    <w:rsid w:val="005E51EB"/>
    <w:rsid w:val="005F7B0B"/>
    <w:rsid w:val="00600EF6"/>
    <w:rsid w:val="0061718C"/>
    <w:rsid w:val="0061726F"/>
    <w:rsid w:val="006209DB"/>
    <w:rsid w:val="00621EC1"/>
    <w:rsid w:val="00623C63"/>
    <w:rsid w:val="00627FDF"/>
    <w:rsid w:val="006375EE"/>
    <w:rsid w:val="0064638D"/>
    <w:rsid w:val="006472AD"/>
    <w:rsid w:val="0065083A"/>
    <w:rsid w:val="00677330"/>
    <w:rsid w:val="006827EF"/>
    <w:rsid w:val="00683CAC"/>
    <w:rsid w:val="006A1821"/>
    <w:rsid w:val="006B1D2F"/>
    <w:rsid w:val="006C41E3"/>
    <w:rsid w:val="006D2520"/>
    <w:rsid w:val="006D63B9"/>
    <w:rsid w:val="006F0682"/>
    <w:rsid w:val="006F15E1"/>
    <w:rsid w:val="006F58FC"/>
    <w:rsid w:val="006F6F1E"/>
    <w:rsid w:val="0070305F"/>
    <w:rsid w:val="00711B39"/>
    <w:rsid w:val="00713412"/>
    <w:rsid w:val="00723295"/>
    <w:rsid w:val="0073018D"/>
    <w:rsid w:val="00730A59"/>
    <w:rsid w:val="007411C6"/>
    <w:rsid w:val="00742215"/>
    <w:rsid w:val="007422B6"/>
    <w:rsid w:val="007512B6"/>
    <w:rsid w:val="00753EC3"/>
    <w:rsid w:val="00755BE9"/>
    <w:rsid w:val="007564DB"/>
    <w:rsid w:val="007625F9"/>
    <w:rsid w:val="00763162"/>
    <w:rsid w:val="0077476C"/>
    <w:rsid w:val="00774A91"/>
    <w:rsid w:val="00786499"/>
    <w:rsid w:val="00790740"/>
    <w:rsid w:val="007A482A"/>
    <w:rsid w:val="007A6B80"/>
    <w:rsid w:val="007C0945"/>
    <w:rsid w:val="007C49C7"/>
    <w:rsid w:val="007C578E"/>
    <w:rsid w:val="007D2868"/>
    <w:rsid w:val="007D5853"/>
    <w:rsid w:val="007D798A"/>
    <w:rsid w:val="007E25A7"/>
    <w:rsid w:val="007E5C49"/>
    <w:rsid w:val="007E7F83"/>
    <w:rsid w:val="00803C2C"/>
    <w:rsid w:val="0080557F"/>
    <w:rsid w:val="00805C28"/>
    <w:rsid w:val="00807128"/>
    <w:rsid w:val="00825E46"/>
    <w:rsid w:val="008369D8"/>
    <w:rsid w:val="00847684"/>
    <w:rsid w:val="0085265E"/>
    <w:rsid w:val="0085458A"/>
    <w:rsid w:val="00857F65"/>
    <w:rsid w:val="00862DC2"/>
    <w:rsid w:val="008732F9"/>
    <w:rsid w:val="00883A1F"/>
    <w:rsid w:val="00893429"/>
    <w:rsid w:val="008A4907"/>
    <w:rsid w:val="008A70E8"/>
    <w:rsid w:val="008C24C8"/>
    <w:rsid w:val="008C7CBA"/>
    <w:rsid w:val="008E3BD3"/>
    <w:rsid w:val="008E7FC4"/>
    <w:rsid w:val="008F35B7"/>
    <w:rsid w:val="008F7C8D"/>
    <w:rsid w:val="00913711"/>
    <w:rsid w:val="00915A42"/>
    <w:rsid w:val="009230B8"/>
    <w:rsid w:val="00944231"/>
    <w:rsid w:val="00951246"/>
    <w:rsid w:val="00955502"/>
    <w:rsid w:val="009632BA"/>
    <w:rsid w:val="00964897"/>
    <w:rsid w:val="00974466"/>
    <w:rsid w:val="00983A7E"/>
    <w:rsid w:val="00996407"/>
    <w:rsid w:val="00997582"/>
    <w:rsid w:val="009A1C49"/>
    <w:rsid w:val="009A3B9F"/>
    <w:rsid w:val="009A4473"/>
    <w:rsid w:val="009B49B3"/>
    <w:rsid w:val="009F68D4"/>
    <w:rsid w:val="009F740E"/>
    <w:rsid w:val="00A024F1"/>
    <w:rsid w:val="00A0498F"/>
    <w:rsid w:val="00A17FF8"/>
    <w:rsid w:val="00A419F3"/>
    <w:rsid w:val="00A455A4"/>
    <w:rsid w:val="00A648C3"/>
    <w:rsid w:val="00A800E0"/>
    <w:rsid w:val="00A850DD"/>
    <w:rsid w:val="00A85E0D"/>
    <w:rsid w:val="00A870EC"/>
    <w:rsid w:val="00A912A1"/>
    <w:rsid w:val="00AA72C9"/>
    <w:rsid w:val="00AB10CD"/>
    <w:rsid w:val="00AB3F6E"/>
    <w:rsid w:val="00AC3B2B"/>
    <w:rsid w:val="00AC466E"/>
    <w:rsid w:val="00AF4112"/>
    <w:rsid w:val="00AF4AF3"/>
    <w:rsid w:val="00AF62A4"/>
    <w:rsid w:val="00B03277"/>
    <w:rsid w:val="00B0364A"/>
    <w:rsid w:val="00B05BEA"/>
    <w:rsid w:val="00B11B0B"/>
    <w:rsid w:val="00B13FFD"/>
    <w:rsid w:val="00B17B8B"/>
    <w:rsid w:val="00B200D8"/>
    <w:rsid w:val="00B24BCC"/>
    <w:rsid w:val="00B24DB3"/>
    <w:rsid w:val="00B263D4"/>
    <w:rsid w:val="00B269AA"/>
    <w:rsid w:val="00B303AD"/>
    <w:rsid w:val="00B40213"/>
    <w:rsid w:val="00B42118"/>
    <w:rsid w:val="00B56391"/>
    <w:rsid w:val="00B63B9C"/>
    <w:rsid w:val="00B804E5"/>
    <w:rsid w:val="00B96502"/>
    <w:rsid w:val="00B966D0"/>
    <w:rsid w:val="00BA1C4A"/>
    <w:rsid w:val="00BE4B01"/>
    <w:rsid w:val="00BE5CF4"/>
    <w:rsid w:val="00BF6436"/>
    <w:rsid w:val="00C34165"/>
    <w:rsid w:val="00C3798E"/>
    <w:rsid w:val="00C45B97"/>
    <w:rsid w:val="00C61484"/>
    <w:rsid w:val="00C64D2D"/>
    <w:rsid w:val="00C73CB8"/>
    <w:rsid w:val="00C976A3"/>
    <w:rsid w:val="00C97D0B"/>
    <w:rsid w:val="00CA1B51"/>
    <w:rsid w:val="00CA447A"/>
    <w:rsid w:val="00CB3C4C"/>
    <w:rsid w:val="00CD2415"/>
    <w:rsid w:val="00CE2BE1"/>
    <w:rsid w:val="00D06969"/>
    <w:rsid w:val="00D07107"/>
    <w:rsid w:val="00D07419"/>
    <w:rsid w:val="00D13D00"/>
    <w:rsid w:val="00D13D8A"/>
    <w:rsid w:val="00D15E6B"/>
    <w:rsid w:val="00D23767"/>
    <w:rsid w:val="00D2389D"/>
    <w:rsid w:val="00D25BB3"/>
    <w:rsid w:val="00D26894"/>
    <w:rsid w:val="00D3057D"/>
    <w:rsid w:val="00D36464"/>
    <w:rsid w:val="00D36A40"/>
    <w:rsid w:val="00D432C7"/>
    <w:rsid w:val="00D82D7E"/>
    <w:rsid w:val="00D909A7"/>
    <w:rsid w:val="00D93EB7"/>
    <w:rsid w:val="00DB6AC1"/>
    <w:rsid w:val="00DC304B"/>
    <w:rsid w:val="00DC3491"/>
    <w:rsid w:val="00DD10A6"/>
    <w:rsid w:val="00DE1BEB"/>
    <w:rsid w:val="00DE3BB3"/>
    <w:rsid w:val="00DF41E7"/>
    <w:rsid w:val="00E063B4"/>
    <w:rsid w:val="00E301EE"/>
    <w:rsid w:val="00E3259F"/>
    <w:rsid w:val="00E5685F"/>
    <w:rsid w:val="00E61136"/>
    <w:rsid w:val="00E66B8E"/>
    <w:rsid w:val="00E67E49"/>
    <w:rsid w:val="00E778B3"/>
    <w:rsid w:val="00E77D8A"/>
    <w:rsid w:val="00E8135B"/>
    <w:rsid w:val="00E92DCD"/>
    <w:rsid w:val="00E94CA2"/>
    <w:rsid w:val="00EA7410"/>
    <w:rsid w:val="00EB033C"/>
    <w:rsid w:val="00EB0C40"/>
    <w:rsid w:val="00EB4749"/>
    <w:rsid w:val="00EC14EF"/>
    <w:rsid w:val="00EC2F13"/>
    <w:rsid w:val="00ED507A"/>
    <w:rsid w:val="00EE36BC"/>
    <w:rsid w:val="00EF2997"/>
    <w:rsid w:val="00EF4505"/>
    <w:rsid w:val="00EF6045"/>
    <w:rsid w:val="00EF6231"/>
    <w:rsid w:val="00F03F95"/>
    <w:rsid w:val="00F14300"/>
    <w:rsid w:val="00F15ECD"/>
    <w:rsid w:val="00F20869"/>
    <w:rsid w:val="00F22721"/>
    <w:rsid w:val="00F305E8"/>
    <w:rsid w:val="00F632DF"/>
    <w:rsid w:val="00F701BA"/>
    <w:rsid w:val="00F74C67"/>
    <w:rsid w:val="00F751F5"/>
    <w:rsid w:val="00F75D24"/>
    <w:rsid w:val="00F86F48"/>
    <w:rsid w:val="00FB695D"/>
    <w:rsid w:val="00FC7ABF"/>
    <w:rsid w:val="00FF076E"/>
    <w:rsid w:val="00FF6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6A3EED2"/>
  <w15:docId w15:val="{6A067381-3BDA-401D-B714-43092529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C4533"/>
    <w:pPr>
      <w:spacing w:after="240" w:line="312" w:lineRule="atLeast"/>
      <w:outlineLvl w:val="0"/>
    </w:pPr>
    <w:rPr>
      <w:rFonts w:ascii="Times New Roman" w:eastAsia="Times New Roman" w:hAnsi="Times New Roman" w:cs="Times New Roman"/>
      <w:color w:val="AA0033"/>
      <w:kern w:val="36"/>
      <w:sz w:val="58"/>
      <w:szCs w:val="58"/>
      <w:lang w:val="es-ES" w:eastAsia="es-ES"/>
    </w:rPr>
  </w:style>
  <w:style w:type="paragraph" w:styleId="Ttulo2">
    <w:name w:val="heading 2"/>
    <w:basedOn w:val="Normal"/>
    <w:link w:val="Ttulo2Car"/>
    <w:uiPriority w:val="9"/>
    <w:qFormat/>
    <w:rsid w:val="001C4533"/>
    <w:pPr>
      <w:spacing w:after="168" w:line="312" w:lineRule="atLeast"/>
      <w:outlineLvl w:val="1"/>
    </w:pPr>
    <w:rPr>
      <w:rFonts w:ascii="Times New Roman" w:eastAsia="Times New Roman" w:hAnsi="Times New Roman" w:cs="Times New Roman"/>
      <w:b/>
      <w:bCs/>
      <w:sz w:val="34"/>
      <w:szCs w:val="34"/>
      <w:lang w:val="es-ES" w:eastAsia="es-ES"/>
    </w:rPr>
  </w:style>
  <w:style w:type="paragraph" w:styleId="Ttulo3">
    <w:name w:val="heading 3"/>
    <w:basedOn w:val="Normal"/>
    <w:link w:val="Ttulo3Car"/>
    <w:uiPriority w:val="9"/>
    <w:qFormat/>
    <w:rsid w:val="001C4533"/>
    <w:pPr>
      <w:spacing w:after="240" w:line="312" w:lineRule="atLeast"/>
      <w:outlineLvl w:val="2"/>
    </w:pPr>
    <w:rPr>
      <w:rFonts w:ascii="Times New Roman" w:eastAsia="Times New Roman" w:hAnsi="Times New Roman" w:cs="Times New Roman"/>
      <w:b/>
      <w:bCs/>
      <w:sz w:val="29"/>
      <w:szCs w:val="29"/>
      <w:lang w:val="es-ES" w:eastAsia="es-ES"/>
    </w:rPr>
  </w:style>
  <w:style w:type="paragraph" w:styleId="Ttulo4">
    <w:name w:val="heading 4"/>
    <w:basedOn w:val="Normal"/>
    <w:link w:val="Ttulo4Car"/>
    <w:uiPriority w:val="9"/>
    <w:qFormat/>
    <w:rsid w:val="001C4533"/>
    <w:pPr>
      <w:spacing w:after="0" w:line="312" w:lineRule="atLeast"/>
      <w:outlineLvl w:val="3"/>
    </w:pPr>
    <w:rPr>
      <w:rFonts w:ascii="Times New Roman" w:eastAsia="Times New Roman" w:hAnsi="Times New Roman" w:cs="Times New Roman"/>
      <w:b/>
      <w:bCs/>
      <w:sz w:val="29"/>
      <w:szCs w:val="29"/>
      <w:lang w:val="es-ES" w:eastAsia="es-ES"/>
    </w:rPr>
  </w:style>
  <w:style w:type="paragraph" w:styleId="Ttulo5">
    <w:name w:val="heading 5"/>
    <w:basedOn w:val="Normal"/>
    <w:next w:val="Normal"/>
    <w:link w:val="Ttulo5Car"/>
    <w:uiPriority w:val="9"/>
    <w:qFormat/>
    <w:rsid w:val="001761AE"/>
    <w:pPr>
      <w:keepNext/>
      <w:widowControl w:val="0"/>
      <w:spacing w:after="0" w:line="240" w:lineRule="auto"/>
      <w:jc w:val="center"/>
      <w:outlineLvl w:val="4"/>
    </w:pPr>
    <w:rPr>
      <w:rFonts w:ascii="Times New Roman" w:eastAsia="Times New Roman" w:hAnsi="Times New Roman" w:cs="Times New Roman"/>
      <w:b/>
      <w:i/>
      <w:snapToGrid w:val="0"/>
      <w:szCs w:val="24"/>
    </w:rPr>
  </w:style>
  <w:style w:type="paragraph" w:styleId="Ttulo6">
    <w:name w:val="heading 6"/>
    <w:basedOn w:val="Normal"/>
    <w:link w:val="Ttulo6Car"/>
    <w:uiPriority w:val="9"/>
    <w:qFormat/>
    <w:rsid w:val="001C4533"/>
    <w:pPr>
      <w:spacing w:after="240" w:line="312" w:lineRule="atLeast"/>
      <w:outlineLvl w:val="5"/>
    </w:pPr>
    <w:rPr>
      <w:rFonts w:ascii="Times New Roman" w:eastAsia="Times New Roman" w:hAnsi="Times New Roman" w:cs="Times New Roman"/>
      <w:i/>
      <w:iCs/>
      <w:sz w:val="29"/>
      <w:szCs w:val="29"/>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B3F6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B3F67"/>
  </w:style>
  <w:style w:type="paragraph" w:styleId="Piedepgina">
    <w:name w:val="footer"/>
    <w:basedOn w:val="Normal"/>
    <w:link w:val="PiedepginaCar"/>
    <w:unhideWhenUsed/>
    <w:rsid w:val="004B3F67"/>
    <w:pPr>
      <w:tabs>
        <w:tab w:val="center" w:pos="4680"/>
        <w:tab w:val="right" w:pos="9360"/>
      </w:tabs>
      <w:spacing w:after="0" w:line="240" w:lineRule="auto"/>
    </w:pPr>
  </w:style>
  <w:style w:type="character" w:customStyle="1" w:styleId="PiedepginaCar">
    <w:name w:val="Pie de página Car"/>
    <w:basedOn w:val="Fuentedeprrafopredeter"/>
    <w:link w:val="Piedepgina"/>
    <w:rsid w:val="004B3F67"/>
  </w:style>
  <w:style w:type="character" w:customStyle="1" w:styleId="Ttulo5Car">
    <w:name w:val="Título 5 Car"/>
    <w:basedOn w:val="Fuentedeprrafopredeter"/>
    <w:link w:val="Ttulo5"/>
    <w:uiPriority w:val="9"/>
    <w:rsid w:val="001761AE"/>
    <w:rPr>
      <w:rFonts w:ascii="Times New Roman" w:eastAsia="Times New Roman" w:hAnsi="Times New Roman" w:cs="Times New Roman"/>
      <w:b/>
      <w:i/>
      <w:snapToGrid w:val="0"/>
      <w:szCs w:val="24"/>
      <w:lang w:val="es-CR"/>
    </w:rPr>
  </w:style>
  <w:style w:type="table" w:styleId="Tablaconcuadrcula">
    <w:name w:val="Table Grid"/>
    <w:basedOn w:val="Tablanormal"/>
    <w:uiPriority w:val="39"/>
    <w:rsid w:val="0017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NUMBERED PARAGRAPH,List Paragraph 1,List Paragraph (numbered (a)),Use Case List Paragraph,References,ReferencesCxSpLast,lp1,Informe,Con viñetas,Normal con viñetas,3,Bullet 1,titulo 3,figuras y gráficos,Viñetas,Bulletr List Paragraph"/>
    <w:basedOn w:val="Normal"/>
    <w:link w:val="PrrafodelistaCar"/>
    <w:uiPriority w:val="34"/>
    <w:qFormat/>
    <w:rsid w:val="001761AE"/>
    <w:pPr>
      <w:ind w:left="720"/>
      <w:contextualSpacing/>
    </w:pPr>
  </w:style>
  <w:style w:type="character" w:customStyle="1" w:styleId="PrrafodelistaCar">
    <w:name w:val="Párrafo de lista Car"/>
    <w:aliases w:val="NUMBERED PARAGRAPH Car,List Paragraph 1 Car,List Paragraph (numbered (a)) Car,Use Case List Paragraph Car,References Car,ReferencesCxSpLast Car,lp1 Car,Informe Car,Con viñetas Car,Normal con viñetas Car,3 Car,Bullet 1 Car"/>
    <w:basedOn w:val="Fuentedeprrafopredeter"/>
    <w:link w:val="Prrafodelista"/>
    <w:uiPriority w:val="34"/>
    <w:qFormat/>
    <w:locked/>
    <w:rsid w:val="001761AE"/>
    <w:rPr>
      <w:lang w:val="es-CR"/>
    </w:rPr>
  </w:style>
  <w:style w:type="character" w:styleId="Hipervnculo">
    <w:name w:val="Hyperlink"/>
    <w:basedOn w:val="Fuentedeprrafopredeter"/>
    <w:uiPriority w:val="99"/>
    <w:unhideWhenUsed/>
    <w:rsid w:val="001761AE"/>
    <w:rPr>
      <w:color w:val="0000FF" w:themeColor="hyperlink"/>
      <w:u w:val="single"/>
    </w:rPr>
  </w:style>
  <w:style w:type="paragraph" w:styleId="Sangra2detindependiente">
    <w:name w:val="Body Text Indent 2"/>
    <w:basedOn w:val="Normal"/>
    <w:link w:val="Sangra2detindependienteCar"/>
    <w:rsid w:val="001761AE"/>
    <w:pPr>
      <w:spacing w:after="120" w:line="240" w:lineRule="auto"/>
      <w:ind w:left="284"/>
      <w:jc w:val="both"/>
    </w:pPr>
    <w:rPr>
      <w:rFonts w:ascii="Times New Roman" w:eastAsia="Times New Roman" w:hAnsi="Times New Roman" w:cs="Times New Roman"/>
      <w:b/>
      <w:bCs/>
      <w:iCs/>
      <w:sz w:val="24"/>
      <w:szCs w:val="24"/>
      <w:lang w:val="es-ES" w:eastAsia="es-ES"/>
    </w:rPr>
  </w:style>
  <w:style w:type="character" w:customStyle="1" w:styleId="Sangra2detindependienteCar">
    <w:name w:val="Sangría 2 de t. independiente Car"/>
    <w:basedOn w:val="Fuentedeprrafopredeter"/>
    <w:link w:val="Sangra2detindependiente"/>
    <w:rsid w:val="001761AE"/>
    <w:rPr>
      <w:rFonts w:ascii="Times New Roman" w:eastAsia="Times New Roman" w:hAnsi="Times New Roman" w:cs="Times New Roman"/>
      <w:b/>
      <w:bCs/>
      <w:iCs/>
      <w:sz w:val="24"/>
      <w:szCs w:val="24"/>
      <w:lang w:val="es-ES" w:eastAsia="es-ES"/>
    </w:rPr>
  </w:style>
  <w:style w:type="paragraph" w:styleId="Textoindependiente">
    <w:name w:val="Body Text"/>
    <w:basedOn w:val="Normal"/>
    <w:link w:val="TextoindependienteCar"/>
    <w:unhideWhenUsed/>
    <w:rsid w:val="001761AE"/>
    <w:pPr>
      <w:spacing w:after="120"/>
    </w:pPr>
  </w:style>
  <w:style w:type="character" w:customStyle="1" w:styleId="TextoindependienteCar">
    <w:name w:val="Texto independiente Car"/>
    <w:basedOn w:val="Fuentedeprrafopredeter"/>
    <w:link w:val="Textoindependiente"/>
    <w:rsid w:val="001761AE"/>
    <w:rPr>
      <w:lang w:val="es-CR"/>
    </w:rPr>
  </w:style>
  <w:style w:type="character" w:customStyle="1" w:styleId="Ttulo1Car">
    <w:name w:val="Título 1 Car"/>
    <w:basedOn w:val="Fuentedeprrafopredeter"/>
    <w:link w:val="Ttulo1"/>
    <w:uiPriority w:val="9"/>
    <w:rsid w:val="001C4533"/>
    <w:rPr>
      <w:rFonts w:ascii="Times New Roman" w:eastAsia="Times New Roman" w:hAnsi="Times New Roman" w:cs="Times New Roman"/>
      <w:color w:val="AA0033"/>
      <w:kern w:val="36"/>
      <w:sz w:val="58"/>
      <w:szCs w:val="58"/>
      <w:lang w:val="es-ES" w:eastAsia="es-ES"/>
    </w:rPr>
  </w:style>
  <w:style w:type="character" w:customStyle="1" w:styleId="Ttulo2Car">
    <w:name w:val="Título 2 Car"/>
    <w:basedOn w:val="Fuentedeprrafopredeter"/>
    <w:link w:val="Ttulo2"/>
    <w:uiPriority w:val="9"/>
    <w:rsid w:val="001C4533"/>
    <w:rPr>
      <w:rFonts w:ascii="Times New Roman" w:eastAsia="Times New Roman" w:hAnsi="Times New Roman" w:cs="Times New Roman"/>
      <w:b/>
      <w:bCs/>
      <w:sz w:val="34"/>
      <w:szCs w:val="34"/>
      <w:lang w:val="es-ES" w:eastAsia="es-ES"/>
    </w:rPr>
  </w:style>
  <w:style w:type="character" w:customStyle="1" w:styleId="Ttulo3Car">
    <w:name w:val="Título 3 Car"/>
    <w:basedOn w:val="Fuentedeprrafopredeter"/>
    <w:link w:val="Ttulo3"/>
    <w:uiPriority w:val="9"/>
    <w:rsid w:val="001C4533"/>
    <w:rPr>
      <w:rFonts w:ascii="Times New Roman" w:eastAsia="Times New Roman" w:hAnsi="Times New Roman" w:cs="Times New Roman"/>
      <w:b/>
      <w:bCs/>
      <w:sz w:val="29"/>
      <w:szCs w:val="29"/>
      <w:lang w:val="es-ES" w:eastAsia="es-ES"/>
    </w:rPr>
  </w:style>
  <w:style w:type="character" w:customStyle="1" w:styleId="Ttulo4Car">
    <w:name w:val="Título 4 Car"/>
    <w:basedOn w:val="Fuentedeprrafopredeter"/>
    <w:link w:val="Ttulo4"/>
    <w:uiPriority w:val="9"/>
    <w:rsid w:val="001C4533"/>
    <w:rPr>
      <w:rFonts w:ascii="Times New Roman" w:eastAsia="Times New Roman" w:hAnsi="Times New Roman" w:cs="Times New Roman"/>
      <w:b/>
      <w:bCs/>
      <w:sz w:val="29"/>
      <w:szCs w:val="29"/>
      <w:lang w:val="es-ES" w:eastAsia="es-ES"/>
    </w:rPr>
  </w:style>
  <w:style w:type="character" w:customStyle="1" w:styleId="Ttulo6Car">
    <w:name w:val="Título 6 Car"/>
    <w:basedOn w:val="Fuentedeprrafopredeter"/>
    <w:link w:val="Ttulo6"/>
    <w:uiPriority w:val="9"/>
    <w:rsid w:val="001C4533"/>
    <w:rPr>
      <w:rFonts w:ascii="Times New Roman" w:eastAsia="Times New Roman" w:hAnsi="Times New Roman" w:cs="Times New Roman"/>
      <w:i/>
      <w:iCs/>
      <w:sz w:val="29"/>
      <w:szCs w:val="29"/>
      <w:lang w:val="es-ES" w:eastAsia="es-ES"/>
    </w:rPr>
  </w:style>
  <w:style w:type="character" w:styleId="Refdenotaalpie">
    <w:name w:val="footnote reference"/>
    <w:basedOn w:val="Fuentedeprrafopredeter"/>
    <w:uiPriority w:val="99"/>
    <w:unhideWhenUsed/>
    <w:rsid w:val="001C4533"/>
    <w:rPr>
      <w:vertAlign w:val="superscript"/>
    </w:rPr>
  </w:style>
  <w:style w:type="paragraph" w:styleId="Textonotapie">
    <w:name w:val="footnote text"/>
    <w:basedOn w:val="Normal"/>
    <w:link w:val="TextonotapieCar"/>
    <w:uiPriority w:val="99"/>
    <w:unhideWhenUsed/>
    <w:rsid w:val="001C4533"/>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rsid w:val="001C4533"/>
    <w:rPr>
      <w:rFonts w:ascii="Calibri" w:eastAsia="Calibri" w:hAnsi="Calibri" w:cs="Times New Roman"/>
      <w:sz w:val="20"/>
      <w:szCs w:val="20"/>
      <w:lang w:val="es-ES"/>
    </w:rPr>
  </w:style>
  <w:style w:type="paragraph" w:styleId="Textodeglobo">
    <w:name w:val="Balloon Text"/>
    <w:basedOn w:val="Normal"/>
    <w:link w:val="TextodegloboCar"/>
    <w:unhideWhenUsed/>
    <w:rsid w:val="001C45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1C4533"/>
    <w:rPr>
      <w:rFonts w:ascii="Tahoma" w:hAnsi="Tahoma" w:cs="Tahoma"/>
      <w:sz w:val="16"/>
      <w:szCs w:val="16"/>
      <w:lang w:val="es-CR"/>
    </w:rPr>
  </w:style>
  <w:style w:type="character" w:styleId="Refdecomentario">
    <w:name w:val="annotation reference"/>
    <w:basedOn w:val="Fuentedeprrafopredeter"/>
    <w:uiPriority w:val="99"/>
    <w:unhideWhenUsed/>
    <w:rsid w:val="001C4533"/>
    <w:rPr>
      <w:sz w:val="16"/>
      <w:szCs w:val="16"/>
    </w:rPr>
  </w:style>
  <w:style w:type="paragraph" w:styleId="Textocomentario">
    <w:name w:val="annotation text"/>
    <w:basedOn w:val="Normal"/>
    <w:link w:val="TextocomentarioCar"/>
    <w:uiPriority w:val="99"/>
    <w:unhideWhenUsed/>
    <w:rsid w:val="001C4533"/>
    <w:pPr>
      <w:spacing w:line="240" w:lineRule="auto"/>
    </w:pPr>
    <w:rPr>
      <w:sz w:val="20"/>
      <w:szCs w:val="20"/>
    </w:rPr>
  </w:style>
  <w:style w:type="character" w:customStyle="1" w:styleId="TextocomentarioCar">
    <w:name w:val="Texto comentario Car"/>
    <w:basedOn w:val="Fuentedeprrafopredeter"/>
    <w:link w:val="Textocomentario"/>
    <w:uiPriority w:val="99"/>
    <w:rsid w:val="001C4533"/>
    <w:rPr>
      <w:sz w:val="20"/>
      <w:szCs w:val="20"/>
      <w:lang w:val="es-CR"/>
    </w:rPr>
  </w:style>
  <w:style w:type="paragraph" w:styleId="Asuntodelcomentario">
    <w:name w:val="annotation subject"/>
    <w:basedOn w:val="Textocomentario"/>
    <w:next w:val="Textocomentario"/>
    <w:link w:val="AsuntodelcomentarioCar"/>
    <w:unhideWhenUsed/>
    <w:rsid w:val="001C4533"/>
    <w:rPr>
      <w:b/>
      <w:bCs/>
    </w:rPr>
  </w:style>
  <w:style w:type="character" w:customStyle="1" w:styleId="AsuntodelcomentarioCar">
    <w:name w:val="Asunto del comentario Car"/>
    <w:basedOn w:val="TextocomentarioCar"/>
    <w:link w:val="Asuntodelcomentario"/>
    <w:rsid w:val="001C4533"/>
    <w:rPr>
      <w:b/>
      <w:bCs/>
      <w:sz w:val="20"/>
      <w:szCs w:val="20"/>
      <w:lang w:val="es-CR"/>
    </w:rPr>
  </w:style>
  <w:style w:type="character" w:styleId="Hipervnculovisitado">
    <w:name w:val="FollowedHyperlink"/>
    <w:basedOn w:val="Fuentedeprrafopredeter"/>
    <w:uiPriority w:val="99"/>
    <w:semiHidden/>
    <w:unhideWhenUsed/>
    <w:rsid w:val="001C4533"/>
    <w:rPr>
      <w:color w:val="800080" w:themeColor="followedHyperlink"/>
      <w:u w:val="single"/>
    </w:rPr>
  </w:style>
  <w:style w:type="paragraph" w:styleId="Textoindependiente3">
    <w:name w:val="Body Text 3"/>
    <w:basedOn w:val="Normal"/>
    <w:link w:val="Textoindependiente3Car"/>
    <w:unhideWhenUsed/>
    <w:rsid w:val="001C4533"/>
    <w:pPr>
      <w:spacing w:after="120"/>
    </w:pPr>
    <w:rPr>
      <w:sz w:val="16"/>
      <w:szCs w:val="16"/>
    </w:rPr>
  </w:style>
  <w:style w:type="character" w:customStyle="1" w:styleId="Textoindependiente3Car">
    <w:name w:val="Texto independiente 3 Car"/>
    <w:basedOn w:val="Fuentedeprrafopredeter"/>
    <w:link w:val="Textoindependiente3"/>
    <w:rsid w:val="001C4533"/>
    <w:rPr>
      <w:sz w:val="16"/>
      <w:szCs w:val="16"/>
      <w:lang w:val="es-CR"/>
    </w:rPr>
  </w:style>
  <w:style w:type="paragraph" w:styleId="Descripcin">
    <w:name w:val="caption"/>
    <w:basedOn w:val="Normal"/>
    <w:next w:val="Normal"/>
    <w:unhideWhenUsed/>
    <w:qFormat/>
    <w:rsid w:val="001C4533"/>
    <w:pPr>
      <w:spacing w:line="240" w:lineRule="auto"/>
      <w:jc w:val="both"/>
    </w:pPr>
    <w:rPr>
      <w:rFonts w:ascii="Cambria" w:eastAsia="Times New Roman" w:hAnsi="Cambria" w:cs="Times New Roman"/>
      <w:b/>
      <w:bCs/>
      <w:color w:val="4F81BD"/>
      <w:sz w:val="18"/>
      <w:szCs w:val="18"/>
      <w:lang w:val="es-ES"/>
    </w:rPr>
  </w:style>
  <w:style w:type="paragraph" w:styleId="Textoindependiente2">
    <w:name w:val="Body Text 2"/>
    <w:basedOn w:val="Normal"/>
    <w:link w:val="Textoindependiente2Car"/>
    <w:rsid w:val="001C4533"/>
    <w:pPr>
      <w:spacing w:after="0" w:line="240" w:lineRule="auto"/>
      <w:jc w:val="both"/>
    </w:pPr>
    <w:rPr>
      <w:rFonts w:ascii="Times New Roman" w:eastAsia="Times New Roman" w:hAnsi="Times New Roman" w:cs="Times New Roman"/>
      <w:sz w:val="24"/>
      <w:szCs w:val="24"/>
      <w:lang w:val="es-ES_tradnl" w:eastAsia="es-ES"/>
    </w:rPr>
  </w:style>
  <w:style w:type="character" w:customStyle="1" w:styleId="Textoindependiente2Car">
    <w:name w:val="Texto independiente 2 Car"/>
    <w:basedOn w:val="Fuentedeprrafopredeter"/>
    <w:link w:val="Textoindependiente2"/>
    <w:rsid w:val="001C4533"/>
    <w:rPr>
      <w:rFonts w:ascii="Times New Roman" w:eastAsia="Times New Roman" w:hAnsi="Times New Roman" w:cs="Times New Roman"/>
      <w:sz w:val="24"/>
      <w:szCs w:val="24"/>
      <w:lang w:val="es-ES_tradnl" w:eastAsia="es-ES"/>
    </w:rPr>
  </w:style>
  <w:style w:type="character" w:styleId="Nmerodepgina">
    <w:name w:val="page number"/>
    <w:basedOn w:val="Fuentedeprrafopredeter"/>
    <w:rsid w:val="001C4533"/>
  </w:style>
  <w:style w:type="paragraph" w:styleId="Ttulo">
    <w:name w:val="Title"/>
    <w:basedOn w:val="Normal"/>
    <w:link w:val="TtuloCar"/>
    <w:qFormat/>
    <w:rsid w:val="001C4533"/>
    <w:pPr>
      <w:spacing w:after="0" w:line="240" w:lineRule="auto"/>
      <w:jc w:val="center"/>
    </w:pPr>
    <w:rPr>
      <w:rFonts w:ascii="Times New Roman" w:eastAsia="Times New Roman" w:hAnsi="Times New Roman" w:cs="Times New Roman"/>
      <w:b/>
      <w:bCs/>
      <w:sz w:val="24"/>
      <w:szCs w:val="24"/>
      <w:lang w:val="es-ES"/>
    </w:rPr>
  </w:style>
  <w:style w:type="character" w:customStyle="1" w:styleId="TtuloCar">
    <w:name w:val="Título Car"/>
    <w:basedOn w:val="Fuentedeprrafopredeter"/>
    <w:link w:val="Ttulo"/>
    <w:rsid w:val="001C4533"/>
    <w:rPr>
      <w:rFonts w:ascii="Times New Roman" w:eastAsia="Times New Roman" w:hAnsi="Times New Roman" w:cs="Times New Roman"/>
      <w:b/>
      <w:bCs/>
      <w:sz w:val="24"/>
      <w:szCs w:val="24"/>
      <w:lang w:val="es-ES"/>
    </w:rPr>
  </w:style>
  <w:style w:type="character" w:customStyle="1" w:styleId="Strong1">
    <w:name w:val="Strong1"/>
    <w:basedOn w:val="Fuentedeprrafopredeter"/>
    <w:rsid w:val="001C4533"/>
    <w:rPr>
      <w:b/>
    </w:rPr>
  </w:style>
  <w:style w:type="paragraph" w:styleId="Sinespaciado">
    <w:name w:val="No Spacing"/>
    <w:uiPriority w:val="1"/>
    <w:qFormat/>
    <w:rsid w:val="003B1618"/>
    <w:pPr>
      <w:spacing w:after="0" w:line="240" w:lineRule="auto"/>
    </w:pPr>
  </w:style>
  <w:style w:type="paragraph" w:customStyle="1" w:styleId="Default">
    <w:name w:val="Default"/>
    <w:rsid w:val="00301BD4"/>
    <w:pPr>
      <w:autoSpaceDE w:val="0"/>
      <w:autoSpaceDN w:val="0"/>
      <w:adjustRightInd w:val="0"/>
      <w:spacing w:after="0" w:line="240" w:lineRule="auto"/>
    </w:pPr>
    <w:rPr>
      <w:rFonts w:ascii="Calibri" w:eastAsia="Times New Roman" w:hAnsi="Calibri" w:cs="Calibri"/>
      <w:color w:val="000000"/>
      <w:sz w:val="24"/>
      <w:szCs w:val="24"/>
      <w:lang w:eastAsia="en-US"/>
    </w:rPr>
  </w:style>
  <w:style w:type="table" w:styleId="Listaclara">
    <w:name w:val="Light List"/>
    <w:basedOn w:val="Tablanormal"/>
    <w:uiPriority w:val="61"/>
    <w:rsid w:val="002A462A"/>
    <w:pPr>
      <w:spacing w:after="0" w:line="240" w:lineRule="auto"/>
    </w:pPr>
    <w:rPr>
      <w:rFonts w:eastAsiaTheme="minorHAns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oJustificadoTabla">
    <w:name w:val="Texto Justificado Tabla"/>
    <w:basedOn w:val="Normal"/>
    <w:rsid w:val="001B14B0"/>
    <w:pPr>
      <w:spacing w:before="60" w:after="60" w:line="240" w:lineRule="auto"/>
      <w:ind w:left="57" w:right="57"/>
      <w:jc w:val="both"/>
    </w:pPr>
    <w:rPr>
      <w:rFonts w:ascii="Arial" w:eastAsia="Times New Roman" w:hAnsi="Arial" w:cs="Times New Roman"/>
      <w:snapToGrid w:val="0"/>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ugese@sugese.fi.cr" TargetMode="External"/><Relationship Id="rId18" Type="http://schemas.openxmlformats.org/officeDocument/2006/relationships/image" Target="media/image3.emf"/><Relationship Id="rId26" Type="http://schemas.openxmlformats.org/officeDocument/2006/relationships/image" Target="media/image7.emf"/><Relationship Id="rId21" Type="http://schemas.openxmlformats.org/officeDocument/2006/relationships/package" Target="embeddings/Microsoft_Word_Document1.docx"/><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ugese.fi.cr" TargetMode="External"/><Relationship Id="rId17" Type="http://schemas.openxmlformats.org/officeDocument/2006/relationships/package" Target="embeddings/Microsoft_Excel_Worksheet.xlsx"/><Relationship Id="rId25" Type="http://schemas.openxmlformats.org/officeDocument/2006/relationships/package" Target="embeddings/Microsoft_Excel_Worksheet3.xlsx"/><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gese@sugese.fi.cr" TargetMode="External"/><Relationship Id="rId24" Type="http://schemas.openxmlformats.org/officeDocument/2006/relationships/image" Target="media/image6.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package" Target="embeddings/Microsoft_Word_Document2.docx"/><Relationship Id="rId28" Type="http://schemas.openxmlformats.org/officeDocument/2006/relationships/image" Target="media/image8.emf"/><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gese.fi.cr" TargetMode="External"/><Relationship Id="rId22" Type="http://schemas.openxmlformats.org/officeDocument/2006/relationships/image" Target="media/image5.emf"/><Relationship Id="rId27" Type="http://schemas.openxmlformats.org/officeDocument/2006/relationships/package" Target="embeddings/Microsoft_Word_Document4.docx"/><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E56C24-E3DA-45C7-91AA-C5B545915B07}">
  <ds:schemaRefs>
    <ds:schemaRef ds:uri="http://schemas.openxmlformats.org/officeDocument/2006/bibliography"/>
  </ds:schemaRefs>
</ds:datastoreItem>
</file>

<file path=customXml/itemProps2.xml><?xml version="1.0" encoding="utf-8"?>
<ds:datastoreItem xmlns:ds="http://schemas.openxmlformats.org/officeDocument/2006/customXml" ds:itemID="{781DDBEF-22BC-4F2C-9BE0-AD6EAC779CDD}"/>
</file>

<file path=customXml/itemProps3.xml><?xml version="1.0" encoding="utf-8"?>
<ds:datastoreItem xmlns:ds="http://schemas.openxmlformats.org/officeDocument/2006/customXml" ds:itemID="{E7AA3E38-27C2-4312-AEA1-58B0F2424D40}">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95f88106-609b-4c5e-bd82-4d097704527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84A961A-6D4B-486C-9AEE-FB53565F9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6390</Words>
  <Characters>35148</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SGS-A-0021-2013 - NIIF 17</vt:lpstr>
    </vt:vector>
  </TitlesOfParts>
  <Company>BCCR</Company>
  <LinksUpToDate>false</LinksUpToDate>
  <CharactersWithSpaces>41456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SGS-A-0021-2013 - NIIF 17</dc:title>
  <dc:creator>SABORIO ROJAS JUAN CARLOS</dc:creator>
  <dc:description>Favor asignar consecutivo.</dc:description>
  <cp:lastModifiedBy>SABORIO ROJAS JUAN CARLOS</cp:lastModifiedBy>
  <cp:revision>5</cp:revision>
  <dcterms:created xsi:type="dcterms:W3CDTF">2025-06-03T14:36:00Z</dcterms:created>
  <dcterms:modified xsi:type="dcterms:W3CDTF">2025-06-03T14:42:00Z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cargado">
    <vt:lpwstr/>
  </property>
  <property fmtid="{D5CDD505-2E9C-101B-9397-08002B2CF9AE}" pid="3" name="ContentTypeId">
    <vt:lpwstr>0x0101008E9AF914DE39E5439DE635BD2775E56E</vt:lpwstr>
  </property>
  <property fmtid="{D5CDD505-2E9C-101B-9397-08002B2CF9AE}" pid="4" name="WorkflowChangePath">
    <vt:lpwstr>915a046f-9ef4-4295-8572-7dbfd8ab4299,54;1b451566-358f-489f-bd8d-d4c5978ece0d,55;180b06c7-f8f0-4f11-a9e8-2440ebacdf81,6;</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SIP_Label_b8b4be34-365a-4a68-b9fb-75c1b6874315_Enabled">
    <vt:lpwstr>true</vt:lpwstr>
  </property>
  <property fmtid="{D5CDD505-2E9C-101B-9397-08002B2CF9AE}" pid="9" name="MSIP_Label_b8b4be34-365a-4a68-b9fb-75c1b6874315_SetDate">
    <vt:lpwstr>2023-10-10T22:05:06Z</vt:lpwstr>
  </property>
  <property fmtid="{D5CDD505-2E9C-101B-9397-08002B2CF9AE}" pid="10" name="MSIP_Label_b8b4be34-365a-4a68-b9fb-75c1b6874315_Method">
    <vt:lpwstr>Standard</vt:lpwstr>
  </property>
  <property fmtid="{D5CDD505-2E9C-101B-9397-08002B2CF9AE}" pid="11" name="MSIP_Label_b8b4be34-365a-4a68-b9fb-75c1b6874315_Name">
    <vt:lpwstr>b8b4be34-365a-4a68-b9fb-75c1b6874315</vt:lpwstr>
  </property>
  <property fmtid="{D5CDD505-2E9C-101B-9397-08002B2CF9AE}" pid="12" name="MSIP_Label_b8b4be34-365a-4a68-b9fb-75c1b6874315_SiteId">
    <vt:lpwstr>618d0a45-25a6-4618-9f80-8f70a435ee52</vt:lpwstr>
  </property>
  <property fmtid="{D5CDD505-2E9C-101B-9397-08002B2CF9AE}" pid="13" name="MSIP_Label_b8b4be34-365a-4a68-b9fb-75c1b6874315_ActionId">
    <vt:lpwstr>4f92c130-966d-4dba-9d8a-e3a1fd7db967</vt:lpwstr>
  </property>
  <property fmtid="{D5CDD505-2E9C-101B-9397-08002B2CF9AE}" pid="14" name="MSIP_Label_b8b4be34-365a-4a68-b9fb-75c1b6874315_ContentBits">
    <vt:lpwstr>2</vt:lpwstr>
  </property>
  <property fmtid="{D5CDD505-2E9C-101B-9397-08002B2CF9AE}" pid="15" name="Order">
    <vt:r8>359000</vt:r8>
  </property>
  <property fmtid="{D5CDD505-2E9C-101B-9397-08002B2CF9AE}" pid="16" name="DocumentSet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_ExtendedDescription">
    <vt:lpwstr/>
  </property>
</Properties>
</file>