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igs" ContentType="application/vnd.openxmlformats-package.digital-signature-origin"/>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75943"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69B8253F"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5879CDC8" w14:textId="77777777" w:rsidR="00B330AC" w:rsidRDefault="00B330AC" w:rsidP="009618C8">
      <w:pPr>
        <w:jc w:val="both"/>
        <w:rPr>
          <w:rFonts w:ascii="Cambria" w:hAnsi="Cambria"/>
          <w:color w:val="000000"/>
        </w:rPr>
      </w:pPr>
    </w:p>
    <w:p w14:paraId="53D86113" w14:textId="77777777" w:rsidR="009618C8" w:rsidRDefault="009618C8" w:rsidP="009618C8">
      <w:pPr>
        <w:jc w:val="both"/>
        <w:rPr>
          <w:rFonts w:ascii="Cambria" w:hAnsi="Cambria"/>
          <w:color w:val="000000"/>
        </w:rPr>
      </w:pPr>
    </w:p>
    <w:p w14:paraId="2F10F390" w14:textId="77777777" w:rsidR="009618C8" w:rsidRDefault="009618C8" w:rsidP="009618C8">
      <w:pPr>
        <w:jc w:val="both"/>
        <w:rPr>
          <w:rFonts w:asciiTheme="majorHAnsi" w:hAnsiTheme="majorHAnsi"/>
          <w:b/>
          <w:bCs/>
        </w:rPr>
      </w:pPr>
    </w:p>
    <w:p w14:paraId="269C54A7" w14:textId="77777777" w:rsidR="00744A2C" w:rsidRDefault="00744A2C" w:rsidP="007F09F5">
      <w:pPr>
        <w:jc w:val="both"/>
        <w:rPr>
          <w:rFonts w:ascii="Cambria" w:hAnsi="Cambria"/>
        </w:rPr>
      </w:pPr>
    </w:p>
    <w:p w14:paraId="1AC3ED51" w14:textId="77777777" w:rsidR="004D7E77" w:rsidRPr="00FC0CF3" w:rsidRDefault="004D7E77" w:rsidP="004D7E77">
      <w:pPr>
        <w:jc w:val="center"/>
        <w:rPr>
          <w:rFonts w:asciiTheme="majorHAnsi" w:hAnsiTheme="majorHAnsi"/>
          <w:b/>
          <w:bCs/>
          <w:lang w:val="es-CR"/>
        </w:rPr>
      </w:pPr>
      <w:r w:rsidRPr="00FC0CF3">
        <w:rPr>
          <w:rFonts w:asciiTheme="majorHAnsi" w:hAnsiTheme="majorHAnsi"/>
          <w:b/>
          <w:bCs/>
          <w:lang w:val="es-CR"/>
        </w:rPr>
        <w:t>ACUERDO DE SUPERINTENDENTE</w:t>
      </w:r>
    </w:p>
    <w:sdt>
      <w:sdtPr>
        <w:rPr>
          <w:rFonts w:asciiTheme="majorHAnsi" w:hAnsiTheme="majorHAnsi"/>
          <w:b/>
          <w:bCs/>
          <w:lang w:val="es-CR"/>
        </w:rPr>
        <w:id w:val="1226102742"/>
        <w:placeholder>
          <w:docPart w:val="E4D4C0237A5649B3A9FBBB0285143538"/>
        </w:placeholder>
      </w:sdtPr>
      <w:sdtEndPr>
        <w:rPr>
          <w:i/>
          <w:iCs/>
        </w:rPr>
      </w:sdtEndPr>
      <w:sdtContent>
        <w:sdt>
          <w:sdtPr>
            <w:rPr>
              <w:rFonts w:asciiTheme="majorHAnsi" w:hAnsiTheme="majorHAnsi"/>
              <w:b/>
              <w:bCs/>
              <w:lang w:val="es-CR"/>
            </w:rPr>
            <w:alias w:val="Consecutivo"/>
            <w:tag w:val="Consecutivo"/>
            <w:id w:val="-1949002278"/>
            <w:placeholder>
              <w:docPart w:val="E4D4C0237A5649B3A9FBBB0285143538"/>
            </w:placeholder>
          </w:sdtPr>
          <w:sdtEndPr>
            <w:rPr>
              <w:i/>
              <w:iCs/>
            </w:rPr>
          </w:sdtEndPr>
          <w:sdtContent>
            <w:p w14:paraId="69740960" w14:textId="77777777" w:rsidR="004D7E77" w:rsidRPr="00FC0CF3" w:rsidRDefault="004D7E77" w:rsidP="004D7E77">
              <w:pPr>
                <w:jc w:val="center"/>
                <w:rPr>
                  <w:rFonts w:asciiTheme="majorHAnsi" w:hAnsiTheme="majorHAnsi"/>
                  <w:b/>
                  <w:bCs/>
                  <w:i/>
                  <w:iCs/>
                  <w:lang w:val="es-CR"/>
                </w:rPr>
              </w:pPr>
              <w:r w:rsidRPr="002B4DD4">
                <w:rPr>
                  <w:rFonts w:asciiTheme="majorHAnsi" w:hAnsiTheme="majorHAnsi"/>
                  <w:b/>
                  <w:bCs/>
                  <w:i/>
                  <w:iCs/>
                </w:rPr>
                <w:t>SGS-A-0095-2023</w:t>
              </w:r>
            </w:p>
          </w:sdtContent>
        </w:sdt>
      </w:sdtContent>
    </w:sdt>
    <w:p w14:paraId="2398969F" w14:textId="77777777" w:rsidR="004D7E77" w:rsidRPr="00FC0CF3" w:rsidRDefault="004D7E77" w:rsidP="004D7E77">
      <w:pPr>
        <w:jc w:val="center"/>
        <w:rPr>
          <w:rFonts w:asciiTheme="majorHAnsi" w:hAnsiTheme="majorHAnsi"/>
          <w:b/>
          <w:bCs/>
          <w:lang w:val="es-CR"/>
        </w:rPr>
      </w:pPr>
    </w:p>
    <w:p w14:paraId="2FD71712" w14:textId="77777777" w:rsidR="004D7E77" w:rsidRPr="00FC0CF3" w:rsidRDefault="004D7E77" w:rsidP="004D7E77">
      <w:pPr>
        <w:jc w:val="center"/>
        <w:rPr>
          <w:rFonts w:asciiTheme="majorHAnsi" w:hAnsiTheme="majorHAnsi"/>
          <w:b/>
          <w:bCs/>
          <w:lang w:val="es-CR"/>
        </w:rPr>
      </w:pPr>
      <w:r w:rsidRPr="00FC0CF3">
        <w:rPr>
          <w:rFonts w:asciiTheme="majorHAnsi" w:hAnsiTheme="majorHAnsi"/>
          <w:b/>
          <w:bCs/>
          <w:lang w:val="es-CR"/>
        </w:rPr>
        <w:t>PROYECTO DE ACUERDO DE SUPERINTENDENTE</w:t>
      </w:r>
    </w:p>
    <w:p w14:paraId="699CE80D" w14:textId="77777777" w:rsidR="004D7E77" w:rsidRPr="00FC0CF3" w:rsidRDefault="004D7E77" w:rsidP="004D7E77">
      <w:pPr>
        <w:contextualSpacing/>
        <w:jc w:val="center"/>
        <w:rPr>
          <w:rFonts w:asciiTheme="majorHAnsi" w:hAnsiTheme="majorHAnsi"/>
          <w:b/>
          <w:bCs/>
          <w:lang w:val="es-CR"/>
        </w:rPr>
      </w:pPr>
      <w:r w:rsidRPr="00FC0CF3">
        <w:rPr>
          <w:rFonts w:asciiTheme="majorHAnsi" w:hAnsiTheme="majorHAnsi"/>
          <w:b/>
          <w:bCs/>
          <w:lang w:val="es-CR"/>
        </w:rPr>
        <w:t xml:space="preserve">MODIFICACIONES ACUERDO SGS-A-021-2013, PARA NORMAR LA REMISIÓN DE INFORMACIÓN CREDITICIA DE CONFORMIDAD CON EL ACUERDO CONASSIF 14-21 REGLAMENTO SOBRE EL CÁLCULO DE ESTIMACIONES CREDITICIAS </w:t>
      </w:r>
    </w:p>
    <w:p w14:paraId="437F24BF" w14:textId="77777777" w:rsidR="004D7E77" w:rsidRPr="00FC0CF3" w:rsidRDefault="004D7E77" w:rsidP="004D7E77">
      <w:pPr>
        <w:contextualSpacing/>
        <w:jc w:val="both"/>
        <w:rPr>
          <w:rFonts w:asciiTheme="majorHAnsi" w:hAnsiTheme="majorHAnsi"/>
          <w:lang w:val="es-CR"/>
        </w:rPr>
      </w:pPr>
    </w:p>
    <w:p w14:paraId="7FB18E0C" w14:textId="4B861DB1" w:rsidR="004D7E77" w:rsidRPr="00FC0CF3" w:rsidRDefault="004D7E77" w:rsidP="004D7E77">
      <w:pPr>
        <w:contextualSpacing/>
        <w:jc w:val="both"/>
        <w:rPr>
          <w:rFonts w:asciiTheme="majorHAnsi" w:hAnsiTheme="majorHAnsi"/>
          <w:lang w:val="es-CR"/>
        </w:rPr>
      </w:pPr>
      <w:r w:rsidRPr="00FC0CF3">
        <w:rPr>
          <w:rFonts w:asciiTheme="majorHAnsi" w:hAnsiTheme="majorHAnsi"/>
          <w:lang w:val="es-CR"/>
        </w:rPr>
        <w:t xml:space="preserve">El Superintendente General de Seguros, a las </w:t>
      </w:r>
      <w:r>
        <w:rPr>
          <w:rFonts w:asciiTheme="majorHAnsi" w:hAnsiTheme="majorHAnsi"/>
          <w:lang w:val="es-CR"/>
        </w:rPr>
        <w:t xml:space="preserve">dieciséis </w:t>
      </w:r>
      <w:r w:rsidRPr="00FC0CF3">
        <w:rPr>
          <w:rFonts w:asciiTheme="majorHAnsi" w:hAnsiTheme="majorHAnsi"/>
          <w:lang w:val="es-CR"/>
        </w:rPr>
        <w:t xml:space="preserve">horas </w:t>
      </w:r>
      <w:r>
        <w:rPr>
          <w:rFonts w:asciiTheme="majorHAnsi" w:hAnsiTheme="majorHAnsi"/>
          <w:lang w:val="es-CR"/>
        </w:rPr>
        <w:t xml:space="preserve">y treinta minutos </w:t>
      </w:r>
      <w:r w:rsidRPr="00FC0CF3">
        <w:rPr>
          <w:rFonts w:asciiTheme="majorHAnsi" w:hAnsiTheme="majorHAnsi"/>
          <w:lang w:val="es-CR"/>
        </w:rPr>
        <w:t xml:space="preserve">del </w:t>
      </w:r>
      <w:r>
        <w:rPr>
          <w:rFonts w:asciiTheme="majorHAnsi" w:hAnsiTheme="majorHAnsi"/>
          <w:lang w:val="es-CR"/>
        </w:rPr>
        <w:t>veintidós</w:t>
      </w:r>
      <w:r w:rsidRPr="00FC0CF3">
        <w:rPr>
          <w:rFonts w:asciiTheme="majorHAnsi" w:hAnsiTheme="majorHAnsi"/>
          <w:lang w:val="es-CR"/>
        </w:rPr>
        <w:t xml:space="preserve"> de </w:t>
      </w:r>
      <w:r>
        <w:rPr>
          <w:rFonts w:asciiTheme="majorHAnsi" w:hAnsiTheme="majorHAnsi"/>
          <w:lang w:val="es-CR"/>
        </w:rPr>
        <w:t>junio</w:t>
      </w:r>
      <w:r w:rsidRPr="00FC0CF3">
        <w:rPr>
          <w:rFonts w:asciiTheme="majorHAnsi" w:hAnsiTheme="majorHAnsi"/>
          <w:lang w:val="es-CR"/>
        </w:rPr>
        <w:t xml:space="preserve"> de dos mil veintitrés</w:t>
      </w:r>
      <w:r>
        <w:rPr>
          <w:rFonts w:asciiTheme="majorHAnsi" w:hAnsiTheme="majorHAnsi"/>
          <w:lang w:val="es-CR"/>
        </w:rPr>
        <w:t>.</w:t>
      </w:r>
    </w:p>
    <w:p w14:paraId="59A35A51" w14:textId="77777777" w:rsidR="004D7E77" w:rsidRPr="00FC0CF3" w:rsidRDefault="004D7E77" w:rsidP="004D7E77">
      <w:pPr>
        <w:jc w:val="center"/>
        <w:rPr>
          <w:rFonts w:asciiTheme="majorHAnsi" w:hAnsiTheme="majorHAnsi"/>
          <w:b/>
          <w:bCs/>
          <w:iCs/>
          <w:lang w:val="es-CR"/>
        </w:rPr>
      </w:pPr>
    </w:p>
    <w:p w14:paraId="6ACCCE48" w14:textId="77777777" w:rsidR="004D7E77" w:rsidRPr="00FC0CF3" w:rsidRDefault="004D7E77" w:rsidP="004D7E77">
      <w:pPr>
        <w:rPr>
          <w:rFonts w:asciiTheme="majorHAnsi" w:hAnsiTheme="majorHAnsi"/>
          <w:b/>
          <w:bCs/>
          <w:lang w:val="es-CR"/>
        </w:rPr>
      </w:pPr>
      <w:r w:rsidRPr="00FC0CF3">
        <w:rPr>
          <w:rFonts w:asciiTheme="majorHAnsi" w:hAnsiTheme="majorHAnsi"/>
          <w:b/>
          <w:bCs/>
          <w:lang w:val="es-CR"/>
        </w:rPr>
        <w:t>Considerando que:</w:t>
      </w:r>
    </w:p>
    <w:p w14:paraId="4E129FD5" w14:textId="77777777" w:rsidR="004D7E77" w:rsidRPr="00FC0CF3" w:rsidRDefault="004D7E77" w:rsidP="004D7E77">
      <w:pPr>
        <w:rPr>
          <w:rFonts w:asciiTheme="majorHAnsi" w:hAnsiTheme="majorHAnsi"/>
          <w:b/>
          <w:bCs/>
          <w:iCs/>
          <w:lang w:val="es-CR"/>
        </w:rPr>
      </w:pPr>
    </w:p>
    <w:p w14:paraId="3B8A9C00" w14:textId="77777777" w:rsidR="004D7E77" w:rsidRPr="00FC0CF3" w:rsidRDefault="004D7E77" w:rsidP="004D7E77">
      <w:pPr>
        <w:pStyle w:val="Prrafodelista"/>
        <w:numPr>
          <w:ilvl w:val="0"/>
          <w:numId w:val="1"/>
        </w:numPr>
        <w:spacing w:after="0" w:line="240" w:lineRule="auto"/>
        <w:ind w:left="315"/>
        <w:jc w:val="both"/>
        <w:rPr>
          <w:rFonts w:asciiTheme="majorHAnsi" w:hAnsiTheme="majorHAnsi"/>
          <w:b/>
          <w:bCs/>
          <w:iCs/>
          <w:sz w:val="24"/>
          <w:szCs w:val="24"/>
        </w:rPr>
      </w:pPr>
      <w:r w:rsidRPr="00FC0CF3">
        <w:rPr>
          <w:rFonts w:asciiTheme="majorHAnsi" w:hAnsiTheme="majorHAnsi"/>
          <w:sz w:val="24"/>
          <w:szCs w:val="24"/>
        </w:rPr>
        <w:t xml:space="preserve">El artículo 29 de la Ley Reguladora del Mercado de Seguros, Ley N° 8653, establece como objetivo de la Superintendencia General de Seguros (SUGESE) </w:t>
      </w:r>
      <w:r w:rsidRPr="00FC0CF3">
        <w:rPr>
          <w:rFonts w:asciiTheme="majorHAnsi" w:hAnsiTheme="majorHAnsi"/>
          <w:i/>
          <w:iCs/>
          <w:sz w:val="24"/>
          <w:szCs w:val="24"/>
        </w:rPr>
        <w:t>“velar por la estabilidad y el eficiente funcionamiento del mercado de seguros, así como entregar la más amplia información a los asegurados”</w:t>
      </w:r>
      <w:r w:rsidRPr="00FC0CF3">
        <w:rPr>
          <w:rFonts w:asciiTheme="majorHAnsi" w:hAnsiTheme="majorHAnsi"/>
          <w:sz w:val="24"/>
          <w:szCs w:val="24"/>
        </w:rPr>
        <w:t>. Además, para cumplir el objetivo mencionado, el inciso j) del Artículo 29 de dicha Ley, faculta a la SUGESE para dictar las normas y directrices de carácter técnico u operativo que se requieran.</w:t>
      </w:r>
    </w:p>
    <w:p w14:paraId="4F8F7BDF" w14:textId="77777777" w:rsidR="004D7E77" w:rsidRPr="00FC0CF3" w:rsidRDefault="004D7E77" w:rsidP="004D7E77">
      <w:pPr>
        <w:pStyle w:val="Prrafodelista"/>
        <w:spacing w:after="0" w:line="240" w:lineRule="auto"/>
        <w:ind w:left="315"/>
        <w:jc w:val="both"/>
        <w:rPr>
          <w:rFonts w:asciiTheme="majorHAnsi" w:hAnsiTheme="majorHAnsi"/>
          <w:b/>
          <w:bCs/>
          <w:iCs/>
          <w:sz w:val="24"/>
          <w:szCs w:val="24"/>
        </w:rPr>
      </w:pPr>
    </w:p>
    <w:p w14:paraId="4E900BFA" w14:textId="77777777" w:rsidR="004D7E77" w:rsidRPr="00FC0CF3" w:rsidRDefault="004D7E77" w:rsidP="004D7E77">
      <w:pPr>
        <w:pStyle w:val="Prrafodelista"/>
        <w:numPr>
          <w:ilvl w:val="0"/>
          <w:numId w:val="2"/>
        </w:numPr>
        <w:spacing w:after="0" w:line="240" w:lineRule="auto"/>
        <w:ind w:left="315"/>
        <w:jc w:val="both"/>
        <w:rPr>
          <w:rFonts w:asciiTheme="majorHAnsi" w:hAnsiTheme="majorHAnsi"/>
          <w:b/>
          <w:bCs/>
          <w:iCs/>
          <w:sz w:val="24"/>
          <w:szCs w:val="24"/>
        </w:rPr>
      </w:pPr>
      <w:r w:rsidRPr="00FC0CF3">
        <w:rPr>
          <w:rFonts w:asciiTheme="majorHAnsi" w:hAnsiTheme="majorHAnsi"/>
          <w:sz w:val="24"/>
          <w:szCs w:val="24"/>
        </w:rPr>
        <w:t xml:space="preserve">De conformidad con los artículos 25 c) y 26 g) de la Ley N° 8653, las entidades aseguradoras y reaseguradoras y los intermediarios del mercado de seguros están obligados a proporcionar a la Superintendencia la información correcta y completa, dentro de los plazos y las formalidades requeridos, lo cual se refuerza con lo señalado en el último párrafo de ambos artículos que indica: </w:t>
      </w:r>
      <w:r w:rsidRPr="00FC0CF3">
        <w:rPr>
          <w:rFonts w:asciiTheme="majorHAnsi" w:hAnsiTheme="majorHAnsi"/>
          <w:i/>
          <w:iCs/>
          <w:sz w:val="24"/>
          <w:szCs w:val="24"/>
        </w:rPr>
        <w:t>“Para las obligaciones señaladas en este artículo, el Consejo Nacional y la Superintendencia, según corresponda, podrán emitir la normativa necesaria que determine el contenido de las obligaciones, la periodicidad, las condiciones, los formatos, los términos, la operatividad y, en general, cualquier aspecto necesario para su efectivo cumplimiento, supervisión, verificación y sanción en caso de inobservancia.”.</w:t>
      </w:r>
      <w:r w:rsidRPr="00FC0CF3">
        <w:rPr>
          <w:rFonts w:asciiTheme="majorHAnsi" w:hAnsiTheme="majorHAnsi"/>
          <w:sz w:val="24"/>
          <w:szCs w:val="24"/>
        </w:rPr>
        <w:t xml:space="preserve"> </w:t>
      </w:r>
    </w:p>
    <w:p w14:paraId="07285A3A" w14:textId="77777777" w:rsidR="004D7E77" w:rsidRPr="00FC0CF3" w:rsidRDefault="004D7E77" w:rsidP="004D7E77">
      <w:pPr>
        <w:pStyle w:val="Prrafodelista"/>
        <w:spacing w:after="0" w:line="240" w:lineRule="auto"/>
        <w:ind w:left="315"/>
        <w:jc w:val="both"/>
        <w:rPr>
          <w:rFonts w:asciiTheme="majorHAnsi" w:hAnsiTheme="majorHAnsi"/>
          <w:b/>
          <w:bCs/>
          <w:iCs/>
          <w:sz w:val="24"/>
          <w:szCs w:val="24"/>
        </w:rPr>
      </w:pPr>
    </w:p>
    <w:p w14:paraId="321A25D5" w14:textId="77777777" w:rsidR="004D7E77" w:rsidRPr="00FC0CF3" w:rsidRDefault="004D7E77" w:rsidP="004D7E77">
      <w:pPr>
        <w:pStyle w:val="Prrafodelista"/>
        <w:numPr>
          <w:ilvl w:val="0"/>
          <w:numId w:val="3"/>
        </w:numPr>
        <w:spacing w:after="0" w:line="240" w:lineRule="auto"/>
        <w:ind w:left="315"/>
        <w:jc w:val="both"/>
        <w:rPr>
          <w:rFonts w:asciiTheme="majorHAnsi" w:hAnsiTheme="majorHAnsi"/>
          <w:b/>
          <w:bCs/>
          <w:iCs/>
          <w:sz w:val="24"/>
          <w:szCs w:val="24"/>
        </w:rPr>
      </w:pPr>
      <w:r w:rsidRPr="00FC0CF3">
        <w:rPr>
          <w:rFonts w:asciiTheme="majorHAnsi" w:hAnsiTheme="majorHAnsi"/>
          <w:sz w:val="24"/>
          <w:szCs w:val="24"/>
        </w:rPr>
        <w:t xml:space="preserve">De conformidad con el artículo 29 de la Ley N° 8653, la Superintendencia puede aplicar la norma establecida en el artículo 180 de la Ley Reguladora del Mercado de Valores, Ley N° 7732, la cual faculta la utilización de medios electrónicos o magnéticos de transmisión y almacenamiento de datos, para solicitar información a las entidades supervisadas y para mantener sus archivos, actas y demás documentos. Además, dicha disposición </w:t>
      </w:r>
      <w:r w:rsidRPr="00FC0CF3">
        <w:rPr>
          <w:rFonts w:asciiTheme="majorHAnsi" w:hAnsiTheme="majorHAnsi"/>
          <w:sz w:val="24"/>
          <w:szCs w:val="24"/>
        </w:rPr>
        <w:lastRenderedPageBreak/>
        <w:t>establece que la información así mantenida tiene valor probatorio equivalente al de los documentos para todos los efectos legales.</w:t>
      </w:r>
    </w:p>
    <w:p w14:paraId="302A3026" w14:textId="77777777" w:rsidR="004D7E77" w:rsidRPr="00FC0CF3" w:rsidRDefault="004D7E77" w:rsidP="004D7E77">
      <w:pPr>
        <w:pStyle w:val="Prrafodelista"/>
        <w:spacing w:after="0" w:line="240" w:lineRule="auto"/>
        <w:ind w:left="315"/>
        <w:jc w:val="both"/>
        <w:rPr>
          <w:rFonts w:asciiTheme="majorHAnsi" w:hAnsiTheme="majorHAnsi"/>
          <w:b/>
          <w:bCs/>
          <w:iCs/>
          <w:sz w:val="24"/>
          <w:szCs w:val="24"/>
        </w:rPr>
      </w:pPr>
    </w:p>
    <w:p w14:paraId="5D85FE7D" w14:textId="77777777" w:rsidR="004D7E77" w:rsidRPr="00FC0CF3" w:rsidRDefault="004D7E77" w:rsidP="004D7E77">
      <w:pPr>
        <w:pStyle w:val="Prrafodelista"/>
        <w:numPr>
          <w:ilvl w:val="0"/>
          <w:numId w:val="4"/>
        </w:numPr>
        <w:spacing w:after="0" w:line="240" w:lineRule="auto"/>
        <w:ind w:left="315"/>
        <w:jc w:val="both"/>
        <w:rPr>
          <w:rFonts w:asciiTheme="majorHAnsi" w:hAnsiTheme="majorHAnsi"/>
          <w:b/>
          <w:bCs/>
          <w:iCs/>
          <w:sz w:val="24"/>
          <w:szCs w:val="24"/>
        </w:rPr>
      </w:pPr>
      <w:r w:rsidRPr="00FC0CF3">
        <w:rPr>
          <w:rFonts w:asciiTheme="majorHAnsi" w:hAnsiTheme="majorHAnsi"/>
          <w:sz w:val="24"/>
          <w:szCs w:val="24"/>
        </w:rPr>
        <w:t xml:space="preserve">El Consejo Nacional de Supervisión del Sistema Financiero (CONASSIF) mediante artículo 8 del acta de la sesión 1655-2021 celebrada el 12 de abril de 2021, aprobó el </w:t>
      </w:r>
      <w:r w:rsidRPr="00FC0CF3">
        <w:rPr>
          <w:rFonts w:asciiTheme="majorHAnsi" w:hAnsiTheme="majorHAnsi"/>
          <w:i/>
          <w:iCs/>
          <w:sz w:val="24"/>
          <w:szCs w:val="24"/>
        </w:rPr>
        <w:t xml:space="preserve">Reglamento sobre remisión de información periódica y revelación de hechos relevantes por entidades supervisadas por SUGESE, </w:t>
      </w:r>
      <w:r w:rsidRPr="00FC0CF3">
        <w:rPr>
          <w:rFonts w:asciiTheme="majorHAnsi" w:hAnsiTheme="majorHAnsi"/>
          <w:sz w:val="24"/>
          <w:szCs w:val="24"/>
        </w:rPr>
        <w:t xml:space="preserve">Acuerdo SUGESE 12-21, el cual en el primer párrafo del artículo 5, en relación con la información periódica, indica lo siguiente: </w:t>
      </w:r>
      <w:r w:rsidRPr="00FC0CF3">
        <w:rPr>
          <w:rFonts w:asciiTheme="majorHAnsi" w:hAnsiTheme="majorHAnsi"/>
          <w:i/>
          <w:iCs/>
          <w:sz w:val="24"/>
          <w:szCs w:val="24"/>
        </w:rPr>
        <w:t xml:space="preserve">“El Superintendente mediante acuerdo general, establecerá los requerimientos, plazos y medios para la presentación de la información periódica, cuando esto no haya sido establecido de manera expresa en la regulación que la requiere; igualmente establecerá los plazos y medios de presentación de cualquier otra información periódica que requiera para el cumplimiento de las funciones y responsabilidades que le impone la ley...”. </w:t>
      </w:r>
    </w:p>
    <w:p w14:paraId="7880F5B2" w14:textId="77777777" w:rsidR="004D7E77" w:rsidRPr="00FC0CF3" w:rsidRDefault="004D7E77" w:rsidP="004D7E77">
      <w:pPr>
        <w:pStyle w:val="Prrafodelista"/>
        <w:spacing w:after="0" w:line="240" w:lineRule="auto"/>
        <w:ind w:left="315"/>
        <w:jc w:val="both"/>
        <w:rPr>
          <w:rFonts w:asciiTheme="majorHAnsi" w:hAnsiTheme="majorHAnsi"/>
          <w:b/>
          <w:bCs/>
          <w:iCs/>
          <w:sz w:val="24"/>
          <w:szCs w:val="24"/>
        </w:rPr>
      </w:pPr>
    </w:p>
    <w:p w14:paraId="065EAA46" w14:textId="6EE600C5" w:rsidR="004D7E77" w:rsidRPr="00FC0CF3" w:rsidRDefault="004D7E77" w:rsidP="004D7E77">
      <w:pPr>
        <w:pStyle w:val="Prrafodelista"/>
        <w:numPr>
          <w:ilvl w:val="0"/>
          <w:numId w:val="5"/>
        </w:numPr>
        <w:spacing w:after="0" w:line="240" w:lineRule="auto"/>
        <w:ind w:left="315"/>
        <w:jc w:val="both"/>
        <w:rPr>
          <w:rFonts w:asciiTheme="majorHAnsi" w:hAnsiTheme="majorHAnsi"/>
          <w:b/>
          <w:bCs/>
          <w:iCs/>
          <w:sz w:val="24"/>
          <w:szCs w:val="24"/>
        </w:rPr>
      </w:pPr>
      <w:r w:rsidRPr="00FC0CF3">
        <w:rPr>
          <w:rFonts w:asciiTheme="majorHAnsi" w:hAnsiTheme="majorHAnsi"/>
          <w:sz w:val="24"/>
          <w:szCs w:val="24"/>
        </w:rPr>
        <w:t xml:space="preserve">El CONASSIF mediante los artículos 8 y 9, de las actas de las sesiones 1699-2021 y 1700-2021, celebradas el 11 y 15 de noviembre de 2021, aprobó el </w:t>
      </w:r>
      <w:r w:rsidRPr="00FC0CF3">
        <w:rPr>
          <w:rFonts w:asciiTheme="majorHAnsi" w:hAnsiTheme="majorHAnsi"/>
          <w:i/>
          <w:iCs/>
          <w:sz w:val="24"/>
          <w:szCs w:val="24"/>
        </w:rPr>
        <w:t xml:space="preserve">Reglamento sobre cálculo de estimaciones crediticias, </w:t>
      </w:r>
      <w:r w:rsidRPr="00FC0CF3">
        <w:rPr>
          <w:rFonts w:asciiTheme="majorHAnsi" w:hAnsiTheme="majorHAnsi"/>
          <w:sz w:val="24"/>
          <w:szCs w:val="24"/>
        </w:rPr>
        <w:t xml:space="preserve">Acuerdo CONASSIF 14-21, aplicable también a las entidades supervisadas por la SUGESE que realizan actividades crediticias.  Dicho reglamento, en el segundo párrafo del artículo 43, establece lo siguiente respecto al envío de información: </w:t>
      </w:r>
      <w:r w:rsidRPr="00FC0CF3">
        <w:rPr>
          <w:rFonts w:asciiTheme="majorHAnsi" w:hAnsiTheme="majorHAnsi"/>
          <w:i/>
          <w:iCs/>
          <w:sz w:val="24"/>
          <w:szCs w:val="24"/>
        </w:rPr>
        <w:t>“En el caso de las entidades autorizadas a realizar actividades crediticias, supervisadas por SUGESE, SUGEVAL y SUPEN, el Superintendente mediante lineamientos definirá el plazo y el medio para la remisión de la información crediticia que aplique, de acuerdo con las características de sus supervisados.”</w:t>
      </w:r>
    </w:p>
    <w:p w14:paraId="78B6F59A" w14:textId="77777777" w:rsidR="004D7E77" w:rsidRPr="00FC0CF3" w:rsidRDefault="004D7E77" w:rsidP="004D7E77">
      <w:pPr>
        <w:pStyle w:val="Prrafodelista"/>
        <w:spacing w:after="0" w:line="240" w:lineRule="auto"/>
        <w:ind w:left="315"/>
        <w:jc w:val="both"/>
        <w:rPr>
          <w:rFonts w:asciiTheme="majorHAnsi" w:hAnsiTheme="majorHAnsi"/>
          <w:b/>
          <w:bCs/>
          <w:iCs/>
          <w:sz w:val="24"/>
          <w:szCs w:val="24"/>
        </w:rPr>
      </w:pPr>
    </w:p>
    <w:p w14:paraId="1DF8FB4D" w14:textId="77777777" w:rsidR="004D7E77" w:rsidRPr="00FC0CF3" w:rsidRDefault="004D7E77" w:rsidP="004D7E77">
      <w:pPr>
        <w:pStyle w:val="Prrafodelista"/>
        <w:numPr>
          <w:ilvl w:val="0"/>
          <w:numId w:val="6"/>
        </w:numPr>
        <w:spacing w:after="0" w:line="240" w:lineRule="auto"/>
        <w:ind w:left="315"/>
        <w:jc w:val="both"/>
        <w:rPr>
          <w:rFonts w:asciiTheme="majorHAnsi" w:hAnsiTheme="majorHAnsi"/>
          <w:b/>
          <w:bCs/>
          <w:iCs/>
          <w:sz w:val="24"/>
          <w:szCs w:val="24"/>
        </w:rPr>
      </w:pPr>
      <w:r w:rsidRPr="00FC0CF3">
        <w:rPr>
          <w:rFonts w:asciiTheme="majorHAnsi" w:hAnsiTheme="majorHAnsi"/>
          <w:sz w:val="24"/>
          <w:szCs w:val="24"/>
        </w:rPr>
        <w:t xml:space="preserve">El Superintendente de Seguros mediante acuerdo SGS-A-0021-2013 emitió las </w:t>
      </w:r>
      <w:r w:rsidRPr="00FC0CF3">
        <w:rPr>
          <w:rFonts w:asciiTheme="majorHAnsi" w:hAnsiTheme="majorHAnsi"/>
          <w:i/>
          <w:iCs/>
          <w:sz w:val="24"/>
          <w:szCs w:val="24"/>
        </w:rPr>
        <w:t xml:space="preserve">Disposiciones para la Remisión de la Información Contable y Estadística a la Superintendencia General de Seguros por parte de las Entidades Supervisadas, </w:t>
      </w:r>
      <w:r w:rsidRPr="00FC0CF3">
        <w:rPr>
          <w:rFonts w:asciiTheme="majorHAnsi" w:hAnsiTheme="majorHAnsi"/>
          <w:sz w:val="24"/>
          <w:szCs w:val="24"/>
        </w:rPr>
        <w:t>a efecto de normar los requerimientos de información que las entidades supervisadas deben remitir de forma periódica a la Superintendencia, por lo que es necesario modificar el acuerdo mencionado para requerir a las entidades supervisadas lo normado por el CONASSIF en el Acuerdo CONASSIF 14-21.</w:t>
      </w:r>
    </w:p>
    <w:p w14:paraId="73CD713E" w14:textId="77777777" w:rsidR="004D7E77" w:rsidRPr="00FC0CF3" w:rsidRDefault="004D7E77" w:rsidP="004D7E77">
      <w:pPr>
        <w:pStyle w:val="Prrafodelista"/>
        <w:spacing w:after="0" w:line="240" w:lineRule="auto"/>
        <w:ind w:left="315"/>
        <w:jc w:val="both"/>
        <w:rPr>
          <w:rFonts w:asciiTheme="majorHAnsi" w:hAnsiTheme="majorHAnsi"/>
          <w:b/>
          <w:bCs/>
          <w:iCs/>
          <w:sz w:val="24"/>
          <w:szCs w:val="24"/>
        </w:rPr>
      </w:pPr>
    </w:p>
    <w:p w14:paraId="2B7E412D" w14:textId="77777777" w:rsidR="004D7E77" w:rsidRPr="00FC0CF3" w:rsidRDefault="004D7E77" w:rsidP="004D7E77">
      <w:pPr>
        <w:pStyle w:val="Prrafodelista"/>
        <w:numPr>
          <w:ilvl w:val="0"/>
          <w:numId w:val="6"/>
        </w:numPr>
        <w:spacing w:after="0" w:line="240" w:lineRule="auto"/>
        <w:ind w:left="380"/>
        <w:jc w:val="both"/>
        <w:rPr>
          <w:rFonts w:asciiTheme="majorHAnsi" w:hAnsiTheme="majorHAnsi"/>
          <w:b/>
          <w:bCs/>
          <w:iCs/>
          <w:sz w:val="24"/>
          <w:szCs w:val="24"/>
        </w:rPr>
      </w:pPr>
      <w:r w:rsidRPr="00FC0CF3">
        <w:rPr>
          <w:rFonts w:asciiTheme="majorHAnsi" w:hAnsiTheme="majorHAnsi"/>
          <w:iCs/>
          <w:sz w:val="24"/>
          <w:szCs w:val="24"/>
        </w:rPr>
        <w:t xml:space="preserve">El Superintendente de Seguros, mediante oficio SGS-0478-2023 del 13 de abril del 2023, en acatamiento del artículo 361, numeral 2, de la Ley General de Administración Pública, envió a consulta de las entidades supervisadas el proyecto de acuerdo denominado </w:t>
      </w:r>
      <w:r w:rsidRPr="00FC0CF3">
        <w:rPr>
          <w:rFonts w:asciiTheme="majorHAnsi" w:hAnsiTheme="majorHAnsi"/>
          <w:i/>
          <w:sz w:val="24"/>
          <w:szCs w:val="24"/>
        </w:rPr>
        <w:t>“Modificaciones al Acuerdo SGS-A-021-2013, para normar la remisión de información crediticia de conformidad con el Reglamento sobre el cálculo de estimaciones crediticias (CONASSIF 14-21)”</w:t>
      </w:r>
      <w:r w:rsidRPr="00FC0CF3">
        <w:rPr>
          <w:rFonts w:asciiTheme="majorHAnsi" w:hAnsiTheme="majorHAnsi"/>
          <w:iCs/>
          <w:sz w:val="24"/>
          <w:szCs w:val="24"/>
        </w:rPr>
        <w:t xml:space="preserve"> por un plazo de diez días hábiles. Una vez recibidas y analizadas las </w:t>
      </w:r>
      <w:r w:rsidRPr="00FC0CF3">
        <w:rPr>
          <w:rFonts w:asciiTheme="majorHAnsi" w:hAnsiTheme="majorHAnsi"/>
          <w:iCs/>
          <w:sz w:val="24"/>
          <w:szCs w:val="24"/>
        </w:rPr>
        <w:lastRenderedPageBreak/>
        <w:t>observaciones de las entidades que atendieron la consulta, lo que procede es la emisión definitiva del acuerdo por parte del Superintendente de Seguros.</w:t>
      </w:r>
    </w:p>
    <w:p w14:paraId="25971352" w14:textId="77777777" w:rsidR="004D7E77" w:rsidRPr="00FC0CF3" w:rsidRDefault="004D7E77" w:rsidP="004D7E77">
      <w:pPr>
        <w:jc w:val="center"/>
        <w:rPr>
          <w:rFonts w:asciiTheme="majorHAnsi" w:hAnsiTheme="majorHAnsi"/>
          <w:b/>
          <w:bCs/>
          <w:iCs/>
          <w:lang w:val="es-CR"/>
        </w:rPr>
      </w:pPr>
    </w:p>
    <w:p w14:paraId="2FCCFE91" w14:textId="77777777" w:rsidR="004D7E77" w:rsidRPr="00FC0CF3" w:rsidRDefault="004D7E77" w:rsidP="004D7E77">
      <w:pPr>
        <w:rPr>
          <w:rFonts w:asciiTheme="majorHAnsi" w:hAnsiTheme="majorHAnsi"/>
          <w:b/>
          <w:bCs/>
          <w:lang w:val="es-CR"/>
        </w:rPr>
      </w:pPr>
      <w:r w:rsidRPr="00FC0CF3">
        <w:rPr>
          <w:rFonts w:asciiTheme="majorHAnsi" w:hAnsiTheme="majorHAnsi"/>
          <w:b/>
          <w:bCs/>
          <w:lang w:val="es-CR"/>
        </w:rPr>
        <w:t>Dispone:</w:t>
      </w:r>
    </w:p>
    <w:p w14:paraId="664EC8FB" w14:textId="77777777" w:rsidR="004D7E77" w:rsidRPr="00FC0CF3" w:rsidRDefault="004D7E77" w:rsidP="004D7E77">
      <w:pPr>
        <w:jc w:val="center"/>
        <w:rPr>
          <w:rFonts w:asciiTheme="majorHAnsi" w:hAnsiTheme="majorHAnsi"/>
          <w:b/>
          <w:bCs/>
          <w:iCs/>
          <w:lang w:val="es-CR"/>
        </w:rPr>
      </w:pPr>
    </w:p>
    <w:p w14:paraId="778129E2" w14:textId="77777777" w:rsidR="004D7E77" w:rsidRPr="00FC0CF3" w:rsidRDefault="004D7E77" w:rsidP="004D7E77">
      <w:pPr>
        <w:jc w:val="both"/>
        <w:rPr>
          <w:rFonts w:asciiTheme="majorHAnsi" w:hAnsiTheme="majorHAnsi"/>
          <w:b/>
          <w:bCs/>
          <w:lang w:val="es-CR"/>
        </w:rPr>
      </w:pPr>
      <w:r w:rsidRPr="00FC0CF3">
        <w:rPr>
          <w:rFonts w:asciiTheme="majorHAnsi" w:hAnsiTheme="majorHAnsi"/>
          <w:b/>
          <w:bCs/>
          <w:lang w:val="es-CR"/>
        </w:rPr>
        <w:t xml:space="preserve">I. Modificar el artículo 2 del acuerdo SGS-A-0021-2013 para incluir una línea final a la tabla contenida en dicho artículo y agregar un penúltimo párrafo, que se lean de la siguiente forma: </w:t>
      </w:r>
    </w:p>
    <w:p w14:paraId="3130C81A" w14:textId="77777777" w:rsidR="004D7E77" w:rsidRPr="00FC0CF3" w:rsidRDefault="004D7E77" w:rsidP="004D7E77">
      <w:pPr>
        <w:jc w:val="center"/>
        <w:rPr>
          <w:rFonts w:asciiTheme="majorHAnsi" w:hAnsiTheme="majorHAnsi"/>
          <w:b/>
          <w:bCs/>
          <w:iCs/>
          <w:lang w:val="es-CR"/>
        </w:rPr>
      </w:pPr>
    </w:p>
    <w:p w14:paraId="377950CF" w14:textId="77777777" w:rsidR="004D7E77" w:rsidRPr="00FC0CF3" w:rsidRDefault="004D7E77" w:rsidP="004D7E77">
      <w:pPr>
        <w:jc w:val="both"/>
        <w:rPr>
          <w:rFonts w:asciiTheme="majorHAnsi" w:hAnsiTheme="majorHAnsi"/>
          <w:b/>
          <w:i/>
          <w:iCs/>
          <w:lang w:val="es-CR"/>
        </w:rPr>
      </w:pPr>
      <w:r w:rsidRPr="00FC0CF3">
        <w:rPr>
          <w:rFonts w:asciiTheme="majorHAnsi" w:hAnsiTheme="majorHAnsi"/>
          <w:b/>
          <w:i/>
          <w:iCs/>
          <w:lang w:val="es-CR"/>
        </w:rPr>
        <w:t xml:space="preserve">Artículo 2. Información que deben Enviar las Entidades de Seguros, Periodicidad, Plazo y Medio de Remisión </w:t>
      </w:r>
    </w:p>
    <w:p w14:paraId="441DD3FD" w14:textId="77777777" w:rsidR="004D7E77" w:rsidRPr="00FC0CF3" w:rsidRDefault="004D7E77" w:rsidP="004D7E77">
      <w:pPr>
        <w:jc w:val="both"/>
        <w:rPr>
          <w:rFonts w:asciiTheme="majorHAnsi" w:hAnsiTheme="majorHAnsi"/>
          <w:i/>
          <w:iCs/>
          <w:lang w:val="es-CR"/>
        </w:rPr>
      </w:pPr>
      <w:r w:rsidRPr="00FC0CF3">
        <w:rPr>
          <w:rFonts w:asciiTheme="majorHAnsi" w:hAnsiTheme="majorHAnsi"/>
          <w:i/>
          <w:iCs/>
          <w:lang w:val="es-CR"/>
        </w:rPr>
        <w:t>…</w:t>
      </w:r>
    </w:p>
    <w:tbl>
      <w:tblPr>
        <w:tblStyle w:val="Tablaconcuadrcula"/>
        <w:tblpPr w:leftFromText="141" w:rightFromText="141" w:vertAnchor="page" w:horzAnchor="margin" w:tblpY="5631"/>
        <w:tblOverlap w:val="never"/>
        <w:tblW w:w="5000" w:type="pct"/>
        <w:tblLook w:val="04A0" w:firstRow="1" w:lastRow="0" w:firstColumn="1" w:lastColumn="0" w:noHBand="0" w:noVBand="1"/>
      </w:tblPr>
      <w:tblGrid>
        <w:gridCol w:w="2430"/>
        <w:gridCol w:w="2036"/>
        <w:gridCol w:w="2440"/>
        <w:gridCol w:w="2444"/>
      </w:tblGrid>
      <w:tr w:rsidR="004D7E77" w:rsidRPr="00FC0CF3" w14:paraId="53381FE8" w14:textId="77777777" w:rsidTr="00D45A9C">
        <w:trPr>
          <w:cantSplit/>
          <w:tblHeader/>
        </w:trPr>
        <w:tc>
          <w:tcPr>
            <w:tcW w:w="129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75A72FE" w14:textId="77777777" w:rsidR="004D7E77" w:rsidRPr="00FC0CF3" w:rsidRDefault="004D7E77" w:rsidP="00D45A9C">
            <w:pPr>
              <w:widowControl w:val="0"/>
              <w:jc w:val="both"/>
              <w:rPr>
                <w:rFonts w:asciiTheme="majorHAnsi" w:hAnsiTheme="majorHAnsi"/>
                <w:b/>
                <w:i/>
                <w:iCs/>
                <w:snapToGrid w:val="0"/>
                <w:lang w:val="es-CR"/>
              </w:rPr>
            </w:pPr>
            <w:r w:rsidRPr="00FC0CF3">
              <w:rPr>
                <w:rFonts w:asciiTheme="majorHAnsi" w:hAnsiTheme="majorHAnsi"/>
                <w:b/>
                <w:i/>
                <w:iCs/>
                <w:snapToGrid w:val="0"/>
                <w:lang w:val="es-CR"/>
              </w:rPr>
              <w:t>Información</w:t>
            </w:r>
          </w:p>
        </w:tc>
        <w:tc>
          <w:tcPr>
            <w:tcW w:w="1089"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3FA4B31" w14:textId="77777777" w:rsidR="004D7E77" w:rsidRPr="00FC0CF3" w:rsidRDefault="004D7E77" w:rsidP="00D45A9C">
            <w:pPr>
              <w:pStyle w:val="Ttulo5"/>
              <w:jc w:val="both"/>
              <w:outlineLvl w:val="4"/>
              <w:rPr>
                <w:b/>
                <w:iCs/>
                <w:color w:val="auto"/>
                <w:lang w:val="es-CR"/>
              </w:rPr>
            </w:pPr>
            <w:r w:rsidRPr="00FC0CF3">
              <w:rPr>
                <w:iCs/>
                <w:color w:val="auto"/>
                <w:lang w:val="es-CR"/>
              </w:rPr>
              <w:t>Periodicidad</w:t>
            </w:r>
          </w:p>
        </w:tc>
        <w:tc>
          <w:tcPr>
            <w:tcW w:w="1305"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4239D98" w14:textId="77777777" w:rsidR="004D7E77" w:rsidRPr="00FC0CF3" w:rsidRDefault="004D7E77" w:rsidP="00D45A9C">
            <w:pPr>
              <w:widowControl w:val="0"/>
              <w:jc w:val="both"/>
              <w:rPr>
                <w:rFonts w:asciiTheme="majorHAnsi" w:hAnsiTheme="majorHAnsi"/>
                <w:b/>
                <w:i/>
                <w:iCs/>
                <w:snapToGrid w:val="0"/>
                <w:lang w:val="es-CR"/>
              </w:rPr>
            </w:pPr>
            <w:r w:rsidRPr="00FC0CF3">
              <w:rPr>
                <w:rFonts w:asciiTheme="majorHAnsi" w:hAnsiTheme="majorHAnsi"/>
                <w:b/>
                <w:i/>
                <w:iCs/>
                <w:snapToGrid w:val="0"/>
                <w:lang w:val="es-CR"/>
              </w:rPr>
              <w:t>Plazo de entrega</w:t>
            </w:r>
          </w:p>
        </w:tc>
        <w:tc>
          <w:tcPr>
            <w:tcW w:w="1307"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561C7BB" w14:textId="77777777" w:rsidR="004D7E77" w:rsidRPr="00FC0CF3" w:rsidRDefault="004D7E77" w:rsidP="00D45A9C">
            <w:pPr>
              <w:widowControl w:val="0"/>
              <w:jc w:val="both"/>
              <w:rPr>
                <w:rFonts w:asciiTheme="majorHAnsi" w:hAnsiTheme="majorHAnsi"/>
                <w:b/>
                <w:i/>
                <w:iCs/>
                <w:snapToGrid w:val="0"/>
                <w:lang w:val="es-CR"/>
              </w:rPr>
            </w:pPr>
            <w:r w:rsidRPr="00FC0CF3">
              <w:rPr>
                <w:rFonts w:asciiTheme="majorHAnsi" w:hAnsiTheme="majorHAnsi"/>
                <w:b/>
                <w:i/>
                <w:iCs/>
                <w:snapToGrid w:val="0"/>
                <w:lang w:val="es-CR"/>
              </w:rPr>
              <w:t>Medio</w:t>
            </w:r>
          </w:p>
        </w:tc>
      </w:tr>
      <w:tr w:rsidR="004D7E77" w:rsidRPr="00FC0CF3" w14:paraId="7E6FF0BF" w14:textId="77777777" w:rsidTr="00D45A9C">
        <w:trPr>
          <w:cantSplit/>
        </w:trPr>
        <w:tc>
          <w:tcPr>
            <w:tcW w:w="1299" w:type="pct"/>
            <w:tcBorders>
              <w:top w:val="single" w:sz="4" w:space="0" w:color="auto"/>
              <w:left w:val="single" w:sz="4" w:space="0" w:color="auto"/>
              <w:bottom w:val="single" w:sz="4" w:space="0" w:color="auto"/>
              <w:right w:val="single" w:sz="4" w:space="0" w:color="auto"/>
            </w:tcBorders>
          </w:tcPr>
          <w:p w14:paraId="2B2CF25B" w14:textId="77777777" w:rsidR="004D7E77" w:rsidRPr="00FC0CF3" w:rsidRDefault="004D7E77" w:rsidP="00D45A9C">
            <w:pPr>
              <w:widowControl w:val="0"/>
              <w:jc w:val="both"/>
              <w:rPr>
                <w:rFonts w:asciiTheme="majorHAnsi" w:hAnsiTheme="majorHAnsi"/>
                <w:b/>
                <w:i/>
                <w:iCs/>
                <w:lang w:val="es-CR"/>
              </w:rPr>
            </w:pPr>
            <w:r w:rsidRPr="00FC0CF3">
              <w:rPr>
                <w:rFonts w:asciiTheme="majorHAnsi" w:hAnsiTheme="majorHAnsi"/>
                <w:b/>
                <w:i/>
                <w:iCs/>
                <w:lang w:val="es-CR"/>
              </w:rPr>
              <w:t>…</w:t>
            </w:r>
          </w:p>
        </w:tc>
        <w:tc>
          <w:tcPr>
            <w:tcW w:w="1089" w:type="pct"/>
            <w:tcBorders>
              <w:top w:val="single" w:sz="4" w:space="0" w:color="auto"/>
              <w:left w:val="single" w:sz="4" w:space="0" w:color="auto"/>
              <w:bottom w:val="single" w:sz="4" w:space="0" w:color="auto"/>
              <w:right w:val="single" w:sz="4" w:space="0" w:color="auto"/>
            </w:tcBorders>
          </w:tcPr>
          <w:p w14:paraId="765A5630" w14:textId="77777777" w:rsidR="004D7E77" w:rsidRPr="00FC0CF3" w:rsidRDefault="004D7E77" w:rsidP="00D45A9C">
            <w:pPr>
              <w:widowControl w:val="0"/>
              <w:jc w:val="both"/>
              <w:rPr>
                <w:rFonts w:asciiTheme="majorHAnsi" w:hAnsiTheme="majorHAnsi"/>
                <w:bCs/>
                <w:i/>
                <w:iCs/>
                <w:lang w:val="es-CR"/>
              </w:rPr>
            </w:pPr>
          </w:p>
        </w:tc>
        <w:tc>
          <w:tcPr>
            <w:tcW w:w="1305" w:type="pct"/>
            <w:tcBorders>
              <w:top w:val="single" w:sz="4" w:space="0" w:color="auto"/>
              <w:left w:val="single" w:sz="4" w:space="0" w:color="auto"/>
              <w:bottom w:val="single" w:sz="4" w:space="0" w:color="auto"/>
              <w:right w:val="single" w:sz="4" w:space="0" w:color="auto"/>
            </w:tcBorders>
          </w:tcPr>
          <w:p w14:paraId="02A95412" w14:textId="77777777" w:rsidR="004D7E77" w:rsidRPr="00FC0CF3" w:rsidRDefault="004D7E77" w:rsidP="00D45A9C">
            <w:pPr>
              <w:widowControl w:val="0"/>
              <w:jc w:val="both"/>
              <w:rPr>
                <w:rFonts w:asciiTheme="majorHAnsi" w:hAnsiTheme="majorHAnsi"/>
                <w:bCs/>
                <w:i/>
                <w:iCs/>
                <w:lang w:val="es-CR"/>
              </w:rPr>
            </w:pPr>
          </w:p>
        </w:tc>
        <w:tc>
          <w:tcPr>
            <w:tcW w:w="1307" w:type="pct"/>
            <w:tcBorders>
              <w:top w:val="single" w:sz="4" w:space="0" w:color="auto"/>
              <w:left w:val="single" w:sz="4" w:space="0" w:color="auto"/>
              <w:bottom w:val="single" w:sz="4" w:space="0" w:color="auto"/>
              <w:right w:val="single" w:sz="4" w:space="0" w:color="auto"/>
            </w:tcBorders>
          </w:tcPr>
          <w:p w14:paraId="350AE7EB" w14:textId="77777777" w:rsidR="004D7E77" w:rsidRPr="00FC0CF3" w:rsidRDefault="004D7E77" w:rsidP="00D45A9C">
            <w:pPr>
              <w:widowControl w:val="0"/>
              <w:jc w:val="both"/>
              <w:rPr>
                <w:rFonts w:asciiTheme="majorHAnsi" w:hAnsiTheme="majorHAnsi"/>
                <w:i/>
                <w:iCs/>
                <w:lang w:val="es-CR"/>
              </w:rPr>
            </w:pPr>
          </w:p>
        </w:tc>
      </w:tr>
      <w:tr w:rsidR="004D7E77" w:rsidRPr="00FC0CF3" w14:paraId="78B864AA" w14:textId="77777777" w:rsidTr="00D45A9C">
        <w:trPr>
          <w:cantSplit/>
        </w:trPr>
        <w:tc>
          <w:tcPr>
            <w:tcW w:w="1299" w:type="pct"/>
            <w:tcBorders>
              <w:top w:val="single" w:sz="4" w:space="0" w:color="auto"/>
              <w:left w:val="single" w:sz="4" w:space="0" w:color="auto"/>
              <w:bottom w:val="single" w:sz="4" w:space="0" w:color="auto"/>
              <w:right w:val="single" w:sz="4" w:space="0" w:color="auto"/>
            </w:tcBorders>
          </w:tcPr>
          <w:p w14:paraId="2773C015" w14:textId="77777777" w:rsidR="004D7E77" w:rsidRPr="00FC0CF3" w:rsidRDefault="004D7E77" w:rsidP="00D45A9C">
            <w:pPr>
              <w:widowControl w:val="0"/>
              <w:jc w:val="both"/>
              <w:rPr>
                <w:rFonts w:asciiTheme="majorHAnsi" w:hAnsiTheme="majorHAnsi"/>
                <w:b/>
                <w:i/>
                <w:iCs/>
                <w:lang w:val="es-CR"/>
              </w:rPr>
            </w:pPr>
            <w:r w:rsidRPr="00FC0CF3">
              <w:rPr>
                <w:rFonts w:asciiTheme="majorHAnsi" w:hAnsiTheme="majorHAnsi"/>
                <w:b/>
                <w:i/>
                <w:iCs/>
                <w:lang w:val="es-CR"/>
              </w:rPr>
              <w:t>Información Crediticia</w:t>
            </w:r>
          </w:p>
        </w:tc>
        <w:tc>
          <w:tcPr>
            <w:tcW w:w="1089" w:type="pct"/>
            <w:tcBorders>
              <w:top w:val="single" w:sz="4" w:space="0" w:color="auto"/>
              <w:left w:val="single" w:sz="4" w:space="0" w:color="auto"/>
              <w:bottom w:val="single" w:sz="4" w:space="0" w:color="auto"/>
              <w:right w:val="single" w:sz="4" w:space="0" w:color="auto"/>
            </w:tcBorders>
          </w:tcPr>
          <w:p w14:paraId="1E9CA04D" w14:textId="77777777" w:rsidR="004D7E77" w:rsidRPr="00FC0CF3" w:rsidRDefault="004D7E77" w:rsidP="00D45A9C">
            <w:pPr>
              <w:widowControl w:val="0"/>
              <w:jc w:val="both"/>
              <w:rPr>
                <w:rFonts w:asciiTheme="majorHAnsi" w:hAnsiTheme="majorHAnsi"/>
                <w:bCs/>
                <w:i/>
                <w:iCs/>
                <w:lang w:val="es-CR"/>
              </w:rPr>
            </w:pPr>
            <w:r w:rsidRPr="00FC0CF3">
              <w:rPr>
                <w:rFonts w:asciiTheme="majorHAnsi" w:hAnsiTheme="majorHAnsi"/>
                <w:bCs/>
                <w:i/>
                <w:iCs/>
                <w:lang w:val="es-CR"/>
              </w:rPr>
              <w:t>Trimestral</w:t>
            </w:r>
          </w:p>
        </w:tc>
        <w:tc>
          <w:tcPr>
            <w:tcW w:w="1305" w:type="pct"/>
            <w:tcBorders>
              <w:top w:val="single" w:sz="4" w:space="0" w:color="auto"/>
              <w:left w:val="single" w:sz="4" w:space="0" w:color="auto"/>
              <w:bottom w:val="single" w:sz="4" w:space="0" w:color="auto"/>
              <w:right w:val="single" w:sz="4" w:space="0" w:color="auto"/>
            </w:tcBorders>
          </w:tcPr>
          <w:p w14:paraId="79BE6610" w14:textId="77777777" w:rsidR="004D7E77" w:rsidRPr="00FC0CF3" w:rsidRDefault="004D7E77" w:rsidP="00D45A9C">
            <w:pPr>
              <w:widowControl w:val="0"/>
              <w:jc w:val="both"/>
              <w:rPr>
                <w:rFonts w:asciiTheme="majorHAnsi" w:hAnsiTheme="majorHAnsi"/>
                <w:bCs/>
                <w:i/>
                <w:iCs/>
                <w:lang w:val="es-CR"/>
              </w:rPr>
            </w:pPr>
            <w:r w:rsidRPr="00FC0CF3">
              <w:rPr>
                <w:rFonts w:asciiTheme="majorHAnsi" w:hAnsiTheme="majorHAnsi"/>
                <w:bCs/>
                <w:i/>
                <w:iCs/>
                <w:lang w:val="es-CR"/>
              </w:rPr>
              <w:t>15 días hábiles después del cierre de los meses de marzo, junio, setiembre y diciembre</w:t>
            </w:r>
          </w:p>
        </w:tc>
        <w:tc>
          <w:tcPr>
            <w:tcW w:w="1307" w:type="pct"/>
            <w:tcBorders>
              <w:top w:val="single" w:sz="4" w:space="0" w:color="auto"/>
              <w:left w:val="single" w:sz="4" w:space="0" w:color="auto"/>
              <w:bottom w:val="single" w:sz="4" w:space="0" w:color="auto"/>
              <w:right w:val="single" w:sz="4" w:space="0" w:color="auto"/>
            </w:tcBorders>
          </w:tcPr>
          <w:p w14:paraId="185E6794" w14:textId="77777777" w:rsidR="004D7E77" w:rsidRPr="00FC0CF3" w:rsidRDefault="004D7E77" w:rsidP="00D45A9C">
            <w:pPr>
              <w:widowControl w:val="0"/>
              <w:jc w:val="both"/>
              <w:rPr>
                <w:rFonts w:asciiTheme="majorHAnsi" w:hAnsiTheme="majorHAnsi"/>
                <w:i/>
                <w:iCs/>
                <w:lang w:val="es-CR"/>
              </w:rPr>
            </w:pPr>
            <w:r w:rsidRPr="00FC0CF3">
              <w:rPr>
                <w:rFonts w:asciiTheme="majorHAnsi" w:hAnsiTheme="majorHAnsi"/>
                <w:i/>
                <w:iCs/>
                <w:lang w:val="es-CR"/>
              </w:rPr>
              <w:t xml:space="preserve">En hoja electrónica (Excel), según formato establecido en el </w:t>
            </w:r>
            <w:r w:rsidRPr="00FC0CF3">
              <w:rPr>
                <w:rFonts w:asciiTheme="majorHAnsi" w:hAnsiTheme="majorHAnsi"/>
                <w:b/>
                <w:i/>
                <w:iCs/>
                <w:lang w:val="es-CR"/>
              </w:rPr>
              <w:t xml:space="preserve">Anexo 15, </w:t>
            </w:r>
            <w:r w:rsidRPr="00FC0CF3">
              <w:rPr>
                <w:rFonts w:asciiTheme="majorHAnsi" w:hAnsiTheme="majorHAnsi"/>
                <w:i/>
                <w:iCs/>
                <w:lang w:val="es-CR"/>
              </w:rPr>
              <w:t>remitida como requerimiento mediante el Servicio de Ejecución de Estudios y Seguimiento (EES) de SUGESE en Línea.</w:t>
            </w:r>
          </w:p>
        </w:tc>
      </w:tr>
    </w:tbl>
    <w:p w14:paraId="54FACE09" w14:textId="77777777" w:rsidR="004D7E77" w:rsidRPr="00FC0CF3" w:rsidRDefault="004D7E77" w:rsidP="004D7E77">
      <w:pPr>
        <w:jc w:val="both"/>
        <w:rPr>
          <w:rFonts w:asciiTheme="majorHAnsi" w:hAnsiTheme="majorHAnsi"/>
          <w:i/>
          <w:iCs/>
          <w:lang w:val="es-CR"/>
        </w:rPr>
      </w:pPr>
      <w:r w:rsidRPr="00FC0CF3">
        <w:rPr>
          <w:rFonts w:asciiTheme="majorHAnsi" w:hAnsiTheme="majorHAnsi"/>
          <w:i/>
          <w:iCs/>
          <w:lang w:val="es-CR"/>
        </w:rPr>
        <w:t>…</w:t>
      </w:r>
    </w:p>
    <w:p w14:paraId="34BF07E9" w14:textId="77777777" w:rsidR="004D7E77" w:rsidRPr="00FC0CF3" w:rsidRDefault="004D7E77" w:rsidP="004D7E77">
      <w:pPr>
        <w:jc w:val="both"/>
        <w:rPr>
          <w:rFonts w:asciiTheme="majorHAnsi" w:hAnsiTheme="majorHAnsi"/>
          <w:i/>
          <w:iCs/>
          <w:lang w:val="es-CR"/>
        </w:rPr>
      </w:pPr>
      <w:r w:rsidRPr="00FC0CF3">
        <w:rPr>
          <w:rFonts w:asciiTheme="majorHAnsi" w:hAnsiTheme="majorHAnsi"/>
          <w:i/>
          <w:iCs/>
          <w:lang w:val="es-CR"/>
        </w:rPr>
        <w:t>La entrega del Anexo 15 sobre Información Crediticia aplica únicamente para las aseguradoras que su objeto social permite el otorgamiento de crédito.</w:t>
      </w:r>
    </w:p>
    <w:p w14:paraId="1F9F4AEA" w14:textId="77777777" w:rsidR="004D7E77" w:rsidRPr="00FC0CF3" w:rsidRDefault="004D7E77" w:rsidP="004D7E77">
      <w:pPr>
        <w:jc w:val="both"/>
        <w:rPr>
          <w:rFonts w:asciiTheme="majorHAnsi" w:hAnsiTheme="majorHAnsi"/>
          <w:i/>
          <w:iCs/>
          <w:lang w:val="es-CR"/>
        </w:rPr>
      </w:pPr>
      <w:r w:rsidRPr="00FC0CF3">
        <w:rPr>
          <w:rFonts w:asciiTheme="majorHAnsi" w:hAnsiTheme="majorHAnsi"/>
          <w:i/>
          <w:iCs/>
          <w:lang w:val="es-CR"/>
        </w:rPr>
        <w:t>…”</w:t>
      </w:r>
    </w:p>
    <w:p w14:paraId="3D09C19C" w14:textId="77777777" w:rsidR="004D7E77" w:rsidRPr="00FC0CF3" w:rsidRDefault="004D7E77" w:rsidP="004D7E77">
      <w:pPr>
        <w:jc w:val="center"/>
        <w:rPr>
          <w:rFonts w:asciiTheme="majorHAnsi" w:hAnsiTheme="majorHAnsi"/>
          <w:b/>
          <w:bCs/>
          <w:iCs/>
          <w:lang w:val="es-CR"/>
        </w:rPr>
      </w:pPr>
    </w:p>
    <w:p w14:paraId="3A5545E7" w14:textId="77777777" w:rsidR="004D7E77" w:rsidRPr="00FC0CF3" w:rsidRDefault="004D7E77" w:rsidP="004D7E77">
      <w:pPr>
        <w:jc w:val="both"/>
        <w:rPr>
          <w:rFonts w:asciiTheme="majorHAnsi" w:hAnsiTheme="majorHAnsi"/>
          <w:b/>
          <w:bCs/>
          <w:lang w:val="es-CR"/>
        </w:rPr>
      </w:pPr>
      <w:r w:rsidRPr="00FC0CF3">
        <w:rPr>
          <w:rFonts w:asciiTheme="majorHAnsi" w:hAnsiTheme="majorHAnsi"/>
          <w:b/>
          <w:bCs/>
          <w:lang w:val="es-CR"/>
        </w:rPr>
        <w:t>II. Adicionar al acuerdo SGS-A-0021-2013 el Anexo 15 según se detalla a continuación:</w:t>
      </w:r>
    </w:p>
    <w:p w14:paraId="74678CA6" w14:textId="77777777" w:rsidR="004D7E77" w:rsidRPr="00FC0CF3" w:rsidRDefault="004D7E77" w:rsidP="004D7E77">
      <w:pPr>
        <w:jc w:val="both"/>
        <w:rPr>
          <w:rFonts w:asciiTheme="majorHAnsi" w:hAnsiTheme="majorHAnsi"/>
          <w:b/>
          <w:bCs/>
          <w:iCs/>
          <w:lang w:val="es-CR"/>
        </w:rPr>
      </w:pPr>
    </w:p>
    <w:p w14:paraId="438BC56C" w14:textId="77777777" w:rsidR="004D7E77" w:rsidRPr="00FC0CF3" w:rsidRDefault="004D7E77" w:rsidP="004D7E77">
      <w:pPr>
        <w:pStyle w:val="Textoindependiente3"/>
        <w:tabs>
          <w:tab w:val="left" w:pos="857"/>
          <w:tab w:val="left" w:pos="1168"/>
        </w:tabs>
        <w:spacing w:after="0"/>
        <w:jc w:val="center"/>
        <w:rPr>
          <w:rFonts w:asciiTheme="majorHAnsi" w:hAnsiTheme="majorHAnsi"/>
          <w:b/>
          <w:bCs/>
          <w:sz w:val="24"/>
          <w:szCs w:val="24"/>
          <w:lang w:val="es-CR"/>
        </w:rPr>
      </w:pPr>
      <w:r w:rsidRPr="00FC0CF3">
        <w:rPr>
          <w:rFonts w:asciiTheme="majorHAnsi" w:hAnsiTheme="majorHAnsi"/>
          <w:b/>
          <w:bCs/>
          <w:sz w:val="24"/>
          <w:szCs w:val="24"/>
          <w:lang w:val="es-CR"/>
        </w:rPr>
        <w:t>ANEXO 15.</w:t>
      </w:r>
    </w:p>
    <w:p w14:paraId="6421A9A8" w14:textId="77777777" w:rsidR="004D7E77" w:rsidRPr="00FC0CF3" w:rsidRDefault="004D7E77" w:rsidP="004D7E77">
      <w:pPr>
        <w:pStyle w:val="Textoindependiente3"/>
        <w:tabs>
          <w:tab w:val="left" w:pos="857"/>
          <w:tab w:val="left" w:pos="1168"/>
        </w:tabs>
        <w:spacing w:after="0"/>
        <w:jc w:val="center"/>
        <w:rPr>
          <w:rFonts w:asciiTheme="majorHAnsi" w:hAnsiTheme="majorHAnsi"/>
          <w:b/>
          <w:bCs/>
          <w:sz w:val="24"/>
          <w:szCs w:val="24"/>
          <w:lang w:val="es-CR"/>
        </w:rPr>
      </w:pPr>
      <w:r w:rsidRPr="00FC0CF3">
        <w:rPr>
          <w:rFonts w:asciiTheme="majorHAnsi" w:hAnsiTheme="majorHAnsi"/>
          <w:b/>
          <w:bCs/>
          <w:sz w:val="24"/>
          <w:szCs w:val="24"/>
          <w:lang w:val="es-CR"/>
        </w:rPr>
        <w:t>Requerimiento de Información Crediticia</w:t>
      </w:r>
    </w:p>
    <w:p w14:paraId="7A7681AC" w14:textId="77777777" w:rsidR="004D7E77" w:rsidRPr="00FC0CF3" w:rsidRDefault="004D7E77" w:rsidP="004D7E77">
      <w:pPr>
        <w:pStyle w:val="Textoindependiente3"/>
        <w:tabs>
          <w:tab w:val="left" w:pos="857"/>
          <w:tab w:val="left" w:pos="1168"/>
        </w:tabs>
        <w:spacing w:after="0"/>
        <w:jc w:val="both"/>
        <w:rPr>
          <w:rFonts w:asciiTheme="majorHAnsi" w:hAnsiTheme="majorHAnsi"/>
          <w:b/>
          <w:bCs/>
          <w:sz w:val="24"/>
          <w:szCs w:val="24"/>
          <w:lang w:val="es-CR"/>
        </w:rPr>
      </w:pPr>
    </w:p>
    <w:bookmarkStart w:id="0" w:name="_MON_1745319921"/>
    <w:bookmarkEnd w:id="0"/>
    <w:p w14:paraId="2F59960D" w14:textId="77777777" w:rsidR="004D7E77" w:rsidRPr="00FC0CF3" w:rsidRDefault="004D7E77" w:rsidP="004D7E77">
      <w:pPr>
        <w:jc w:val="center"/>
        <w:rPr>
          <w:rFonts w:asciiTheme="majorHAnsi" w:hAnsiTheme="majorHAnsi"/>
          <w:b/>
          <w:bCs/>
          <w:iCs/>
          <w:lang w:val="es-CR"/>
        </w:rPr>
      </w:pPr>
      <w:r w:rsidRPr="00FC0CF3">
        <w:rPr>
          <w:rFonts w:asciiTheme="majorHAnsi" w:hAnsiTheme="majorHAnsi"/>
          <w:b/>
          <w:bCs/>
          <w:iCs/>
          <w:lang w:val="es-CR"/>
        </w:rPr>
        <w:object w:dxaOrig="1779" w:dyaOrig="1158" w14:anchorId="6F1DD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57.75pt" o:ole="">
            <v:imagedata r:id="rId13" o:title=""/>
          </v:shape>
          <o:OLEObject Type="Embed" ProgID="Excel.Sheet.12" ShapeID="_x0000_i1025" DrawAspect="Icon" ObjectID="_1748956473" r:id="rId14"/>
        </w:object>
      </w:r>
    </w:p>
    <w:p w14:paraId="1ADE4039" w14:textId="77777777" w:rsidR="004D7E77" w:rsidRPr="00FC0CF3" w:rsidRDefault="004D7E77" w:rsidP="004D7E77">
      <w:pPr>
        <w:pStyle w:val="Prrafodelista"/>
        <w:spacing w:after="0" w:line="240" w:lineRule="auto"/>
        <w:ind w:left="0"/>
        <w:jc w:val="both"/>
        <w:rPr>
          <w:rFonts w:asciiTheme="majorHAnsi" w:hAnsiTheme="majorHAnsi"/>
          <w:sz w:val="24"/>
          <w:szCs w:val="24"/>
        </w:rPr>
      </w:pPr>
    </w:p>
    <w:p w14:paraId="5B5299D4" w14:textId="77777777" w:rsidR="004D7E77" w:rsidRPr="00FC0CF3" w:rsidRDefault="004D7E77" w:rsidP="004D7E77">
      <w:pPr>
        <w:pStyle w:val="Prrafodelista"/>
        <w:spacing w:after="0" w:line="240" w:lineRule="auto"/>
        <w:ind w:left="284" w:hanging="284"/>
        <w:jc w:val="both"/>
        <w:rPr>
          <w:rFonts w:asciiTheme="majorHAnsi" w:hAnsiTheme="majorHAnsi"/>
          <w:b/>
          <w:bCs/>
          <w:sz w:val="24"/>
          <w:szCs w:val="24"/>
        </w:rPr>
      </w:pPr>
      <w:r w:rsidRPr="00FC0CF3">
        <w:rPr>
          <w:rFonts w:asciiTheme="majorHAnsi" w:hAnsiTheme="majorHAnsi"/>
          <w:b/>
          <w:bCs/>
          <w:sz w:val="24"/>
          <w:szCs w:val="24"/>
        </w:rPr>
        <w:t>II. Actualizar la versión publicada del acuerdo de Superintendente SGS-A-0021-2013 para incluir las modificaciones señaladas en este acto.</w:t>
      </w:r>
    </w:p>
    <w:p w14:paraId="0AE45307" w14:textId="77777777" w:rsidR="004D7E77" w:rsidRPr="00FC0CF3" w:rsidRDefault="004D7E77" w:rsidP="004D7E77">
      <w:pPr>
        <w:pStyle w:val="Prrafodelista"/>
        <w:spacing w:after="0" w:line="240" w:lineRule="auto"/>
        <w:ind w:left="0"/>
        <w:jc w:val="both"/>
        <w:rPr>
          <w:rFonts w:asciiTheme="majorHAnsi" w:hAnsiTheme="majorHAnsi"/>
          <w:sz w:val="24"/>
          <w:szCs w:val="24"/>
        </w:rPr>
      </w:pPr>
    </w:p>
    <w:p w14:paraId="7451F46E" w14:textId="77777777" w:rsidR="004D7E77" w:rsidRPr="00FC0CF3" w:rsidRDefault="004D7E77" w:rsidP="004D7E77">
      <w:pPr>
        <w:pStyle w:val="Prrafodelista"/>
        <w:spacing w:after="0" w:line="240" w:lineRule="auto"/>
        <w:ind w:left="0"/>
        <w:jc w:val="both"/>
        <w:rPr>
          <w:rFonts w:asciiTheme="majorHAnsi" w:hAnsiTheme="majorHAnsi"/>
          <w:sz w:val="24"/>
          <w:szCs w:val="24"/>
        </w:rPr>
      </w:pPr>
    </w:p>
    <w:p w14:paraId="071B0558" w14:textId="77777777" w:rsidR="004D7E77" w:rsidRPr="00FC0CF3" w:rsidRDefault="004D7E77" w:rsidP="004D7E77">
      <w:pPr>
        <w:pStyle w:val="Prrafodelista"/>
        <w:spacing w:after="0" w:line="240" w:lineRule="auto"/>
        <w:ind w:left="0"/>
        <w:jc w:val="both"/>
        <w:rPr>
          <w:rFonts w:asciiTheme="majorHAnsi" w:hAnsiTheme="majorHAnsi"/>
          <w:sz w:val="24"/>
          <w:szCs w:val="24"/>
        </w:rPr>
      </w:pPr>
    </w:p>
    <w:p w14:paraId="32A8AB4E" w14:textId="77777777" w:rsidR="004D7E77" w:rsidRPr="00FC0CF3" w:rsidRDefault="004D7E77" w:rsidP="004D7E77">
      <w:pPr>
        <w:pStyle w:val="Prrafodelista"/>
        <w:spacing w:after="0" w:line="240" w:lineRule="auto"/>
        <w:ind w:left="0"/>
        <w:jc w:val="both"/>
        <w:rPr>
          <w:rFonts w:asciiTheme="majorHAnsi" w:hAnsiTheme="majorHAnsi"/>
          <w:sz w:val="24"/>
          <w:szCs w:val="24"/>
        </w:rPr>
      </w:pPr>
      <w:r w:rsidRPr="00FC0CF3">
        <w:rPr>
          <w:rFonts w:asciiTheme="majorHAnsi" w:hAnsiTheme="majorHAnsi"/>
          <w:sz w:val="24"/>
          <w:szCs w:val="24"/>
        </w:rPr>
        <w:t xml:space="preserve">Rige a partir de la entrega de la información crediticia correspondiente a diciembre de 2023. </w:t>
      </w:r>
    </w:p>
    <w:p w14:paraId="0BC09ADE" w14:textId="77777777" w:rsidR="004D7E77" w:rsidRPr="00FC0CF3" w:rsidRDefault="004D7E77" w:rsidP="004D7E77">
      <w:pPr>
        <w:pStyle w:val="Prrafodelista"/>
        <w:spacing w:after="0" w:line="240" w:lineRule="auto"/>
        <w:ind w:left="0"/>
        <w:jc w:val="both"/>
        <w:rPr>
          <w:rFonts w:asciiTheme="majorHAnsi" w:hAnsiTheme="majorHAnsi"/>
          <w:sz w:val="24"/>
          <w:szCs w:val="24"/>
        </w:rPr>
      </w:pPr>
    </w:p>
    <w:p w14:paraId="7701EDB8" w14:textId="77777777" w:rsidR="004D7E77" w:rsidRPr="00FC0CF3" w:rsidRDefault="004D7E77" w:rsidP="004D7E77">
      <w:pPr>
        <w:pStyle w:val="Prrafodelista"/>
        <w:spacing w:after="0" w:line="240" w:lineRule="auto"/>
        <w:ind w:left="0"/>
        <w:jc w:val="both"/>
        <w:rPr>
          <w:rFonts w:asciiTheme="majorHAnsi" w:hAnsiTheme="majorHAnsi"/>
          <w:sz w:val="24"/>
          <w:szCs w:val="24"/>
        </w:rPr>
      </w:pPr>
    </w:p>
    <w:p w14:paraId="2B42DAE7" w14:textId="501B250D" w:rsidR="004D7E77" w:rsidRPr="00FC0CF3" w:rsidRDefault="004D7E77" w:rsidP="004D7E77">
      <w:pPr>
        <w:pStyle w:val="Prrafodelista"/>
        <w:spacing w:after="0" w:line="240" w:lineRule="auto"/>
        <w:ind w:left="0"/>
        <w:jc w:val="both"/>
        <w:rPr>
          <w:rFonts w:asciiTheme="majorHAnsi" w:hAnsiTheme="majorHAnsi"/>
          <w:sz w:val="24"/>
          <w:szCs w:val="24"/>
        </w:rPr>
      </w:pPr>
      <w:r w:rsidRPr="00FC0CF3">
        <w:rPr>
          <w:rFonts w:asciiTheme="majorHAnsi" w:hAnsiTheme="majorHAnsi"/>
          <w:sz w:val="24"/>
          <w:szCs w:val="24"/>
        </w:rPr>
        <w:t>Notifíquese,</w:t>
      </w:r>
    </w:p>
    <w:p w14:paraId="3ED497B3" w14:textId="6A043571" w:rsidR="004D7E77" w:rsidRPr="006A3734" w:rsidRDefault="004D7E77" w:rsidP="004D7E77">
      <w:pPr>
        <w:pStyle w:val="Prrafodelista"/>
        <w:spacing w:after="0" w:line="240" w:lineRule="auto"/>
        <w:ind w:left="0"/>
        <w:jc w:val="both"/>
        <w:rPr>
          <w:rFonts w:ascii="Cambria" w:hAnsi="Cambria"/>
        </w:rPr>
      </w:pPr>
      <w:r w:rsidRPr="00FC0CF3">
        <w:rPr>
          <w:rFonts w:asciiTheme="majorHAnsi" w:hAnsiTheme="majorHAnsi" w:cstheme="minorHAnsi"/>
          <w:noProof/>
          <w:sz w:val="24"/>
          <w:szCs w:val="24"/>
          <w:lang w:eastAsia="es-CR"/>
        </w:rPr>
        <w:drawing>
          <wp:inline distT="0" distB="0" distL="0" distR="0" wp14:anchorId="7CCC8850" wp14:editId="4D96608B">
            <wp:extent cx="2495550" cy="523875"/>
            <wp:effectExtent l="0" t="0" r="0" b="9525"/>
            <wp:docPr id="6" name="Imagen 6"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image0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5550" cy="523875"/>
                    </a:xfrm>
                    <a:prstGeom prst="rect">
                      <a:avLst/>
                    </a:prstGeom>
                    <a:noFill/>
                    <a:ln>
                      <a:noFill/>
                    </a:ln>
                  </pic:spPr>
                </pic:pic>
              </a:graphicData>
            </a:graphic>
          </wp:inline>
        </w:drawing>
      </w:r>
    </w:p>
    <w:p w14:paraId="3DFA0400" w14:textId="47B2FAA1" w:rsidR="00761D54" w:rsidRPr="006A3734" w:rsidRDefault="00761D54" w:rsidP="007F09F5">
      <w:pPr>
        <w:jc w:val="both"/>
        <w:rPr>
          <w:rFonts w:ascii="Cambria" w:hAnsi="Cambria"/>
        </w:rPr>
      </w:pPr>
    </w:p>
    <w:sectPr w:rsidR="00761D54" w:rsidRPr="006A3734" w:rsidSect="009618C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8321D" w14:textId="77777777" w:rsidR="006979CD" w:rsidRDefault="006979CD" w:rsidP="005A1442">
      <w:r>
        <w:separator/>
      </w:r>
    </w:p>
  </w:endnote>
  <w:endnote w:type="continuationSeparator" w:id="0">
    <w:p w14:paraId="2562F6B9" w14:textId="77777777" w:rsidR="006979CD" w:rsidRDefault="006979CD"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AAEB8" w14:textId="77777777" w:rsidR="002B4DD4" w:rsidRDefault="002B4DD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31D8" w14:textId="64626EE4" w:rsidR="00843EE4" w:rsidRDefault="006979CD" w:rsidP="005A1442">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59264" behindDoc="0" locked="0" layoutInCell="0" allowOverlap="1" wp14:anchorId="2F45005D" wp14:editId="1758D341">
              <wp:simplePos x="0" y="0"/>
              <wp:positionH relativeFrom="page">
                <wp:posOffset>0</wp:posOffset>
              </wp:positionH>
              <wp:positionV relativeFrom="page">
                <wp:posOffset>9594215</wp:posOffset>
              </wp:positionV>
              <wp:extent cx="7772400" cy="273050"/>
              <wp:effectExtent l="0" t="0" r="0" b="12700"/>
              <wp:wrapNone/>
              <wp:docPr id="2" name="MSIPCMea2e4ad9b11da1a1e78ab04e"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31FB159" w14:textId="2215F2EC" w:rsidR="006979CD" w:rsidRPr="006979CD" w:rsidRDefault="006979CD" w:rsidP="006979CD">
                          <w:pPr>
                            <w:jc w:val="center"/>
                            <w:rPr>
                              <w:rFonts w:ascii="Calibri" w:hAnsi="Calibri" w:cs="Calibri"/>
                              <w:color w:val="000000"/>
                              <w:sz w:val="20"/>
                            </w:rPr>
                          </w:pPr>
                          <w:r w:rsidRPr="006979CD">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F45005D" id="_x0000_t202" coordsize="21600,21600" o:spt="202" path="m,l,21600r21600,l21600,xe">
              <v:stroke joinstyle="miter"/>
              <v:path gradientshapeok="t" o:connecttype="rect"/>
            </v:shapetype>
            <v:shape id="MSIPCMea2e4ad9b11da1a1e78ab04e"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231FB159" w14:textId="2215F2EC" w:rsidR="006979CD" w:rsidRPr="006979CD" w:rsidRDefault="006979CD" w:rsidP="006979CD">
                    <w:pPr>
                      <w:jc w:val="center"/>
                      <w:rPr>
                        <w:rFonts w:ascii="Calibri" w:hAnsi="Calibri" w:cs="Calibri"/>
                        <w:color w:val="000000"/>
                        <w:sz w:val="20"/>
                      </w:rPr>
                    </w:pPr>
                    <w:r w:rsidRPr="006979CD">
                      <w:rPr>
                        <w:rFonts w:ascii="Calibri" w:hAnsi="Calibri" w:cs="Calibri"/>
                        <w:color w:val="000000"/>
                        <w:sz w:val="20"/>
                      </w:rPr>
                      <w:t>Uso Interno</w:t>
                    </w:r>
                  </w:p>
                </w:txbxContent>
              </v:textbox>
              <w10:wrap anchorx="page" anchory="page"/>
            </v:shape>
          </w:pict>
        </mc:Fallback>
      </mc:AlternateContent>
    </w:r>
  </w:p>
  <w:p w14:paraId="04EE02EA" w14:textId="77777777" w:rsidR="00FD4273" w:rsidRPr="00FD4273" w:rsidRDefault="00FD4273" w:rsidP="00FD4273">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39F27D83"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26C5CE67" w14:textId="77777777" w:rsidR="00843EE4" w:rsidRPr="00FD4273" w:rsidRDefault="002B4DD4" w:rsidP="00FD4273">
    <w:pPr>
      <w:pStyle w:val="Piedepgina"/>
      <w:tabs>
        <w:tab w:val="clear" w:pos="8838"/>
      </w:tabs>
      <w:jc w:val="right"/>
      <w:rPr>
        <w:rFonts w:ascii="Cambria" w:hAnsi="Cambria"/>
        <w:sz w:val="18"/>
        <w:szCs w:val="18"/>
      </w:rPr>
    </w:pPr>
    <w:hyperlink r:id="rId1" w:history="1">
      <w:r w:rsidR="00FD4273" w:rsidRPr="00FD4273">
        <w:rPr>
          <w:rStyle w:val="Hipervnculo"/>
          <w:rFonts w:ascii="Cambria" w:hAnsi="Cambria"/>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46059" w14:textId="1DFA8B17" w:rsidR="00843EE4" w:rsidRDefault="006979CD" w:rsidP="00A83BA5">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60288" behindDoc="0" locked="0" layoutInCell="0" allowOverlap="1" wp14:anchorId="2FB6A19C" wp14:editId="1C852334">
              <wp:simplePos x="0" y="0"/>
              <wp:positionH relativeFrom="page">
                <wp:posOffset>0</wp:posOffset>
              </wp:positionH>
              <wp:positionV relativeFrom="page">
                <wp:posOffset>9594215</wp:posOffset>
              </wp:positionV>
              <wp:extent cx="7772400" cy="273050"/>
              <wp:effectExtent l="0" t="0" r="0" b="12700"/>
              <wp:wrapNone/>
              <wp:docPr id="4" name="MSIPCM13a149199a8175bae3fad6bc"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42630B" w14:textId="3C08CD3D" w:rsidR="006979CD" w:rsidRPr="006979CD" w:rsidRDefault="006979CD" w:rsidP="006979CD">
                          <w:pPr>
                            <w:jc w:val="center"/>
                            <w:rPr>
                              <w:rFonts w:ascii="Calibri" w:hAnsi="Calibri" w:cs="Calibri"/>
                              <w:color w:val="000000"/>
                              <w:sz w:val="20"/>
                            </w:rPr>
                          </w:pPr>
                          <w:r w:rsidRPr="006979CD">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FB6A19C" id="_x0000_t202" coordsize="21600,21600" o:spt="202" path="m,l,21600r21600,l21600,xe">
              <v:stroke joinstyle="miter"/>
              <v:path gradientshapeok="t" o:connecttype="rect"/>
            </v:shapetype>
            <v:shape id="MSIPCM13a149199a8175bae3fad6bc"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3F42630B" w14:textId="3C08CD3D" w:rsidR="006979CD" w:rsidRPr="006979CD" w:rsidRDefault="006979CD" w:rsidP="006979CD">
                    <w:pPr>
                      <w:jc w:val="center"/>
                      <w:rPr>
                        <w:rFonts w:ascii="Calibri" w:hAnsi="Calibri" w:cs="Calibri"/>
                        <w:color w:val="000000"/>
                        <w:sz w:val="20"/>
                      </w:rPr>
                    </w:pPr>
                    <w:r w:rsidRPr="006979CD">
                      <w:rPr>
                        <w:rFonts w:ascii="Calibri" w:hAnsi="Calibri" w:cs="Calibri"/>
                        <w:color w:val="000000"/>
                        <w:sz w:val="20"/>
                      </w:rPr>
                      <w:t>Uso Interno</w:t>
                    </w:r>
                  </w:p>
                </w:txbxContent>
              </v:textbox>
              <w10:wrap anchorx="page" anchory="page"/>
            </v:shape>
          </w:pict>
        </mc:Fallback>
      </mc:AlternateContent>
    </w:r>
  </w:p>
  <w:p w14:paraId="3A110994" w14:textId="77777777" w:rsidR="00843EE4" w:rsidRPr="00FD4273" w:rsidRDefault="00843EE4" w:rsidP="00A83BA5">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3AA9450A"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0ACA550C" w14:textId="77777777" w:rsidR="00843EE4" w:rsidRPr="00FD4273" w:rsidRDefault="002B4DD4" w:rsidP="00A83BA5">
    <w:pPr>
      <w:pStyle w:val="Piedepgina"/>
      <w:tabs>
        <w:tab w:val="clear" w:pos="8838"/>
      </w:tabs>
      <w:jc w:val="right"/>
      <w:rPr>
        <w:rFonts w:ascii="Cambria" w:hAnsi="Cambria"/>
        <w:sz w:val="18"/>
        <w:szCs w:val="18"/>
      </w:rPr>
    </w:pPr>
    <w:hyperlink r:id="rId1" w:history="1">
      <w:r w:rsidR="00843EE4" w:rsidRPr="00FD4273">
        <w:rPr>
          <w:rStyle w:val="Hipervnculo"/>
          <w:rFonts w:ascii="Cambria" w:hAnsi="Cambria"/>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45C6E" w14:textId="77777777" w:rsidR="006979CD" w:rsidRDefault="006979CD" w:rsidP="005A1442">
      <w:r>
        <w:separator/>
      </w:r>
    </w:p>
  </w:footnote>
  <w:footnote w:type="continuationSeparator" w:id="0">
    <w:p w14:paraId="008E5F7A" w14:textId="77777777" w:rsidR="006979CD" w:rsidRDefault="006979CD"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2C3C8" w14:textId="77777777" w:rsidR="002B4DD4" w:rsidRDefault="002B4DD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07EF0"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6DC93DF8" wp14:editId="5C5B4EF3">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3A328292" w14:textId="77777777" w:rsidR="00373AC0" w:rsidRPr="009618C8" w:rsidRDefault="00373AC0" w:rsidP="00373AC0">
    <w:pPr>
      <w:pStyle w:val="Encabezado"/>
      <w:rPr>
        <w:rFonts w:asciiTheme="majorHAnsi" w:hAnsiTheme="majorHAnsi"/>
        <w:sz w:val="16"/>
        <w:szCs w:val="16"/>
      </w:rPr>
    </w:pPr>
  </w:p>
  <w:p w14:paraId="3EC7FC85" w14:textId="587B60CB"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2B4DD4">
      <w:rPr>
        <w:rFonts w:asciiTheme="majorHAnsi" w:hAnsiTheme="majorHAnsi"/>
        <w:b/>
        <w:bCs/>
        <w:i/>
      </w:rPr>
      <w:t>095</w:t>
    </w:r>
    <w:r w:rsidRPr="00373AC0">
      <w:rPr>
        <w:rFonts w:asciiTheme="majorHAnsi" w:hAnsiTheme="majorHAnsi"/>
        <w:b/>
        <w:bCs/>
        <w:i/>
      </w:rPr>
      <w:t>-20</w:t>
    </w:r>
    <w:r w:rsidR="002B4DD4">
      <w:rPr>
        <w:rFonts w:asciiTheme="majorHAnsi" w:hAnsiTheme="majorHAnsi"/>
        <w:b/>
        <w:bCs/>
        <w:i/>
      </w:rPr>
      <w:t>23</w:t>
    </w:r>
  </w:p>
  <w:p w14:paraId="192F6039"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A606CB">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498B1F62"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8163"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35F0A3DC" wp14:editId="6BCAF1C1">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57868622"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3F5465"/>
    <w:multiLevelType w:val="hybridMultilevel"/>
    <w:tmpl w:val="E4D8F616"/>
    <w:lvl w:ilvl="0" w:tplc="8C1CA9D2">
      <w:start w:val="4"/>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429D32BD"/>
    <w:multiLevelType w:val="hybridMultilevel"/>
    <w:tmpl w:val="818C4516"/>
    <w:lvl w:ilvl="0" w:tplc="C8108F78">
      <w:start w:val="3"/>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48AA579C"/>
    <w:multiLevelType w:val="hybridMultilevel"/>
    <w:tmpl w:val="757EFD9C"/>
    <w:lvl w:ilvl="0" w:tplc="172C3F80">
      <w:start w:val="2"/>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5617095D"/>
    <w:multiLevelType w:val="hybridMultilevel"/>
    <w:tmpl w:val="F0208F7A"/>
    <w:lvl w:ilvl="0" w:tplc="B4F4795C">
      <w:start w:val="6"/>
      <w:numFmt w:val="decimal"/>
      <w:lvlText w:val="%1."/>
      <w:lvlJc w:val="left"/>
      <w:pPr>
        <w:ind w:left="720" w:hanging="360"/>
      </w:pPr>
      <w:rPr>
        <w:rFonts w:ascii="Cambria" w:hAnsi="Cambria" w:hint="default"/>
        <w:b w:val="0"/>
        <w:color w:val="auto"/>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68363F5E"/>
    <w:multiLevelType w:val="hybridMultilevel"/>
    <w:tmpl w:val="A2FAE37C"/>
    <w:lvl w:ilvl="0" w:tplc="FFFFFFFF">
      <w:start w:val="1"/>
      <w:numFmt w:val="decimal"/>
      <w:lvlText w:val="%1."/>
      <w:lvlJc w:val="left"/>
      <w:pPr>
        <w:ind w:left="720" w:hanging="360"/>
      </w:pPr>
      <w:rPr>
        <w:rFonts w:hint="default"/>
        <w:b w:val="0"/>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9D847F5"/>
    <w:multiLevelType w:val="hybridMultilevel"/>
    <w:tmpl w:val="9B12B056"/>
    <w:lvl w:ilvl="0" w:tplc="C2C81592">
      <w:start w:val="5"/>
      <w:numFmt w:val="decimal"/>
      <w:lvlText w:val="%1."/>
      <w:lvlJc w:val="left"/>
      <w:pPr>
        <w:ind w:left="720" w:hanging="360"/>
      </w:pPr>
      <w:rPr>
        <w:rFonts w:hint="default"/>
        <w:b w:val="0"/>
        <w:color w:val="00000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83006737">
    <w:abstractNumId w:val="4"/>
  </w:num>
  <w:num w:numId="2" w16cid:durableId="2098016438">
    <w:abstractNumId w:val="2"/>
  </w:num>
  <w:num w:numId="3" w16cid:durableId="1678775582">
    <w:abstractNumId w:val="1"/>
  </w:num>
  <w:num w:numId="4" w16cid:durableId="1685670270">
    <w:abstractNumId w:val="0"/>
  </w:num>
  <w:num w:numId="5" w16cid:durableId="990325405">
    <w:abstractNumId w:val="5"/>
  </w:num>
  <w:num w:numId="6" w16cid:durableId="5793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9CD"/>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B4DD4"/>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D7E77"/>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979CD"/>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7C2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paragraph" w:styleId="Ttulo5">
    <w:name w:val="heading 5"/>
    <w:basedOn w:val="Normal"/>
    <w:next w:val="Normal"/>
    <w:link w:val="Ttulo5Car"/>
    <w:uiPriority w:val="9"/>
    <w:unhideWhenUsed/>
    <w:qFormat/>
    <w:rsid w:val="004D7E77"/>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3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character" w:customStyle="1" w:styleId="Ttulo5Car">
    <w:name w:val="Título 5 Car"/>
    <w:basedOn w:val="Fuentedeprrafopredeter"/>
    <w:link w:val="Ttulo5"/>
    <w:uiPriority w:val="9"/>
    <w:rsid w:val="004D7E77"/>
    <w:rPr>
      <w:rFonts w:asciiTheme="majorHAnsi" w:eastAsiaTheme="majorEastAsia" w:hAnsiTheme="majorHAnsi" w:cstheme="majorBidi"/>
      <w:color w:val="365F91" w:themeColor="accent1" w:themeShade="BF"/>
      <w:sz w:val="24"/>
      <w:szCs w:val="24"/>
      <w:lang w:val="es-ES" w:eastAsia="es-ES"/>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4D7E77"/>
    <w:pPr>
      <w:spacing w:after="160" w:line="256" w:lineRule="auto"/>
      <w:ind w:left="720"/>
      <w:contextualSpacing/>
    </w:pPr>
    <w:rPr>
      <w:rFonts w:asciiTheme="minorHAnsi" w:eastAsiaTheme="minorHAnsi" w:hAnsiTheme="minorHAnsi" w:cstheme="minorBidi"/>
      <w:sz w:val="22"/>
      <w:szCs w:val="22"/>
      <w:lang w:val="es-CR" w:eastAsia="en-US"/>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qFormat/>
    <w:locked/>
    <w:rsid w:val="004D7E77"/>
  </w:style>
  <w:style w:type="paragraph" w:styleId="Textoindependiente3">
    <w:name w:val="Body Text 3"/>
    <w:basedOn w:val="Normal"/>
    <w:link w:val="Textoindependiente3Car"/>
    <w:uiPriority w:val="99"/>
    <w:semiHidden/>
    <w:unhideWhenUsed/>
    <w:rsid w:val="004D7E77"/>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D7E77"/>
    <w:rPr>
      <w:rFonts w:ascii="Times New Roman" w:eastAsia="Times New Roman" w:hAnsi="Times New Roman"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4" Type="http://schemas.openxmlformats.org/officeDocument/2006/relationships/theme" Target="theme/theme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package" Target="embeddings/Microsoft_Excel_Worksheet.xlsx"/></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D4C0237A5649B3A9FBBB0285143538"/>
        <w:category>
          <w:name w:val="General"/>
          <w:gallery w:val="placeholder"/>
        </w:category>
        <w:types>
          <w:type w:val="bbPlcHdr"/>
        </w:types>
        <w:behaviors>
          <w:behavior w:val="content"/>
        </w:behaviors>
        <w:guid w:val="{4FDF77E5-C76E-4B13-997D-AD51CD8A0914}"/>
      </w:docPartPr>
      <w:docPartBody>
        <w:p w:rsidR="00D403D6" w:rsidRDefault="00012DAA" w:rsidP="00012DAA">
          <w:pPr>
            <w:pStyle w:val="E4D4C0237A5649B3A9FBBB0285143538"/>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DAA"/>
    <w:rsid w:val="00012DAA"/>
    <w:rsid w:val="00D403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2DAA"/>
    <w:rPr>
      <w:color w:val="808080"/>
    </w:rPr>
  </w:style>
  <w:style w:type="paragraph" w:customStyle="1" w:styleId="E4D4C0237A5649B3A9FBBB0285143538">
    <w:name w:val="E4D4C0237A5649B3A9FBBB0285143538"/>
    <w:rsid w:val="00012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/3VGK3OI/DlnDfbIBCUsDVTwnml2u18mc5RyOB7Nn1I=</DigestValue>
    </Reference>
    <Reference Type="http://www.w3.org/2000/09/xmldsig#Object" URI="#idOfficeObject">
      <DigestMethod Algorithm="http://www.w3.org/2001/04/xmlenc#sha256"/>
      <DigestValue>jjfBIpyGTuV1Fdxdj8Z+RtNtLefBUZL2z/+M5eWSB1g=</DigestValue>
    </Reference>
    <Reference Type="http://uri.etsi.org/01903#SignedProperties" URI="#idSignedProperties">
      <Transforms>
        <Transform Algorithm="http://www.w3.org/TR/2001/REC-xml-c14n-20010315"/>
      </Transforms>
      <DigestMethod Algorithm="http://www.w3.org/2001/04/xmlenc#sha256"/>
      <DigestValue>6e3/lptLfGyaVWhPPkmo9cpPgi3bWVKAogyHMyX/gN0=</DigestValue>
    </Reference>
  </SignedInfo>
  <SignatureValue>trIGE4wDfR6KEsjfgI0u/kRzVwmp4NMWMKe5wyveLXdktuVw/XtZUUfFKygIpDd3/jN9oi53Ns+6
SEQZS7c2wSDELzWadHaFDP3QS44PIFXAdxnVdhY4y4/5s+uoWdHnigxGP1CzsP6VXNDPuliAhYYD
Pw0+8R02trSDEGx6tmdBocv5qi7JZ/Yj4Pm6dhWaQtqWr06PLmA1B9MFfIE20etiz82MO3BIlzrP
lCvcHSIrjhgu9aFF+gbv4C7Ub+N0IkPCh82muk5r2ZyfsseUSJmdOmhPxtglTMrD4sliYnrZT7AO
D6cQCGkJ/ymfWglI3UJbu9aRAFJmAZGLmwFmSg==</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Transform>
          <Transform Algorithm="http://www.w3.org/TR/2001/REC-xml-c14n-20010315"/>
        </Transforms>
        <DigestMethod Algorithm="http://www.w3.org/2001/04/xmlenc#sha256"/>
        <DigestValue>GjgwjR8ivbKm2J/JZA6Eor8bGMNHnHS+UewuCdsfP/Q=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mWWJHEdy5d+4SNM5ctonOCwQtvhsVmfA0FRl8+ANO1I=</DigestValue>
      </Reference>
      <Reference URI="/word/document.xml?ContentType=application/vnd.openxmlformats-officedocument.wordprocessingml.document.main+xml">
        <DigestMethod Algorithm="http://www.w3.org/2001/04/xmlenc#sha256"/>
        <DigestValue>lFRtden8xAt2Kr6J06IMD8+lq336oiFppL1NxPQhgYA=</DigestValue>
      </Reference>
      <Reference URI="/word/embeddings/Microsoft_Excel_Worksheet.xlsx?ContentType=application/vnd.openxmlformats-officedocument.spreadsheetml.sheet">
        <DigestMethod Algorithm="http://www.w3.org/2001/04/xmlenc#sha256"/>
        <DigestValue>Su+bPPoLiIGfP0MR4vUp4/7NpKZM8oVUod7PcF/mobI=</DigestValue>
      </Reference>
      <Reference URI="/word/endnotes.xml?ContentType=application/vnd.openxmlformats-officedocument.wordprocessingml.endnotes+xml">
        <DigestMethod Algorithm="http://www.w3.org/2001/04/xmlenc#sha256"/>
        <DigestValue>8t49EZZXSRLLZzdfFQxTOgapQEPWs3o/9NTMhHbWCho=</DigestValue>
      </Reference>
      <Reference URI="/word/fontTable.xml?ContentType=application/vnd.openxmlformats-officedocument.wordprocessingml.fontTable+xml">
        <DigestMethod Algorithm="http://www.w3.org/2001/04/xmlenc#sha256"/>
        <DigestValue>J2wkCYvS1d0XDaEOMSuOmQryFHE+1gkzhOlQG9dyTKQ=</DigestValue>
      </Reference>
      <Reference URI="/word/footer1.xml?ContentType=application/vnd.openxmlformats-officedocument.wordprocessingml.footer+xml">
        <DigestMethod Algorithm="http://www.w3.org/2001/04/xmlenc#sha256"/>
        <DigestValue>7sTRlZoIgME8VeUm+8c4wCcxjWWvn4OuLLkaAUQmt7Y=</DigestValue>
      </Reference>
      <Reference URI="/word/footer2.xml?ContentType=application/vnd.openxmlformats-officedocument.wordprocessingml.footer+xml">
        <DigestMethod Algorithm="http://www.w3.org/2001/04/xmlenc#sha256"/>
        <DigestValue>jUQ6hvRG1+RD8ZJX85ZEsBQW+FpDcR3bDgTVavIKLA8=</DigestValue>
      </Reference>
      <Reference URI="/word/footer3.xml?ContentType=application/vnd.openxmlformats-officedocument.wordprocessingml.footer+xml">
        <DigestMethod Algorithm="http://www.w3.org/2001/04/xmlenc#sha256"/>
        <DigestValue>nZgGP/w2Z+ZUszAf1otXj32UcBlkJss2erOoOKYpFYk=</DigestValue>
      </Reference>
      <Reference URI="/word/footnotes.xml?ContentType=application/vnd.openxmlformats-officedocument.wordprocessingml.footnotes+xml">
        <DigestMethod Algorithm="http://www.w3.org/2001/04/xmlenc#sha256"/>
        <DigestValue>eu8ubWhegEMPj5cZDvvyCrAqdMnb8IKHE6EXAbZuFNc=</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NtM0uVPANdmZKI882HHH/dcWe2bhXF7FG0LLqauokJQ=</DigestValue>
      </Reference>
      <Reference URI="/word/glossary/fontTable.xml?ContentType=application/vnd.openxmlformats-officedocument.wordprocessingml.fontTable+xml">
        <DigestMethod Algorithm="http://www.w3.org/2001/04/xmlenc#sha256"/>
        <DigestValue>bn4B/sgBxKzJMXHlJAdHt/IR+RWBCNCY8IBuoDqT/MA=</DigestValue>
      </Reference>
      <Reference URI="/word/glossary/settings.xml?ContentType=application/vnd.openxmlformats-officedocument.wordprocessingml.settings+xml">
        <DigestMethod Algorithm="http://www.w3.org/2001/04/xmlenc#sha256"/>
        <DigestValue>e4A0JCjEg+hg8feYYL2AetgHzH3g2w4+cQxQiGXJ9ds=</DigestValue>
      </Reference>
      <Reference URI="/word/glossary/styles.xml?ContentType=application/vnd.openxmlformats-officedocument.wordprocessingml.styles+xml">
        <DigestMethod Algorithm="http://www.w3.org/2001/04/xmlenc#sha256"/>
        <DigestValue>MNaWhXU2cG3Wy+X/nzQbeeAIA3PrqUf7lYWXyvGDfvQ=</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w2j6Qymx+1AS0UU8iwEjpZptij/5BUqxKVMb3+cdHPM=</DigestValue>
      </Reference>
      <Reference URI="/word/header2.xml?ContentType=application/vnd.openxmlformats-officedocument.wordprocessingml.header+xml">
        <DigestMethod Algorithm="http://www.w3.org/2001/04/xmlenc#sha256"/>
        <DigestValue>hPXxviKLSPKppzJ0PEPfAAufm8bQnzpPiCnTJRKHnvA=</DigestValue>
      </Reference>
      <Reference URI="/word/header3.xml?ContentType=application/vnd.openxmlformats-officedocument.wordprocessingml.header+xml">
        <DigestMethod Algorithm="http://www.w3.org/2001/04/xmlenc#sha256"/>
        <DigestValue>j4FkoL9PsAtCUCvaQUL2xdTAgDWCj+hBWZ2BlrUSvMk=</DigestValue>
      </Reference>
      <Reference URI="/word/media/image1.emf?ContentType=image/x-emf">
        <DigestMethod Algorithm="http://www.w3.org/2001/04/xmlenc#sha256"/>
        <DigestValue>9yG7ihsc2SwwQz7oP0sQrb7/7axAKhybQSoCYUBZe7g=</DigestValue>
      </Reference>
      <Reference URI="/word/media/image2.png?ContentType=image/png">
        <DigestMethod Algorithm="http://www.w3.org/2001/04/xmlenc#sha256"/>
        <DigestValue>8ow0IbLvIuBewu4WCsfpgILO/EmmHhLyHA30uNxvsQ8=</DigestValue>
      </Reference>
      <Reference URI="/word/media/image3.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8gZvkTQArdbg5eOeJmq/S4rCDAfOZyX16HAwbJ3LU50=</DigestValue>
      </Reference>
      <Reference URI="/word/settings.xml?ContentType=application/vnd.openxmlformats-officedocument.wordprocessingml.settings+xml">
        <DigestMethod Algorithm="http://www.w3.org/2001/04/xmlenc#sha256"/>
        <DigestValue>7NK6GaRrQyM8PzPXeq3QchPF25E4ty5hqHIaLMK3iDY=</DigestValue>
      </Reference>
      <Reference URI="/word/styles.xml?ContentType=application/vnd.openxmlformats-officedocument.wordprocessingml.styles+xml">
        <DigestMethod Algorithm="http://www.w3.org/2001/04/xmlenc#sha256"/>
        <DigestValue>DJSGs/48zT+Au6i8EKWDJcaDut88OG6WwhuCKYi2mnc=</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hJ+YMK17kLRqPk3yxMFOJR9l8oVOFql/lGwBhwkJIM8=</DigestValue>
      </Reference>
    </Manifest>
    <SignatureProperties>
      <SignatureProperty Id="idSignatureTime" Target="#idPackageSignature">
        <mdssi:SignatureTime xmlns:mdssi="http://schemas.openxmlformats.org/package/2006/digital-signature">
          <mdssi:Format>YYYY-MM-DDThh:mm:ssTZD</mdssi:Format>
          <mdssi:Value>2023-07-02T23:28:21Z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16.0.15601/23</OfficeVersion>
          <ApplicationVersion>16.0.15601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2023-07-02T23:28:21Z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9wbRwAH1ZXus5VYHPt5VuYZsyWTlEBzL1HTKnW1VFwQCBBUTMkMYDzIwMjMwNzAyMjMyODI5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cwMjIzMjgyOVowLwYJKoZIhvcNAQkEMSIEIAtSv2mxW62UKnSI9vFpI0yzXpJZbweEPI7RDxCZxGXIMDcGCyqGSIb3DQEJEAIvMSgwJjAkMCIEIDcrk3iY5iZu+N7/iFpVKDYeTZ9u7elabVQcL5d9tumpMA0GCSqGSIb3DQEBAQUABIIBAFTd9oYXYYW9ToqNWwbbfAcev1es1OL9Ah/Zc4DB6qAe4YTyHmzClh6gpONyRxic12uN3i/edNVi1KRkPSribXSNpijQHJjB2U9bz9A/aC6YdMc1hxn1+Mnz42/mJxKg6hnzK9PJ7wk97jxYecDFJk6t1eFXJybZkP0aQp61L5U/eWVYguzKpvdMnA32ysoPDVyAUhFzS0gh8vTgoPYHy7rdqGjUkAKoMIohcx+pBb+4/Jm2KgLwbDjcZlLyPFuZN67l6qy85H5zeeVfUE/z4r5jgHLLu2whda7hUsJGRRF+LUU+ZU3ZKBz5j4gyAvOybb/tzlqFAC2/cXv3Bf6ffw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wNjIyMTkyOTUzWhcNMjMwODIzMDc0OTUzWqBfMF0wHwYDVR0jBBgwFoAUsLvgCC5LE2jw0IBEA2ekP/8lY/YwEAYJKwYBBAGCNxUBBAMCAQAwCgYDVR0UBAMCATAwHAYJKwYBBAGCNxUEBA8XDTIzMDgyMjE5Mzk1M1owDQYJKoZIhvcNAQENBQADggIBALGco+DYt813Kp94010S0xLO5dBxgWctFfM5tkjhK0s6g73N2tSRCUwacDsj73fghG3woYloOYQhMeGE0Xwwi1XEGXjgg5EtCdcfVkCgozfCYiwmMwjBl8vIRpYi5DpS8FJBJqmaSRNziubXU2jHCe/DFEJ4aQEEGTdkGGLtmFqz24E1Z/HUv9kC+SMoAZVNHewDXAoUfNVEyKBapr3NBorWHPJhx/DDjFirHjxH/JvGCYsWa8YUGVIjcEt/bj1J2ci5px1EY86t8ZMzpNxXA7fI8PTrLkKm2GS7KNfvbtJULfX+PSr1kAVvnLAdKaDbNZ70/OIfBkvWG6dxf5hQXrn/PII7RiBeb1IFyfoM5FU0hhUZlQuEtUN9dXbOHDSsnMqgAX5lyhaYBoZGimbnAqzxNGeEXKiGTjopsO7L+i7mVHY9IMVRKrqz4P3oseMKMPNKx0kcJqju/wCTu4X3iu83R9IY5AGtcyQdgSOGas4JURaoYC22OIZ5NK7/wq9enqZRhAttVM07i1f1GrZRq/20Zkeze/Uao3ohPigSKsdyNeJcwh7JOkhMYAOQrhHTU5T0aAwbDLj7v3SDhr9ULdcH+CIVgG7/tBXL2DWY4N9sszaCILXVn8EJUvm2sNPh5I64JYMrAlcv/43AwVtnB28hKHa/pBAg09SVbn782VlN</xd:EncapsulatedCRLValue>
                <xd:EncapsulatedCRLValue>MIIDHjCCAQYCAQEwDQYJKoZIhvcNAQENBQAwczEZMBcGA1UEBRMQQ1BKLTItMTAwLTA5ODMxMTENMAsGA1UECxMERENGRDEPMA0GA1UEChMGTUlDSVRUMQswCQYDVQQGEwJDUjEpMCcGA1UEAxMgQ0EgUkFJWiBOQUNJT05BTCAtIENPU1RBIFJJQ0EgdjIXDTIzMDYyMjE5MDAwNFoXDTIzMTAyMzA3MjAwNFqgXzBdMB8GA1UdIwQYMBaAFODy/n3ERE5Q5DX9CImPToQZRDNAMBAGCSsGAQQBgjcVAQQDAgEAMAoGA1UdFAQDAgEcMBwGCSsGAQQBgjcVBAQPFw0yMzEwMjIxOTEwMDRaMA0GCSqGSIb3DQEBDQUAA4ICAQBBLHGphJ7yuwUPezbo5c9POjwaVVjFy/KTwzQA+I86UigdovlLnSX99blQ5OMmCWS4sbiITVjHQagGY1mcyIfIW/xM+Osg5WQubbwkcga3To9Mab6GUlhOLJeI6MiVPAK+INcL0rVfCiIaLQw2WAIvx44u+i9lFmJrxCW3x4kPr7UnR4OIBQeH7R3HgbsAOMwCqMnzEJihYjoRjPgKmuacD2phbAmbuzi+1Hyg74IqY5Eizh2l9ikNlx5IPEzSt6WNtouhPiATMCSYLgakuGc/f0sYrMOTlnPWkyAW3Ou/C4nOJGxyF4phtliEzPlzq/8na1N68U0rpksIM8eGQORz/leXTaRwWnFEa75FM5XwBC+Ko3ppw4CdcVk4xlF2E+P/NDjWTNB3oHZ1CmBXi9Ow+VKuSa30BFNc++7BGZRAAuHUwdpaRNE4cDBCYbg6YSdu0EGS4BjVVf8Nl1bI5inShC2GL3X/7US+TsPLCrUfcbEY4gspeNDA8RIDUWgA0oAM+asdL35DlQsHGsFxQPMHBlfgw3z+6oonOMV1XZQZzZkx+ca+fbZJaWNz57RS2kB585GwafWMX4CYOeusTMXYDe61dZKeVrhCRS/EhHx3eSnAHILy56FGkPcoQ0lWd3X0x03evvtsovmF5fNgpzICCXhe/qKQ8uFO+aR8AWDwU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HkafiSSZh9dBGdm4ZZ3fl8n0K8c=</xd:ByKey>
                  </xd:ResponderID>
                  <xd:ProducedAt>2023-07-02T22:20:56Z</xd:ProducedAt>
                </xd:OCSPIdentifier>
                <xd:DigestAlgAndValue>
                  <DigestMethod Algorithm="http://www.w3.org/2001/04/xmlenc#sha256"/>
                  <DigestValue>D10AwtoodVCzeKMGZBaSiZvoKgFeL6MjW1s5K8/AOjc=</DigestValue>
                </xd:DigestAlgAndValue>
              </xd:OCSPRef>
            </xd:OCSPRefs>
            <xd:CRLRefs>
              <xd:CRLRef>
                <xd:DigestAlgAndValue>
                  <DigestMethod Algorithm="http://www.w3.org/2001/04/xmlenc#sha256"/>
                  <DigestValue>t2iJ5pkOncZ8hE69Z96ysljW8rjcuaF/Vcei/cOKn5Q=</DigestValue>
                </xd:DigestAlgAndValue>
                <xd:CRLIdentifier>
                  <xd:Issuer>CN=CA POLITICA PERSONA FISICA - COSTA RICA v2, OU=DCFD, O=MICITT, C=CR, SERIALNUMBER=CPJ-2-100-098311</xd:Issuer>
                  <xd:IssueTime>2023-06-22T19:11:11Z</xd:IssueTime>
                </xd:CRLIdentifier>
              </xd:CRLRef>
              <xd:CRLRef>
                <xd:DigestAlgAndValue>
                  <DigestMethod Algorithm="http://www.w3.org/2001/04/xmlenc#sha256"/>
                  <DigestValue>V2vl64MB+tZbSCse9W4D/Wr+VcXzNV5vn92nODYtvJw=</DigestValue>
                </xd:DigestAlgAndValue>
                <xd:CRLIdentifier>
                  <xd:Issuer>CN=CA RAIZ NACIONAL - COSTA RICA v2, C=CR, O=MICITT, OU=DCFD, SERIALNUMBER=CPJ-2-100-098311</xd:Issuer>
                  <xd:IssueTime>2023-06-22T19:00:04Z</xd:IssueTime>
                </xd:CRLIdentifier>
              </xd:CRLRef>
            </xd:CRLRefs>
          </xd:CompleteRevocationRefs>
          <xd:RevocationValues>
            <xd:OCSPValues>
              <xd:EncapsulatedOCSPValue>MIIGlQoBAKCCBo4wggaKBgkrBgEFBQcwAQEEggZ7MIIGdzCBxaIWBBQeRp+JJJmH10EZ2bhlnd+XyfQrxxgPMjAyMzA3MDIyMjIwNTZaMIGZMIGWMEwwCQYFKw4DAhoFAAQUzgxHzN03kqP+e9oD7BphnZQwSGIEFF8FGEEQ3hUvOunAFqPnoWpS0TrsAhMUAAkNsyjmGpX5F7o0AAEACQ2zgAAYDzIwMjMwNzAyMTk0NzI0WqARGA8yMDIzMDcwNDA4MDcyNFqhIDAeMBwGCSsGAQQBgjcVBAQPFw0yMzA3MDMxOTU3MjRaMA0GCSqGSIb3DQEBCwUAA4IBAQAqD95RE/d7fIncX0vjKZuPYirLs9K1F37CwytfjI9mUTVtCXzCLy1Tsdx6MyBXjZE2kUniuiyUhEpFNEfg9jOE6AhpF2nW6ttpbiePIFsWnIloDIrt1Xhw3+N/MWNTlJ2MSyPG8juqP9fdgQ3jZp3y9rJze250ckT5x84Dc11M235IUe3vSGWWRt2LBa+9XXL2a7w9m4q6nAQbOaxFa9grbyvZkKgG11uGnXGOprCTiIqNGJukdl4pLkjz0bfdKDzhrUziASy5QaqbVCuGhNGr5QPawaDu09S2x+GKXuJ2/HyO1gX7BE8hwDqXKy6p2sWRTp494XCSHN/W2JuugJYaoIIElzCCBJMwggSPMIIDd6ADAgECAhMUABD18jjlZljsTfc3AAIAEPXyMA0GCSqGSIb3DQEBCwUAMIGZMRkwFwYDVQQFExBDUEotNC0wMDAtMDA0MDE3MQswCQYDVQQGEwJDUjEkMCIGA1UEChMbQkFOQ08gQ0VOVFJBTCBERSBDT1NUQSBSSUNBMSIwIAYDVQQLExlESVZJU0lPTiBTSVNURU1BUyBERSBQQUdPMSUwIwYDVQQDExxDQSBTSU5QRSAtIFBFUlNPTkEgRklTSUNBIHYyMB4XDTIzMDYzMDEyNDA1N1oXDTIzMDcxNDEyNDA1N1owHjEcMBoGA1UEAxMTU0ktQVBPQ1MtMTAxLmZkaS5jcjCCASIwDQYJKoZIhvcNAQEBBQADggEPADCCAQoCggEBAKqChZAhM/h8ngQf0nHfFXzUn5vdjdnQi0kd2pikdTQvgLnuU2f5GBbzffxi072Z4Dqlll9ZuQVAYof/7q9Iu/om4C9NW9oLxJOZwRr0K6Jax3tTeo8L/TjCYdLxHUKkOFXfxMGjymbIFpO+oTDSyMsj2aFmbwUK85atewDLBWtbTxDx2WmOFQQHmL+g3y17o626YoX/YrAwDz0mHuGGNsK6RmE+qHtKavS9J2M03xVDLTy14lGG8i9ZpENZAsO3dQ226aB3fWHbp7IUOVDMX0NwZiDM2r4ujkK3Ib3hSjWus3DUJ4jHvJovV74g1LfUhA6n4fB1r7NNBiW48or5h5kCAwEAAaOCAUgwggFEMD0GCSsGAQQBgjcVBwQwMC4GJisGAQQBgjcVCIXE6luC0eM1lZEbgvmXGIaly2uBf4P2/HeBuPEzAgFkAgEHMBMGA1UdJQQMMAoGCCsGAQUFBwMJMA4GA1UdDwEB/wQEAwIHgDAbBgkrBgEEAYI3FQoEDjAMMAoGCCsGAQUFBwMJMA8GCSsGAQUFBzABBQQCBQAwHwYDVR0jBBgwFoAUXwUYQRDeFS866cAWo+ehalLROuwwHQYDVR0OBBYEFB5Gn4kkmYfXQRnZuGWd35fJ9CvHMB4GA1UdEQQXMBWCE1NJLUFQT0NTLTEwMS5mZGkuY3IwUAYJKwYBBAGCNxkCBEMwQaA/BgorBgEEAYI3GQIBoDEEL1MtMS01LTIxLTMyMzk1NTA4NzgtNzUzNzk5NzM5LTE3NTY2MDE1MDMtMTA3MTMzMA0GCSqGSIb3DQEBCwUAA4IBAQDhQdK9EdLZTC7qDuC3yR0GyVR9/hrcEsfuLBPpnQgqQNLXhj+MmshanRgdYrwObqZ7SGFBrQyR3R5abU28NFcobva3Fmkoe0dCgpAuWMeMJCjZsOyxEYnQxv5GzOumv8VeqSkfP74wGdmFqxkZurHa1MHEZeoYCPxwp8HFe6zINjvwT81HbBpF1peDksXGN/JvqDON/sYbi+9g8g83vBQCP2Eavj41DroLePM0edD9oz9k7WpLYr5wJ78Zbu7Kkz3F7h4UgQPJ5TeJ0CLiZ4vkTibRErrD4uDgGQgrppZUGpUjw6R1YE+sBGwxTmnM9LdnBI+mRh+BR2Pu/p8c0q3v</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A2MjIxOTExMTFaFw0yMzA4MjMwNzMxMTFaoF8wXTAfBgNVHSMEGDAWgBRonWk2y4Rue+qTYRn/WDAd1f9cyzAQBgkrBgEEAYI3FQEEAwIBADAKBgNVHRQEAwIBMTAcBgkrBgEEAYI3FQQEDxcNMjMwODIyMTkyMTExWjANBgkqhkiG9w0BAQ0FAAOCAgEAZRmxlZu5xrg0z4npTDbo3A4rLqZaN7Bi0q3ZYTuEfU1Cq7I+kUnqma4rKlFcY2DaSM49DGI3q7IK4phxZMt6xVrtxOPuDuBCSliB9f+bgCxX7fqFCgDdEfdCKTOr1kHA/5WGQEwOMpwcMwpJUjplNtrFt+8DsO0BaTk1OrKfR9fFsyS8cbFgv1wwlA/03/ZK2ZeY1ELFtsSKbM+okVfV2YqWRGgK2ix+vdxsmAv1n6t5CG1c8KMmZcgjGPGD86QxEOuOmVQxbudhstEBYpxjPT1JjFK5IEpPCYYI2TSCU4CtvNbH6RyQX1333ut9jBPSN5FIhzRD5OBJCoSoMR8NJM369s8D6s3vQ175Z1UdXffzDa4hBv8R+4+J1E2FuUwNWXYp4GfPd5CRuYxirCLcO1JvX2BjXfM9okn9WoTr43oaS+POK6O4+jTo+YApfcOknyOA4ZWGZI4xnRf4j4H14C+j2oRuotCs41OYwnc8V5ErVRUbASGskeULeheJmmuseGaPTTYF2WyXmW4BorJ6ICCVFadWjn3rElu0yaYWGOJhLI5iWJFbP0GoLo/6/B7rwvMtEiaLBPxnGH5bNSuIEWhzR39OOo/aqNSI84HasGGE2HuHAqw08VCqBiuH991W95aHoVUDEmcyjr5STKMm7K5dv9Ge1ysG7WZWXCMpL+M=</xd:EncapsulatedCRLValue>
              <xd:EncapsulatedCRLValue>MIIDHjCCAQYCAQEwDQYJKoZIhvcNAQENBQAwczEZMBcGA1UEBRMQQ1BKLTItMTAwLTA5ODMxMTENMAsGA1UECxMERENGRDEPMA0GA1UEChMGTUlDSVRUMQswCQYDVQQGEwJDUjEpMCcGA1UEAxMgQ0EgUkFJWiBOQUNJT05BTCAtIENPU1RBIFJJQ0EgdjIXDTIzMDYyMjE5MDAwNFoXDTIzMTAyMzA3MjAwNFqgXzBdMB8GA1UdIwQYMBaAFODy/n3ERE5Q5DX9CImPToQZRDNAMBAGCSsGAQQBgjcVAQQDAgEAMAoGA1UdFAQDAgEcMBwGCSsGAQQBgjcVBAQPFw0yMzEwMjIxOTEwMDRaMA0GCSqGSIb3DQEBDQUAA4ICAQBBLHGphJ7yuwUPezbo5c9POjwaVVjFy/KTwzQA+I86UigdovlLnSX99blQ5OMmCWS4sbiITVjHQagGY1mcyIfIW/xM+Osg5WQubbwkcga3To9Mab6GUlhOLJeI6MiVPAK+INcL0rVfCiIaLQw2WAIvx44u+i9lFmJrxCW3x4kPr7UnR4OIBQeH7R3HgbsAOMwCqMnzEJihYjoRjPgKmuacD2phbAmbuzi+1Hyg74IqY5Eizh2l9ikNlx5IPEzSt6WNtouhPiATMCSYLgakuGc/f0sYrMOTlnPWkyAW3Ou/C4nOJGxyF4phtliEzPlzq/8na1N68U0rpksIM8eGQORz/leXTaRwWnFEa75FM5XwBC+Ko3ppw4CdcVk4xlF2E+P/NDjWTNB3oHZ1CmBXi9Ow+VKuSa30BFNc++7BGZRAAuHUwdpaRNE4cDBCYbg6YSdu0EGS4BjVVf8Nl1bI5inShC2GL3X/7US+TsPLCrUfcbEY4gspeNDA8RIDUWgA0oAM+asdL35DlQsHGsFxQPMHBlfgw3z+6oonOMV1XZQZzZkx+ca+fbZJaWNz57RS2kB585GwafWMX4CYOeusTMXYDe61dZKeVrhCRS/EhHx3eSnAHILy56FGkPcoQ0lWd3X0x03evvtsovmF5fNgpzICCXhe/qKQ8uFO+aR8AWDwU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lNpz8cSO9cgkhvN/JbG1Vp9HDv+bNmSSI3j81J4OfVsCBBUTMkQYDzIwMjMwNzAyMjMyODI5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cwMjIzMjgyOVowLwYJKoZIhvcNAQkEMSIEIEJSC66JexipYMbewvfNAA+RbuKBifwUIhaDznioQEliMDcGCyqGSIb3DQEJEAIvMSgwJjAkMCIEIDcrk3iY5iZu+N7/iFpVKDYeTZ9u7elabVQcL5d9tumpMA0GCSqGSIb3DQEBAQUABIIBAENQcEWVavieZimC+qakRmxOKL3jx09j0rKxp5qJXB8BVqi9nHpQQDqI1qa8eTBuKdqYIUNsWEWliUVNkW32A+/SIVys61kh+Mt8dA2SzeCfVH9JyU8B92wOkf5qR+XhZGq7JzHr4AzeFauGdBS60MLTyffaBpvM/GweeTe7ysF2Gn9ewX9EFG1NX0uFHqtbuVVpDvGCTHUTxMs9U+ztFiD8uLEDu041d8hNtpJi8jnPdkxva617a8lklivOQM0nw/aMpGwVbqFvRklszb8zoS5ajfxCL1IkcmtwE8AJrQwsMAuMQ6deTvPt5YFLLcepDiboPcKgYeiZ4umPTpRs7c8=</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31b4bb2-0db7-40b3-a341-fc1511e9642d" ContentTypeId="0x010100E97154E09FCE6A4E8EAEBD5C54DD1AE402"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Props1.xml><?xml version="1.0" encoding="utf-8"?>
<ds:datastoreItem xmlns:ds="http://schemas.openxmlformats.org/officeDocument/2006/customXml" ds:itemID="{4FEC1B93-3B99-43A3-BBEB-2DCFF3EFC589}"/>
</file>

<file path=customXml/itemProps2.xml><?xml version="1.0" encoding="utf-8"?>
<ds:datastoreItem xmlns:ds="http://schemas.openxmlformats.org/officeDocument/2006/customXml" ds:itemID="{74524BC5-8A98-4031-8ED5-E2D5F60B5814}"/>
</file>

<file path=customXml/itemProps3.xml><?xml version="1.0" encoding="utf-8"?>
<ds:datastoreItem xmlns:ds="http://schemas.openxmlformats.org/officeDocument/2006/customXml" ds:itemID="{660F2E0C-F1DA-407E-B531-B5504FDDC460}"/>
</file>

<file path=customXml/itemProps4.xml><?xml version="1.0" encoding="utf-8"?>
<ds:datastoreItem xmlns:ds="http://schemas.openxmlformats.org/officeDocument/2006/customXml" ds:itemID="{8977B656-F9C2-4EF3-ACC4-2E358574A4EB}"/>
</file>

<file path=customXml/itemProps5.xml><?xml version="1.0" encoding="utf-8"?>
<ds:datastoreItem xmlns:ds="http://schemas.openxmlformats.org/officeDocument/2006/customXml" ds:itemID="{0FDB955C-A54C-403C-8BEB-A28E4A9D9608}"/>
</file>

<file path=customXml/itemProps6.xml><?xml version="1.0" encoding="utf-8"?>
<ds:datastoreItem xmlns:ds="http://schemas.openxmlformats.org/officeDocument/2006/customXml" ds:itemID="{5CBBC6E9-777D-480E-8BCF-F602B73B7570}"/>
</file>

<file path=docProps/app.xml><?xml version="1.0" encoding="utf-8"?>
<Properties xmlns="http://schemas.openxmlformats.org/officeDocument/2006/extended-properties" xmlns:vt="http://schemas.openxmlformats.org/officeDocument/2006/docPropsVTypes">
  <Template>Plantilla-SGS-A.dotx</Template>
  <TotalTime>0</TotalTime>
  <Pages>4</Pages>
  <Words>979</Words>
  <Characters>5386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SGS-A-0095-2023</dc:title>
  <dc:creator/>
  <cp:lastModifiedBy/>
  <cp:revision>1</cp:revision>
  <dcterms:created xsi:type="dcterms:W3CDTF">2023-06-22T22:18:00Z</dcterms:created>
  <dcterms:modified xsi:type="dcterms:W3CDTF">2023-06-22T22:28:00Z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130;#Confidencial|d19c5cf3-f0e9-4d18-86d2-7bee4000e1ea</vt:lpwstr>
  </property>
  <property fmtid="{D5CDD505-2E9C-101B-9397-08002B2CF9AE}" pid="13" name="lb0b7da792b243d9bfa96ad7487ad734">
    <vt:lpwstr/>
  </property>
  <property fmtid="{D5CDD505-2E9C-101B-9397-08002B2CF9AE}" pid="14" name="MSIP_Label_b8b4be34-365a-4a68-b9fb-75c1b6874315_Enabled">
    <vt:lpwstr>true</vt:lpwstr>
  </property>
  <property fmtid="{D5CDD505-2E9C-101B-9397-08002B2CF9AE}" pid="15" name="MSIP_Label_b8b4be34-365a-4a68-b9fb-75c1b6874315_SetDate">
    <vt:lpwstr>2023-06-22T22:19:42Z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d481cbad-5176-4649-9029-0000a823ffdf</vt:lpwstr>
  </property>
  <property fmtid="{D5CDD505-2E9C-101B-9397-08002B2CF9AE}" pid="20" name="MSIP_Label_b8b4be34-365a-4a68-b9fb-75c1b6874315_ContentBits">
    <vt:lpwstr>2</vt:lpwstr>
  </property>
  <property fmtid="{D5CDD505-2E9C-101B-9397-08002B2CF9AE}" pid="21" name="Confidencialidad">
    <vt:lpwstr>1;#Público|99c2402f-8ec3-4ca8-8024-be52e4e7f629</vt:lpwstr>
  </property>
  <property fmtid="{D5CDD505-2E9C-101B-9397-08002B2CF9AE}" pid="22" name="WorkflowChangePath">
    <vt:lpwstr>a04ecaee-163e-4670-bddd-e0ee954511fc,5;1aa28896-1dd1-4078-8dfd-4097646820ff,8;</vt:lpwstr>
  </property>
  <property fmtid="{D5CDD505-2E9C-101B-9397-08002B2CF9AE}" pid="23" name="Order">
    <vt:r8>357600</vt:r8>
  </property>
  <property fmtid="{D5CDD505-2E9C-101B-9397-08002B2CF9AE}" pid="24" name="xd_Signature">
    <vt:bool>false</vt:bool>
  </property>
  <property fmtid="{D5CDD505-2E9C-101B-9397-08002B2CF9AE}" pid="25" name="xd_ProgID">
    <vt:lpwstr/>
  </property>
  <property fmtid="{D5CDD505-2E9C-101B-9397-08002B2CF9AE}" pid="26" name="DocumentSetDescription">
    <vt:lpwstr/>
  </property>
  <property fmtid="{D5CDD505-2E9C-101B-9397-08002B2CF9AE}" pid="27" name="_SourceUrl">
    <vt:lpwstr/>
  </property>
  <property fmtid="{D5CDD505-2E9C-101B-9397-08002B2CF9AE}" pid="28" name="_SharedFileIndex">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ies>
</file>