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EFFBE"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1645F86A"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1557AC90" w14:textId="77777777" w:rsidR="00B330AC" w:rsidRDefault="00B330AC" w:rsidP="009618C8">
      <w:pPr>
        <w:jc w:val="both"/>
        <w:rPr>
          <w:rFonts w:ascii="Cambria" w:hAnsi="Cambria"/>
          <w:color w:val="000000"/>
        </w:rPr>
      </w:pPr>
    </w:p>
    <w:p w14:paraId="5F83D0AD" w14:textId="77777777" w:rsidR="009618C8" w:rsidRDefault="009618C8" w:rsidP="009618C8">
      <w:pPr>
        <w:jc w:val="both"/>
        <w:rPr>
          <w:rFonts w:ascii="Cambria" w:hAnsi="Cambria"/>
          <w:color w:val="000000"/>
        </w:rPr>
      </w:pPr>
    </w:p>
    <w:p w14:paraId="5EE957CF" w14:textId="77777777" w:rsidR="009618C8" w:rsidRDefault="009618C8" w:rsidP="009618C8">
      <w:pPr>
        <w:jc w:val="both"/>
        <w:rPr>
          <w:rFonts w:asciiTheme="majorHAnsi" w:hAnsiTheme="majorHAnsi"/>
          <w:b/>
          <w:bCs/>
        </w:rPr>
      </w:pPr>
    </w:p>
    <w:p w14:paraId="38DA8DAC" w14:textId="77777777" w:rsidR="00B330AC" w:rsidRDefault="00B330AC" w:rsidP="00B330AC">
      <w:pPr>
        <w:jc w:val="center"/>
        <w:rPr>
          <w:rFonts w:asciiTheme="majorHAnsi" w:hAnsiTheme="majorHAnsi"/>
          <w:b/>
          <w:bCs/>
        </w:rPr>
      </w:pPr>
      <w:r>
        <w:rPr>
          <w:rFonts w:asciiTheme="majorHAnsi" w:hAnsiTheme="majorHAnsi"/>
          <w:b/>
          <w:bCs/>
        </w:rPr>
        <w:t>ACUERDO DE SUPERINTENDENTE</w:t>
      </w:r>
    </w:p>
    <w:sdt>
      <w:sdtPr>
        <w:rPr>
          <w:rFonts w:asciiTheme="majorHAnsi" w:hAnsiTheme="majorHAnsi"/>
          <w:b/>
          <w:bCs/>
          <w:i/>
          <w:iCs/>
        </w:rPr>
        <w:id w:val="-262232818"/>
        <w:placeholder>
          <w:docPart w:val="C1F0B79E766C4F45989402A0350C01A6"/>
        </w:placeholder>
      </w:sdtPr>
      <w:sdtEndPr/>
      <w:sdtContent>
        <w:sdt>
          <w:sdtPr>
            <w:rPr>
              <w:rFonts w:asciiTheme="majorHAnsi" w:hAnsiTheme="majorHAnsi"/>
              <w:b/>
              <w:bCs/>
              <w:i/>
              <w:iCs/>
            </w:rPr>
            <w:alias w:val="Consecutivo"/>
            <w:tag w:val="Consecutivo"/>
            <w:id w:val="361866280"/>
            <w:placeholder>
              <w:docPart w:val="C1F0B79E766C4F45989402A0350C01A6"/>
            </w:placeholder>
          </w:sdtPr>
          <w:sdtEndPr/>
          <w:sdtContent>
            <w:p w14:paraId="3379C16C" w14:textId="77777777" w:rsidR="00B330AC" w:rsidRPr="00086927" w:rsidRDefault="00B330AC" w:rsidP="00B330AC">
              <w:pPr>
                <w:jc w:val="center"/>
                <w:rPr>
                  <w:rFonts w:asciiTheme="majorHAnsi" w:hAnsiTheme="majorHAnsi"/>
                  <w:b/>
                  <w:bCs/>
                  <w:i/>
                  <w:iCs/>
                </w:rPr>
              </w:pPr>
              <w:r w:rsidRPr="00086927">
                <w:rPr>
                  <w:rFonts w:asciiTheme="majorHAnsi" w:hAnsiTheme="majorHAnsi"/>
                  <w:b/>
                  <w:bCs/>
                  <w:i/>
                  <w:iCs/>
                </w:rPr>
                <w:t>SGS-A-0091-2022</w:t>
              </w:r>
            </w:p>
          </w:sdtContent>
        </w:sdt>
      </w:sdtContent>
    </w:sdt>
    <w:p w14:paraId="041EC836" w14:textId="77777777" w:rsidR="003E5D78" w:rsidRDefault="003E5D78" w:rsidP="003E5D78">
      <w:pPr>
        <w:jc w:val="center"/>
        <w:rPr>
          <w:rFonts w:ascii="Cambria" w:hAnsi="Cambria"/>
          <w:b/>
          <w:bCs/>
          <w:sz w:val="28"/>
          <w:szCs w:val="28"/>
        </w:rPr>
      </w:pPr>
    </w:p>
    <w:p w14:paraId="6C5E9639" w14:textId="15E81949" w:rsidR="003E5D78" w:rsidRPr="008F7B65" w:rsidRDefault="003E5D78" w:rsidP="003E5D78">
      <w:pPr>
        <w:jc w:val="center"/>
        <w:rPr>
          <w:rFonts w:ascii="Cambria" w:hAnsi="Cambria"/>
          <w:b/>
          <w:bCs/>
          <w:i/>
          <w:iCs/>
        </w:rPr>
      </w:pPr>
      <w:r w:rsidRPr="008F7B65">
        <w:rPr>
          <w:rFonts w:ascii="Cambria" w:hAnsi="Cambria"/>
          <w:b/>
          <w:bCs/>
          <w:i/>
          <w:iCs/>
        </w:rPr>
        <w:t xml:space="preserve">Lineamientos diferenciados para las entidades supervisadas por SUGESE respecto al Reglamento para la prevención del riesgo de legitimación de capitales, financiamiento al terrorismo y financiamiento de la proliferación de armas de destrucción masiva, aplicable a los sujetos obligados por el artículo 14 de la Ley </w:t>
      </w:r>
      <w:r>
        <w:rPr>
          <w:rFonts w:ascii="Cambria" w:hAnsi="Cambria"/>
          <w:b/>
          <w:bCs/>
          <w:i/>
          <w:iCs/>
        </w:rPr>
        <w:t xml:space="preserve">N° </w:t>
      </w:r>
      <w:r w:rsidRPr="008F7B65">
        <w:rPr>
          <w:rFonts w:ascii="Cambria" w:hAnsi="Cambria"/>
          <w:b/>
          <w:bCs/>
          <w:i/>
          <w:iCs/>
        </w:rPr>
        <w:t>7786</w:t>
      </w:r>
    </w:p>
    <w:p w14:paraId="339F07E5" w14:textId="77777777" w:rsidR="003E5D78" w:rsidRDefault="003E5D78" w:rsidP="003E5D78">
      <w:pPr>
        <w:jc w:val="both"/>
        <w:rPr>
          <w:rFonts w:ascii="Cambria" w:hAnsi="Cambria"/>
        </w:rPr>
      </w:pPr>
    </w:p>
    <w:p w14:paraId="03B6041E" w14:textId="36FB0034" w:rsidR="003E5D78" w:rsidRPr="001E134D" w:rsidRDefault="003E5D78" w:rsidP="003E5D78">
      <w:pPr>
        <w:jc w:val="both"/>
        <w:rPr>
          <w:rFonts w:ascii="Cambria" w:hAnsi="Cambria"/>
        </w:rPr>
      </w:pPr>
      <w:r w:rsidRPr="001E134D">
        <w:rPr>
          <w:rFonts w:ascii="Cambria" w:hAnsi="Cambria"/>
        </w:rPr>
        <w:t xml:space="preserve">El Superintendente General de Seguros, a las </w:t>
      </w:r>
      <w:r>
        <w:rPr>
          <w:rFonts w:ascii="Cambria" w:hAnsi="Cambria"/>
        </w:rPr>
        <w:t>nueve</w:t>
      </w:r>
      <w:r w:rsidRPr="001E134D">
        <w:rPr>
          <w:rFonts w:ascii="Cambria" w:hAnsi="Cambria"/>
        </w:rPr>
        <w:t xml:space="preserve"> horas del </w:t>
      </w:r>
      <w:r>
        <w:rPr>
          <w:rFonts w:ascii="Cambria" w:hAnsi="Cambria"/>
        </w:rPr>
        <w:t>dos</w:t>
      </w:r>
      <w:r w:rsidRPr="001E134D">
        <w:rPr>
          <w:rFonts w:ascii="Cambria" w:hAnsi="Cambria"/>
        </w:rPr>
        <w:t xml:space="preserve"> de </w:t>
      </w:r>
      <w:r>
        <w:rPr>
          <w:rFonts w:ascii="Cambria" w:hAnsi="Cambria"/>
        </w:rPr>
        <w:t>noviembre</w:t>
      </w:r>
      <w:r w:rsidRPr="001E134D">
        <w:rPr>
          <w:rFonts w:ascii="Cambria" w:hAnsi="Cambria"/>
        </w:rPr>
        <w:t xml:space="preserve"> de dos mil veintidós.</w:t>
      </w:r>
    </w:p>
    <w:p w14:paraId="78C8ACAA" w14:textId="77777777" w:rsidR="003E5D78" w:rsidRPr="001E134D" w:rsidRDefault="003E5D78" w:rsidP="003E5D78">
      <w:pPr>
        <w:jc w:val="both"/>
        <w:rPr>
          <w:rFonts w:ascii="Cambria" w:hAnsi="Cambria"/>
        </w:rPr>
      </w:pPr>
    </w:p>
    <w:p w14:paraId="4594F7AF" w14:textId="56438A0E" w:rsidR="003E5D78" w:rsidRDefault="003E5D78" w:rsidP="003E5D78">
      <w:pPr>
        <w:jc w:val="center"/>
        <w:rPr>
          <w:rFonts w:ascii="Cambria" w:hAnsi="Cambria"/>
          <w:b/>
          <w:bCs/>
        </w:rPr>
      </w:pPr>
      <w:r w:rsidRPr="001E134D">
        <w:rPr>
          <w:rFonts w:ascii="Cambria" w:hAnsi="Cambria"/>
          <w:b/>
          <w:bCs/>
        </w:rPr>
        <w:t>CONSIDERANDO</w:t>
      </w:r>
    </w:p>
    <w:p w14:paraId="781419A4" w14:textId="77777777" w:rsidR="003E5D78" w:rsidRPr="001E134D" w:rsidRDefault="003E5D78" w:rsidP="003E5D78">
      <w:pPr>
        <w:jc w:val="center"/>
        <w:rPr>
          <w:rFonts w:ascii="Cambria" w:hAnsi="Cambria"/>
          <w:b/>
          <w:bCs/>
        </w:rPr>
      </w:pPr>
    </w:p>
    <w:p w14:paraId="7EEECD36" w14:textId="3628B19F" w:rsidR="003E5D78" w:rsidRDefault="003E5D78" w:rsidP="003E5D78">
      <w:pPr>
        <w:jc w:val="both"/>
        <w:rPr>
          <w:rFonts w:ascii="Cambria" w:hAnsi="Cambria"/>
        </w:rPr>
      </w:pPr>
      <w:r w:rsidRPr="001E134D">
        <w:rPr>
          <w:rFonts w:ascii="Cambria" w:hAnsi="Cambria"/>
          <w:b/>
          <w:bCs/>
        </w:rPr>
        <w:t>Primero</w:t>
      </w:r>
      <w:r w:rsidRPr="001E134D">
        <w:rPr>
          <w:rFonts w:ascii="Cambria" w:hAnsi="Cambria"/>
        </w:rPr>
        <w:t xml:space="preserve">. El Consejo Nacional de Supervisión del Sistema Financiero (CONASSIF), mediante artículos 7 y 6, de las actas de las sesiones 1637-2021 y 1638-2021, celebradas el 18 de enero de 2021, aprobó el </w:t>
      </w:r>
      <w:r w:rsidRPr="001E134D">
        <w:rPr>
          <w:rFonts w:ascii="Cambria" w:hAnsi="Cambria"/>
          <w:i/>
          <w:iCs/>
        </w:rPr>
        <w:t>Reglamento para la prevención del riesgo de legitimación de capitales, financiamiento al terrorismo y financiamiento de la proliferación de armas de destrucción masiva, aplicable a los sujetos obligados por el artículo 14 de la Ley 7786</w:t>
      </w:r>
      <w:r w:rsidRPr="001E134D">
        <w:rPr>
          <w:rFonts w:ascii="Cambria" w:hAnsi="Cambria"/>
        </w:rPr>
        <w:t xml:space="preserve"> (en adelante el Reglamento LC/FT/FPADM).  Producto de lo anterior corresponde hacer un análisis y revisión integral de varias normas relacionados con el tema, para valorar su pertinencia, en particular:  los </w:t>
      </w:r>
      <w:r>
        <w:rPr>
          <w:rFonts w:ascii="Cambria" w:hAnsi="Cambria"/>
        </w:rPr>
        <w:t>a</w:t>
      </w:r>
      <w:r w:rsidRPr="001E134D">
        <w:rPr>
          <w:rFonts w:ascii="Cambria" w:hAnsi="Cambria"/>
        </w:rPr>
        <w:t>cuerdos de superintendente SGS-A-0063-2018 y SGS-A-011-2011, las Circulares Externas SGS-CE-002-2009 y SGS-CE-011-2011 y el oficio SGS-DES-O-0951-2014.</w:t>
      </w:r>
    </w:p>
    <w:p w14:paraId="52330324" w14:textId="77777777" w:rsidR="003E5D78" w:rsidRPr="001E134D" w:rsidRDefault="003E5D78" w:rsidP="003E5D78">
      <w:pPr>
        <w:jc w:val="both"/>
        <w:rPr>
          <w:rFonts w:ascii="Cambria" w:hAnsi="Cambria"/>
          <w:b/>
          <w:bCs/>
        </w:rPr>
      </w:pPr>
    </w:p>
    <w:p w14:paraId="2A438C40" w14:textId="0A0C68E1" w:rsidR="003E5D78" w:rsidRDefault="003E5D78" w:rsidP="003E5D78">
      <w:pPr>
        <w:jc w:val="both"/>
        <w:rPr>
          <w:rFonts w:ascii="Cambria" w:hAnsi="Cambria"/>
        </w:rPr>
      </w:pPr>
      <w:r w:rsidRPr="001E134D">
        <w:rPr>
          <w:rFonts w:ascii="Cambria" w:hAnsi="Cambria"/>
          <w:b/>
          <w:bCs/>
        </w:rPr>
        <w:t>Segundo</w:t>
      </w:r>
      <w:r w:rsidRPr="001E134D">
        <w:rPr>
          <w:rFonts w:ascii="Cambria" w:hAnsi="Cambria"/>
        </w:rPr>
        <w:t>. El artículo 4 del Reglamento LC/FT/FPADM señala: “</w:t>
      </w:r>
      <w:r w:rsidRPr="001E134D">
        <w:rPr>
          <w:rFonts w:ascii="Cambria" w:hAnsi="Cambria"/>
          <w:i/>
          <w:iCs/>
        </w:rPr>
        <w:t>Las Superintendencias podrán dictar lineamientos para cada mercado regulado o producto financiero específico, de acuerdo con los riesgos de LC/FT/FPADM, estableciendo medidas de debida diligencia simplificada o reforzada, que busquen atender el objetivo regulatorio que el reglamento pretende. Una vez adoptado cualquier lineamiento o directriz diferenciada, la Superintendencia respectiva lo remitirá inmediatamente al resto de Superintendencias y al CONASSIF</w:t>
      </w:r>
      <w:r w:rsidRPr="001E134D">
        <w:rPr>
          <w:rFonts w:ascii="Cambria" w:hAnsi="Cambria"/>
        </w:rPr>
        <w:t xml:space="preserve">. (…)” </w:t>
      </w:r>
    </w:p>
    <w:p w14:paraId="19202954" w14:textId="77777777" w:rsidR="003E5D78" w:rsidRPr="001E134D" w:rsidRDefault="003E5D78" w:rsidP="003E5D78">
      <w:pPr>
        <w:jc w:val="both"/>
        <w:rPr>
          <w:rFonts w:ascii="Cambria" w:hAnsi="Cambria"/>
          <w:b/>
          <w:bCs/>
        </w:rPr>
      </w:pPr>
    </w:p>
    <w:p w14:paraId="7C6841FF" w14:textId="01DE27BA" w:rsidR="003E5D78" w:rsidRDefault="003E5D78" w:rsidP="003E5D78">
      <w:pPr>
        <w:jc w:val="both"/>
        <w:rPr>
          <w:rFonts w:ascii="Cambria" w:hAnsi="Cambria"/>
        </w:rPr>
      </w:pPr>
      <w:r w:rsidRPr="001E134D">
        <w:rPr>
          <w:rFonts w:ascii="Cambria" w:hAnsi="Cambria"/>
          <w:b/>
          <w:bCs/>
        </w:rPr>
        <w:t>Tercero</w:t>
      </w:r>
      <w:r w:rsidRPr="001E134D">
        <w:rPr>
          <w:rFonts w:ascii="Cambria" w:hAnsi="Cambria"/>
        </w:rPr>
        <w:t xml:space="preserve">. El </w:t>
      </w:r>
      <w:r w:rsidRPr="001E134D">
        <w:rPr>
          <w:rFonts w:ascii="Cambria" w:hAnsi="Cambria"/>
          <w:i/>
          <w:iCs/>
        </w:rPr>
        <w:t>Documento Estándares Internacionales sobre la Lucha Contra el Lavado de Activos y el Financiamiento del Terrorismo y la Proliferación</w:t>
      </w:r>
      <w:r w:rsidRPr="001E134D">
        <w:rPr>
          <w:rFonts w:ascii="Cambria" w:hAnsi="Cambria"/>
        </w:rPr>
        <w:t xml:space="preserve">, </w:t>
      </w:r>
      <w:r w:rsidRPr="001E134D">
        <w:rPr>
          <w:rFonts w:ascii="Cambria" w:hAnsi="Cambria"/>
          <w:i/>
          <w:iCs/>
        </w:rPr>
        <w:t>Las Recomendaciones del Grupo de Acción Financiera Internacional</w:t>
      </w:r>
      <w:r w:rsidRPr="001E134D">
        <w:rPr>
          <w:rFonts w:ascii="Cambria" w:hAnsi="Cambria"/>
        </w:rPr>
        <w:t xml:space="preserve"> (GAFI), de febrero de 2012, en el apartado D.10, establece las actividades comprendidas en las medidas de debida diligencia en el cliente (DDC) normales indicando:</w:t>
      </w:r>
    </w:p>
    <w:p w14:paraId="42A6C47D" w14:textId="77777777" w:rsidR="003E5D78" w:rsidRPr="001E134D" w:rsidRDefault="003E5D78" w:rsidP="003E5D78">
      <w:pPr>
        <w:jc w:val="both"/>
        <w:rPr>
          <w:rFonts w:ascii="Cambria" w:hAnsi="Cambria"/>
        </w:rPr>
      </w:pPr>
    </w:p>
    <w:p w14:paraId="46B8D02B" w14:textId="21C23CB7" w:rsidR="003E5D78" w:rsidRDefault="003E5D78" w:rsidP="003E5D78">
      <w:pPr>
        <w:jc w:val="both"/>
        <w:rPr>
          <w:rFonts w:ascii="Cambria" w:hAnsi="Cambria"/>
          <w:i/>
          <w:iCs/>
        </w:rPr>
      </w:pPr>
      <w:r w:rsidRPr="001E134D">
        <w:rPr>
          <w:rFonts w:ascii="Cambria" w:hAnsi="Cambria"/>
          <w:i/>
          <w:iCs/>
        </w:rPr>
        <w:lastRenderedPageBreak/>
        <w:t xml:space="preserve">“Las medidas de DDC a tomar son las siguientes: </w:t>
      </w:r>
    </w:p>
    <w:p w14:paraId="339FF5D9" w14:textId="77777777" w:rsidR="003E5D78" w:rsidRPr="001E134D" w:rsidRDefault="003E5D78" w:rsidP="003E5D78">
      <w:pPr>
        <w:jc w:val="both"/>
        <w:rPr>
          <w:rFonts w:ascii="Cambria" w:hAnsi="Cambria"/>
          <w:i/>
          <w:iCs/>
        </w:rPr>
      </w:pPr>
    </w:p>
    <w:p w14:paraId="3B16D744" w14:textId="72EC9A26" w:rsidR="003E5D78" w:rsidRPr="003E5D78" w:rsidRDefault="003E5D78" w:rsidP="003E5D78">
      <w:pPr>
        <w:pStyle w:val="Prrafodelista"/>
        <w:numPr>
          <w:ilvl w:val="0"/>
          <w:numId w:val="1"/>
        </w:numPr>
        <w:jc w:val="both"/>
        <w:rPr>
          <w:rFonts w:ascii="Cambria" w:hAnsi="Cambria"/>
          <w:i/>
          <w:iCs/>
        </w:rPr>
      </w:pPr>
      <w:r w:rsidRPr="003E5D78">
        <w:rPr>
          <w:rFonts w:ascii="Cambria" w:hAnsi="Cambria"/>
          <w:i/>
          <w:iCs/>
        </w:rPr>
        <w:t xml:space="preserve">Identificar al cliente y verificar la identidad del cliente utilizando documentos, datos o información confiable, de fuentes independientes. </w:t>
      </w:r>
    </w:p>
    <w:p w14:paraId="20B24ACF" w14:textId="77777777" w:rsidR="003E5D78" w:rsidRPr="003E5D78" w:rsidRDefault="003E5D78" w:rsidP="003E5D78">
      <w:pPr>
        <w:ind w:left="360"/>
        <w:jc w:val="both"/>
        <w:rPr>
          <w:rFonts w:ascii="Cambria" w:hAnsi="Cambria"/>
          <w:i/>
          <w:iCs/>
        </w:rPr>
      </w:pPr>
    </w:p>
    <w:p w14:paraId="764D16C7" w14:textId="73E2ACB8" w:rsidR="003E5D78" w:rsidRPr="003E5D78" w:rsidRDefault="003E5D78" w:rsidP="003E5D78">
      <w:pPr>
        <w:pStyle w:val="Prrafodelista"/>
        <w:numPr>
          <w:ilvl w:val="0"/>
          <w:numId w:val="1"/>
        </w:numPr>
        <w:jc w:val="both"/>
        <w:rPr>
          <w:rFonts w:ascii="Cambria" w:hAnsi="Cambria"/>
          <w:i/>
          <w:iCs/>
        </w:rPr>
      </w:pPr>
      <w:r w:rsidRPr="003E5D78">
        <w:rPr>
          <w:rFonts w:ascii="Cambria" w:hAnsi="Cambria"/>
          <w:i/>
          <w:iCs/>
        </w:rPr>
        <w:t xml:space="preserve">Identificar al beneficiario final y tomar medidas razonables para verificar la identidad del beneficiario final, de manera tal que la institución financiera esté convencida de que conoce quién es el beneficiario final. Para las personas jurídicas y otras estructuras jurídicas, esto debe incluir que las instituciones financieras entiendan la estructura de titularidad y de control del cliente. </w:t>
      </w:r>
    </w:p>
    <w:p w14:paraId="68C8A158" w14:textId="77777777" w:rsidR="003E5D78" w:rsidRPr="003E5D78" w:rsidRDefault="003E5D78" w:rsidP="003E5D78">
      <w:pPr>
        <w:ind w:left="360"/>
        <w:jc w:val="both"/>
        <w:rPr>
          <w:rFonts w:ascii="Cambria" w:hAnsi="Cambria"/>
          <w:i/>
          <w:iCs/>
        </w:rPr>
      </w:pPr>
    </w:p>
    <w:p w14:paraId="066FD0A6" w14:textId="7D731A59" w:rsidR="003E5D78" w:rsidRPr="003E5D78" w:rsidRDefault="003E5D78" w:rsidP="003E5D78">
      <w:pPr>
        <w:pStyle w:val="Prrafodelista"/>
        <w:numPr>
          <w:ilvl w:val="0"/>
          <w:numId w:val="1"/>
        </w:numPr>
        <w:jc w:val="both"/>
        <w:rPr>
          <w:rFonts w:ascii="Cambria" w:hAnsi="Cambria"/>
          <w:i/>
          <w:iCs/>
        </w:rPr>
      </w:pPr>
      <w:r w:rsidRPr="003E5D78">
        <w:rPr>
          <w:rFonts w:ascii="Cambria" w:hAnsi="Cambria"/>
          <w:i/>
          <w:iCs/>
        </w:rPr>
        <w:t xml:space="preserve">Entender, y cuando corresponda, obtener información sobre el propósito y el carácter que se pretende dar a la relación comercial. </w:t>
      </w:r>
    </w:p>
    <w:p w14:paraId="63D6386C" w14:textId="77777777" w:rsidR="003E5D78" w:rsidRPr="003E5D78" w:rsidRDefault="003E5D78" w:rsidP="003E5D78">
      <w:pPr>
        <w:pStyle w:val="Prrafodelista"/>
        <w:rPr>
          <w:rFonts w:ascii="Cambria" w:hAnsi="Cambria"/>
          <w:i/>
          <w:iCs/>
        </w:rPr>
      </w:pPr>
    </w:p>
    <w:p w14:paraId="56184DF2" w14:textId="77777777" w:rsidR="003E5D78" w:rsidRPr="003E5D78" w:rsidRDefault="003E5D78" w:rsidP="003E5D78">
      <w:pPr>
        <w:ind w:left="360"/>
        <w:jc w:val="both"/>
        <w:rPr>
          <w:rFonts w:ascii="Cambria" w:hAnsi="Cambria"/>
          <w:i/>
          <w:iCs/>
        </w:rPr>
      </w:pPr>
    </w:p>
    <w:p w14:paraId="0AA429A1" w14:textId="095F4857" w:rsidR="003E5D78" w:rsidRPr="003E5D78" w:rsidRDefault="003E5D78" w:rsidP="003E5D78">
      <w:pPr>
        <w:pStyle w:val="Prrafodelista"/>
        <w:numPr>
          <w:ilvl w:val="0"/>
          <w:numId w:val="1"/>
        </w:numPr>
        <w:jc w:val="both"/>
        <w:rPr>
          <w:rFonts w:ascii="Cambria" w:hAnsi="Cambria"/>
          <w:i/>
          <w:iCs/>
        </w:rPr>
      </w:pPr>
      <w:r w:rsidRPr="003E5D78">
        <w:rPr>
          <w:rFonts w:ascii="Cambria" w:hAnsi="Cambria"/>
          <w:i/>
          <w:iCs/>
        </w:rPr>
        <w:t>Realizar una debida diligencia continua de la relación comercial y examinar las transacciones llevadas a cabo a lo largo de esa relación para asegurar que las transacciones que se realicen sean consistentes con el conocimiento que tiene la institución sobre el cliente, su actividad comercial y el perfil de riesgo, incluyendo, cuando sea necesario, la fuente de los fondos.”</w:t>
      </w:r>
    </w:p>
    <w:p w14:paraId="01AA9D40" w14:textId="77777777" w:rsidR="003E5D78" w:rsidRPr="003E5D78" w:rsidRDefault="003E5D78" w:rsidP="003E5D78">
      <w:pPr>
        <w:ind w:left="360"/>
        <w:jc w:val="both"/>
        <w:rPr>
          <w:rFonts w:ascii="Cambria" w:hAnsi="Cambria"/>
          <w:i/>
          <w:iCs/>
        </w:rPr>
      </w:pPr>
    </w:p>
    <w:p w14:paraId="56DDB73D" w14:textId="395D4CB7" w:rsidR="003E5D78" w:rsidRDefault="003E5D78" w:rsidP="003E5D78">
      <w:pPr>
        <w:jc w:val="both"/>
        <w:rPr>
          <w:rFonts w:ascii="Cambria" w:hAnsi="Cambria"/>
        </w:rPr>
      </w:pPr>
      <w:r w:rsidRPr="001E134D">
        <w:rPr>
          <w:rFonts w:ascii="Cambria" w:hAnsi="Cambria"/>
          <w:b/>
          <w:bCs/>
        </w:rPr>
        <w:t>Cuarto</w:t>
      </w:r>
      <w:r w:rsidRPr="001E134D">
        <w:rPr>
          <w:rFonts w:ascii="Cambria" w:hAnsi="Cambria"/>
        </w:rPr>
        <w:t>. El artículo 3 del Reglamento LC/FT/FPADM, define los conceptos de diligencia reforzada y diligencia simplificada de la siguiente forma:</w:t>
      </w:r>
    </w:p>
    <w:p w14:paraId="4B54E7DD" w14:textId="77777777" w:rsidR="003E5D78" w:rsidRPr="001E134D" w:rsidRDefault="003E5D78" w:rsidP="003E5D78">
      <w:pPr>
        <w:jc w:val="both"/>
        <w:rPr>
          <w:rFonts w:ascii="Cambria" w:hAnsi="Cambria"/>
        </w:rPr>
      </w:pPr>
    </w:p>
    <w:p w14:paraId="12CB9061" w14:textId="77777777" w:rsidR="003E5D78" w:rsidRPr="001E134D" w:rsidRDefault="003E5D78" w:rsidP="003E5D78">
      <w:pPr>
        <w:jc w:val="both"/>
        <w:rPr>
          <w:rFonts w:ascii="Cambria" w:hAnsi="Cambria"/>
          <w:i/>
          <w:iCs/>
        </w:rPr>
      </w:pPr>
      <w:r w:rsidRPr="001E134D">
        <w:rPr>
          <w:rFonts w:ascii="Cambria" w:hAnsi="Cambria"/>
          <w:i/>
          <w:iCs/>
        </w:rPr>
        <w:t>“(…)</w:t>
      </w:r>
    </w:p>
    <w:p w14:paraId="266E9E53" w14:textId="77777777" w:rsidR="003E5D78" w:rsidRPr="001E134D" w:rsidRDefault="003E5D78" w:rsidP="003E5D78">
      <w:pPr>
        <w:jc w:val="both"/>
        <w:rPr>
          <w:rFonts w:ascii="Cambria" w:hAnsi="Cambria"/>
          <w:i/>
          <w:iCs/>
        </w:rPr>
      </w:pPr>
      <w:r w:rsidRPr="001E134D">
        <w:rPr>
          <w:rFonts w:ascii="Cambria" w:hAnsi="Cambria"/>
          <w:i/>
          <w:iCs/>
        </w:rPr>
        <w:t>i) Diligencia reforzada: son las políticas y procedimientos adicionales a las medidas de diligencia debida que los sujetos obligados aplicarán a todos aquellos clientes que, por presentar un riesgo alto, o en función de su análisis de riesgo, se detecten situaciones que puedan presentar un mayor riesgo de LC/FT/FPADM.</w:t>
      </w:r>
    </w:p>
    <w:p w14:paraId="7CBC9BC2" w14:textId="77777777" w:rsidR="003E5D78" w:rsidRPr="001E134D" w:rsidRDefault="003E5D78" w:rsidP="003E5D78">
      <w:pPr>
        <w:jc w:val="both"/>
        <w:rPr>
          <w:rFonts w:ascii="Cambria" w:hAnsi="Cambria"/>
          <w:b/>
          <w:bCs/>
        </w:rPr>
      </w:pPr>
      <w:r w:rsidRPr="001E134D">
        <w:rPr>
          <w:rFonts w:ascii="Cambria" w:hAnsi="Cambria"/>
          <w:i/>
          <w:iCs/>
        </w:rPr>
        <w:t>j) Diligencia simplificada: son las políticas y procedimientos disminuidos de diligencia debida que el sujeto obligado debe aplicar a todos aquellos clientes que, por presentar un riesgo bajo, o en función de su análisis de riesgo, se determinen situaciones que puedan presentar un riesgo bajo de LC/FT/FPADM. (…)”</w:t>
      </w:r>
    </w:p>
    <w:p w14:paraId="00E5A0AB" w14:textId="77777777" w:rsidR="003E5D78" w:rsidRDefault="003E5D78" w:rsidP="003E5D78">
      <w:pPr>
        <w:jc w:val="both"/>
        <w:rPr>
          <w:rFonts w:ascii="Cambria" w:hAnsi="Cambria"/>
          <w:b/>
          <w:bCs/>
        </w:rPr>
      </w:pPr>
    </w:p>
    <w:p w14:paraId="6AB057DC" w14:textId="134FEBE5" w:rsidR="003E5D78" w:rsidRDefault="003E5D78" w:rsidP="003E5D78">
      <w:pPr>
        <w:jc w:val="both"/>
        <w:rPr>
          <w:rFonts w:ascii="Cambria" w:hAnsi="Cambria"/>
        </w:rPr>
      </w:pPr>
      <w:r w:rsidRPr="001E134D">
        <w:rPr>
          <w:rFonts w:ascii="Cambria" w:hAnsi="Cambria"/>
          <w:b/>
          <w:bCs/>
        </w:rPr>
        <w:t>Quinto</w:t>
      </w:r>
      <w:r w:rsidRPr="001E134D">
        <w:rPr>
          <w:rFonts w:ascii="Cambria" w:hAnsi="Cambria"/>
        </w:rPr>
        <w:t xml:space="preserve">. La ley N° 8622, del 21 de noviembre de 2007 y publicada en el Alcance N° 40 de la Gaceta N° 246 del 21 de diciembre de 2007, aprobó el </w:t>
      </w:r>
      <w:r w:rsidRPr="001E134D">
        <w:rPr>
          <w:rFonts w:ascii="Cambria" w:hAnsi="Cambria"/>
          <w:i/>
          <w:iCs/>
        </w:rPr>
        <w:t>Tratado de Libre Comercio con Estados Unidos, Centroamérica y República Dominicana (CAFTA-DR)</w:t>
      </w:r>
      <w:r w:rsidRPr="001E134D">
        <w:rPr>
          <w:rFonts w:ascii="Cambria" w:hAnsi="Cambria"/>
        </w:rPr>
        <w:t xml:space="preserve"> que entró en vigor el 1 de enero de 2009. Dicho tratado estableció en el capítulo 12-Servicios Financieros, Anexo 12.9.2., Sección H. Compromisos Específicos de Costa Rica en Materia de Servicios de Seguros, </w:t>
      </w:r>
      <w:r w:rsidRPr="001E134D">
        <w:rPr>
          <w:rFonts w:ascii="Cambria" w:hAnsi="Cambria"/>
        </w:rPr>
        <w:lastRenderedPageBreak/>
        <w:t>apartado II,  que el país se comprometía a establecer una autoridad reguladora de seguros, con los poderes adecuados, protección legal y recursos financieros para ejercer sus funciones y poderes, también se comprometió a que la autoridad reguladora actuara de manera consistente con los principios fundamentales de la Asociación Internacional de Supervisores de Seguros (IAIS por sus siglas en inglés).</w:t>
      </w:r>
    </w:p>
    <w:p w14:paraId="7C19652A" w14:textId="77777777" w:rsidR="003E5D78" w:rsidRPr="001E134D" w:rsidRDefault="003E5D78" w:rsidP="003E5D78">
      <w:pPr>
        <w:jc w:val="both"/>
        <w:rPr>
          <w:rFonts w:ascii="Cambria" w:hAnsi="Cambria"/>
          <w:b/>
          <w:bCs/>
        </w:rPr>
      </w:pPr>
    </w:p>
    <w:p w14:paraId="0A2792D4" w14:textId="754AE634" w:rsidR="003E5D78" w:rsidRDefault="003E5D78" w:rsidP="003E5D78">
      <w:pPr>
        <w:jc w:val="both"/>
        <w:rPr>
          <w:rFonts w:ascii="Cambria" w:hAnsi="Cambria"/>
          <w:i/>
          <w:iCs/>
        </w:rPr>
      </w:pPr>
      <w:r w:rsidRPr="001E134D">
        <w:rPr>
          <w:rFonts w:ascii="Cambria" w:hAnsi="Cambria"/>
          <w:b/>
          <w:bCs/>
        </w:rPr>
        <w:t>Sexto</w:t>
      </w:r>
      <w:r w:rsidRPr="001E134D">
        <w:rPr>
          <w:rFonts w:ascii="Cambria" w:hAnsi="Cambria"/>
        </w:rPr>
        <w:t xml:space="preserve">.  La Ley 8653, </w:t>
      </w:r>
      <w:r w:rsidRPr="001E134D">
        <w:rPr>
          <w:rFonts w:ascii="Cambria" w:hAnsi="Cambria"/>
          <w:i/>
          <w:iCs/>
        </w:rPr>
        <w:t>Ley Regulado del Mercado de Seguros</w:t>
      </w:r>
      <w:r w:rsidRPr="001E134D">
        <w:rPr>
          <w:rFonts w:ascii="Cambria" w:hAnsi="Cambria"/>
        </w:rPr>
        <w:t xml:space="preserve">, crea la Superintendencia General de Seguros para velar por la estabilidad y el eficiente funcionamiento del mercado de seguros, para lo cual, de conformidad con el artículo 29 de dicha ley, </w:t>
      </w:r>
      <w:r w:rsidRPr="001E134D">
        <w:rPr>
          <w:rFonts w:ascii="Cambria" w:hAnsi="Cambria"/>
          <w:i/>
          <w:iCs/>
        </w:rPr>
        <w:t>“autorizará, regulará y supervisará a las personas físicas o jurídicas, que intervengan en los actos o contras relacionado con la actividad relacionadas con la actividad aseguradora, reasegurador, la oferta pública y la realización de negocios de seguros”.</w:t>
      </w:r>
    </w:p>
    <w:p w14:paraId="556E5319" w14:textId="77777777" w:rsidR="003E5D78" w:rsidRPr="001E134D" w:rsidRDefault="003E5D78" w:rsidP="003E5D78">
      <w:pPr>
        <w:jc w:val="both"/>
        <w:rPr>
          <w:rFonts w:ascii="Cambria" w:hAnsi="Cambria"/>
          <w:b/>
          <w:bCs/>
        </w:rPr>
      </w:pPr>
    </w:p>
    <w:p w14:paraId="2B3884D1" w14:textId="77777777" w:rsidR="003E5D78" w:rsidRPr="001E134D" w:rsidRDefault="003E5D78" w:rsidP="003E5D78">
      <w:pPr>
        <w:jc w:val="both"/>
        <w:rPr>
          <w:rFonts w:ascii="Cambria" w:hAnsi="Cambria"/>
        </w:rPr>
      </w:pPr>
      <w:r w:rsidRPr="001E134D">
        <w:rPr>
          <w:rFonts w:ascii="Cambria" w:hAnsi="Cambria"/>
          <w:b/>
          <w:bCs/>
        </w:rPr>
        <w:t xml:space="preserve">Sétimo. </w:t>
      </w:r>
      <w:r w:rsidRPr="001E134D">
        <w:rPr>
          <w:rFonts w:ascii="Cambria" w:hAnsi="Cambria"/>
        </w:rPr>
        <w:t xml:space="preserve"> El principio básico de seguros 22 (ICP 22) de IAIS dispone, en lo que interesa: </w:t>
      </w:r>
    </w:p>
    <w:p w14:paraId="324C0970" w14:textId="77777777" w:rsidR="003E5D78" w:rsidRPr="001E134D" w:rsidRDefault="003E5D78" w:rsidP="003E5D78">
      <w:pPr>
        <w:jc w:val="both"/>
        <w:rPr>
          <w:rFonts w:ascii="Cambria" w:hAnsi="Cambria"/>
        </w:rPr>
      </w:pPr>
    </w:p>
    <w:p w14:paraId="2A12DA6A" w14:textId="77777777" w:rsidR="003E5D78" w:rsidRPr="001E134D" w:rsidRDefault="003E5D78" w:rsidP="003E5D78">
      <w:pPr>
        <w:jc w:val="both"/>
        <w:rPr>
          <w:rFonts w:ascii="Cambria" w:hAnsi="Cambria"/>
          <w:b/>
          <w:bCs/>
        </w:rPr>
      </w:pPr>
      <w:r w:rsidRPr="001E134D">
        <w:rPr>
          <w:rFonts w:ascii="Cambria" w:hAnsi="Cambria"/>
          <w:i/>
          <w:iCs/>
        </w:rPr>
        <w:t>“PBS 22 Prevención del lavado de dinero y del financiamiento al terrorismo.” “El supervisor requiere que las aseguradoras e intermediarias tomen medidas efectivas a fin de combatir el lavado de dinero y el financiamiento del terrorismo. A su vez, el supervisor toma medidas efectivas a fin de combatir el lavado de dinero y el financiamiento del terrorismo.”</w:t>
      </w:r>
    </w:p>
    <w:p w14:paraId="409C2AFC" w14:textId="77777777" w:rsidR="003E5D78" w:rsidRDefault="003E5D78" w:rsidP="003E5D78">
      <w:pPr>
        <w:jc w:val="both"/>
        <w:rPr>
          <w:rFonts w:ascii="Cambria" w:hAnsi="Cambria"/>
          <w:b/>
          <w:bCs/>
        </w:rPr>
      </w:pPr>
    </w:p>
    <w:p w14:paraId="3051EE59" w14:textId="04515E52" w:rsidR="003E5D78" w:rsidRPr="001E134D" w:rsidRDefault="003E5D78" w:rsidP="003E5D78">
      <w:pPr>
        <w:jc w:val="both"/>
        <w:rPr>
          <w:rFonts w:ascii="Cambria" w:hAnsi="Cambria"/>
          <w:b/>
          <w:bCs/>
        </w:rPr>
      </w:pPr>
      <w:r w:rsidRPr="001E134D">
        <w:rPr>
          <w:rFonts w:ascii="Cambria" w:hAnsi="Cambria"/>
          <w:b/>
          <w:bCs/>
        </w:rPr>
        <w:t>Octavo</w:t>
      </w:r>
      <w:r w:rsidRPr="001E134D">
        <w:rPr>
          <w:rFonts w:ascii="Cambria" w:hAnsi="Cambria"/>
        </w:rPr>
        <w:t xml:space="preserve">. Tanto el </w:t>
      </w:r>
      <w:r w:rsidRPr="001E134D">
        <w:rPr>
          <w:rFonts w:ascii="Cambria" w:hAnsi="Cambria"/>
          <w:i/>
          <w:iCs/>
        </w:rPr>
        <w:t>Documento Estándares Internacionales sobre la Lucha Contra el Lavado de Activos y el Financiamiento del Terrorismo y la Proliferación</w:t>
      </w:r>
      <w:r w:rsidRPr="001E134D">
        <w:rPr>
          <w:rFonts w:ascii="Cambria" w:hAnsi="Cambria"/>
        </w:rPr>
        <w:t xml:space="preserve">, </w:t>
      </w:r>
      <w:r w:rsidRPr="001E134D">
        <w:rPr>
          <w:rFonts w:ascii="Cambria" w:hAnsi="Cambria"/>
          <w:i/>
          <w:iCs/>
        </w:rPr>
        <w:t>Las Recomendaciones del GAFI</w:t>
      </w:r>
      <w:r w:rsidRPr="001E134D">
        <w:rPr>
          <w:rFonts w:ascii="Cambria" w:hAnsi="Cambria"/>
        </w:rPr>
        <w:t xml:space="preserve"> de Febrero 2012, como el </w:t>
      </w:r>
      <w:r w:rsidRPr="001E134D">
        <w:rPr>
          <w:rFonts w:ascii="Cambria" w:hAnsi="Cambria"/>
          <w:i/>
          <w:iCs/>
        </w:rPr>
        <w:t>Documento aplicativo sobre la prevención del lavado de dinero y del financiamiento del terrorismo</w:t>
      </w:r>
      <w:r w:rsidRPr="001E134D">
        <w:rPr>
          <w:rFonts w:ascii="Cambria" w:hAnsi="Cambria"/>
        </w:rPr>
        <w:t xml:space="preserve"> de la IAIS de Octubre 2013 y el Reglamento LC/FT/FPADM, establecen que en adición a la Debido Diligencia del Cliente (DDC) normal, en proporción a un riesgo mayor o menor de LC/FT/FPADM identificado, es posible implementar medidas de DDC reforzadas o simplificadas respectivamente.</w:t>
      </w:r>
    </w:p>
    <w:p w14:paraId="5A3F1A2E" w14:textId="77777777" w:rsidR="003E5D78" w:rsidRDefault="003E5D78" w:rsidP="003E5D78">
      <w:pPr>
        <w:jc w:val="both"/>
        <w:rPr>
          <w:rFonts w:ascii="Cambria" w:hAnsi="Cambria"/>
          <w:b/>
          <w:bCs/>
        </w:rPr>
      </w:pPr>
    </w:p>
    <w:p w14:paraId="52319E01" w14:textId="4229D78D" w:rsidR="003E5D78" w:rsidRPr="001E134D" w:rsidRDefault="003E5D78" w:rsidP="003E5D78">
      <w:pPr>
        <w:jc w:val="both"/>
        <w:rPr>
          <w:rFonts w:ascii="Cambria" w:hAnsi="Cambria"/>
          <w:b/>
          <w:bCs/>
        </w:rPr>
      </w:pPr>
      <w:r w:rsidRPr="001E134D">
        <w:rPr>
          <w:rFonts w:ascii="Cambria" w:hAnsi="Cambria"/>
          <w:b/>
          <w:bCs/>
        </w:rPr>
        <w:t>Noveno</w:t>
      </w:r>
      <w:r w:rsidRPr="001E134D">
        <w:rPr>
          <w:rFonts w:ascii="Cambria" w:hAnsi="Cambria"/>
        </w:rPr>
        <w:t xml:space="preserve">. El </w:t>
      </w:r>
      <w:r w:rsidRPr="001E134D">
        <w:rPr>
          <w:rFonts w:ascii="Cambria" w:hAnsi="Cambria"/>
          <w:i/>
          <w:iCs/>
        </w:rPr>
        <w:t>Documento aplicativo sobre la prevención del lavado de dinero y del financiamiento del terrorismo de la IAIS</w:t>
      </w:r>
      <w:r w:rsidRPr="001E134D">
        <w:rPr>
          <w:rFonts w:ascii="Cambria" w:hAnsi="Cambria"/>
        </w:rPr>
        <w:t>, tiene como propósito proveer información sobre cómo el LA/FT puede ocurrir en el sector de seguros y cómo mitigar los riesgos asociados. En ese sentido desarrolla ejemplos de situaciones (párrafos 13 y 14); describe el enfoque basado en riesgo y la gestión del mismo (18-30); establece en qué consiste la DDC, (32, 33); qué incluyen las medidas de DDC (34, 35); las posibilidades de identificación de la identidad de los beneficiarios debe realizarse a más tardar en el momento del pago del seguro (37, 75, 76, 77); métodos de identificación y verificación (44 – 57); DDC reforzada (58), ejemplos de DDC reforzada (59), DDC simplificada (68) ejemplos de factores de menor riesgo (69-79), delegación de aseguradoras en intermediarios de seguros de medidas de DDC (92-100) y lo concerniente al expediente del cliente (129, 132).</w:t>
      </w:r>
    </w:p>
    <w:p w14:paraId="3BB76F6C" w14:textId="77777777" w:rsidR="003E5D78" w:rsidRDefault="003E5D78" w:rsidP="003E5D78">
      <w:pPr>
        <w:jc w:val="both"/>
        <w:rPr>
          <w:rFonts w:ascii="Cambria" w:hAnsi="Cambria"/>
          <w:b/>
          <w:bCs/>
        </w:rPr>
      </w:pPr>
    </w:p>
    <w:p w14:paraId="548765C0" w14:textId="41DC4E5F" w:rsidR="003E5D78" w:rsidRPr="001E134D" w:rsidRDefault="003E5D78" w:rsidP="003E5D78">
      <w:pPr>
        <w:jc w:val="both"/>
        <w:rPr>
          <w:rFonts w:ascii="Cambria" w:hAnsi="Cambria"/>
          <w:b/>
          <w:bCs/>
        </w:rPr>
      </w:pPr>
      <w:r w:rsidRPr="001E134D">
        <w:rPr>
          <w:rFonts w:ascii="Cambria" w:hAnsi="Cambria"/>
          <w:b/>
          <w:bCs/>
        </w:rPr>
        <w:t>Décimo</w:t>
      </w:r>
      <w:r w:rsidRPr="001E134D">
        <w:rPr>
          <w:rFonts w:ascii="Cambria" w:hAnsi="Cambria"/>
        </w:rPr>
        <w:t xml:space="preserve">. Por su parte el </w:t>
      </w:r>
      <w:r w:rsidRPr="001E134D">
        <w:rPr>
          <w:rFonts w:ascii="Cambria" w:hAnsi="Cambria"/>
          <w:i/>
          <w:iCs/>
        </w:rPr>
        <w:t>Documento Estándares Internacionales sobre la Lucha Contra el Lavado de Activos y el Financiamiento del Terrorismo y la Proliferación</w:t>
      </w:r>
      <w:r w:rsidRPr="001E134D">
        <w:rPr>
          <w:rFonts w:ascii="Cambria" w:hAnsi="Cambria"/>
        </w:rPr>
        <w:t xml:space="preserve"> y </w:t>
      </w:r>
      <w:r w:rsidRPr="001E134D">
        <w:rPr>
          <w:rFonts w:ascii="Cambria" w:hAnsi="Cambria"/>
          <w:i/>
          <w:iCs/>
        </w:rPr>
        <w:t>Las Recomendaciones del GAFI</w:t>
      </w:r>
      <w:r w:rsidRPr="001E134D">
        <w:rPr>
          <w:rFonts w:ascii="Cambria" w:hAnsi="Cambria"/>
        </w:rPr>
        <w:t>, constituye un esquema completo y consistente de medidas que los países deben implementar para combatir el lavado de activos y el financiamiento del terrorismo, así como también el financiamiento de la proliferación de armas de destrucción masiva. Dicho documento aborda el tema de DDC para personas jurídicas y otras estructuras (C5), medidas simplificadas (F.11., H16., H18, H21,) enfoque basado en riesgo (H), factores de riesgo (H.17.) y mantenimiento de registros (D.11.)</w:t>
      </w:r>
    </w:p>
    <w:p w14:paraId="6644070E" w14:textId="77777777" w:rsidR="003E5D78" w:rsidRDefault="003E5D78" w:rsidP="003E5D78">
      <w:pPr>
        <w:jc w:val="both"/>
        <w:rPr>
          <w:rFonts w:ascii="Cambria" w:hAnsi="Cambria"/>
          <w:b/>
          <w:bCs/>
        </w:rPr>
      </w:pPr>
    </w:p>
    <w:p w14:paraId="69576B56" w14:textId="073A6512" w:rsidR="003E5D78" w:rsidRPr="001E134D" w:rsidRDefault="003E5D78" w:rsidP="003E5D78">
      <w:pPr>
        <w:jc w:val="both"/>
        <w:rPr>
          <w:rFonts w:ascii="Cambria" w:hAnsi="Cambria"/>
          <w:b/>
          <w:bCs/>
        </w:rPr>
      </w:pPr>
      <w:r w:rsidRPr="001E134D">
        <w:rPr>
          <w:rFonts w:ascii="Cambria" w:hAnsi="Cambria"/>
          <w:b/>
          <w:bCs/>
        </w:rPr>
        <w:t>Décimo Primero</w:t>
      </w:r>
      <w:r w:rsidRPr="001E134D">
        <w:rPr>
          <w:rFonts w:ascii="Cambria" w:hAnsi="Cambria"/>
        </w:rPr>
        <w:t xml:space="preserve">. El Reglamento LC/FT/FPADM, en su artículo 3, de forma expresa define a que personas físicas o jurídicas, debe identificarse como clientes a la luz de lo regulado en el dicho reglamento. De esta disposición se desprende con meridiana claridad que, dentro del mercado de seguros, se debe identificar como cliente al tomador, al asegurado y al beneficiario, que directa o indirectamente se encuentren vinculados o resulten terceros interesados en la relación comercial establecida, con la aseguradora y el intermediario cuando corresponda. </w:t>
      </w:r>
    </w:p>
    <w:p w14:paraId="65AE784D" w14:textId="77777777" w:rsidR="003E5D78" w:rsidRDefault="003E5D78" w:rsidP="003E5D78">
      <w:pPr>
        <w:jc w:val="both"/>
        <w:rPr>
          <w:rFonts w:ascii="Cambria" w:hAnsi="Cambria"/>
          <w:b/>
          <w:bCs/>
        </w:rPr>
      </w:pPr>
    </w:p>
    <w:p w14:paraId="59BDB45B" w14:textId="5ACF81AC" w:rsidR="003E5D78" w:rsidRPr="001E134D" w:rsidRDefault="003E5D78" w:rsidP="003E5D78">
      <w:pPr>
        <w:jc w:val="both"/>
        <w:rPr>
          <w:rFonts w:ascii="Cambria" w:hAnsi="Cambria"/>
          <w:b/>
          <w:bCs/>
        </w:rPr>
      </w:pPr>
      <w:r w:rsidRPr="001E134D">
        <w:rPr>
          <w:rFonts w:ascii="Cambria" w:hAnsi="Cambria"/>
          <w:b/>
          <w:bCs/>
        </w:rPr>
        <w:t>Décimo Segundo</w:t>
      </w:r>
      <w:r w:rsidRPr="001E134D">
        <w:rPr>
          <w:rFonts w:ascii="Cambria" w:hAnsi="Cambria"/>
        </w:rPr>
        <w:t>. En la nota interpretativa de la Recomendación 10 del GAFI ‘</w:t>
      </w:r>
      <w:r w:rsidRPr="001E134D">
        <w:rPr>
          <w:rFonts w:ascii="Cambria" w:hAnsi="Cambria"/>
          <w:i/>
          <w:iCs/>
        </w:rPr>
        <w:t>Diligencia debida del cliente’</w:t>
      </w:r>
      <w:r w:rsidRPr="001E134D">
        <w:rPr>
          <w:rFonts w:ascii="Cambria" w:hAnsi="Cambria"/>
        </w:rPr>
        <w:t xml:space="preserve">, apartado H </w:t>
      </w:r>
      <w:r w:rsidRPr="001E134D">
        <w:rPr>
          <w:rFonts w:ascii="Cambria" w:hAnsi="Cambria"/>
          <w:i/>
          <w:iCs/>
        </w:rPr>
        <w:t>‘Enfoque basado en riesgo’</w:t>
      </w:r>
      <w:r w:rsidRPr="001E134D">
        <w:rPr>
          <w:rFonts w:ascii="Cambria" w:hAnsi="Cambria"/>
        </w:rPr>
        <w:t>, se establecen algunas guías sobre los riesgos menores relacionados con los productos, servicios, transacciones o canales de envío, dentro de los cuales se incluye el servicio de las pólizas de seguro de vida, en que se incorpora como ejemplo de una prima baja, una prima anual de $1.000,00 o una sola prima de menos de $2.500,00.</w:t>
      </w:r>
    </w:p>
    <w:p w14:paraId="41DA835E" w14:textId="77777777" w:rsidR="003E5D78" w:rsidRDefault="003E5D78" w:rsidP="003E5D78">
      <w:pPr>
        <w:jc w:val="both"/>
        <w:rPr>
          <w:rFonts w:ascii="Cambria" w:hAnsi="Cambria"/>
          <w:b/>
          <w:bCs/>
        </w:rPr>
      </w:pPr>
    </w:p>
    <w:p w14:paraId="5DBCF966" w14:textId="714A137D" w:rsidR="003E5D78" w:rsidRPr="001E134D" w:rsidRDefault="003E5D78" w:rsidP="003E5D78">
      <w:pPr>
        <w:jc w:val="both"/>
        <w:rPr>
          <w:rFonts w:ascii="Cambria" w:hAnsi="Cambria"/>
          <w:b/>
          <w:bCs/>
        </w:rPr>
      </w:pPr>
      <w:r w:rsidRPr="001E134D">
        <w:rPr>
          <w:rFonts w:ascii="Cambria" w:hAnsi="Cambria"/>
          <w:b/>
          <w:bCs/>
        </w:rPr>
        <w:t>Décimo Tercero.</w:t>
      </w:r>
      <w:r w:rsidRPr="001E134D">
        <w:rPr>
          <w:rFonts w:ascii="Cambria" w:hAnsi="Cambria"/>
        </w:rPr>
        <w:t xml:space="preserve"> Se considera relevante aclarar la definición de transacciones para el mercado de seguros, en vista de las características particulares que presenta éste. Para ello se toma como referencia lo establecido en el párrafo 33 del </w:t>
      </w:r>
      <w:r w:rsidRPr="001E134D">
        <w:rPr>
          <w:rFonts w:ascii="Cambria" w:hAnsi="Cambria"/>
          <w:i/>
          <w:iCs/>
        </w:rPr>
        <w:t>Guidance paper on anti-money laundering and combating the financing of terrorism</w:t>
      </w:r>
      <w:r w:rsidRPr="001E134D">
        <w:rPr>
          <w:rFonts w:ascii="Cambria" w:hAnsi="Cambria"/>
        </w:rPr>
        <w:t xml:space="preserve"> de octubre 2004 de la IAIS.</w:t>
      </w:r>
    </w:p>
    <w:p w14:paraId="3802667B" w14:textId="77777777" w:rsidR="003E5D78" w:rsidRDefault="003E5D78" w:rsidP="003E5D78">
      <w:pPr>
        <w:jc w:val="both"/>
        <w:rPr>
          <w:rFonts w:ascii="Cambria" w:hAnsi="Cambria"/>
          <w:b/>
          <w:bCs/>
        </w:rPr>
      </w:pPr>
    </w:p>
    <w:p w14:paraId="35B89EF0" w14:textId="76EE88C8" w:rsidR="003E5D78" w:rsidRPr="001E134D" w:rsidRDefault="003E5D78" w:rsidP="003E5D78">
      <w:pPr>
        <w:jc w:val="both"/>
        <w:rPr>
          <w:rFonts w:ascii="Cambria" w:hAnsi="Cambria"/>
          <w:b/>
          <w:bCs/>
        </w:rPr>
      </w:pPr>
      <w:r w:rsidRPr="001E134D">
        <w:rPr>
          <w:rFonts w:ascii="Cambria" w:hAnsi="Cambria"/>
          <w:b/>
          <w:bCs/>
        </w:rPr>
        <w:t>Décimo Cuarto</w:t>
      </w:r>
      <w:r w:rsidRPr="001E134D">
        <w:rPr>
          <w:rFonts w:ascii="Cambria" w:hAnsi="Cambria"/>
        </w:rPr>
        <w:t xml:space="preserve">: A partir de los considerandos anteriores y de las nuevas disposiciones del Reglamento LC/FT/FPADM, resulta necesario derogar o dejar sin efecto  los siguientes documentos:  acuerdo de superintendente SGS-A-0063-2018 del 26 de octubre de 2018, acuerdo de superintendente SGS-A-011-2011 del 4 de mayo de 2011, la circular externa SGS-CE-002-2009 del 1 de setiembre de 2009, la circular externa  SGS-CE-011-2011 del 16 de agosto de 2011 y el oficio  SGS-DES-O-0951-2014 del 4 de junio de 2014,  con el fin de que las normas estén actualizadas, no sean redundantes ni lleven a inconsistencias. </w:t>
      </w:r>
    </w:p>
    <w:p w14:paraId="6FFFCB26" w14:textId="77777777" w:rsidR="003E5D78" w:rsidRDefault="003E5D78" w:rsidP="003E5D78">
      <w:pPr>
        <w:jc w:val="both"/>
        <w:rPr>
          <w:rFonts w:ascii="Cambria" w:hAnsi="Cambria"/>
          <w:b/>
          <w:bCs/>
        </w:rPr>
      </w:pPr>
    </w:p>
    <w:p w14:paraId="06B631B6" w14:textId="432152E3" w:rsidR="003E5D78" w:rsidRDefault="003E5D78" w:rsidP="003E5D78">
      <w:pPr>
        <w:jc w:val="both"/>
        <w:rPr>
          <w:rFonts w:ascii="Cambria" w:hAnsi="Cambria"/>
        </w:rPr>
      </w:pPr>
      <w:r w:rsidRPr="001E134D">
        <w:rPr>
          <w:rFonts w:ascii="Cambria" w:hAnsi="Cambria"/>
          <w:b/>
          <w:bCs/>
        </w:rPr>
        <w:lastRenderedPageBreak/>
        <w:t>Décimo Quinto:</w:t>
      </w:r>
      <w:r w:rsidRPr="001E134D">
        <w:rPr>
          <w:rFonts w:ascii="Cambria" w:hAnsi="Cambria"/>
        </w:rPr>
        <w:t xml:space="preserve"> La SUGESE mediante el acuerdo SGS-A-079-2021 del 30 de abril de 2021, emitió los </w:t>
      </w:r>
      <w:r w:rsidRPr="001E134D">
        <w:rPr>
          <w:rFonts w:ascii="Cambria" w:hAnsi="Cambria"/>
          <w:i/>
          <w:iCs/>
        </w:rPr>
        <w:t>Lineamientos para la comunicación de los hechos relevantes por parte de las entidades supervisadas por la Superintendencia General de Seguros y el funcionamiento del servicio de hechos relevantes, dispuesto en la plataforma Sugese en Línea</w:t>
      </w:r>
      <w:r w:rsidRPr="001E134D">
        <w:rPr>
          <w:rFonts w:ascii="Cambria" w:hAnsi="Cambria"/>
        </w:rPr>
        <w:t>, mediante el cual se establece el detalle de los Hechos Relevantes que se requiere comunicar a la Superintendencia y es necesario reformarlos para que las entidades supervisadas revelen al supervisor el enlace para temas de cumplimiento.</w:t>
      </w:r>
    </w:p>
    <w:p w14:paraId="70759F76" w14:textId="77777777" w:rsidR="003E5D78" w:rsidRPr="001E134D" w:rsidRDefault="003E5D78" w:rsidP="003E5D78">
      <w:pPr>
        <w:jc w:val="both"/>
        <w:rPr>
          <w:rFonts w:ascii="Cambria" w:hAnsi="Cambria"/>
          <w:b/>
          <w:bCs/>
        </w:rPr>
      </w:pPr>
    </w:p>
    <w:p w14:paraId="169DC266" w14:textId="0476C9D1" w:rsidR="003E5D78" w:rsidRDefault="003E5D78" w:rsidP="003E5D78">
      <w:pPr>
        <w:jc w:val="both"/>
        <w:rPr>
          <w:rFonts w:ascii="Cambria" w:hAnsi="Cambria"/>
        </w:rPr>
      </w:pPr>
      <w:r w:rsidRPr="001E134D">
        <w:rPr>
          <w:rFonts w:ascii="Cambria" w:hAnsi="Cambria"/>
          <w:b/>
          <w:bCs/>
        </w:rPr>
        <w:t>Décimo Sexto</w:t>
      </w:r>
      <w:r w:rsidRPr="001E134D">
        <w:rPr>
          <w:rFonts w:ascii="Cambria" w:hAnsi="Cambria"/>
        </w:rPr>
        <w:t>:   Que mediante oficio SGS-0428-2022 del 16 de junio de 2022, la Superintendencia General de Seguros remitió en consulta, en acatamiento de lo estipulado en el numeral 2, del artículo 361, de la Ley General de la Administración Pública, Ley 6227, a las entidades aseguradoras, sociedades agencia de seguros y sociedades corredoras de seguros, la propuesta de Acuerdo de Superintendente denominado “Lineamientos diferenciados  para las entidades supervisadas por SUGESE respecto al Reglamento para la prevención del riesgo de legitimación de capitales, financiamiento al terrorismo y financiamiento de la proliferación de armas de destrucción masiva, aplicable a los sujetos obligados por el artículo 14 de la Ley 7786”, por diez días hábiles, contados a partir de la comunicación del oficio en cita.</w:t>
      </w:r>
    </w:p>
    <w:p w14:paraId="5C290155" w14:textId="77777777" w:rsidR="003E5D78" w:rsidRPr="001E134D" w:rsidRDefault="003E5D78" w:rsidP="003E5D78">
      <w:pPr>
        <w:jc w:val="both"/>
        <w:rPr>
          <w:rFonts w:ascii="Cambria" w:hAnsi="Cambria"/>
        </w:rPr>
      </w:pPr>
    </w:p>
    <w:p w14:paraId="3D378E22" w14:textId="6B735944" w:rsidR="003E5D78" w:rsidRDefault="003E5D78" w:rsidP="003E5D78">
      <w:pPr>
        <w:jc w:val="both"/>
        <w:rPr>
          <w:rFonts w:ascii="Cambria" w:hAnsi="Cambria"/>
        </w:rPr>
      </w:pPr>
      <w:r w:rsidRPr="00606C83">
        <w:rPr>
          <w:rFonts w:ascii="Cambria" w:hAnsi="Cambria"/>
          <w:b/>
          <w:bCs/>
        </w:rPr>
        <w:t>Décimo Sétimo</w:t>
      </w:r>
      <w:r w:rsidRPr="00606C83">
        <w:rPr>
          <w:rFonts w:ascii="Cambria" w:hAnsi="Cambria"/>
        </w:rPr>
        <w:t>: Que el plazo de la consulta pública finalizó el 01 de julio de 2021 y se recibieron comentarios de Correduría de Seguros Metropolitanos S.A, Prisma Correduría de Seguros S.A, INCHCAPE Protection Express SAS S.A, Popular Seguros, BN Sociedad Corredores, BAC CREDOMATIC Corredora de Seguros S.A, Seguros Lafise Costa Rica S.A., Quálitas Compañía de Seguros (Costa Rica) S.A. Asociación de Aseguradores Privados, CS Corredora de Seguros S.A., Grupo Soluciones Integrales S.A., Mapfre Seguros Costa Rica S.A., Instituto Nacional de Seguros, Comercial de Seguros Corredores de Seguros S.A., Cámara Intermediarios de Costa Rica, CRS Corredora de Seguros S.A., Aseguradora Sagicor Costa Rica S.A.,BCR Corredora de Seguros S.A, Pricose Primera Sociedad Agencia de Seguros S.A., los cuales fueron valorados por la Superintendencia e incorporados en una nueva versión de la norma a emitir cuando procedía.  Por lo tanto, ahora lo que procede es la aprobación de la versión definitiva por parte del Superintendente.</w:t>
      </w:r>
      <w:r w:rsidRPr="001E134D">
        <w:rPr>
          <w:rFonts w:ascii="Cambria" w:hAnsi="Cambria"/>
        </w:rPr>
        <w:t xml:space="preserve"> </w:t>
      </w:r>
    </w:p>
    <w:p w14:paraId="43347905" w14:textId="77777777" w:rsidR="003E5D78" w:rsidRPr="001E134D" w:rsidRDefault="003E5D78" w:rsidP="003E5D78">
      <w:pPr>
        <w:jc w:val="both"/>
        <w:rPr>
          <w:rFonts w:ascii="Cambria" w:hAnsi="Cambria"/>
        </w:rPr>
      </w:pPr>
    </w:p>
    <w:p w14:paraId="17548858" w14:textId="77777777" w:rsidR="003E5D78" w:rsidRPr="001E134D" w:rsidRDefault="003E5D78" w:rsidP="003E5D78">
      <w:pPr>
        <w:jc w:val="center"/>
        <w:rPr>
          <w:rFonts w:ascii="Cambria" w:hAnsi="Cambria"/>
          <w:b/>
          <w:bCs/>
          <w:sz w:val="28"/>
          <w:szCs w:val="28"/>
        </w:rPr>
      </w:pPr>
      <w:r w:rsidRPr="001E134D">
        <w:rPr>
          <w:rFonts w:ascii="Cambria" w:hAnsi="Cambria"/>
          <w:b/>
          <w:bCs/>
          <w:sz w:val="28"/>
          <w:szCs w:val="28"/>
        </w:rPr>
        <w:t>Acuerda:</w:t>
      </w:r>
    </w:p>
    <w:p w14:paraId="39B9B2B5" w14:textId="77777777" w:rsidR="003E5D78" w:rsidRDefault="003E5D78" w:rsidP="003E5D78">
      <w:pPr>
        <w:jc w:val="both"/>
        <w:rPr>
          <w:rFonts w:ascii="Cambria" w:hAnsi="Cambria"/>
        </w:rPr>
      </w:pPr>
    </w:p>
    <w:p w14:paraId="20FF5137" w14:textId="4F137D45" w:rsidR="003E5D78" w:rsidRPr="001E134D" w:rsidRDefault="003E5D78" w:rsidP="003E5D78">
      <w:pPr>
        <w:jc w:val="both"/>
        <w:rPr>
          <w:rFonts w:ascii="Cambria" w:hAnsi="Cambria"/>
          <w:i/>
          <w:iCs/>
        </w:rPr>
      </w:pPr>
      <w:r w:rsidRPr="001E134D">
        <w:rPr>
          <w:rFonts w:ascii="Cambria" w:hAnsi="Cambria"/>
        </w:rPr>
        <w:t xml:space="preserve">Emitir los Lineamientos diferenciados para las entidades supervisadas por SUGESE respecto al </w:t>
      </w:r>
      <w:r w:rsidRPr="001E134D">
        <w:rPr>
          <w:rFonts w:ascii="Cambria" w:hAnsi="Cambria"/>
          <w:i/>
          <w:iCs/>
        </w:rPr>
        <w:t>Reglamento para la prevención del riesgo de legitimación de capitales, financiamiento al terrorismo y financiamiento de la proliferación de armas de destrucción masiva, aplicable a los sujetos obligados por el artículo 14 de la Ley 7786.</w:t>
      </w:r>
    </w:p>
    <w:p w14:paraId="7DDB7C20" w14:textId="77777777" w:rsidR="003E5D78" w:rsidRDefault="003E5D78" w:rsidP="003E5D78">
      <w:pPr>
        <w:jc w:val="center"/>
        <w:rPr>
          <w:rFonts w:ascii="Cambria" w:hAnsi="Cambria"/>
          <w:b/>
          <w:bCs/>
        </w:rPr>
      </w:pPr>
    </w:p>
    <w:p w14:paraId="6835CCF6" w14:textId="77777777" w:rsidR="003E5D78" w:rsidRDefault="003E5D78" w:rsidP="003E5D78">
      <w:pPr>
        <w:jc w:val="center"/>
        <w:rPr>
          <w:rFonts w:ascii="Cambria" w:hAnsi="Cambria"/>
          <w:b/>
          <w:bCs/>
        </w:rPr>
      </w:pPr>
    </w:p>
    <w:p w14:paraId="7304E496" w14:textId="77777777" w:rsidR="003E5D78" w:rsidRDefault="003E5D78" w:rsidP="003E5D78">
      <w:pPr>
        <w:jc w:val="center"/>
        <w:rPr>
          <w:rFonts w:ascii="Cambria" w:hAnsi="Cambria"/>
          <w:b/>
          <w:bCs/>
        </w:rPr>
      </w:pPr>
      <w:r w:rsidRPr="001E134D">
        <w:rPr>
          <w:rFonts w:ascii="Cambria" w:hAnsi="Cambria"/>
          <w:b/>
          <w:bCs/>
        </w:rPr>
        <w:t xml:space="preserve">Capítulo I </w:t>
      </w:r>
    </w:p>
    <w:p w14:paraId="1DC24BED" w14:textId="77777777" w:rsidR="003E5D78" w:rsidRPr="001E134D" w:rsidRDefault="003E5D78" w:rsidP="003E5D78">
      <w:pPr>
        <w:jc w:val="center"/>
        <w:rPr>
          <w:rFonts w:ascii="Cambria" w:hAnsi="Cambria"/>
          <w:b/>
          <w:bCs/>
        </w:rPr>
      </w:pPr>
      <w:r w:rsidRPr="001E134D">
        <w:rPr>
          <w:rFonts w:ascii="Cambria" w:hAnsi="Cambria"/>
          <w:b/>
          <w:bCs/>
        </w:rPr>
        <w:t>Diligencia debida en el conocimiento del cliente (DCC)</w:t>
      </w:r>
    </w:p>
    <w:p w14:paraId="41E77945" w14:textId="77777777" w:rsidR="003E5D78" w:rsidRDefault="003E5D78" w:rsidP="003E5D78">
      <w:pPr>
        <w:jc w:val="both"/>
        <w:rPr>
          <w:rFonts w:ascii="Cambria" w:hAnsi="Cambria"/>
          <w:b/>
          <w:bCs/>
        </w:rPr>
      </w:pPr>
    </w:p>
    <w:p w14:paraId="6824326B" w14:textId="77777777" w:rsidR="003E5D78" w:rsidRPr="001E134D" w:rsidRDefault="003E5D78" w:rsidP="003E5D78">
      <w:pPr>
        <w:jc w:val="both"/>
        <w:rPr>
          <w:rFonts w:ascii="Cambria" w:hAnsi="Cambria"/>
          <w:b/>
          <w:bCs/>
        </w:rPr>
      </w:pPr>
      <w:r w:rsidRPr="001E134D">
        <w:rPr>
          <w:rFonts w:ascii="Cambria" w:hAnsi="Cambria"/>
          <w:b/>
          <w:bCs/>
        </w:rPr>
        <w:t>Artículo 1. Alcance.</w:t>
      </w:r>
    </w:p>
    <w:p w14:paraId="4FAF115B" w14:textId="77777777" w:rsidR="003E5D78" w:rsidRPr="00AC1848" w:rsidRDefault="003E5D78" w:rsidP="003E5D78">
      <w:pPr>
        <w:jc w:val="both"/>
        <w:rPr>
          <w:rFonts w:ascii="Cambria" w:hAnsi="Cambria"/>
        </w:rPr>
      </w:pPr>
      <w:r w:rsidRPr="00AC1848">
        <w:rPr>
          <w:rFonts w:ascii="Cambria" w:hAnsi="Cambria"/>
        </w:rPr>
        <w:t>Estos lineamientos establecen los principios que deberán observar las aseguradoras e intermediarios de seguros para definir y aplicar las medidas de DDC simplificadas o reforzadas con base en los riesgos de legitimación de capitales y financiamiento del terrorismo.</w:t>
      </w:r>
    </w:p>
    <w:p w14:paraId="205195D8" w14:textId="77777777" w:rsidR="003E5D78" w:rsidRDefault="003E5D78" w:rsidP="003E5D78">
      <w:pPr>
        <w:jc w:val="both"/>
        <w:rPr>
          <w:rFonts w:ascii="Cambria" w:hAnsi="Cambria"/>
        </w:rPr>
      </w:pPr>
    </w:p>
    <w:p w14:paraId="0A39ABC6" w14:textId="2409A026" w:rsidR="003E5D78" w:rsidRPr="00AC1848" w:rsidRDefault="003E5D78" w:rsidP="003E5D78">
      <w:pPr>
        <w:jc w:val="both"/>
        <w:rPr>
          <w:rFonts w:ascii="Cambria" w:hAnsi="Cambria"/>
        </w:rPr>
      </w:pPr>
      <w:r w:rsidRPr="00AC1848">
        <w:rPr>
          <w:rFonts w:ascii="Cambria" w:hAnsi="Cambria"/>
        </w:rPr>
        <w:t xml:space="preserve">De conformidad con lo dispuesto en el artículo 4 del Reglamento para la prevención del riesgo de legitimación de capitales, financiamiento al terrorismo y financiamiento de la proliferación de armas de destrucción masiva, aplicable a los sujetos obligados por el artículo 14 de la Ley 7786 (en adelante  Reglamento LC/FT/FPADM), solamente dentro del alcance indicado los presentes lineamientos diferenciados para SUGESE por su carácter específico priman, sobre las reglas de carácter general contempladas en dicho reglamento. </w:t>
      </w:r>
    </w:p>
    <w:p w14:paraId="70BDC43D" w14:textId="77777777" w:rsidR="003E5D78" w:rsidRDefault="003E5D78" w:rsidP="003E5D78">
      <w:pPr>
        <w:jc w:val="both"/>
        <w:rPr>
          <w:rFonts w:ascii="Cambria" w:hAnsi="Cambria"/>
        </w:rPr>
      </w:pPr>
    </w:p>
    <w:p w14:paraId="617F8AFE" w14:textId="74EE303F" w:rsidR="003E5D78" w:rsidRDefault="003E5D78" w:rsidP="003E5D78">
      <w:pPr>
        <w:jc w:val="both"/>
        <w:rPr>
          <w:rFonts w:ascii="Cambria" w:hAnsi="Cambria"/>
        </w:rPr>
      </w:pPr>
      <w:r w:rsidRPr="00AC1848">
        <w:rPr>
          <w:rFonts w:ascii="Cambria" w:hAnsi="Cambria"/>
        </w:rPr>
        <w:t>Adicionalmente se establecen pautas para: que los intermediarios determinen la figura que realizará su función de cumplimiento, en sustitución de los puestos de oficial de cumplimiento titular y/o del oficial de cumplimiento adjunto, cuando tal posibilidad se desprenda del análisis de riesgo LC/FT/FPADM respectivo, la metodología para la clasificación de riesgo de los clientes, la periodicidad de la auditoría externa , aclaraciones sobre monitoreo de clientes y el registro y notificación de transacciones.</w:t>
      </w:r>
    </w:p>
    <w:p w14:paraId="750417B9" w14:textId="77777777" w:rsidR="003E5D78" w:rsidRDefault="003E5D78" w:rsidP="003E5D78">
      <w:pPr>
        <w:jc w:val="both"/>
        <w:rPr>
          <w:rFonts w:ascii="Cambria" w:hAnsi="Cambria"/>
          <w:b/>
          <w:bCs/>
        </w:rPr>
      </w:pPr>
    </w:p>
    <w:p w14:paraId="390F122A" w14:textId="77777777" w:rsidR="003E5D78" w:rsidRPr="001E134D" w:rsidRDefault="003E5D78" w:rsidP="003E5D78">
      <w:pPr>
        <w:jc w:val="both"/>
        <w:rPr>
          <w:rFonts w:ascii="Cambria" w:hAnsi="Cambria"/>
        </w:rPr>
      </w:pPr>
      <w:r w:rsidRPr="001E134D">
        <w:rPr>
          <w:rFonts w:ascii="Cambria" w:hAnsi="Cambria"/>
          <w:b/>
          <w:bCs/>
        </w:rPr>
        <w:t>Artículo 2. Medidas de debida diligencia en el conocimiento del cliente.</w:t>
      </w:r>
    </w:p>
    <w:p w14:paraId="123895C6" w14:textId="77777777" w:rsidR="003E5D78" w:rsidRPr="001E134D" w:rsidRDefault="003E5D78" w:rsidP="003E5D78">
      <w:pPr>
        <w:jc w:val="both"/>
        <w:rPr>
          <w:rFonts w:ascii="Cambria" w:hAnsi="Cambria"/>
        </w:rPr>
      </w:pPr>
      <w:r w:rsidRPr="001E134D">
        <w:rPr>
          <w:rFonts w:ascii="Cambria" w:hAnsi="Cambria"/>
        </w:rPr>
        <w:t xml:space="preserve">Las medidas de DDC son todas aquellas medidas que toma la entidad aseguradora o intermediario para identificar y mitigar los riesgos de LC/FT/FPADM respecto a la relación comercial con un cliente. </w:t>
      </w:r>
    </w:p>
    <w:p w14:paraId="1561C2D9" w14:textId="77777777" w:rsidR="003E5D78" w:rsidRDefault="003E5D78" w:rsidP="003E5D78">
      <w:pPr>
        <w:jc w:val="both"/>
        <w:rPr>
          <w:rFonts w:ascii="Cambria" w:hAnsi="Cambria"/>
        </w:rPr>
      </w:pPr>
    </w:p>
    <w:p w14:paraId="1FD68F78" w14:textId="2C2512BD" w:rsidR="003E5D78" w:rsidRDefault="003E5D78" w:rsidP="003E5D78">
      <w:pPr>
        <w:jc w:val="both"/>
        <w:rPr>
          <w:rFonts w:ascii="Cambria" w:hAnsi="Cambria"/>
        </w:rPr>
      </w:pPr>
      <w:r w:rsidRPr="001E134D">
        <w:rPr>
          <w:rFonts w:ascii="Cambria" w:hAnsi="Cambria"/>
        </w:rPr>
        <w:t>Las medidas de DDC normales aplicables de manera general son las referidas en el Reglamento LC/FT/FPADM, e incluyen medidas respecto a:</w:t>
      </w:r>
    </w:p>
    <w:p w14:paraId="254CB5FA" w14:textId="77777777" w:rsidR="003E5D78" w:rsidRPr="001E134D" w:rsidRDefault="003E5D78" w:rsidP="003E5D78">
      <w:pPr>
        <w:jc w:val="both"/>
        <w:rPr>
          <w:rFonts w:ascii="Cambria" w:hAnsi="Cambria"/>
        </w:rPr>
      </w:pPr>
    </w:p>
    <w:p w14:paraId="054AAD76" w14:textId="77777777" w:rsidR="003E5D78" w:rsidRPr="001E134D" w:rsidRDefault="003E5D78" w:rsidP="003E5D78">
      <w:pPr>
        <w:ind w:left="591" w:hanging="591"/>
        <w:jc w:val="both"/>
        <w:rPr>
          <w:rFonts w:ascii="Cambria" w:hAnsi="Cambria"/>
        </w:rPr>
      </w:pPr>
      <w:r w:rsidRPr="001E134D">
        <w:rPr>
          <w:rFonts w:ascii="Cambria" w:hAnsi="Cambria"/>
        </w:rPr>
        <w:t xml:space="preserve">2.1. </w:t>
      </w:r>
      <w:r w:rsidRPr="001E134D">
        <w:rPr>
          <w:rFonts w:ascii="Cambria" w:hAnsi="Cambria"/>
        </w:rPr>
        <w:tab/>
        <w:t>Identificación y verificación de identidad del cliente utilizando documentos, datos o información confiable de fuentes independientes.</w:t>
      </w:r>
    </w:p>
    <w:p w14:paraId="1CED4A8E" w14:textId="77777777" w:rsidR="003E5D78" w:rsidRPr="001E134D" w:rsidRDefault="003E5D78" w:rsidP="003E5D78">
      <w:pPr>
        <w:ind w:left="591" w:hanging="591"/>
        <w:jc w:val="both"/>
        <w:rPr>
          <w:rFonts w:ascii="Cambria" w:hAnsi="Cambria"/>
        </w:rPr>
      </w:pPr>
      <w:r w:rsidRPr="001E134D">
        <w:rPr>
          <w:rFonts w:ascii="Cambria" w:hAnsi="Cambria"/>
        </w:rPr>
        <w:t xml:space="preserve">2.2. </w:t>
      </w:r>
      <w:r w:rsidRPr="001E134D">
        <w:rPr>
          <w:rFonts w:ascii="Cambria" w:hAnsi="Cambria"/>
        </w:rPr>
        <w:tab/>
        <w:t xml:space="preserve">Identificar al beneficiario final y tomar medidas razonables para verificar la identidad del beneficiario final, de manera tal que la entidad aseguradora y el intermediario estén convencidos de que conocen quién es el beneficiario final. Para las personas jurídicas </w:t>
      </w:r>
      <w:r w:rsidRPr="001E134D">
        <w:rPr>
          <w:rFonts w:ascii="Cambria" w:hAnsi="Cambria"/>
        </w:rPr>
        <w:lastRenderedPageBreak/>
        <w:t>y otras estructuras jurídicas, esto debe incluir que los supervisados entiendan la estructura de titularidad y de control del cliente.</w:t>
      </w:r>
    </w:p>
    <w:p w14:paraId="5651F663" w14:textId="77777777" w:rsidR="003E5D78" w:rsidRPr="001E134D" w:rsidRDefault="003E5D78" w:rsidP="003E5D78">
      <w:pPr>
        <w:ind w:left="591" w:hanging="591"/>
        <w:jc w:val="both"/>
        <w:rPr>
          <w:rFonts w:ascii="Cambria" w:hAnsi="Cambria"/>
        </w:rPr>
      </w:pPr>
      <w:r w:rsidRPr="001E134D">
        <w:rPr>
          <w:rFonts w:ascii="Cambria" w:hAnsi="Cambria"/>
        </w:rPr>
        <w:t xml:space="preserve">2.3. </w:t>
      </w:r>
      <w:r w:rsidRPr="001E134D">
        <w:rPr>
          <w:rFonts w:ascii="Cambria" w:hAnsi="Cambria"/>
        </w:rPr>
        <w:tab/>
        <w:t>Propósito y naturaleza de la relación comercial.</w:t>
      </w:r>
    </w:p>
    <w:p w14:paraId="216614C6" w14:textId="77777777" w:rsidR="003E5D78" w:rsidRPr="001E134D" w:rsidRDefault="003E5D78" w:rsidP="003E5D78">
      <w:pPr>
        <w:ind w:left="591" w:hanging="591"/>
        <w:jc w:val="both"/>
        <w:rPr>
          <w:rFonts w:ascii="Cambria" w:hAnsi="Cambria"/>
        </w:rPr>
      </w:pPr>
      <w:r w:rsidRPr="001E134D">
        <w:rPr>
          <w:rFonts w:ascii="Cambria" w:hAnsi="Cambria"/>
        </w:rPr>
        <w:t xml:space="preserve">2.4. </w:t>
      </w:r>
      <w:r w:rsidRPr="001E134D">
        <w:rPr>
          <w:rFonts w:ascii="Cambria" w:hAnsi="Cambria"/>
        </w:rPr>
        <w:tab/>
        <w:t>Conservación de registros de información del cliente.</w:t>
      </w:r>
    </w:p>
    <w:p w14:paraId="6437BD7B" w14:textId="77777777" w:rsidR="003E5D78" w:rsidRPr="001E134D" w:rsidRDefault="003E5D78" w:rsidP="003E5D78">
      <w:pPr>
        <w:ind w:left="591" w:hanging="591"/>
        <w:jc w:val="both"/>
        <w:rPr>
          <w:rFonts w:ascii="Cambria" w:hAnsi="Cambria"/>
        </w:rPr>
      </w:pPr>
      <w:r w:rsidRPr="001E134D">
        <w:rPr>
          <w:rFonts w:ascii="Cambria" w:hAnsi="Cambria"/>
        </w:rPr>
        <w:t xml:space="preserve">2.5. </w:t>
      </w:r>
      <w:r w:rsidRPr="001E134D">
        <w:rPr>
          <w:rFonts w:ascii="Cambria" w:hAnsi="Cambria"/>
        </w:rPr>
        <w:tab/>
        <w:t xml:space="preserve">Monitoreo continuo del cliente, su relación comercial y perfil de riesgo. </w:t>
      </w:r>
    </w:p>
    <w:p w14:paraId="675F7223" w14:textId="77777777" w:rsidR="003E5D78" w:rsidRDefault="003E5D78" w:rsidP="003E5D78">
      <w:pPr>
        <w:jc w:val="both"/>
        <w:rPr>
          <w:rFonts w:ascii="Cambria" w:hAnsi="Cambria"/>
        </w:rPr>
      </w:pPr>
    </w:p>
    <w:p w14:paraId="496CF173" w14:textId="0AEDFF15" w:rsidR="003E5D78" w:rsidRPr="001E134D" w:rsidRDefault="003E5D78" w:rsidP="003E5D78">
      <w:pPr>
        <w:jc w:val="both"/>
        <w:rPr>
          <w:rFonts w:ascii="Cambria" w:hAnsi="Cambria"/>
        </w:rPr>
      </w:pPr>
      <w:r w:rsidRPr="001E134D">
        <w:rPr>
          <w:rFonts w:ascii="Cambria" w:hAnsi="Cambria"/>
        </w:rPr>
        <w:t>Adicionalmente, en función del riesgo identificado respecto a las operaciones de la aseguradora, estas podrán justificar y aplicar medidas de DDC reforzada o medidas de DDC simplificada de conformidad con los presentes lineamientos.</w:t>
      </w:r>
    </w:p>
    <w:p w14:paraId="7377937A" w14:textId="627CAEA2" w:rsidR="003E5D78" w:rsidRDefault="003E5D78" w:rsidP="003E5D78">
      <w:pPr>
        <w:jc w:val="both"/>
        <w:rPr>
          <w:rFonts w:ascii="Cambria" w:hAnsi="Cambria"/>
          <w:b/>
          <w:bCs/>
        </w:rPr>
      </w:pPr>
    </w:p>
    <w:p w14:paraId="4D61B332" w14:textId="77777777" w:rsidR="003E5D78" w:rsidRPr="001E134D" w:rsidRDefault="003E5D78" w:rsidP="003E5D78">
      <w:pPr>
        <w:jc w:val="both"/>
        <w:rPr>
          <w:rFonts w:ascii="Cambria" w:hAnsi="Cambria"/>
          <w:b/>
          <w:bCs/>
        </w:rPr>
      </w:pPr>
      <w:r w:rsidRPr="001E134D">
        <w:rPr>
          <w:rFonts w:ascii="Cambria" w:hAnsi="Cambria"/>
          <w:b/>
          <w:bCs/>
        </w:rPr>
        <w:t xml:space="preserve">Artículo 3. Medidas de debida diligencia reforzada. </w:t>
      </w:r>
    </w:p>
    <w:p w14:paraId="38245304" w14:textId="4B9B1529" w:rsidR="003E5D78" w:rsidRDefault="003E5D78" w:rsidP="003E5D78">
      <w:pPr>
        <w:jc w:val="both"/>
        <w:rPr>
          <w:rFonts w:ascii="Cambria" w:hAnsi="Cambria"/>
        </w:rPr>
      </w:pPr>
      <w:r w:rsidRPr="001E134D">
        <w:rPr>
          <w:rFonts w:ascii="Cambria" w:hAnsi="Cambria"/>
        </w:rPr>
        <w:t>Las medidas de DDC reforzada corresponden a las medidas aplicables a situaciones donde se identifica un mayor riesgo de LC/FT/FPADM y por ende contemplan las medidas de debida diligencia normal y medidas adicionales de mitigación, proporcionales al riesgo detectado.</w:t>
      </w:r>
    </w:p>
    <w:p w14:paraId="178799AB" w14:textId="77777777" w:rsidR="003E5D78" w:rsidRPr="001E134D" w:rsidRDefault="003E5D78" w:rsidP="003E5D78">
      <w:pPr>
        <w:jc w:val="both"/>
        <w:rPr>
          <w:rFonts w:ascii="Cambria" w:hAnsi="Cambria"/>
        </w:rPr>
      </w:pPr>
    </w:p>
    <w:p w14:paraId="64918FBA" w14:textId="481EEB72" w:rsidR="003E5D78" w:rsidRDefault="003E5D78" w:rsidP="003E5D78">
      <w:pPr>
        <w:ind w:left="591" w:hanging="591"/>
        <w:jc w:val="both"/>
        <w:rPr>
          <w:rFonts w:ascii="Cambria" w:hAnsi="Cambria"/>
        </w:rPr>
      </w:pPr>
      <w:r w:rsidRPr="001E134D">
        <w:rPr>
          <w:rFonts w:ascii="Cambria" w:hAnsi="Cambria"/>
        </w:rPr>
        <w:t xml:space="preserve">3.1 </w:t>
      </w:r>
      <w:r w:rsidRPr="001E134D">
        <w:rPr>
          <w:rFonts w:ascii="Cambria" w:hAnsi="Cambria"/>
        </w:rPr>
        <w:tab/>
        <w:t>Algunos ejemplos de factores de riesgo que pueden determinar la necesidad de medidas de DDC reforzada son:</w:t>
      </w:r>
    </w:p>
    <w:p w14:paraId="653B4256" w14:textId="77777777" w:rsidR="003E5D78" w:rsidRPr="001E134D" w:rsidRDefault="003E5D78" w:rsidP="003E5D78">
      <w:pPr>
        <w:ind w:left="591" w:hanging="591"/>
        <w:jc w:val="both"/>
        <w:rPr>
          <w:rFonts w:ascii="Cambria" w:hAnsi="Cambria"/>
        </w:rPr>
      </w:pPr>
    </w:p>
    <w:p w14:paraId="3F43B327" w14:textId="2D6CD9D9" w:rsidR="003E5D78" w:rsidRDefault="003E5D78" w:rsidP="003E5D78">
      <w:pPr>
        <w:ind w:left="1276" w:hanging="685"/>
        <w:jc w:val="both"/>
        <w:rPr>
          <w:rFonts w:ascii="Cambria" w:hAnsi="Cambria"/>
        </w:rPr>
      </w:pPr>
      <w:r w:rsidRPr="001E134D">
        <w:rPr>
          <w:rFonts w:ascii="Cambria" w:hAnsi="Cambria"/>
        </w:rPr>
        <w:t>3.1.1. Factores de riesgo con respecto al cliente:</w:t>
      </w:r>
    </w:p>
    <w:p w14:paraId="43EE364B" w14:textId="77777777" w:rsidR="003E5D78" w:rsidRPr="001E134D" w:rsidRDefault="003E5D78" w:rsidP="003E5D78">
      <w:pPr>
        <w:ind w:left="1276" w:hanging="685"/>
        <w:jc w:val="both"/>
        <w:rPr>
          <w:rFonts w:ascii="Cambria" w:hAnsi="Cambria"/>
        </w:rPr>
      </w:pPr>
    </w:p>
    <w:p w14:paraId="233CBE2E" w14:textId="77777777" w:rsidR="003E5D78" w:rsidRPr="001E134D" w:rsidRDefault="003E5D78" w:rsidP="003E5D78">
      <w:pPr>
        <w:ind w:left="2268" w:hanging="992"/>
        <w:jc w:val="both"/>
        <w:rPr>
          <w:rFonts w:ascii="Cambria" w:hAnsi="Cambria"/>
        </w:rPr>
      </w:pPr>
      <w:r w:rsidRPr="001E134D">
        <w:rPr>
          <w:rFonts w:ascii="Cambria" w:hAnsi="Cambria"/>
        </w:rPr>
        <w:t xml:space="preserve">3.1.1.1. </w:t>
      </w:r>
      <w:r w:rsidRPr="001E134D">
        <w:rPr>
          <w:rFonts w:ascii="Cambria" w:hAnsi="Cambria"/>
        </w:rPr>
        <w:tab/>
        <w:t>La relación comercial se realiza en circunstancias inusuales (ej.: distancia geográfica significativa entre la institución financiera y el cliente inexplicable).</w:t>
      </w:r>
    </w:p>
    <w:p w14:paraId="6C58AA79" w14:textId="77777777" w:rsidR="003E5D78" w:rsidRPr="001E134D" w:rsidRDefault="003E5D78" w:rsidP="003E5D78">
      <w:pPr>
        <w:ind w:left="2268" w:hanging="992"/>
        <w:jc w:val="both"/>
        <w:rPr>
          <w:rFonts w:ascii="Cambria" w:hAnsi="Cambria"/>
        </w:rPr>
      </w:pPr>
      <w:r w:rsidRPr="001E134D">
        <w:rPr>
          <w:rFonts w:ascii="Cambria" w:hAnsi="Cambria"/>
        </w:rPr>
        <w:t xml:space="preserve">3.1.1.2. </w:t>
      </w:r>
      <w:r w:rsidRPr="001E134D">
        <w:rPr>
          <w:rFonts w:ascii="Cambria" w:hAnsi="Cambria"/>
        </w:rPr>
        <w:tab/>
        <w:t>Clientes no residentes.</w:t>
      </w:r>
    </w:p>
    <w:p w14:paraId="2090D3E7" w14:textId="77777777" w:rsidR="003E5D78" w:rsidRPr="001E134D" w:rsidRDefault="003E5D78" w:rsidP="003E5D78">
      <w:pPr>
        <w:ind w:left="2268" w:hanging="992"/>
        <w:jc w:val="both"/>
        <w:rPr>
          <w:rFonts w:ascii="Cambria" w:hAnsi="Cambria"/>
        </w:rPr>
      </w:pPr>
      <w:r w:rsidRPr="001E134D">
        <w:rPr>
          <w:rFonts w:ascii="Cambria" w:hAnsi="Cambria"/>
        </w:rPr>
        <w:t>3.1.1.3.</w:t>
      </w:r>
      <w:r w:rsidRPr="001E134D">
        <w:rPr>
          <w:rFonts w:ascii="Cambria" w:hAnsi="Cambria"/>
        </w:rPr>
        <w:tab/>
        <w:t>Personas jurídicas o estructuras jurídicas que son vehículos de tenencia de activos personales.</w:t>
      </w:r>
    </w:p>
    <w:p w14:paraId="6F1E06C7" w14:textId="77777777" w:rsidR="003E5D78" w:rsidRPr="001E134D" w:rsidRDefault="003E5D78" w:rsidP="003E5D78">
      <w:pPr>
        <w:ind w:left="2268" w:hanging="992"/>
        <w:jc w:val="both"/>
        <w:rPr>
          <w:rFonts w:ascii="Cambria" w:hAnsi="Cambria"/>
        </w:rPr>
      </w:pPr>
      <w:r w:rsidRPr="001E134D">
        <w:rPr>
          <w:rFonts w:ascii="Cambria" w:hAnsi="Cambria"/>
        </w:rPr>
        <w:t xml:space="preserve">3.1.1.4. </w:t>
      </w:r>
      <w:r w:rsidRPr="001E134D">
        <w:rPr>
          <w:rFonts w:ascii="Cambria" w:hAnsi="Cambria"/>
        </w:rPr>
        <w:tab/>
        <w:t>Sociedades mercantiles que tienen accionistas nominales o acciones de tipo al portador.</w:t>
      </w:r>
    </w:p>
    <w:p w14:paraId="6DF6F388" w14:textId="77777777" w:rsidR="003E5D78" w:rsidRPr="001E134D" w:rsidRDefault="003E5D78" w:rsidP="003E5D78">
      <w:pPr>
        <w:ind w:left="2268" w:hanging="992"/>
        <w:jc w:val="both"/>
        <w:rPr>
          <w:rFonts w:ascii="Cambria" w:hAnsi="Cambria"/>
        </w:rPr>
      </w:pPr>
      <w:r w:rsidRPr="001E134D">
        <w:rPr>
          <w:rFonts w:ascii="Cambria" w:hAnsi="Cambria"/>
        </w:rPr>
        <w:t>3.1.1.5.</w:t>
      </w:r>
      <w:r w:rsidRPr="001E134D">
        <w:rPr>
          <w:rFonts w:ascii="Cambria" w:hAnsi="Cambria"/>
        </w:rPr>
        <w:tab/>
        <w:t>Negocios que utilizan cuantías elevadas de efectivo.</w:t>
      </w:r>
    </w:p>
    <w:p w14:paraId="35E99055" w14:textId="77777777" w:rsidR="003E5D78" w:rsidRPr="001E134D" w:rsidRDefault="003E5D78" w:rsidP="003E5D78">
      <w:pPr>
        <w:ind w:left="2268" w:hanging="992"/>
        <w:jc w:val="both"/>
        <w:rPr>
          <w:rFonts w:ascii="Cambria" w:hAnsi="Cambria"/>
        </w:rPr>
      </w:pPr>
      <w:r w:rsidRPr="001E134D">
        <w:rPr>
          <w:rFonts w:ascii="Cambria" w:hAnsi="Cambria"/>
        </w:rPr>
        <w:t xml:space="preserve">3.1.1.6. </w:t>
      </w:r>
      <w:r w:rsidRPr="001E134D">
        <w:rPr>
          <w:rFonts w:ascii="Cambria" w:hAnsi="Cambria"/>
        </w:rPr>
        <w:tab/>
        <w:t>La estructura de titularidad de la sociedad mercantil parece ser inusual o excesivamente compleja dado el carácter de la actividad de la sociedad mercantil.</w:t>
      </w:r>
    </w:p>
    <w:p w14:paraId="5C52E452" w14:textId="77777777" w:rsidR="003E5D78" w:rsidRPr="001E134D" w:rsidRDefault="003E5D78" w:rsidP="003E5D78">
      <w:pPr>
        <w:ind w:left="2268" w:hanging="992"/>
        <w:jc w:val="both"/>
        <w:rPr>
          <w:rFonts w:ascii="Cambria" w:hAnsi="Cambria"/>
        </w:rPr>
      </w:pPr>
      <w:r w:rsidRPr="001E134D">
        <w:rPr>
          <w:rFonts w:ascii="Cambria" w:hAnsi="Cambria"/>
        </w:rPr>
        <w:t xml:space="preserve">3.1.1.7. </w:t>
      </w:r>
      <w:r w:rsidRPr="001E134D">
        <w:rPr>
          <w:rFonts w:ascii="Cambria" w:hAnsi="Cambria"/>
        </w:rPr>
        <w:tab/>
        <w:t>Están involucradas Personas Expuestas Políticamente (PEP’s)</w:t>
      </w:r>
    </w:p>
    <w:p w14:paraId="04F59519" w14:textId="77777777" w:rsidR="003E5D78" w:rsidRDefault="003E5D78" w:rsidP="003E5D78">
      <w:pPr>
        <w:ind w:left="1276" w:hanging="685"/>
        <w:jc w:val="both"/>
        <w:rPr>
          <w:rFonts w:ascii="Cambria" w:hAnsi="Cambria"/>
        </w:rPr>
      </w:pPr>
    </w:p>
    <w:p w14:paraId="730DF6A7" w14:textId="5C65950E" w:rsidR="003E5D78" w:rsidRDefault="003E5D78" w:rsidP="003E5D78">
      <w:pPr>
        <w:ind w:left="1276" w:hanging="685"/>
        <w:jc w:val="both"/>
        <w:rPr>
          <w:rFonts w:ascii="Cambria" w:hAnsi="Cambria"/>
        </w:rPr>
      </w:pPr>
      <w:r w:rsidRPr="001E134D">
        <w:rPr>
          <w:rFonts w:ascii="Cambria" w:hAnsi="Cambria"/>
        </w:rPr>
        <w:t>3.1.2.</w:t>
      </w:r>
      <w:r>
        <w:rPr>
          <w:rFonts w:ascii="Cambria" w:hAnsi="Cambria"/>
        </w:rPr>
        <w:tab/>
      </w:r>
      <w:r w:rsidRPr="001E134D">
        <w:rPr>
          <w:rFonts w:ascii="Cambria" w:hAnsi="Cambria"/>
        </w:rPr>
        <w:t>Factores de riesgo con respecto al país o área geográfica:</w:t>
      </w:r>
    </w:p>
    <w:p w14:paraId="40142409" w14:textId="77777777" w:rsidR="003E5D78" w:rsidRPr="001E134D" w:rsidRDefault="003E5D78" w:rsidP="003E5D78">
      <w:pPr>
        <w:ind w:left="1276" w:hanging="685"/>
        <w:jc w:val="both"/>
        <w:rPr>
          <w:rFonts w:ascii="Cambria" w:hAnsi="Cambria"/>
        </w:rPr>
      </w:pPr>
    </w:p>
    <w:p w14:paraId="79BC4ED7" w14:textId="77777777" w:rsidR="003E5D78" w:rsidRPr="001E134D" w:rsidRDefault="003E5D78" w:rsidP="003E5D78">
      <w:pPr>
        <w:ind w:left="2268" w:hanging="992"/>
        <w:jc w:val="both"/>
        <w:rPr>
          <w:rFonts w:ascii="Cambria" w:hAnsi="Cambria"/>
        </w:rPr>
      </w:pPr>
      <w:r w:rsidRPr="001E134D">
        <w:rPr>
          <w:rFonts w:ascii="Cambria" w:hAnsi="Cambria"/>
        </w:rPr>
        <w:t xml:space="preserve">3.1.2.1 </w:t>
      </w:r>
      <w:r w:rsidRPr="001E134D">
        <w:rPr>
          <w:rFonts w:ascii="Cambria" w:hAnsi="Cambria"/>
        </w:rPr>
        <w:tab/>
        <w:t xml:space="preserve">Países identificados por fuentes verosímiles, como son los Informes de Evaluación Mutua o los Informes detallados de Evaluación o Informes </w:t>
      </w:r>
      <w:r w:rsidRPr="001E134D">
        <w:rPr>
          <w:rFonts w:ascii="Cambria" w:hAnsi="Cambria"/>
        </w:rPr>
        <w:lastRenderedPageBreak/>
        <w:t>de Seguimiento publicados, como que no tienen sistemas adecuados contra LC/FT/FPADM.</w:t>
      </w:r>
    </w:p>
    <w:p w14:paraId="482976C8" w14:textId="77777777" w:rsidR="003E5D78" w:rsidRPr="001E134D" w:rsidRDefault="003E5D78" w:rsidP="003E5D78">
      <w:pPr>
        <w:ind w:left="2268" w:hanging="992"/>
        <w:jc w:val="both"/>
        <w:rPr>
          <w:rFonts w:ascii="Cambria" w:hAnsi="Cambria"/>
        </w:rPr>
      </w:pPr>
      <w:r w:rsidRPr="001E134D">
        <w:rPr>
          <w:rFonts w:ascii="Cambria" w:hAnsi="Cambria"/>
        </w:rPr>
        <w:t xml:space="preserve">3.1.2.2 </w:t>
      </w:r>
      <w:r w:rsidRPr="001E134D">
        <w:rPr>
          <w:rFonts w:ascii="Cambria" w:hAnsi="Cambria"/>
        </w:rPr>
        <w:tab/>
        <w:t>Países sujetos a sanciones, embargos o medidas similares emitidas, por ejemplo, por las Naciones Unidas.</w:t>
      </w:r>
    </w:p>
    <w:p w14:paraId="79BEA70D" w14:textId="77777777" w:rsidR="003E5D78" w:rsidRPr="001E134D" w:rsidRDefault="003E5D78" w:rsidP="003E5D78">
      <w:pPr>
        <w:ind w:left="2268" w:hanging="992"/>
        <w:jc w:val="both"/>
        <w:rPr>
          <w:rFonts w:ascii="Cambria" w:hAnsi="Cambria"/>
        </w:rPr>
      </w:pPr>
      <w:r w:rsidRPr="001E134D">
        <w:rPr>
          <w:rFonts w:ascii="Cambria" w:hAnsi="Cambria"/>
        </w:rPr>
        <w:t xml:space="preserve">3.1.2.3 </w:t>
      </w:r>
      <w:r w:rsidRPr="001E134D">
        <w:rPr>
          <w:rFonts w:ascii="Cambria" w:hAnsi="Cambria"/>
        </w:rPr>
        <w:tab/>
        <w:t>Países identificados por fuentes verosímiles como que tienen niveles importantes de corrupción u otra actividad criminal.</w:t>
      </w:r>
    </w:p>
    <w:p w14:paraId="221B9A1B" w14:textId="77777777" w:rsidR="003E5D78" w:rsidRPr="001E134D" w:rsidRDefault="003E5D78" w:rsidP="003E5D78">
      <w:pPr>
        <w:ind w:left="2268" w:hanging="992"/>
        <w:jc w:val="both"/>
        <w:rPr>
          <w:rFonts w:ascii="Cambria" w:hAnsi="Cambria"/>
        </w:rPr>
      </w:pPr>
      <w:r w:rsidRPr="001E134D">
        <w:rPr>
          <w:rFonts w:ascii="Cambria" w:hAnsi="Cambria"/>
        </w:rPr>
        <w:t xml:space="preserve">3.1.2.4 </w:t>
      </w:r>
      <w:r w:rsidRPr="001E134D">
        <w:rPr>
          <w:rFonts w:ascii="Cambria" w:hAnsi="Cambria"/>
        </w:rPr>
        <w:tab/>
        <w:t>Países o áreas geográficas identificadas por fuentes verosímiles como suministradores de financiamiento o apoyo a actividades terroristas o que tienen a organizaciones terroristas designadas operando dentro de su país.</w:t>
      </w:r>
    </w:p>
    <w:p w14:paraId="14441974" w14:textId="77777777" w:rsidR="003E5D78" w:rsidRDefault="003E5D78" w:rsidP="003E5D78">
      <w:pPr>
        <w:ind w:left="1276" w:hanging="685"/>
        <w:jc w:val="both"/>
        <w:rPr>
          <w:rFonts w:ascii="Cambria" w:hAnsi="Cambria"/>
        </w:rPr>
      </w:pPr>
    </w:p>
    <w:p w14:paraId="17F3C55E" w14:textId="139122D4" w:rsidR="003E5D78" w:rsidRDefault="003E5D78" w:rsidP="003E5D78">
      <w:pPr>
        <w:ind w:left="1276" w:hanging="685"/>
        <w:jc w:val="both"/>
        <w:rPr>
          <w:rFonts w:ascii="Cambria" w:hAnsi="Cambria"/>
        </w:rPr>
      </w:pPr>
      <w:r w:rsidRPr="001E134D">
        <w:rPr>
          <w:rFonts w:ascii="Cambria" w:hAnsi="Cambria"/>
        </w:rPr>
        <w:t xml:space="preserve">3.1.3. </w:t>
      </w:r>
      <w:r w:rsidRPr="001E134D">
        <w:rPr>
          <w:rFonts w:ascii="Cambria" w:hAnsi="Cambria"/>
        </w:rPr>
        <w:tab/>
        <w:t>Factores de riesgo con respecto a productos, servicios, transacciones o canales de distribución:</w:t>
      </w:r>
    </w:p>
    <w:p w14:paraId="41F1CE85" w14:textId="77777777" w:rsidR="003E5D78" w:rsidRPr="001E134D" w:rsidRDefault="003E5D78" w:rsidP="003E5D78">
      <w:pPr>
        <w:ind w:left="1276" w:hanging="685"/>
        <w:jc w:val="both"/>
        <w:rPr>
          <w:rFonts w:ascii="Cambria" w:hAnsi="Cambria"/>
        </w:rPr>
      </w:pPr>
    </w:p>
    <w:p w14:paraId="7DE76C87" w14:textId="77777777" w:rsidR="003E5D78" w:rsidRPr="001E134D" w:rsidRDefault="003E5D78" w:rsidP="003E5D78">
      <w:pPr>
        <w:ind w:left="2268" w:hanging="992"/>
        <w:jc w:val="both"/>
        <w:rPr>
          <w:rFonts w:ascii="Cambria" w:hAnsi="Cambria"/>
        </w:rPr>
      </w:pPr>
      <w:r w:rsidRPr="001E134D">
        <w:rPr>
          <w:rFonts w:ascii="Cambria" w:hAnsi="Cambria"/>
        </w:rPr>
        <w:t xml:space="preserve">3.1.3.1 </w:t>
      </w:r>
      <w:r w:rsidRPr="001E134D">
        <w:rPr>
          <w:rFonts w:ascii="Cambria" w:hAnsi="Cambria"/>
        </w:rPr>
        <w:tab/>
        <w:t>Transacciones anónimas o con importantes montos en efectivo.</w:t>
      </w:r>
    </w:p>
    <w:p w14:paraId="323B7EE4" w14:textId="77777777" w:rsidR="003E5D78" w:rsidRPr="001E134D" w:rsidRDefault="003E5D78" w:rsidP="003E5D78">
      <w:pPr>
        <w:ind w:left="2268" w:hanging="992"/>
        <w:jc w:val="both"/>
        <w:rPr>
          <w:rFonts w:ascii="Cambria" w:hAnsi="Cambria"/>
        </w:rPr>
      </w:pPr>
      <w:r w:rsidRPr="001E134D">
        <w:rPr>
          <w:rFonts w:ascii="Cambria" w:hAnsi="Cambria"/>
        </w:rPr>
        <w:t xml:space="preserve">3.1.3.2 </w:t>
      </w:r>
      <w:r w:rsidRPr="001E134D">
        <w:rPr>
          <w:rFonts w:ascii="Cambria" w:hAnsi="Cambria"/>
        </w:rPr>
        <w:tab/>
        <w:t>Relaciones o transacciones en las que no se entabla un contacto físico entre las partes.</w:t>
      </w:r>
    </w:p>
    <w:p w14:paraId="2F7FB072" w14:textId="77777777" w:rsidR="003E5D78" w:rsidRPr="001E134D" w:rsidRDefault="003E5D78" w:rsidP="003E5D78">
      <w:pPr>
        <w:ind w:left="2268" w:hanging="992"/>
        <w:jc w:val="both"/>
        <w:rPr>
          <w:rFonts w:ascii="Cambria" w:hAnsi="Cambria"/>
        </w:rPr>
      </w:pPr>
      <w:r w:rsidRPr="001E134D">
        <w:rPr>
          <w:rFonts w:ascii="Cambria" w:hAnsi="Cambria"/>
        </w:rPr>
        <w:t xml:space="preserve">3.1.3.3 </w:t>
      </w:r>
      <w:r w:rsidRPr="001E134D">
        <w:rPr>
          <w:rFonts w:ascii="Cambria" w:hAnsi="Cambria"/>
        </w:rPr>
        <w:tab/>
        <w:t>Pago recibido de partes desconocidas o terceros no asociados.</w:t>
      </w:r>
    </w:p>
    <w:p w14:paraId="5287EB99" w14:textId="77777777" w:rsidR="003E5D78" w:rsidRDefault="003E5D78" w:rsidP="003E5D78">
      <w:pPr>
        <w:ind w:left="1276" w:hanging="709"/>
        <w:jc w:val="both"/>
        <w:rPr>
          <w:rFonts w:ascii="Cambria" w:hAnsi="Cambria"/>
        </w:rPr>
      </w:pPr>
    </w:p>
    <w:p w14:paraId="50A0C10E" w14:textId="748CA44C" w:rsidR="003E5D78" w:rsidRPr="001E134D" w:rsidRDefault="003E5D78" w:rsidP="003E5D78">
      <w:pPr>
        <w:ind w:left="1276" w:hanging="709"/>
        <w:jc w:val="both"/>
        <w:rPr>
          <w:rFonts w:ascii="Cambria" w:hAnsi="Cambria"/>
        </w:rPr>
      </w:pPr>
      <w:r w:rsidRPr="001E134D">
        <w:rPr>
          <w:rFonts w:ascii="Cambria" w:hAnsi="Cambria"/>
        </w:rPr>
        <w:t xml:space="preserve">3.2 </w:t>
      </w:r>
      <w:r w:rsidRPr="001E134D">
        <w:rPr>
          <w:rFonts w:ascii="Cambria" w:hAnsi="Cambria"/>
        </w:rPr>
        <w:tab/>
        <w:t>Algunos ejemplos de medidas de DDC reforzadas que podrían aplicarse para las relaciones comerciales de mayor riesgo incluyen:</w:t>
      </w:r>
    </w:p>
    <w:p w14:paraId="41E54302" w14:textId="77777777" w:rsidR="003E5D78" w:rsidRDefault="003E5D78" w:rsidP="003E5D78">
      <w:pPr>
        <w:ind w:left="1276" w:hanging="709"/>
        <w:jc w:val="both"/>
        <w:rPr>
          <w:rFonts w:ascii="Cambria" w:hAnsi="Cambria"/>
        </w:rPr>
      </w:pPr>
    </w:p>
    <w:p w14:paraId="421B2667" w14:textId="43662D51" w:rsidR="003E5D78" w:rsidRPr="001E134D" w:rsidRDefault="003E5D78" w:rsidP="003E5D78">
      <w:pPr>
        <w:ind w:left="1276" w:hanging="709"/>
        <w:jc w:val="both"/>
        <w:rPr>
          <w:rFonts w:ascii="Cambria" w:hAnsi="Cambria"/>
        </w:rPr>
      </w:pPr>
      <w:r w:rsidRPr="001E134D">
        <w:rPr>
          <w:rFonts w:ascii="Cambria" w:hAnsi="Cambria"/>
        </w:rPr>
        <w:t xml:space="preserve">3.2.1. </w:t>
      </w:r>
      <w:r>
        <w:rPr>
          <w:rFonts w:ascii="Cambria" w:hAnsi="Cambria"/>
        </w:rPr>
        <w:tab/>
      </w:r>
      <w:r w:rsidRPr="001E134D">
        <w:rPr>
          <w:rFonts w:ascii="Cambria" w:hAnsi="Cambria"/>
        </w:rPr>
        <w:t>Obtener información adicional sobre el cliente (por ejemplo, ocupación, volumen de activos, información disponible a través de bases de datos públicas, Internet, etc.) y actualizar de forma más regular los datos de identificación del cliente y beneficiario final.</w:t>
      </w:r>
    </w:p>
    <w:p w14:paraId="5FA12E5D" w14:textId="77777777" w:rsidR="003E5D78" w:rsidRDefault="003E5D78" w:rsidP="003E5D78">
      <w:pPr>
        <w:ind w:left="1276" w:hanging="709"/>
        <w:jc w:val="both"/>
        <w:rPr>
          <w:rFonts w:ascii="Cambria" w:hAnsi="Cambria"/>
        </w:rPr>
      </w:pPr>
    </w:p>
    <w:p w14:paraId="269D21F9" w14:textId="1348819D" w:rsidR="003E5D78" w:rsidRPr="001E134D" w:rsidRDefault="003E5D78" w:rsidP="003E5D78">
      <w:pPr>
        <w:ind w:left="1276" w:hanging="709"/>
        <w:jc w:val="both"/>
        <w:rPr>
          <w:rFonts w:ascii="Cambria" w:hAnsi="Cambria"/>
        </w:rPr>
      </w:pPr>
      <w:r w:rsidRPr="001E134D">
        <w:rPr>
          <w:rFonts w:ascii="Cambria" w:hAnsi="Cambria"/>
        </w:rPr>
        <w:t>3.2.2.</w:t>
      </w:r>
      <w:r w:rsidRPr="001E134D">
        <w:rPr>
          <w:rFonts w:ascii="Cambria" w:hAnsi="Cambria"/>
        </w:rPr>
        <w:tab/>
        <w:t>Obtener información adicional sobre la naturaleza prevista de la relación comercial.</w:t>
      </w:r>
    </w:p>
    <w:p w14:paraId="554CE261" w14:textId="77777777" w:rsidR="003E5D78" w:rsidRDefault="003E5D78" w:rsidP="003E5D78">
      <w:pPr>
        <w:ind w:left="1276" w:hanging="709"/>
        <w:jc w:val="both"/>
        <w:rPr>
          <w:rFonts w:ascii="Cambria" w:hAnsi="Cambria"/>
        </w:rPr>
      </w:pPr>
    </w:p>
    <w:p w14:paraId="752D1E27" w14:textId="457C86D1" w:rsidR="003E5D78" w:rsidRPr="001E134D" w:rsidRDefault="003E5D78" w:rsidP="003E5D78">
      <w:pPr>
        <w:ind w:left="1276" w:hanging="709"/>
        <w:jc w:val="both"/>
        <w:rPr>
          <w:rFonts w:ascii="Cambria" w:hAnsi="Cambria"/>
        </w:rPr>
      </w:pPr>
      <w:r w:rsidRPr="001E134D">
        <w:rPr>
          <w:rFonts w:ascii="Cambria" w:hAnsi="Cambria"/>
        </w:rPr>
        <w:t>3.2.3.</w:t>
      </w:r>
      <w:r w:rsidRPr="001E134D">
        <w:rPr>
          <w:rFonts w:ascii="Cambria" w:hAnsi="Cambria"/>
        </w:rPr>
        <w:tab/>
        <w:t>Obtener información sobre la fuente de fondos o la fuente de riqueza del cliente.</w:t>
      </w:r>
    </w:p>
    <w:p w14:paraId="62CECD30" w14:textId="77777777" w:rsidR="003E5D78" w:rsidRDefault="003E5D78" w:rsidP="003E5D78">
      <w:pPr>
        <w:ind w:left="1276" w:hanging="709"/>
        <w:jc w:val="both"/>
        <w:rPr>
          <w:rFonts w:ascii="Cambria" w:hAnsi="Cambria"/>
        </w:rPr>
      </w:pPr>
    </w:p>
    <w:p w14:paraId="5EEAB00F" w14:textId="01959702" w:rsidR="003E5D78" w:rsidRPr="001E134D" w:rsidRDefault="003E5D78" w:rsidP="003E5D78">
      <w:pPr>
        <w:ind w:left="1276" w:hanging="709"/>
        <w:jc w:val="both"/>
        <w:rPr>
          <w:rFonts w:ascii="Cambria" w:hAnsi="Cambria"/>
        </w:rPr>
      </w:pPr>
      <w:r w:rsidRPr="001E134D">
        <w:rPr>
          <w:rFonts w:ascii="Cambria" w:hAnsi="Cambria"/>
        </w:rPr>
        <w:t>3.2.4.</w:t>
      </w:r>
      <w:r w:rsidRPr="001E134D">
        <w:rPr>
          <w:rFonts w:ascii="Cambria" w:hAnsi="Cambria"/>
        </w:rPr>
        <w:tab/>
        <w:t>Obtener información sobre los motivos de las transacciones previstas o realizadas.</w:t>
      </w:r>
    </w:p>
    <w:p w14:paraId="2470BE9D" w14:textId="77777777" w:rsidR="003E5D78" w:rsidRDefault="003E5D78" w:rsidP="003E5D78">
      <w:pPr>
        <w:ind w:left="1276" w:hanging="709"/>
        <w:jc w:val="both"/>
        <w:rPr>
          <w:rFonts w:ascii="Cambria" w:hAnsi="Cambria"/>
        </w:rPr>
      </w:pPr>
    </w:p>
    <w:p w14:paraId="6C710CE2" w14:textId="32A2A3C0" w:rsidR="003E5D78" w:rsidRPr="001E134D" w:rsidRDefault="003E5D78" w:rsidP="003E5D78">
      <w:pPr>
        <w:ind w:left="1276" w:hanging="709"/>
        <w:jc w:val="both"/>
        <w:rPr>
          <w:rFonts w:ascii="Cambria" w:hAnsi="Cambria"/>
        </w:rPr>
      </w:pPr>
      <w:r w:rsidRPr="001E134D">
        <w:rPr>
          <w:rFonts w:ascii="Cambria" w:hAnsi="Cambria"/>
        </w:rPr>
        <w:t>3.2.5.</w:t>
      </w:r>
      <w:r w:rsidRPr="001E134D">
        <w:rPr>
          <w:rFonts w:ascii="Cambria" w:hAnsi="Cambria"/>
        </w:rPr>
        <w:tab/>
        <w:t>Obtener la aprobación de la alta gerencia para comenzar o continuar la relación comercial.</w:t>
      </w:r>
    </w:p>
    <w:p w14:paraId="48082759" w14:textId="77777777" w:rsidR="003E5D78" w:rsidRPr="001E134D" w:rsidRDefault="003E5D78" w:rsidP="003E5D78">
      <w:pPr>
        <w:ind w:left="1276" w:hanging="709"/>
        <w:jc w:val="both"/>
        <w:rPr>
          <w:rFonts w:ascii="Cambria" w:hAnsi="Cambria"/>
        </w:rPr>
      </w:pPr>
      <w:r w:rsidRPr="001E134D">
        <w:rPr>
          <w:rFonts w:ascii="Cambria" w:hAnsi="Cambria"/>
        </w:rPr>
        <w:lastRenderedPageBreak/>
        <w:t>3.2.6.</w:t>
      </w:r>
      <w:r w:rsidRPr="001E134D">
        <w:rPr>
          <w:rFonts w:ascii="Cambria" w:hAnsi="Cambria"/>
        </w:rPr>
        <w:tab/>
        <w:t>Realizar un monitoreo continúo mejorado de la relación comercial, al aumentar el número y el calendario de los controles aplicados, y seleccionar patrones de transacciones que requieren un examen más detallado.</w:t>
      </w:r>
    </w:p>
    <w:p w14:paraId="767F276B" w14:textId="77777777" w:rsidR="003E5D78" w:rsidRDefault="003E5D78" w:rsidP="003E5D78">
      <w:pPr>
        <w:ind w:left="1300" w:hanging="733"/>
        <w:jc w:val="both"/>
        <w:rPr>
          <w:rFonts w:ascii="Cambria" w:hAnsi="Cambria"/>
        </w:rPr>
      </w:pPr>
    </w:p>
    <w:p w14:paraId="7BDA54E0" w14:textId="071823AB" w:rsidR="003E5D78" w:rsidRDefault="003E5D78" w:rsidP="003E5D78">
      <w:pPr>
        <w:ind w:left="1300" w:hanging="733"/>
        <w:jc w:val="both"/>
        <w:rPr>
          <w:rFonts w:ascii="Cambria" w:hAnsi="Cambria"/>
        </w:rPr>
      </w:pPr>
      <w:r w:rsidRPr="001E134D">
        <w:rPr>
          <w:rFonts w:ascii="Cambria" w:hAnsi="Cambria"/>
        </w:rPr>
        <w:t xml:space="preserve">3.2.7. </w:t>
      </w:r>
      <w:r w:rsidRPr="001E134D">
        <w:rPr>
          <w:rFonts w:ascii="Cambria" w:hAnsi="Cambria"/>
        </w:rPr>
        <w:tab/>
        <w:t>Exigir que el primer pago se realice a través de una cuenta a nombre del cliente con un banco sujeto a estándares similares de medidas de DCC.</w:t>
      </w:r>
    </w:p>
    <w:p w14:paraId="441D0AE6" w14:textId="77777777" w:rsidR="003E5D78" w:rsidRPr="001E134D" w:rsidRDefault="003E5D78" w:rsidP="003E5D78">
      <w:pPr>
        <w:ind w:left="1300" w:hanging="733"/>
        <w:jc w:val="both"/>
        <w:rPr>
          <w:rFonts w:ascii="Cambria" w:hAnsi="Cambria"/>
        </w:rPr>
      </w:pPr>
    </w:p>
    <w:p w14:paraId="01F70386" w14:textId="2937E0BD" w:rsidR="003E5D78" w:rsidRDefault="003E5D78" w:rsidP="003E5D78">
      <w:pPr>
        <w:ind w:left="567" w:hanging="567"/>
        <w:jc w:val="both"/>
        <w:rPr>
          <w:rFonts w:ascii="Cambria" w:hAnsi="Cambria"/>
        </w:rPr>
      </w:pPr>
      <w:r w:rsidRPr="001E134D">
        <w:rPr>
          <w:rFonts w:ascii="Cambria" w:hAnsi="Cambria"/>
        </w:rPr>
        <w:t xml:space="preserve">3.3 </w:t>
      </w:r>
      <w:r w:rsidRPr="001E134D">
        <w:rPr>
          <w:rFonts w:ascii="Cambria" w:hAnsi="Cambria"/>
        </w:rPr>
        <w:tab/>
        <w:t>Las siguientes situaciones, usualmente conllevan un riesgo inherente de LC/FT/FPADM mayor y por ende debe valorarse la aplicación de medidas de DDC reforzadas:</w:t>
      </w:r>
    </w:p>
    <w:p w14:paraId="5FB57B90" w14:textId="77777777" w:rsidR="003E5D78" w:rsidRPr="001E134D" w:rsidRDefault="003E5D78" w:rsidP="003E5D78">
      <w:pPr>
        <w:ind w:left="567" w:hanging="567"/>
        <w:jc w:val="both"/>
        <w:rPr>
          <w:rFonts w:ascii="Cambria" w:hAnsi="Cambria"/>
        </w:rPr>
      </w:pPr>
    </w:p>
    <w:p w14:paraId="7C4EDFC0" w14:textId="50523966" w:rsidR="003E5D78" w:rsidRDefault="003E5D78" w:rsidP="003E5D78">
      <w:pPr>
        <w:ind w:left="1300" w:hanging="709"/>
        <w:jc w:val="both"/>
        <w:rPr>
          <w:rFonts w:ascii="Cambria" w:hAnsi="Cambria"/>
        </w:rPr>
      </w:pPr>
      <w:r w:rsidRPr="001E134D">
        <w:rPr>
          <w:rFonts w:ascii="Cambria" w:hAnsi="Cambria"/>
        </w:rPr>
        <w:t xml:space="preserve">3.3.1. </w:t>
      </w:r>
      <w:r w:rsidRPr="001E134D">
        <w:rPr>
          <w:rFonts w:ascii="Cambria" w:hAnsi="Cambria"/>
        </w:rPr>
        <w:tab/>
        <w:t>Cuando exista una sospecha de lavado de activos o financiamiento del terrorismo o cuando se apliquen en escenarios específicos de mayor riesgo.</w:t>
      </w:r>
    </w:p>
    <w:p w14:paraId="7D70E215" w14:textId="77777777" w:rsidR="003E5D78" w:rsidRPr="001E134D" w:rsidRDefault="003E5D78" w:rsidP="003E5D78">
      <w:pPr>
        <w:ind w:left="1300" w:hanging="709"/>
        <w:jc w:val="both"/>
        <w:rPr>
          <w:rFonts w:ascii="Cambria" w:hAnsi="Cambria"/>
        </w:rPr>
      </w:pPr>
    </w:p>
    <w:p w14:paraId="78EAD22B" w14:textId="6E9E2C46" w:rsidR="003E5D78" w:rsidRDefault="003E5D78" w:rsidP="003E5D78">
      <w:pPr>
        <w:ind w:left="1300" w:hanging="709"/>
        <w:jc w:val="both"/>
        <w:rPr>
          <w:rFonts w:ascii="Cambria" w:hAnsi="Cambria"/>
        </w:rPr>
      </w:pPr>
      <w:r w:rsidRPr="001E134D">
        <w:rPr>
          <w:rFonts w:ascii="Cambria" w:hAnsi="Cambria"/>
        </w:rPr>
        <w:t>3.3.2.</w:t>
      </w:r>
      <w:r w:rsidRPr="001E134D">
        <w:rPr>
          <w:rFonts w:ascii="Cambria" w:hAnsi="Cambria"/>
        </w:rPr>
        <w:tab/>
        <w:t>Seguros de vida vinculados a fondos de inversión o contratos de prima única que generen rentabilidad.</w:t>
      </w:r>
    </w:p>
    <w:p w14:paraId="451561F4" w14:textId="77777777" w:rsidR="003E5D78" w:rsidRPr="001E134D" w:rsidRDefault="003E5D78" w:rsidP="003E5D78">
      <w:pPr>
        <w:ind w:left="1300" w:hanging="709"/>
        <w:jc w:val="both"/>
        <w:rPr>
          <w:rFonts w:ascii="Cambria" w:hAnsi="Cambria"/>
        </w:rPr>
      </w:pPr>
    </w:p>
    <w:p w14:paraId="638DB17B" w14:textId="77777777" w:rsidR="003E5D78" w:rsidRPr="001E134D" w:rsidRDefault="003E5D78" w:rsidP="003E5D78">
      <w:pPr>
        <w:ind w:left="1300" w:hanging="709"/>
        <w:jc w:val="both"/>
        <w:rPr>
          <w:rFonts w:ascii="Cambria" w:hAnsi="Cambria"/>
        </w:rPr>
      </w:pPr>
      <w:r w:rsidRPr="001E134D">
        <w:rPr>
          <w:rFonts w:ascii="Cambria" w:hAnsi="Cambria"/>
        </w:rPr>
        <w:t xml:space="preserve">3.3.3. </w:t>
      </w:r>
      <w:r w:rsidRPr="001E134D">
        <w:rPr>
          <w:rFonts w:ascii="Cambria" w:hAnsi="Cambria"/>
        </w:rPr>
        <w:tab/>
        <w:t xml:space="preserve">Pólizas de seguros de vida de prima única con depósito de valor en efectivo. </w:t>
      </w:r>
    </w:p>
    <w:p w14:paraId="3973D17E" w14:textId="77777777" w:rsidR="003E5D78" w:rsidRDefault="003E5D78" w:rsidP="003E5D78">
      <w:pPr>
        <w:ind w:left="1300" w:hanging="709"/>
        <w:jc w:val="both"/>
        <w:rPr>
          <w:rFonts w:ascii="Cambria" w:hAnsi="Cambria"/>
        </w:rPr>
      </w:pPr>
    </w:p>
    <w:p w14:paraId="4DDEB13F" w14:textId="605BB677" w:rsidR="003E5D78" w:rsidRPr="001E134D" w:rsidRDefault="003E5D78" w:rsidP="003E5D78">
      <w:pPr>
        <w:ind w:left="1300" w:hanging="709"/>
        <w:jc w:val="both"/>
        <w:rPr>
          <w:rFonts w:ascii="Cambria" w:hAnsi="Cambria"/>
        </w:rPr>
      </w:pPr>
      <w:r w:rsidRPr="001E134D">
        <w:rPr>
          <w:rFonts w:ascii="Cambria" w:hAnsi="Cambria"/>
        </w:rPr>
        <w:t xml:space="preserve">3.3.4. </w:t>
      </w:r>
      <w:r w:rsidRPr="001E134D">
        <w:rPr>
          <w:rFonts w:ascii="Cambria" w:hAnsi="Cambria"/>
        </w:rPr>
        <w:tab/>
        <w:t>Pólizas que al vencimiento de cierto tiempo entregan un capital (segunda mano).</w:t>
      </w:r>
    </w:p>
    <w:p w14:paraId="34CF418F" w14:textId="77777777" w:rsidR="003E5D78" w:rsidRDefault="003E5D78" w:rsidP="003E5D78">
      <w:pPr>
        <w:ind w:left="1300" w:hanging="709"/>
        <w:jc w:val="both"/>
        <w:rPr>
          <w:rFonts w:ascii="Cambria" w:hAnsi="Cambria"/>
        </w:rPr>
      </w:pPr>
    </w:p>
    <w:p w14:paraId="73429780" w14:textId="2B389595" w:rsidR="003E5D78" w:rsidRPr="001E134D" w:rsidRDefault="003E5D78" w:rsidP="003E5D78">
      <w:pPr>
        <w:ind w:left="1300" w:hanging="709"/>
        <w:jc w:val="both"/>
        <w:rPr>
          <w:rFonts w:ascii="Cambria" w:hAnsi="Cambria"/>
        </w:rPr>
      </w:pPr>
      <w:r w:rsidRPr="001E134D">
        <w:rPr>
          <w:rFonts w:ascii="Cambria" w:hAnsi="Cambria"/>
        </w:rPr>
        <w:t xml:space="preserve">3.3.5. </w:t>
      </w:r>
      <w:r w:rsidRPr="001E134D">
        <w:rPr>
          <w:rFonts w:ascii="Cambria" w:hAnsi="Cambria"/>
        </w:rPr>
        <w:tab/>
        <w:t>Seguros de caución financiera y seguros de crédito.</w:t>
      </w:r>
    </w:p>
    <w:p w14:paraId="01B29B2B" w14:textId="77777777" w:rsidR="003E5D78" w:rsidRDefault="003E5D78" w:rsidP="003E5D78">
      <w:pPr>
        <w:ind w:left="1300" w:hanging="709"/>
        <w:jc w:val="both"/>
        <w:rPr>
          <w:rFonts w:ascii="Cambria" w:hAnsi="Cambria"/>
        </w:rPr>
      </w:pPr>
    </w:p>
    <w:p w14:paraId="5CBAECA1" w14:textId="0E12C8EB" w:rsidR="003E5D78" w:rsidRPr="001E134D" w:rsidRDefault="003E5D78" w:rsidP="003E5D78">
      <w:pPr>
        <w:ind w:left="1300" w:hanging="709"/>
        <w:jc w:val="both"/>
        <w:rPr>
          <w:rFonts w:ascii="Cambria" w:hAnsi="Cambria"/>
        </w:rPr>
      </w:pPr>
      <w:r w:rsidRPr="001E134D">
        <w:rPr>
          <w:rFonts w:ascii="Cambria" w:hAnsi="Cambria"/>
        </w:rPr>
        <w:t>3.3.6. Seguros de bienes de lujo como embarcaciones de placer, unidades habitacionales o automotores con valores superiores a los umbrales que para ese efecto defina el ente supervisado.</w:t>
      </w:r>
    </w:p>
    <w:p w14:paraId="1EE2F81F" w14:textId="77777777" w:rsidR="003E5D78" w:rsidRDefault="003E5D78" w:rsidP="003E5D78">
      <w:pPr>
        <w:ind w:left="1300" w:hanging="709"/>
        <w:jc w:val="both"/>
        <w:rPr>
          <w:rFonts w:ascii="Cambria" w:hAnsi="Cambria"/>
        </w:rPr>
      </w:pPr>
    </w:p>
    <w:p w14:paraId="0A14C252" w14:textId="3BF77226" w:rsidR="003E5D78" w:rsidRPr="001E134D" w:rsidRDefault="003E5D78" w:rsidP="003E5D78">
      <w:pPr>
        <w:ind w:left="1300" w:hanging="709"/>
        <w:jc w:val="both"/>
        <w:rPr>
          <w:rFonts w:ascii="Cambria" w:hAnsi="Cambria"/>
        </w:rPr>
      </w:pPr>
      <w:r w:rsidRPr="001E134D">
        <w:rPr>
          <w:rFonts w:ascii="Cambria" w:hAnsi="Cambria"/>
        </w:rPr>
        <w:t xml:space="preserve">3.3.7. </w:t>
      </w:r>
      <w:r w:rsidRPr="001E134D">
        <w:rPr>
          <w:rFonts w:ascii="Cambria" w:hAnsi="Cambria"/>
        </w:rPr>
        <w:tab/>
        <w:t>Pólizas a la orden o al portador.</w:t>
      </w:r>
    </w:p>
    <w:p w14:paraId="5F035B1D" w14:textId="77777777" w:rsidR="003E5D78" w:rsidRDefault="003E5D78" w:rsidP="003E5D78">
      <w:pPr>
        <w:ind w:left="1300" w:hanging="733"/>
        <w:jc w:val="both"/>
        <w:rPr>
          <w:rFonts w:ascii="Cambria" w:hAnsi="Cambria"/>
        </w:rPr>
      </w:pPr>
    </w:p>
    <w:p w14:paraId="596F717E" w14:textId="04557F5A" w:rsidR="003E5D78" w:rsidRPr="001E134D" w:rsidRDefault="003E5D78" w:rsidP="003E5D78">
      <w:pPr>
        <w:ind w:left="1300" w:hanging="733"/>
        <w:jc w:val="both"/>
        <w:rPr>
          <w:rFonts w:ascii="Cambria" w:hAnsi="Cambria"/>
        </w:rPr>
      </w:pPr>
      <w:r w:rsidRPr="001E134D">
        <w:rPr>
          <w:rFonts w:ascii="Cambria" w:hAnsi="Cambria"/>
        </w:rPr>
        <w:t xml:space="preserve">3.3.8. </w:t>
      </w:r>
      <w:r w:rsidRPr="001E134D">
        <w:rPr>
          <w:rFonts w:ascii="Cambria" w:hAnsi="Cambria"/>
        </w:rPr>
        <w:tab/>
        <w:t>En caso de que se admitan esas situaciones, reclamos con base en acuerdos viáticos en donde un asegurado de vida designa a un beneficiario a cambio de un beneficio patrimonial.</w:t>
      </w:r>
    </w:p>
    <w:p w14:paraId="2361E756" w14:textId="77777777" w:rsidR="003E5D78" w:rsidRDefault="003E5D78" w:rsidP="003E5D78">
      <w:pPr>
        <w:jc w:val="both"/>
        <w:rPr>
          <w:rFonts w:ascii="Cambria" w:hAnsi="Cambria"/>
          <w:b/>
          <w:bCs/>
        </w:rPr>
      </w:pPr>
    </w:p>
    <w:p w14:paraId="376C1535" w14:textId="77777777" w:rsidR="003E5D78" w:rsidRDefault="003E5D78" w:rsidP="003E5D78">
      <w:pPr>
        <w:jc w:val="both"/>
        <w:rPr>
          <w:rFonts w:ascii="Cambria" w:hAnsi="Cambria"/>
          <w:b/>
          <w:bCs/>
        </w:rPr>
      </w:pPr>
    </w:p>
    <w:p w14:paraId="7DF48BAE" w14:textId="31D79B43" w:rsidR="003E5D78" w:rsidRPr="001E134D" w:rsidRDefault="003E5D78" w:rsidP="003E5D78">
      <w:pPr>
        <w:jc w:val="both"/>
        <w:rPr>
          <w:rFonts w:ascii="Cambria" w:hAnsi="Cambria"/>
          <w:b/>
          <w:bCs/>
        </w:rPr>
      </w:pPr>
      <w:r w:rsidRPr="001E134D">
        <w:rPr>
          <w:rFonts w:ascii="Cambria" w:hAnsi="Cambria"/>
          <w:b/>
          <w:bCs/>
        </w:rPr>
        <w:t>Artículo 4. Medidas de debida diligencia simplificada.</w:t>
      </w:r>
    </w:p>
    <w:p w14:paraId="299F9051" w14:textId="77777777" w:rsidR="003E5D78" w:rsidRPr="001E134D" w:rsidRDefault="003E5D78" w:rsidP="003E5D78">
      <w:pPr>
        <w:jc w:val="both"/>
        <w:rPr>
          <w:rFonts w:ascii="Cambria" w:hAnsi="Cambria"/>
        </w:rPr>
      </w:pPr>
      <w:r w:rsidRPr="001E134D">
        <w:rPr>
          <w:rFonts w:ascii="Cambria" w:hAnsi="Cambria"/>
        </w:rPr>
        <w:t xml:space="preserve">Las medidas de DDC simplificada corresponden a las medidas aplicables a situaciones donde se identifica un menor riesgo de LC/FT/FPADM y por ende contemplan requisitos y controles menores a los de las medidas de debida diligencia estándar. </w:t>
      </w:r>
    </w:p>
    <w:p w14:paraId="02DE3DBB" w14:textId="77777777" w:rsidR="003E5D78" w:rsidRDefault="003E5D78" w:rsidP="003E5D78">
      <w:pPr>
        <w:jc w:val="both"/>
        <w:rPr>
          <w:rFonts w:ascii="Cambria" w:hAnsi="Cambria"/>
        </w:rPr>
      </w:pPr>
    </w:p>
    <w:p w14:paraId="697041E0" w14:textId="22F2DA65" w:rsidR="003E5D78" w:rsidRDefault="003E5D78" w:rsidP="003E5D78">
      <w:pPr>
        <w:jc w:val="both"/>
        <w:rPr>
          <w:rFonts w:ascii="Cambria" w:hAnsi="Cambria"/>
        </w:rPr>
      </w:pPr>
      <w:r w:rsidRPr="001E134D">
        <w:rPr>
          <w:rFonts w:ascii="Cambria" w:hAnsi="Cambria"/>
        </w:rPr>
        <w:t>Las medidas de DDC simplificada deberán contemplar como mínimo que, a más tardar al momento del establecimiento de la relación, es decir cuando se perfecciona el aseguramiento, se recaben los datos necesarios para poder verificar la identidad del tomador del seguro y asegurado y a más tardar antes de materializar el beneficio que genere la póliza, los datos necesarios para poder verificar la identidad del beneficiario del seguro si fuera distinto del tomador y el asegurado. En caso de que una tercera persona actúe en representación de los sujetos mencionados, debe recabarse la información necesaria para verificar su identidad y representación.</w:t>
      </w:r>
    </w:p>
    <w:p w14:paraId="59B115A8" w14:textId="77777777" w:rsidR="003E5D78" w:rsidRPr="001E134D" w:rsidRDefault="003E5D78" w:rsidP="003E5D78">
      <w:pPr>
        <w:jc w:val="both"/>
        <w:rPr>
          <w:rFonts w:ascii="Cambria" w:hAnsi="Cambria"/>
        </w:rPr>
      </w:pPr>
    </w:p>
    <w:p w14:paraId="129C0F09" w14:textId="1ECB42F3" w:rsidR="003E5D78" w:rsidRDefault="003E5D78" w:rsidP="003E5D78">
      <w:pPr>
        <w:ind w:left="567" w:hanging="567"/>
        <w:jc w:val="both"/>
        <w:rPr>
          <w:rFonts w:ascii="Cambria" w:hAnsi="Cambria"/>
        </w:rPr>
      </w:pPr>
      <w:r w:rsidRPr="001E134D">
        <w:rPr>
          <w:rFonts w:ascii="Cambria" w:hAnsi="Cambria"/>
        </w:rPr>
        <w:t xml:space="preserve">4.1 </w:t>
      </w:r>
      <w:r w:rsidRPr="001E134D">
        <w:rPr>
          <w:rFonts w:ascii="Cambria" w:hAnsi="Cambria"/>
        </w:rPr>
        <w:tab/>
        <w:t>Algunos ejemplos de factores de riesgo que pueden determinar la aplicación de medidas de DDC simplificada son:</w:t>
      </w:r>
    </w:p>
    <w:p w14:paraId="76D42ED4" w14:textId="77777777" w:rsidR="003E5D78" w:rsidRPr="001E134D" w:rsidRDefault="003E5D78" w:rsidP="003E5D78">
      <w:pPr>
        <w:ind w:left="567" w:hanging="567"/>
        <w:jc w:val="both"/>
        <w:rPr>
          <w:rFonts w:ascii="Cambria" w:hAnsi="Cambria"/>
        </w:rPr>
      </w:pPr>
    </w:p>
    <w:p w14:paraId="07F98BE3" w14:textId="451570F4" w:rsidR="003E5D78" w:rsidRDefault="003E5D78" w:rsidP="003E5D78">
      <w:pPr>
        <w:ind w:left="1276" w:hanging="709"/>
        <w:jc w:val="both"/>
        <w:rPr>
          <w:rFonts w:ascii="Cambria" w:hAnsi="Cambria"/>
        </w:rPr>
      </w:pPr>
      <w:r w:rsidRPr="001E134D">
        <w:rPr>
          <w:rFonts w:ascii="Cambria" w:hAnsi="Cambria"/>
        </w:rPr>
        <w:t xml:space="preserve">4.1.1. </w:t>
      </w:r>
      <w:r>
        <w:rPr>
          <w:rFonts w:ascii="Cambria" w:hAnsi="Cambria"/>
        </w:rPr>
        <w:tab/>
      </w:r>
      <w:r w:rsidRPr="001E134D">
        <w:rPr>
          <w:rFonts w:ascii="Cambria" w:hAnsi="Cambria"/>
        </w:rPr>
        <w:t>Factor de riesgo con respecto al cliente:</w:t>
      </w:r>
    </w:p>
    <w:p w14:paraId="629B16E2" w14:textId="77777777" w:rsidR="003E5D78" w:rsidRPr="001E134D" w:rsidRDefault="003E5D78" w:rsidP="003E5D78">
      <w:pPr>
        <w:ind w:left="1276" w:hanging="709"/>
        <w:jc w:val="both"/>
        <w:rPr>
          <w:rFonts w:ascii="Cambria" w:hAnsi="Cambria"/>
        </w:rPr>
      </w:pPr>
    </w:p>
    <w:p w14:paraId="0B783F1C" w14:textId="77777777" w:rsidR="003E5D78" w:rsidRPr="001E134D" w:rsidRDefault="003E5D78" w:rsidP="003E5D78">
      <w:pPr>
        <w:ind w:left="2268" w:hanging="992"/>
        <w:jc w:val="both"/>
        <w:rPr>
          <w:rFonts w:ascii="Cambria" w:hAnsi="Cambria"/>
        </w:rPr>
      </w:pPr>
      <w:r w:rsidRPr="001E134D">
        <w:rPr>
          <w:rFonts w:ascii="Cambria" w:hAnsi="Cambria"/>
        </w:rPr>
        <w:t xml:space="preserve">4.1.1.1. </w:t>
      </w:r>
      <w:r w:rsidRPr="001E134D">
        <w:rPr>
          <w:rFonts w:ascii="Cambria" w:hAnsi="Cambria"/>
        </w:rPr>
        <w:tab/>
        <w:t>Instituciones financieras y actividades no financieras (Negocios o profesiones no financieras) cuando están sujetas a requisitos para combatir el lavado de dinero y el financiamiento del terrorismo de conformidad con las Recomendaciones del GAFI, y son efectivamente supervisadas o monitoreadas de acuerdo con las Recomendaciones para garantizar el cumplimiento de esos requisitos.</w:t>
      </w:r>
    </w:p>
    <w:p w14:paraId="1F19DF21" w14:textId="77777777" w:rsidR="003E5D78" w:rsidRPr="001E134D" w:rsidRDefault="003E5D78" w:rsidP="003E5D78">
      <w:pPr>
        <w:ind w:left="2268" w:hanging="992"/>
        <w:jc w:val="both"/>
        <w:rPr>
          <w:rFonts w:ascii="Cambria" w:hAnsi="Cambria"/>
        </w:rPr>
      </w:pPr>
      <w:r w:rsidRPr="001E134D">
        <w:rPr>
          <w:rFonts w:ascii="Cambria" w:hAnsi="Cambria"/>
        </w:rPr>
        <w:t xml:space="preserve">4.1.1.2. </w:t>
      </w:r>
      <w:r w:rsidRPr="001E134D">
        <w:rPr>
          <w:rFonts w:ascii="Cambria" w:hAnsi="Cambria"/>
        </w:rPr>
        <w:tab/>
        <w:t>Empresas públicas cotizadas en una bolsa de valores y sujetas a requisitos de divulgación regulatoria (ya sea mediante reglas bursátiles o mediante ley o medios exigibles) que imponen requisitos para garantizar la transparencia adecuada de la titularidad real o son una filial de propiedad mayoritaria de dicha empresa.</w:t>
      </w:r>
    </w:p>
    <w:p w14:paraId="3E91B32E" w14:textId="77777777" w:rsidR="003E5D78" w:rsidRPr="001E134D" w:rsidRDefault="003E5D78" w:rsidP="003E5D78">
      <w:pPr>
        <w:ind w:left="2268" w:hanging="992"/>
        <w:jc w:val="both"/>
        <w:rPr>
          <w:rFonts w:ascii="Cambria" w:hAnsi="Cambria"/>
        </w:rPr>
      </w:pPr>
      <w:r w:rsidRPr="001E134D">
        <w:rPr>
          <w:rFonts w:ascii="Cambria" w:hAnsi="Cambria"/>
        </w:rPr>
        <w:t xml:space="preserve">4.1.1.3. </w:t>
      </w:r>
      <w:r w:rsidRPr="001E134D">
        <w:rPr>
          <w:rFonts w:ascii="Cambria" w:hAnsi="Cambria"/>
        </w:rPr>
        <w:tab/>
        <w:t>Administraciones públicas o empresas estatales.</w:t>
      </w:r>
    </w:p>
    <w:p w14:paraId="3FBA4BB2" w14:textId="77777777" w:rsidR="003E5D78" w:rsidRDefault="003E5D78" w:rsidP="003E5D78">
      <w:pPr>
        <w:ind w:left="1276" w:hanging="709"/>
        <w:jc w:val="both"/>
        <w:rPr>
          <w:rFonts w:ascii="Cambria" w:hAnsi="Cambria"/>
        </w:rPr>
      </w:pPr>
    </w:p>
    <w:p w14:paraId="7693BC68" w14:textId="68F6CE58" w:rsidR="003E5D78" w:rsidRDefault="003E5D78" w:rsidP="003E5D78">
      <w:pPr>
        <w:ind w:left="1276" w:hanging="709"/>
        <w:jc w:val="both"/>
        <w:rPr>
          <w:rFonts w:ascii="Cambria" w:hAnsi="Cambria"/>
        </w:rPr>
      </w:pPr>
      <w:r w:rsidRPr="001E134D">
        <w:rPr>
          <w:rFonts w:ascii="Cambria" w:hAnsi="Cambria"/>
        </w:rPr>
        <w:t xml:space="preserve">4.1.2. </w:t>
      </w:r>
      <w:r>
        <w:rPr>
          <w:rFonts w:ascii="Cambria" w:hAnsi="Cambria"/>
        </w:rPr>
        <w:tab/>
        <w:t>F</w:t>
      </w:r>
      <w:r w:rsidRPr="001E134D">
        <w:rPr>
          <w:rFonts w:ascii="Cambria" w:hAnsi="Cambria"/>
        </w:rPr>
        <w:t>actores de riesgo con respecto al país o área geográfica:</w:t>
      </w:r>
    </w:p>
    <w:p w14:paraId="5F56E846" w14:textId="77777777" w:rsidR="003E5D78" w:rsidRPr="001E134D" w:rsidRDefault="003E5D78" w:rsidP="003E5D78">
      <w:pPr>
        <w:ind w:left="1276" w:hanging="709"/>
        <w:jc w:val="both"/>
        <w:rPr>
          <w:rFonts w:ascii="Cambria" w:hAnsi="Cambria"/>
        </w:rPr>
      </w:pPr>
    </w:p>
    <w:p w14:paraId="1CAFD3AD" w14:textId="77777777" w:rsidR="003E5D78" w:rsidRPr="001E134D" w:rsidRDefault="003E5D78" w:rsidP="003E5D78">
      <w:pPr>
        <w:ind w:left="2268" w:hanging="992"/>
        <w:jc w:val="both"/>
        <w:rPr>
          <w:rFonts w:ascii="Cambria" w:hAnsi="Cambria"/>
        </w:rPr>
      </w:pPr>
      <w:r w:rsidRPr="001E134D">
        <w:rPr>
          <w:rFonts w:ascii="Cambria" w:hAnsi="Cambria"/>
        </w:rPr>
        <w:t xml:space="preserve">4.1.2.1. </w:t>
      </w:r>
      <w:r w:rsidRPr="001E134D">
        <w:rPr>
          <w:rFonts w:ascii="Cambria" w:hAnsi="Cambria"/>
        </w:rPr>
        <w:tab/>
        <w:t>Los países se identifican por fuentes creíbles, como la evaluación mutua o los informes detallados de evaluación, ya que tienen sistemas de prevención LC/FT/FPADM efectivos.</w:t>
      </w:r>
    </w:p>
    <w:p w14:paraId="20584AEC" w14:textId="77777777" w:rsidR="003E5D78" w:rsidRPr="001E134D" w:rsidRDefault="003E5D78" w:rsidP="003E5D78">
      <w:pPr>
        <w:ind w:left="2268" w:hanging="992"/>
        <w:jc w:val="both"/>
        <w:rPr>
          <w:rFonts w:ascii="Cambria" w:hAnsi="Cambria"/>
        </w:rPr>
      </w:pPr>
      <w:r w:rsidRPr="001E134D">
        <w:rPr>
          <w:rFonts w:ascii="Cambria" w:hAnsi="Cambria"/>
        </w:rPr>
        <w:t xml:space="preserve">4.1.2.2. </w:t>
      </w:r>
      <w:r w:rsidRPr="001E134D">
        <w:rPr>
          <w:rFonts w:ascii="Cambria" w:hAnsi="Cambria"/>
        </w:rPr>
        <w:tab/>
        <w:t>Las fuentes creíbles identifican a los países como de bajo nivel de corrupción u otra actividad delictiva.</w:t>
      </w:r>
    </w:p>
    <w:p w14:paraId="07CBD70D" w14:textId="77777777" w:rsidR="003E5D78" w:rsidRDefault="003E5D78" w:rsidP="003E5D78">
      <w:pPr>
        <w:ind w:left="1276" w:hanging="709"/>
        <w:jc w:val="both"/>
        <w:rPr>
          <w:rFonts w:ascii="Cambria" w:hAnsi="Cambria"/>
        </w:rPr>
      </w:pPr>
    </w:p>
    <w:p w14:paraId="763F069D" w14:textId="3205B98F" w:rsidR="003E5D78" w:rsidRDefault="003E5D78" w:rsidP="003E5D78">
      <w:pPr>
        <w:ind w:left="1276" w:hanging="709"/>
        <w:jc w:val="both"/>
        <w:rPr>
          <w:rFonts w:ascii="Cambria" w:hAnsi="Cambria"/>
        </w:rPr>
      </w:pPr>
      <w:r w:rsidRPr="001E134D">
        <w:rPr>
          <w:rFonts w:ascii="Cambria" w:hAnsi="Cambria"/>
        </w:rPr>
        <w:t xml:space="preserve">4.1.3. </w:t>
      </w:r>
      <w:r>
        <w:rPr>
          <w:rFonts w:ascii="Cambria" w:hAnsi="Cambria"/>
        </w:rPr>
        <w:tab/>
      </w:r>
      <w:r w:rsidRPr="001E134D">
        <w:rPr>
          <w:rFonts w:ascii="Cambria" w:hAnsi="Cambria"/>
        </w:rPr>
        <w:t>Factores de riesgo con respecto a productos, servicios, transacciones o canales de distribución son:</w:t>
      </w:r>
    </w:p>
    <w:p w14:paraId="20AC6065" w14:textId="77777777" w:rsidR="003E5D78" w:rsidRPr="001E134D" w:rsidRDefault="003E5D78" w:rsidP="003E5D78">
      <w:pPr>
        <w:ind w:left="1276" w:hanging="709"/>
        <w:jc w:val="both"/>
        <w:rPr>
          <w:rFonts w:ascii="Cambria" w:hAnsi="Cambria"/>
        </w:rPr>
      </w:pPr>
    </w:p>
    <w:p w14:paraId="6AEDAECB" w14:textId="77777777" w:rsidR="003E5D78" w:rsidRPr="001E134D" w:rsidRDefault="003E5D78" w:rsidP="003E5D78">
      <w:pPr>
        <w:ind w:left="2268" w:hanging="992"/>
        <w:jc w:val="both"/>
        <w:rPr>
          <w:rFonts w:ascii="Cambria" w:hAnsi="Cambria"/>
        </w:rPr>
      </w:pPr>
      <w:r w:rsidRPr="001E134D">
        <w:rPr>
          <w:rFonts w:ascii="Cambria" w:hAnsi="Cambria"/>
        </w:rPr>
        <w:lastRenderedPageBreak/>
        <w:t xml:space="preserve">4.1.3.1. </w:t>
      </w:r>
      <w:r w:rsidRPr="001E134D">
        <w:rPr>
          <w:rFonts w:ascii="Cambria" w:hAnsi="Cambria"/>
        </w:rPr>
        <w:tab/>
        <w:t>Pólizas donde la prima anual es menor a USD 1.000 o una prima única de menos de USD 2.500.</w:t>
      </w:r>
    </w:p>
    <w:p w14:paraId="3B578208" w14:textId="77777777" w:rsidR="003E5D78" w:rsidRPr="001E134D" w:rsidRDefault="003E5D78" w:rsidP="003E5D78">
      <w:pPr>
        <w:ind w:left="2268" w:hanging="992"/>
        <w:jc w:val="both"/>
        <w:rPr>
          <w:rFonts w:ascii="Cambria" w:hAnsi="Cambria"/>
        </w:rPr>
      </w:pPr>
      <w:r w:rsidRPr="001E134D">
        <w:rPr>
          <w:rFonts w:ascii="Cambria" w:hAnsi="Cambria"/>
        </w:rPr>
        <w:t xml:space="preserve">4.1.3.2. </w:t>
      </w:r>
      <w:r w:rsidRPr="001E134D">
        <w:rPr>
          <w:rFonts w:ascii="Cambria" w:hAnsi="Cambria"/>
        </w:rPr>
        <w:tab/>
        <w:t>Pólizas de seguro para planes de retiro si no existe una cláusula de rescate y la póliza no puede utilizarse como garantía siempre que los fondos provienen de una cuenta de ahorro para el retiro sea obligatoria o voluntaria o de una cuenta abierta en otra entidad supervisada del sistema financiero.</w:t>
      </w:r>
    </w:p>
    <w:p w14:paraId="2724301E" w14:textId="77777777" w:rsidR="003E5D78" w:rsidRPr="001E134D" w:rsidRDefault="003E5D78" w:rsidP="003E5D78">
      <w:pPr>
        <w:ind w:left="2268" w:hanging="992"/>
        <w:jc w:val="both"/>
        <w:rPr>
          <w:rFonts w:ascii="Cambria" w:hAnsi="Cambria"/>
        </w:rPr>
      </w:pPr>
      <w:r w:rsidRPr="001E134D">
        <w:rPr>
          <w:rFonts w:ascii="Cambria" w:hAnsi="Cambria"/>
        </w:rPr>
        <w:t xml:space="preserve">4.1.3.3. </w:t>
      </w:r>
      <w:r w:rsidRPr="001E134D">
        <w:rPr>
          <w:rFonts w:ascii="Cambria" w:hAnsi="Cambria"/>
        </w:rPr>
        <w:tab/>
        <w:t>Seguros de retiro o esquemas similares que proporcionan beneficios de jubilación a los empleados, donde las contribuciones se realizan a través de la deducción de los salarios y las reglas del plan no permiten la cesión de los intereses de un miembro bajo el esquema.</w:t>
      </w:r>
    </w:p>
    <w:p w14:paraId="3256C61E" w14:textId="77777777" w:rsidR="003E5D78" w:rsidRPr="001E134D" w:rsidRDefault="003E5D78" w:rsidP="003E5D78">
      <w:pPr>
        <w:ind w:left="2268" w:hanging="992"/>
        <w:jc w:val="both"/>
        <w:rPr>
          <w:rFonts w:ascii="Cambria" w:hAnsi="Cambria"/>
        </w:rPr>
      </w:pPr>
      <w:r w:rsidRPr="001E134D">
        <w:rPr>
          <w:rFonts w:ascii="Cambria" w:hAnsi="Cambria"/>
        </w:rPr>
        <w:t xml:space="preserve">4.1.3.4. </w:t>
      </w:r>
      <w:r w:rsidRPr="001E134D">
        <w:rPr>
          <w:rFonts w:ascii="Cambria" w:hAnsi="Cambria"/>
        </w:rPr>
        <w:tab/>
        <w:t>Seguros que brindan servicios limitados y definidos apropiadamente a ciertos tipos de clientes, a fin de aumentar el acceso con fines de inclusión financiera.</w:t>
      </w:r>
    </w:p>
    <w:p w14:paraId="45FB30DC" w14:textId="7998AB04" w:rsidR="003E5D78" w:rsidRDefault="003E5D78" w:rsidP="003E5D78">
      <w:pPr>
        <w:ind w:left="2268" w:hanging="992"/>
        <w:jc w:val="both"/>
        <w:rPr>
          <w:rFonts w:ascii="Cambria" w:hAnsi="Cambria"/>
        </w:rPr>
      </w:pPr>
      <w:r w:rsidRPr="001E134D">
        <w:rPr>
          <w:rFonts w:ascii="Cambria" w:hAnsi="Cambria"/>
        </w:rPr>
        <w:t xml:space="preserve">4.1.3.5. </w:t>
      </w:r>
      <w:r w:rsidRPr="001E134D">
        <w:rPr>
          <w:rFonts w:ascii="Cambria" w:hAnsi="Cambria"/>
        </w:rPr>
        <w:tab/>
        <w:t>Seguros cuyas únicas prestaciones son en especie o mediante la prestación de un servicio sin que exista un pago en dinero a un asegurado o beneficiario del seguro.</w:t>
      </w:r>
    </w:p>
    <w:p w14:paraId="70E5A240" w14:textId="77777777" w:rsidR="003E5D78" w:rsidRPr="001E134D" w:rsidRDefault="003E5D78" w:rsidP="003E5D78">
      <w:pPr>
        <w:ind w:left="2268" w:hanging="992"/>
        <w:jc w:val="both"/>
        <w:rPr>
          <w:rFonts w:ascii="Cambria" w:hAnsi="Cambria"/>
        </w:rPr>
      </w:pPr>
    </w:p>
    <w:p w14:paraId="508E3818" w14:textId="0FFAB413" w:rsidR="003E5D78" w:rsidRDefault="003E5D78" w:rsidP="003E5D78">
      <w:pPr>
        <w:ind w:left="591" w:hanging="591"/>
        <w:jc w:val="both"/>
        <w:rPr>
          <w:rFonts w:ascii="Cambria" w:hAnsi="Cambria"/>
        </w:rPr>
      </w:pPr>
      <w:r w:rsidRPr="001E134D">
        <w:rPr>
          <w:rFonts w:ascii="Cambria" w:hAnsi="Cambria"/>
        </w:rPr>
        <w:t xml:space="preserve">4.2 </w:t>
      </w:r>
      <w:r w:rsidRPr="001E134D">
        <w:rPr>
          <w:rFonts w:ascii="Cambria" w:hAnsi="Cambria"/>
        </w:rPr>
        <w:tab/>
        <w:t xml:space="preserve">Algunos ejemplos de medidas de DDC simplificadas que podrían aplicarse para las relaciones comerciales de menor riesgo incluyen: </w:t>
      </w:r>
    </w:p>
    <w:p w14:paraId="1FDAE4EB" w14:textId="77777777" w:rsidR="003E5D78" w:rsidRPr="001E134D" w:rsidRDefault="003E5D78" w:rsidP="003E5D78">
      <w:pPr>
        <w:ind w:left="591" w:hanging="591"/>
        <w:jc w:val="both"/>
        <w:rPr>
          <w:rFonts w:ascii="Cambria" w:hAnsi="Cambria"/>
        </w:rPr>
      </w:pPr>
    </w:p>
    <w:p w14:paraId="7B0AD831" w14:textId="77777777" w:rsidR="003E5D78" w:rsidRPr="001E134D" w:rsidRDefault="003E5D78" w:rsidP="003E5D78">
      <w:pPr>
        <w:ind w:left="1300" w:hanging="733"/>
        <w:jc w:val="both"/>
        <w:rPr>
          <w:rFonts w:ascii="Cambria" w:hAnsi="Cambria"/>
        </w:rPr>
      </w:pPr>
      <w:r w:rsidRPr="001E134D">
        <w:rPr>
          <w:rFonts w:ascii="Cambria" w:hAnsi="Cambria"/>
        </w:rPr>
        <w:t xml:space="preserve">4.2.1 </w:t>
      </w:r>
      <w:r w:rsidRPr="001E134D">
        <w:rPr>
          <w:rFonts w:ascii="Cambria" w:hAnsi="Cambria"/>
        </w:rPr>
        <w:tab/>
        <w:t>La identidad del tomador y asegurado deben tener lugar al momento del establecimiento de la relación comercial pero la del beneficiario antes de materializarse el beneficio que genere la póliza, siempre que, ocurra tan pronto como sea razonablemente factible y los riesgos de LC/FT/FPADM se gestionen de manera efectiva.</w:t>
      </w:r>
    </w:p>
    <w:p w14:paraId="6A14CA15" w14:textId="77777777" w:rsidR="003E5D78" w:rsidRPr="001E134D" w:rsidRDefault="003E5D78" w:rsidP="003E5D78">
      <w:pPr>
        <w:ind w:left="1300" w:hanging="733"/>
        <w:jc w:val="both"/>
        <w:rPr>
          <w:rFonts w:ascii="Cambria" w:hAnsi="Cambria"/>
        </w:rPr>
      </w:pPr>
      <w:r w:rsidRPr="001E134D">
        <w:rPr>
          <w:rFonts w:ascii="Cambria" w:hAnsi="Cambria"/>
        </w:rPr>
        <w:t xml:space="preserve">4.2.2 </w:t>
      </w:r>
      <w:r w:rsidRPr="001E134D">
        <w:rPr>
          <w:rFonts w:ascii="Cambria" w:hAnsi="Cambria"/>
        </w:rPr>
        <w:tab/>
        <w:t>Prescindir del requerimiento de firma manuscrita, por ejemplo, con clientes no presenciales (como aquellos que utilizan internet, telemercadeo u otros medios electrónicos de comunicación).</w:t>
      </w:r>
    </w:p>
    <w:p w14:paraId="3A997241" w14:textId="77777777" w:rsidR="003E5D78" w:rsidRPr="001E134D" w:rsidRDefault="003E5D78" w:rsidP="003E5D78">
      <w:pPr>
        <w:ind w:left="1300" w:hanging="733"/>
        <w:jc w:val="both"/>
        <w:rPr>
          <w:rFonts w:ascii="Cambria" w:hAnsi="Cambria"/>
        </w:rPr>
      </w:pPr>
      <w:r w:rsidRPr="001E134D">
        <w:rPr>
          <w:rFonts w:ascii="Cambria" w:hAnsi="Cambria"/>
        </w:rPr>
        <w:t xml:space="preserve">4.2.3 </w:t>
      </w:r>
      <w:r w:rsidRPr="001E134D">
        <w:rPr>
          <w:rFonts w:ascii="Cambria" w:hAnsi="Cambria"/>
        </w:rPr>
        <w:tab/>
        <w:t>Reducir la frecuencia de las actualizaciones de identificación del cliente.</w:t>
      </w:r>
    </w:p>
    <w:p w14:paraId="2BC0ED4C" w14:textId="77777777" w:rsidR="003E5D78" w:rsidRPr="001E134D" w:rsidRDefault="003E5D78" w:rsidP="003E5D78">
      <w:pPr>
        <w:ind w:left="1300" w:hanging="733"/>
        <w:jc w:val="both"/>
        <w:rPr>
          <w:rFonts w:ascii="Cambria" w:hAnsi="Cambria"/>
        </w:rPr>
      </w:pPr>
      <w:r w:rsidRPr="001E134D">
        <w:rPr>
          <w:rFonts w:ascii="Cambria" w:hAnsi="Cambria"/>
        </w:rPr>
        <w:t xml:space="preserve">4.2.4 </w:t>
      </w:r>
      <w:r w:rsidRPr="001E134D">
        <w:rPr>
          <w:rFonts w:ascii="Cambria" w:hAnsi="Cambria"/>
        </w:rPr>
        <w:tab/>
        <w:t>Reducir el grado de monitoreo continuo y analizar transacciones a partir de un umbral monetario razonable.</w:t>
      </w:r>
    </w:p>
    <w:p w14:paraId="235C539A" w14:textId="77777777" w:rsidR="003E5D78" w:rsidRPr="001E134D" w:rsidRDefault="003E5D78" w:rsidP="003E5D78">
      <w:pPr>
        <w:ind w:left="1300" w:hanging="733"/>
        <w:jc w:val="both"/>
        <w:rPr>
          <w:rFonts w:ascii="Cambria" w:hAnsi="Cambria"/>
        </w:rPr>
      </w:pPr>
      <w:r w:rsidRPr="001E134D">
        <w:rPr>
          <w:rFonts w:ascii="Cambria" w:hAnsi="Cambria"/>
        </w:rPr>
        <w:t xml:space="preserve">4.2.5 </w:t>
      </w:r>
      <w:r w:rsidRPr="001E134D">
        <w:rPr>
          <w:rFonts w:ascii="Cambria" w:hAnsi="Cambria"/>
        </w:rPr>
        <w:tab/>
        <w:t>No recopilar información específica o llevar a cabo medidas específicas para comprender el propósito y la naturaleza prevista de la relación comercial, sino inferir el propósito y la naturaleza del tipo de transacciones o relación comercial establecida.</w:t>
      </w:r>
    </w:p>
    <w:p w14:paraId="2800105E" w14:textId="77777777" w:rsidR="003E5D78" w:rsidRPr="001E134D" w:rsidRDefault="003E5D78" w:rsidP="003E5D78">
      <w:pPr>
        <w:ind w:left="1300" w:hanging="733"/>
        <w:jc w:val="both"/>
        <w:rPr>
          <w:rFonts w:ascii="Cambria" w:hAnsi="Cambria"/>
        </w:rPr>
      </w:pPr>
      <w:r w:rsidRPr="001E134D">
        <w:rPr>
          <w:rFonts w:ascii="Cambria" w:hAnsi="Cambria"/>
        </w:rPr>
        <w:t xml:space="preserve">4.2.6 </w:t>
      </w:r>
      <w:r w:rsidRPr="001E134D">
        <w:rPr>
          <w:rFonts w:ascii="Cambria" w:hAnsi="Cambria"/>
        </w:rPr>
        <w:tab/>
        <w:t>No recopilar información sobre la fuente de ingresos.</w:t>
      </w:r>
    </w:p>
    <w:p w14:paraId="25809C53" w14:textId="2B8CBEB3" w:rsidR="003E5D78" w:rsidRDefault="003E5D78" w:rsidP="003E5D78">
      <w:pPr>
        <w:jc w:val="both"/>
        <w:rPr>
          <w:rFonts w:ascii="Cambria" w:hAnsi="Cambria"/>
          <w:b/>
          <w:bCs/>
        </w:rPr>
      </w:pPr>
    </w:p>
    <w:p w14:paraId="517C9CC3" w14:textId="77777777" w:rsidR="003E5D78" w:rsidRDefault="003E5D78" w:rsidP="003E5D78">
      <w:pPr>
        <w:jc w:val="both"/>
        <w:rPr>
          <w:rFonts w:ascii="Cambria" w:hAnsi="Cambria"/>
          <w:b/>
          <w:bCs/>
        </w:rPr>
      </w:pPr>
    </w:p>
    <w:p w14:paraId="51F9DC24" w14:textId="77777777" w:rsidR="003E5D78" w:rsidRPr="001E134D" w:rsidRDefault="003E5D78" w:rsidP="003E5D78">
      <w:pPr>
        <w:jc w:val="both"/>
        <w:rPr>
          <w:rFonts w:ascii="Cambria" w:hAnsi="Cambria"/>
          <w:b/>
          <w:bCs/>
        </w:rPr>
      </w:pPr>
      <w:r w:rsidRPr="001E134D">
        <w:rPr>
          <w:rFonts w:ascii="Cambria" w:hAnsi="Cambria"/>
          <w:b/>
          <w:bCs/>
        </w:rPr>
        <w:lastRenderedPageBreak/>
        <w:t>Artículo 5. Definición de las medidas de debida diligencia a implementar.</w:t>
      </w:r>
    </w:p>
    <w:p w14:paraId="797F2F8F" w14:textId="77777777" w:rsidR="003E5D78" w:rsidRPr="001E134D" w:rsidRDefault="003E5D78" w:rsidP="003E5D78">
      <w:pPr>
        <w:jc w:val="both"/>
        <w:rPr>
          <w:rFonts w:ascii="Cambria" w:hAnsi="Cambria"/>
        </w:rPr>
      </w:pPr>
      <w:r w:rsidRPr="001E134D">
        <w:rPr>
          <w:rFonts w:ascii="Cambria" w:hAnsi="Cambria"/>
        </w:rPr>
        <w:t>Las entidades aseguradoras que definan implementar las medidas de DCC diferenciadas en los términos de estos lineamientos deberán de previo establecer las políticas y procedimientos para ello en el Manual de Cumplimiento.</w:t>
      </w:r>
    </w:p>
    <w:p w14:paraId="1748DD70" w14:textId="77777777" w:rsidR="003E5D78" w:rsidRDefault="003E5D78" w:rsidP="003E5D78">
      <w:pPr>
        <w:jc w:val="both"/>
        <w:rPr>
          <w:rFonts w:ascii="Cambria" w:hAnsi="Cambria"/>
        </w:rPr>
      </w:pPr>
    </w:p>
    <w:p w14:paraId="1F508307" w14:textId="3496C679" w:rsidR="003E5D78" w:rsidRPr="001E134D" w:rsidRDefault="003E5D78" w:rsidP="003E5D78">
      <w:pPr>
        <w:jc w:val="both"/>
        <w:rPr>
          <w:rFonts w:ascii="Cambria" w:hAnsi="Cambria"/>
        </w:rPr>
      </w:pPr>
      <w:r w:rsidRPr="001E134D">
        <w:rPr>
          <w:rFonts w:ascii="Cambria" w:hAnsi="Cambria"/>
        </w:rPr>
        <w:t xml:space="preserve">De conformidad con lo anterior, las medidas de DCC específicas aplicables y los sistemas informáticos que se utilizarán para implementarlas, serán definidas por la entidad aseguradora y debe quedar constancia de esto en un informe de la oficialía de cumplimiento, que deberá ser revisado con una periodicidad anual por parte del Oficial de Cumplimiento y deberá estar disponible en cualquier momento, para las labores de supervisión de la SUGESE. </w:t>
      </w:r>
    </w:p>
    <w:p w14:paraId="54A0E38C" w14:textId="77777777" w:rsidR="003E5D78" w:rsidRDefault="003E5D78" w:rsidP="003E5D78">
      <w:pPr>
        <w:jc w:val="both"/>
        <w:rPr>
          <w:rFonts w:ascii="Cambria" w:hAnsi="Cambria"/>
        </w:rPr>
      </w:pPr>
    </w:p>
    <w:p w14:paraId="6EBF639B" w14:textId="348E5D5F" w:rsidR="003E5D78" w:rsidRPr="001E134D" w:rsidRDefault="003E5D78" w:rsidP="003E5D78">
      <w:pPr>
        <w:jc w:val="both"/>
        <w:rPr>
          <w:rFonts w:ascii="Cambria" w:hAnsi="Cambria"/>
        </w:rPr>
      </w:pPr>
      <w:r w:rsidRPr="001E134D">
        <w:rPr>
          <w:rFonts w:ascii="Cambria" w:hAnsi="Cambria"/>
        </w:rPr>
        <w:t xml:space="preserve">El oficial de cumplimiento de la entidad aseguradora debe manifestar que analizó el riesgo de LC/FT/FPADM y fueron determinadas las medidas de DCC específicas, simplificada, normal o reforzada, aplicables y en cuales circunstancias aplican estas. Lo anterior de conformidad con el artículo 9 del </w:t>
      </w:r>
      <w:r w:rsidRPr="001E134D">
        <w:rPr>
          <w:rFonts w:ascii="Cambria" w:hAnsi="Cambria"/>
          <w:i/>
          <w:iCs/>
        </w:rPr>
        <w:t>Reglamento sobre el Registro de Productos de Seguros</w:t>
      </w:r>
      <w:r w:rsidRPr="001E134D">
        <w:rPr>
          <w:rFonts w:ascii="Cambria" w:hAnsi="Cambria"/>
        </w:rPr>
        <w:t xml:space="preserve"> (Declaración para el registro de productos). </w:t>
      </w:r>
    </w:p>
    <w:p w14:paraId="1296866B" w14:textId="77777777" w:rsidR="003E5D78" w:rsidRDefault="003E5D78" w:rsidP="003E5D78">
      <w:pPr>
        <w:jc w:val="both"/>
        <w:rPr>
          <w:rFonts w:ascii="Cambria" w:hAnsi="Cambria"/>
        </w:rPr>
      </w:pPr>
    </w:p>
    <w:p w14:paraId="3F5D16C3" w14:textId="3B464A20" w:rsidR="003E5D78" w:rsidRPr="001E134D" w:rsidRDefault="003E5D78" w:rsidP="003E5D78">
      <w:pPr>
        <w:jc w:val="both"/>
        <w:rPr>
          <w:rFonts w:ascii="Cambria" w:hAnsi="Cambria"/>
        </w:rPr>
      </w:pPr>
      <w:r w:rsidRPr="001E134D">
        <w:rPr>
          <w:rFonts w:ascii="Cambria" w:hAnsi="Cambria"/>
        </w:rPr>
        <w:t xml:space="preserve">Los intermediarios definirán en su manual de cumplimiento en cuáles casos dispondrán medidas de DDC adicionales a las que defina la aseguradora y en qué consistirán las mismas, sin que en ningún caso se puedan aplicar DDC menores a las dispuestas por la aseguradora. </w:t>
      </w:r>
    </w:p>
    <w:p w14:paraId="713F0E94" w14:textId="77777777" w:rsidR="003E5D78" w:rsidRPr="001E134D" w:rsidRDefault="003E5D78" w:rsidP="003E5D78">
      <w:pPr>
        <w:jc w:val="both"/>
        <w:rPr>
          <w:rFonts w:ascii="Cambria" w:hAnsi="Cambria"/>
        </w:rPr>
      </w:pPr>
      <w:r w:rsidRPr="001E134D">
        <w:rPr>
          <w:rFonts w:ascii="Cambria" w:hAnsi="Cambria"/>
        </w:rPr>
        <w:t xml:space="preserve">Todo lo anterior deberá justificarse en estándares y buenas prácticas internacionales tales como el Principio Básico de Seguros 22  y el </w:t>
      </w:r>
      <w:r w:rsidRPr="001E134D">
        <w:rPr>
          <w:rFonts w:ascii="Cambria" w:hAnsi="Cambria"/>
          <w:i/>
          <w:iCs/>
        </w:rPr>
        <w:t xml:space="preserve">Documento aplicativo sobre la prevención del lavado de dinero y del financiamiento del terrorismo </w:t>
      </w:r>
      <w:r w:rsidRPr="001E134D">
        <w:rPr>
          <w:rFonts w:ascii="Cambria" w:hAnsi="Cambria"/>
        </w:rPr>
        <w:t xml:space="preserve">ambos de la Asociación Internacional de Supervisores de Seguros (IAIS por sus siglas en inglés), o en el </w:t>
      </w:r>
      <w:r w:rsidRPr="001E134D">
        <w:rPr>
          <w:rFonts w:ascii="Cambria" w:hAnsi="Cambria"/>
          <w:i/>
          <w:iCs/>
        </w:rPr>
        <w:t>Documento Estándares Internacionales sobre la Lucha Contra el Lavado de Activos y el Financiamiento del Terrorismo y la Proliferación, Las Recomendaciones</w:t>
      </w:r>
      <w:r w:rsidRPr="001E134D">
        <w:rPr>
          <w:rFonts w:ascii="Cambria" w:hAnsi="Cambria"/>
        </w:rPr>
        <w:t xml:space="preserve"> del </w:t>
      </w:r>
      <w:r w:rsidRPr="001E134D">
        <w:rPr>
          <w:rFonts w:ascii="Cambria" w:hAnsi="Cambria"/>
          <w:i/>
          <w:iCs/>
        </w:rPr>
        <w:t>Grupo de Acción Financiera Internacional</w:t>
      </w:r>
      <w:r w:rsidRPr="001E134D">
        <w:rPr>
          <w:rFonts w:ascii="Cambria" w:hAnsi="Cambria"/>
        </w:rPr>
        <w:t xml:space="preserve"> (GAFI)  y en los análisis de riesgo correspondientes.</w:t>
      </w:r>
    </w:p>
    <w:p w14:paraId="6CF6F9D6" w14:textId="77777777" w:rsidR="003E5D78" w:rsidRDefault="003E5D78" w:rsidP="003E5D78">
      <w:pPr>
        <w:jc w:val="both"/>
        <w:rPr>
          <w:rFonts w:ascii="Cambria" w:hAnsi="Cambria"/>
        </w:rPr>
      </w:pPr>
    </w:p>
    <w:p w14:paraId="1B1F3882" w14:textId="59DB7616" w:rsidR="003E5D78" w:rsidRDefault="003E5D78" w:rsidP="003E5D78">
      <w:pPr>
        <w:jc w:val="both"/>
        <w:rPr>
          <w:rFonts w:ascii="Cambria" w:hAnsi="Cambria"/>
        </w:rPr>
      </w:pPr>
      <w:r w:rsidRPr="001E134D">
        <w:rPr>
          <w:rFonts w:ascii="Cambria" w:hAnsi="Cambria"/>
        </w:rPr>
        <w:t>Para la definición de las medidas de debida diligencia a implementar, la entidad aseguradora observará lo siguiente:</w:t>
      </w:r>
    </w:p>
    <w:p w14:paraId="534E00D5" w14:textId="77777777" w:rsidR="003E5D78" w:rsidRPr="001E134D" w:rsidRDefault="003E5D78" w:rsidP="003E5D78">
      <w:pPr>
        <w:jc w:val="both"/>
        <w:rPr>
          <w:rFonts w:ascii="Cambria" w:hAnsi="Cambria"/>
        </w:rPr>
      </w:pPr>
    </w:p>
    <w:p w14:paraId="17C786B5" w14:textId="6163BE1E" w:rsidR="003E5D78" w:rsidRDefault="003E5D78" w:rsidP="003E5D78">
      <w:pPr>
        <w:ind w:left="591" w:hanging="591"/>
        <w:jc w:val="both"/>
        <w:rPr>
          <w:rFonts w:ascii="Cambria" w:hAnsi="Cambria"/>
        </w:rPr>
      </w:pPr>
      <w:r w:rsidRPr="001E134D">
        <w:rPr>
          <w:rFonts w:ascii="Cambria" w:hAnsi="Cambria"/>
        </w:rPr>
        <w:t xml:space="preserve">5.1 </w:t>
      </w:r>
      <w:r w:rsidRPr="001E134D">
        <w:rPr>
          <w:rFonts w:ascii="Cambria" w:hAnsi="Cambria"/>
        </w:rPr>
        <w:tab/>
        <w:t xml:space="preserve">Al evaluar los riesgos de LC/FT/FPADM relativos a los productos, tipos de clientes, áreas geográficas, medios de pago, servicios y canales de distribución, la aseguradora debe tomar en cuenta las variables relativas a esas categorías del riesgo. Estas variables, ya sean por separado o en combinación, pueden aumentar o disminuir el riesgo potencial que representan, impactando así el nivel apropiado de medidas de DDC. Entre los ejemplos de estas variables están: </w:t>
      </w:r>
    </w:p>
    <w:p w14:paraId="4A817A16" w14:textId="326C419A" w:rsidR="003E5D78" w:rsidRDefault="003E5D78" w:rsidP="003E5D78">
      <w:pPr>
        <w:ind w:left="591" w:hanging="591"/>
        <w:jc w:val="both"/>
        <w:rPr>
          <w:rFonts w:ascii="Cambria" w:hAnsi="Cambria"/>
        </w:rPr>
      </w:pPr>
    </w:p>
    <w:p w14:paraId="7E1D78B9" w14:textId="77777777" w:rsidR="003E5D78" w:rsidRPr="001E134D" w:rsidRDefault="003E5D78" w:rsidP="003E5D78">
      <w:pPr>
        <w:ind w:left="591" w:hanging="591"/>
        <w:jc w:val="both"/>
        <w:rPr>
          <w:rFonts w:ascii="Cambria" w:hAnsi="Cambria"/>
        </w:rPr>
      </w:pPr>
    </w:p>
    <w:p w14:paraId="5C877910" w14:textId="77777777" w:rsidR="003E5D78" w:rsidRPr="001E134D" w:rsidRDefault="003E5D78" w:rsidP="003E5D78">
      <w:pPr>
        <w:ind w:left="1276" w:hanging="709"/>
        <w:jc w:val="both"/>
        <w:rPr>
          <w:rFonts w:ascii="Cambria" w:hAnsi="Cambria"/>
        </w:rPr>
      </w:pPr>
      <w:r w:rsidRPr="001E134D">
        <w:rPr>
          <w:rFonts w:ascii="Cambria" w:hAnsi="Cambria"/>
        </w:rPr>
        <w:lastRenderedPageBreak/>
        <w:t xml:space="preserve">5.1.1 </w:t>
      </w:r>
      <w:r w:rsidRPr="001E134D">
        <w:rPr>
          <w:rFonts w:ascii="Cambria" w:hAnsi="Cambria"/>
        </w:rPr>
        <w:tab/>
        <w:t>El propósito de la relación comercial.</w:t>
      </w:r>
    </w:p>
    <w:p w14:paraId="543C3433" w14:textId="77777777" w:rsidR="003E5D78" w:rsidRPr="001E134D" w:rsidRDefault="003E5D78" w:rsidP="003E5D78">
      <w:pPr>
        <w:ind w:left="1276" w:hanging="709"/>
        <w:jc w:val="both"/>
        <w:rPr>
          <w:rFonts w:ascii="Cambria" w:hAnsi="Cambria"/>
        </w:rPr>
      </w:pPr>
      <w:r w:rsidRPr="001E134D">
        <w:rPr>
          <w:rFonts w:ascii="Cambria" w:hAnsi="Cambria"/>
        </w:rPr>
        <w:t>5.1.2</w:t>
      </w:r>
      <w:r w:rsidRPr="001E134D">
        <w:rPr>
          <w:rFonts w:ascii="Cambria" w:hAnsi="Cambria"/>
        </w:rPr>
        <w:tab/>
        <w:t>El nivel de activos a transar por un cliente o el volumen del conjunto de transacciones realizadas por cliente.</w:t>
      </w:r>
    </w:p>
    <w:p w14:paraId="24AB7D1E" w14:textId="64357B20" w:rsidR="003E5D78" w:rsidRDefault="003E5D78" w:rsidP="003E5D78">
      <w:pPr>
        <w:ind w:left="1276" w:hanging="709"/>
        <w:jc w:val="both"/>
        <w:rPr>
          <w:rFonts w:ascii="Cambria" w:hAnsi="Cambria"/>
        </w:rPr>
      </w:pPr>
      <w:r w:rsidRPr="001E134D">
        <w:rPr>
          <w:rFonts w:ascii="Cambria" w:hAnsi="Cambria"/>
        </w:rPr>
        <w:t xml:space="preserve">5.1.3 </w:t>
      </w:r>
      <w:r w:rsidRPr="001E134D">
        <w:rPr>
          <w:rFonts w:ascii="Cambria" w:hAnsi="Cambria"/>
        </w:rPr>
        <w:tab/>
        <w:t>La regularidad o duración de la relación comercial.</w:t>
      </w:r>
    </w:p>
    <w:p w14:paraId="72C1725C" w14:textId="77777777" w:rsidR="003E5D78" w:rsidRPr="001E134D" w:rsidRDefault="003E5D78" w:rsidP="003E5D78">
      <w:pPr>
        <w:ind w:left="1276" w:hanging="709"/>
        <w:jc w:val="both"/>
        <w:rPr>
          <w:rFonts w:ascii="Cambria" w:hAnsi="Cambria"/>
        </w:rPr>
      </w:pPr>
    </w:p>
    <w:p w14:paraId="61EBB3A6" w14:textId="024D174E" w:rsidR="003E5D78" w:rsidRDefault="003E5D78" w:rsidP="003E5D78">
      <w:pPr>
        <w:ind w:left="567" w:hanging="567"/>
        <w:jc w:val="both"/>
        <w:rPr>
          <w:rFonts w:ascii="Cambria" w:hAnsi="Cambria"/>
        </w:rPr>
      </w:pPr>
      <w:r w:rsidRPr="001E134D">
        <w:rPr>
          <w:rFonts w:ascii="Cambria" w:hAnsi="Cambria"/>
        </w:rPr>
        <w:t xml:space="preserve">5.2 </w:t>
      </w:r>
      <w:r w:rsidRPr="001E134D">
        <w:rPr>
          <w:rFonts w:ascii="Cambria" w:hAnsi="Cambria"/>
        </w:rPr>
        <w:tab/>
        <w:t>En relación con los beneficiarios de pólizas de vida se deberá al menos:</w:t>
      </w:r>
    </w:p>
    <w:p w14:paraId="6283C3C1" w14:textId="77777777" w:rsidR="003E5D78" w:rsidRPr="001E134D" w:rsidRDefault="003E5D78" w:rsidP="003E5D78">
      <w:pPr>
        <w:ind w:left="567" w:hanging="567"/>
        <w:jc w:val="both"/>
        <w:rPr>
          <w:rFonts w:ascii="Cambria" w:hAnsi="Cambria"/>
        </w:rPr>
      </w:pPr>
    </w:p>
    <w:p w14:paraId="2A57D9A6" w14:textId="73F9BAB3" w:rsidR="003E5D78" w:rsidRDefault="003E5D78" w:rsidP="003E5D78">
      <w:pPr>
        <w:ind w:left="1276" w:hanging="709"/>
        <w:jc w:val="both"/>
        <w:rPr>
          <w:rFonts w:ascii="Cambria" w:hAnsi="Cambria"/>
        </w:rPr>
      </w:pPr>
      <w:r w:rsidRPr="001E134D">
        <w:rPr>
          <w:rFonts w:ascii="Cambria" w:hAnsi="Cambria"/>
        </w:rPr>
        <w:t xml:space="preserve">5.2.1 </w:t>
      </w:r>
      <w:r w:rsidRPr="001E134D">
        <w:rPr>
          <w:rFonts w:ascii="Cambria" w:hAnsi="Cambria"/>
        </w:rPr>
        <w:tab/>
        <w:t>Para el(los) beneficiario(s) que se identifique(n) como persona(s) natural(es) o Jurídica(s) o estructuras jurídicas con un nombre específico tomar el nombre y apellido o apellidos de la persona.</w:t>
      </w:r>
    </w:p>
    <w:p w14:paraId="4E7C51F9" w14:textId="77777777" w:rsidR="003E5D78" w:rsidRPr="001E134D" w:rsidRDefault="003E5D78" w:rsidP="003E5D78">
      <w:pPr>
        <w:ind w:left="1276" w:hanging="709"/>
        <w:jc w:val="both"/>
        <w:rPr>
          <w:rFonts w:ascii="Cambria" w:hAnsi="Cambria"/>
        </w:rPr>
      </w:pPr>
    </w:p>
    <w:p w14:paraId="07456FD4" w14:textId="77777777" w:rsidR="003E5D78" w:rsidRPr="001E134D" w:rsidRDefault="003E5D78" w:rsidP="003E5D78">
      <w:pPr>
        <w:ind w:left="1276" w:hanging="709"/>
        <w:jc w:val="both"/>
        <w:rPr>
          <w:rFonts w:ascii="Cambria" w:hAnsi="Cambria"/>
        </w:rPr>
      </w:pPr>
      <w:r w:rsidRPr="001E134D">
        <w:rPr>
          <w:rFonts w:ascii="Cambria" w:hAnsi="Cambria"/>
        </w:rPr>
        <w:t xml:space="preserve">5.2.2 </w:t>
      </w:r>
      <w:r w:rsidRPr="001E134D">
        <w:rPr>
          <w:rFonts w:ascii="Cambria" w:hAnsi="Cambria"/>
        </w:rPr>
        <w:tab/>
        <w:t>Para el(los) beneficiario(s) que sea(n) designado(s) por características o por clase (ej.: cónyuge o hijos en el momento en el que ocurre el evento asegurado) o por otros medios (ej.: dentro de un testamento) obtención de información suficiente sobre el beneficiario para poder definir la identidad del beneficiario en el momento del pago.</w:t>
      </w:r>
    </w:p>
    <w:p w14:paraId="4597090A" w14:textId="77777777" w:rsidR="003E5D78" w:rsidRDefault="003E5D78" w:rsidP="003E5D78">
      <w:pPr>
        <w:ind w:left="1276" w:hanging="709"/>
        <w:jc w:val="both"/>
        <w:rPr>
          <w:rFonts w:ascii="Cambria" w:hAnsi="Cambria"/>
        </w:rPr>
      </w:pPr>
    </w:p>
    <w:p w14:paraId="0DDFC62D" w14:textId="12619B7F" w:rsidR="003E5D78" w:rsidRPr="001E134D" w:rsidRDefault="003E5D78" w:rsidP="003E5D78">
      <w:pPr>
        <w:ind w:left="1276" w:hanging="709"/>
        <w:jc w:val="both"/>
        <w:rPr>
          <w:rFonts w:ascii="Cambria" w:hAnsi="Cambria"/>
        </w:rPr>
      </w:pPr>
      <w:r w:rsidRPr="001E134D">
        <w:rPr>
          <w:rFonts w:ascii="Cambria" w:hAnsi="Cambria"/>
        </w:rPr>
        <w:t xml:space="preserve">5.2.3 </w:t>
      </w:r>
      <w:r w:rsidRPr="001E134D">
        <w:rPr>
          <w:rFonts w:ascii="Cambria" w:hAnsi="Cambria"/>
        </w:rPr>
        <w:tab/>
        <w:t>La verificación de identidad en los dos casos anteriores debe hacerse a más tardar al momento de materializar el beneficio de la póliza.</w:t>
      </w:r>
    </w:p>
    <w:p w14:paraId="6C9E1B70" w14:textId="77777777" w:rsidR="003E5D78" w:rsidRDefault="003E5D78" w:rsidP="003E5D78">
      <w:pPr>
        <w:ind w:left="1276" w:hanging="709"/>
        <w:jc w:val="both"/>
        <w:rPr>
          <w:rFonts w:ascii="Cambria" w:hAnsi="Cambria"/>
        </w:rPr>
      </w:pPr>
    </w:p>
    <w:p w14:paraId="5CC25BA0" w14:textId="4E429D6C" w:rsidR="003E5D78" w:rsidRPr="001E134D" w:rsidRDefault="003E5D78" w:rsidP="003E5D78">
      <w:pPr>
        <w:ind w:left="1276" w:hanging="709"/>
        <w:jc w:val="both"/>
        <w:rPr>
          <w:rFonts w:ascii="Cambria" w:hAnsi="Cambria"/>
        </w:rPr>
      </w:pPr>
      <w:r w:rsidRPr="001E134D">
        <w:rPr>
          <w:rFonts w:ascii="Cambria" w:hAnsi="Cambria"/>
        </w:rPr>
        <w:t xml:space="preserve">5.2.4 </w:t>
      </w:r>
      <w:r w:rsidRPr="001E134D">
        <w:rPr>
          <w:rFonts w:ascii="Cambria" w:hAnsi="Cambria"/>
        </w:rPr>
        <w:tab/>
        <w:t>El beneficiario de una póliza de seguro de vida debe ser incluido por la aseguradora como un factor de riesgo relevante a la hora de determinar si son aplicables o no medidas diferenciadas de DDC. Si la aseguradora o el intermediario determinan que un beneficiario que es una persona jurídica o una estructura jurídica presenta un riesgo mayor, las medidas de DDC reforzadas deben incluir entonces medidas razonables para identificar y verificar la identidad del beneficiario final del beneficiario en el momento del pago.</w:t>
      </w:r>
    </w:p>
    <w:p w14:paraId="04D77934" w14:textId="77777777" w:rsidR="003E5D78" w:rsidRDefault="003E5D78" w:rsidP="003E5D78">
      <w:pPr>
        <w:ind w:left="1276" w:hanging="709"/>
        <w:jc w:val="both"/>
        <w:rPr>
          <w:rFonts w:ascii="Cambria" w:hAnsi="Cambria"/>
        </w:rPr>
      </w:pPr>
    </w:p>
    <w:p w14:paraId="2741FA91" w14:textId="59517730" w:rsidR="003E5D78" w:rsidRDefault="003E5D78" w:rsidP="003E5D78">
      <w:pPr>
        <w:ind w:left="1276" w:hanging="709"/>
        <w:jc w:val="both"/>
        <w:rPr>
          <w:rFonts w:ascii="Cambria" w:hAnsi="Cambria"/>
        </w:rPr>
      </w:pPr>
      <w:r w:rsidRPr="001E134D">
        <w:rPr>
          <w:rFonts w:ascii="Cambria" w:hAnsi="Cambria"/>
        </w:rPr>
        <w:t xml:space="preserve">5.2.5 </w:t>
      </w:r>
      <w:r w:rsidRPr="001E134D">
        <w:rPr>
          <w:rFonts w:ascii="Cambria" w:hAnsi="Cambria"/>
        </w:rPr>
        <w:tab/>
        <w:t>Cuando una entidad aseguradora o intermediario no pueda cumplir con los párrafos 5.2.1., 5.2.2. y 5.2.3. anteriores, esta debe considerar la preparación de un reporte de operación sospechosa.</w:t>
      </w:r>
    </w:p>
    <w:p w14:paraId="2556483A" w14:textId="77777777" w:rsidR="003E5D78" w:rsidRPr="001E134D" w:rsidRDefault="003E5D78" w:rsidP="003E5D78">
      <w:pPr>
        <w:ind w:left="1276" w:hanging="709"/>
        <w:jc w:val="both"/>
        <w:rPr>
          <w:rFonts w:ascii="Cambria" w:hAnsi="Cambria"/>
        </w:rPr>
      </w:pPr>
    </w:p>
    <w:p w14:paraId="293666AB" w14:textId="77777777" w:rsidR="003E5D78" w:rsidRPr="001E134D" w:rsidRDefault="003E5D78" w:rsidP="003E5D78">
      <w:pPr>
        <w:ind w:left="567" w:hanging="567"/>
        <w:jc w:val="both"/>
        <w:rPr>
          <w:rFonts w:ascii="Cambria" w:hAnsi="Cambria"/>
        </w:rPr>
      </w:pPr>
      <w:r w:rsidRPr="001E134D">
        <w:rPr>
          <w:rFonts w:ascii="Cambria" w:hAnsi="Cambria"/>
        </w:rPr>
        <w:t xml:space="preserve">5.3 </w:t>
      </w:r>
      <w:r w:rsidRPr="001E134D">
        <w:rPr>
          <w:rFonts w:ascii="Cambria" w:hAnsi="Cambria"/>
        </w:rPr>
        <w:tab/>
        <w:t>Las medidas de DDC simplificadas no serán aceptables en los casos indicados en el punto 3.3 de estos lineamientos.</w:t>
      </w:r>
    </w:p>
    <w:p w14:paraId="270D675E" w14:textId="77777777" w:rsidR="003E5D78" w:rsidRPr="001E134D" w:rsidRDefault="003E5D78" w:rsidP="003E5D78">
      <w:pPr>
        <w:jc w:val="both"/>
        <w:rPr>
          <w:rFonts w:ascii="Cambria" w:hAnsi="Cambria"/>
        </w:rPr>
      </w:pPr>
    </w:p>
    <w:p w14:paraId="4843524C" w14:textId="77777777" w:rsidR="003E5D78" w:rsidRPr="001E134D" w:rsidRDefault="003E5D78" w:rsidP="003E5D78">
      <w:pPr>
        <w:jc w:val="both"/>
        <w:rPr>
          <w:rFonts w:ascii="Cambria" w:hAnsi="Cambria"/>
          <w:b/>
          <w:bCs/>
        </w:rPr>
      </w:pPr>
      <w:r w:rsidRPr="001E134D">
        <w:rPr>
          <w:rFonts w:ascii="Cambria" w:hAnsi="Cambria"/>
          <w:b/>
          <w:bCs/>
        </w:rPr>
        <w:t>Artículo 6. Implementación de medidas de debida diligencia definidas.</w:t>
      </w:r>
    </w:p>
    <w:p w14:paraId="59B8FC95" w14:textId="7282D939" w:rsidR="003E5D78" w:rsidRDefault="003E5D78" w:rsidP="003E5D78">
      <w:pPr>
        <w:jc w:val="both"/>
        <w:rPr>
          <w:rFonts w:ascii="Cambria" w:hAnsi="Cambria"/>
        </w:rPr>
      </w:pPr>
      <w:r w:rsidRPr="001E134D">
        <w:rPr>
          <w:rFonts w:ascii="Cambria" w:hAnsi="Cambria"/>
        </w:rPr>
        <w:t xml:space="preserve">Mediante los respectivos contratos de distribución de seguros, la entidad aseguradora, podrá coordinar con los intermediarios de seguros el cumplimiento de las actividades </w:t>
      </w:r>
      <w:r w:rsidRPr="001E134D">
        <w:rPr>
          <w:rFonts w:ascii="Cambria" w:hAnsi="Cambria"/>
        </w:rPr>
        <w:lastRenderedPageBreak/>
        <w:t>correspondientes a la DDC de conformidad con la normativa aplicable y siempre que se tomen las siguientes previsiones:</w:t>
      </w:r>
    </w:p>
    <w:p w14:paraId="20D4447D" w14:textId="77777777" w:rsidR="003E5D78" w:rsidRPr="001E134D" w:rsidRDefault="003E5D78" w:rsidP="003E5D78">
      <w:pPr>
        <w:jc w:val="both"/>
        <w:rPr>
          <w:rFonts w:ascii="Cambria" w:hAnsi="Cambria"/>
        </w:rPr>
      </w:pPr>
    </w:p>
    <w:p w14:paraId="28BECB34" w14:textId="7A1DA019" w:rsidR="003E5D78" w:rsidRDefault="003E5D78" w:rsidP="003E5D78">
      <w:pPr>
        <w:ind w:left="567" w:hanging="567"/>
        <w:jc w:val="both"/>
        <w:rPr>
          <w:rFonts w:ascii="Cambria" w:hAnsi="Cambria"/>
        </w:rPr>
      </w:pPr>
      <w:r w:rsidRPr="001E134D">
        <w:rPr>
          <w:rFonts w:ascii="Cambria" w:hAnsi="Cambria"/>
        </w:rPr>
        <w:t xml:space="preserve">6.1. </w:t>
      </w:r>
      <w:r w:rsidRPr="001E134D">
        <w:rPr>
          <w:rFonts w:ascii="Cambria" w:hAnsi="Cambria"/>
        </w:rPr>
        <w:tab/>
        <w:t xml:space="preserve">Las entidades aseguradoras que deleguen en un intermediario sus medidas deberán garantizarse el obtener inmediatamente del intermediario, la información necesaria sobre los elementos de identificación del tomador, asegurado y beneficiario, el propósito y naturaleza de la relación comercial y sobre las demás medidas de DDC aplicables a la operación. </w:t>
      </w:r>
    </w:p>
    <w:p w14:paraId="5D93E6C7" w14:textId="77777777" w:rsidR="003E5D78" w:rsidRPr="001E134D" w:rsidRDefault="003E5D78" w:rsidP="003E5D78">
      <w:pPr>
        <w:ind w:left="567" w:hanging="567"/>
        <w:jc w:val="both"/>
        <w:rPr>
          <w:rFonts w:ascii="Cambria" w:hAnsi="Cambria"/>
        </w:rPr>
      </w:pPr>
    </w:p>
    <w:p w14:paraId="3A865305" w14:textId="77777777" w:rsidR="003E5D78" w:rsidRPr="001E134D" w:rsidRDefault="003E5D78" w:rsidP="003E5D78">
      <w:pPr>
        <w:ind w:left="567" w:hanging="567"/>
        <w:jc w:val="both"/>
        <w:rPr>
          <w:rFonts w:ascii="Cambria" w:hAnsi="Cambria"/>
        </w:rPr>
      </w:pPr>
      <w:r w:rsidRPr="001E134D">
        <w:rPr>
          <w:rFonts w:ascii="Cambria" w:hAnsi="Cambria"/>
        </w:rPr>
        <w:t xml:space="preserve">6.2. </w:t>
      </w:r>
      <w:r w:rsidRPr="001E134D">
        <w:rPr>
          <w:rFonts w:ascii="Cambria" w:hAnsi="Cambria"/>
        </w:rPr>
        <w:tab/>
        <w:t>Las aseguradoras verifican que el intermediario cuenta con medidas para el cumplimiento de sus requisitos de DDC.</w:t>
      </w:r>
    </w:p>
    <w:p w14:paraId="5A915BB4" w14:textId="77777777" w:rsidR="003E5D78" w:rsidRDefault="003E5D78" w:rsidP="003E5D78">
      <w:pPr>
        <w:jc w:val="both"/>
        <w:rPr>
          <w:rFonts w:ascii="Cambria" w:hAnsi="Cambria"/>
        </w:rPr>
      </w:pPr>
    </w:p>
    <w:p w14:paraId="4E2BCB72" w14:textId="0A542EBA" w:rsidR="003E5D78" w:rsidRPr="001E134D" w:rsidRDefault="003E5D78" w:rsidP="003E5D78">
      <w:pPr>
        <w:jc w:val="both"/>
        <w:rPr>
          <w:rFonts w:ascii="Cambria" w:hAnsi="Cambria"/>
        </w:rPr>
      </w:pPr>
      <w:r w:rsidRPr="001E134D">
        <w:rPr>
          <w:rFonts w:ascii="Cambria" w:hAnsi="Cambria"/>
        </w:rPr>
        <w:t>Tanto intermediario como aseguradora deberán mantener el expediente completo y actualizado del cliente en los términos que indica la Normativa que no sean contrarios a lo desarrollado en este acuerdo</w:t>
      </w:r>
      <w:r>
        <w:rPr>
          <w:rFonts w:ascii="Cambria" w:hAnsi="Cambria"/>
        </w:rPr>
        <w:t>.</w:t>
      </w:r>
      <w:r w:rsidRPr="001E134D">
        <w:rPr>
          <w:rFonts w:ascii="Cambria" w:hAnsi="Cambria"/>
        </w:rPr>
        <w:t xml:space="preserve"> En el contrato de intermediación se definirá cuál entidad conservará los documentos originales y cuál una copia, de ser necesario, la primera otorgará acceso inmediato del original a la segunda en caso de que lo requiera, mediante los medios físicos o electrónicos definidos para este propósito.</w:t>
      </w:r>
    </w:p>
    <w:p w14:paraId="0128AC16" w14:textId="77777777" w:rsidR="003E5D78" w:rsidRPr="001E134D" w:rsidRDefault="003E5D78" w:rsidP="003E5D78">
      <w:pPr>
        <w:jc w:val="both"/>
        <w:rPr>
          <w:rFonts w:ascii="Cambria" w:hAnsi="Cambria"/>
        </w:rPr>
      </w:pPr>
    </w:p>
    <w:p w14:paraId="105E690A" w14:textId="77777777" w:rsidR="003E5D78" w:rsidRPr="001E134D" w:rsidRDefault="003E5D78" w:rsidP="003E5D78">
      <w:pPr>
        <w:jc w:val="both"/>
        <w:rPr>
          <w:rFonts w:ascii="Cambria" w:hAnsi="Cambria"/>
        </w:rPr>
      </w:pPr>
      <w:r w:rsidRPr="001E134D">
        <w:rPr>
          <w:rFonts w:ascii="Cambria" w:hAnsi="Cambria"/>
          <w:b/>
          <w:bCs/>
        </w:rPr>
        <w:t>Artículo 7. Efectos de aplicación de medidas de debida diligencia simplificadas.</w:t>
      </w:r>
    </w:p>
    <w:p w14:paraId="10F05C16" w14:textId="77777777" w:rsidR="003E5D78" w:rsidRPr="001E134D" w:rsidRDefault="003E5D78" w:rsidP="003E5D78">
      <w:pPr>
        <w:jc w:val="both"/>
        <w:rPr>
          <w:rFonts w:ascii="Cambria" w:hAnsi="Cambria"/>
        </w:rPr>
      </w:pPr>
      <w:r w:rsidRPr="001E134D">
        <w:rPr>
          <w:rFonts w:ascii="Cambria" w:hAnsi="Cambria"/>
        </w:rPr>
        <w:t>La aplicación de medidas de debida diligencia simplificadas, de conformidad con lo dispuesto en estos lineamientos, implica la aplicación diferenciada de las medidas de debida diligencia definidas por el Reglamento LC/FT/FPADM</w:t>
      </w:r>
      <w:r w:rsidRPr="001E134D" w:rsidDel="002C7365">
        <w:rPr>
          <w:rFonts w:ascii="Cambria" w:hAnsi="Cambria"/>
        </w:rPr>
        <w:t xml:space="preserve"> </w:t>
      </w:r>
      <w:r w:rsidRPr="001E134D">
        <w:rPr>
          <w:rFonts w:ascii="Cambria" w:hAnsi="Cambria"/>
        </w:rPr>
        <w:t>respecto a su determinación, implicaciones, identificación del cliente, categorización y perfil de riesgo del cliente y monitoreo que resulten adicionales.</w:t>
      </w:r>
    </w:p>
    <w:p w14:paraId="7009607D" w14:textId="77777777" w:rsidR="003E5D78" w:rsidRDefault="003E5D78" w:rsidP="003E5D78">
      <w:pPr>
        <w:jc w:val="both"/>
        <w:rPr>
          <w:rFonts w:ascii="Cambria" w:hAnsi="Cambria"/>
          <w:b/>
          <w:bCs/>
        </w:rPr>
      </w:pPr>
    </w:p>
    <w:p w14:paraId="32C78F37" w14:textId="77777777" w:rsidR="003E5D78" w:rsidRPr="001E134D" w:rsidRDefault="003E5D78" w:rsidP="003E5D78">
      <w:pPr>
        <w:jc w:val="both"/>
        <w:rPr>
          <w:rFonts w:ascii="Cambria" w:hAnsi="Cambria"/>
          <w:b/>
          <w:bCs/>
        </w:rPr>
      </w:pPr>
    </w:p>
    <w:p w14:paraId="2CCDED26" w14:textId="77777777" w:rsidR="003E5D78" w:rsidRDefault="003E5D78" w:rsidP="003E5D78">
      <w:pPr>
        <w:jc w:val="center"/>
        <w:rPr>
          <w:rFonts w:ascii="Cambria" w:hAnsi="Cambria"/>
          <w:b/>
          <w:bCs/>
        </w:rPr>
      </w:pPr>
      <w:r w:rsidRPr="001E134D">
        <w:rPr>
          <w:rFonts w:ascii="Cambria" w:hAnsi="Cambria"/>
          <w:b/>
          <w:bCs/>
        </w:rPr>
        <w:t>Capítulo II</w:t>
      </w:r>
    </w:p>
    <w:p w14:paraId="730F9F2C" w14:textId="77777777" w:rsidR="003E5D78" w:rsidRDefault="003E5D78" w:rsidP="003E5D78">
      <w:pPr>
        <w:jc w:val="center"/>
        <w:rPr>
          <w:rFonts w:ascii="Cambria" w:hAnsi="Cambria"/>
          <w:b/>
          <w:bCs/>
        </w:rPr>
      </w:pPr>
      <w:r w:rsidRPr="001E134D">
        <w:rPr>
          <w:rFonts w:ascii="Cambria" w:hAnsi="Cambria"/>
          <w:b/>
          <w:bCs/>
        </w:rPr>
        <w:t>Particularidades de la estructura de cumplimiento en Intermediarios de Seguros</w:t>
      </w:r>
    </w:p>
    <w:p w14:paraId="395A490E" w14:textId="77777777" w:rsidR="003E5D78" w:rsidRPr="001E134D" w:rsidRDefault="003E5D78" w:rsidP="003E5D78">
      <w:pPr>
        <w:jc w:val="center"/>
        <w:rPr>
          <w:rFonts w:ascii="Cambria" w:hAnsi="Cambria"/>
          <w:b/>
          <w:bCs/>
        </w:rPr>
      </w:pPr>
    </w:p>
    <w:p w14:paraId="57B1717B" w14:textId="77777777" w:rsidR="003E5D78" w:rsidRPr="001E134D" w:rsidRDefault="003E5D78" w:rsidP="003E5D78">
      <w:pPr>
        <w:jc w:val="both"/>
        <w:rPr>
          <w:rFonts w:ascii="Cambria" w:hAnsi="Cambria"/>
          <w:b/>
          <w:bCs/>
        </w:rPr>
      </w:pPr>
      <w:r w:rsidRPr="001E134D">
        <w:rPr>
          <w:rFonts w:ascii="Cambria" w:hAnsi="Cambria"/>
          <w:b/>
          <w:bCs/>
        </w:rPr>
        <w:t xml:space="preserve">Artículo 8. Enlace de cumplimiento </w:t>
      </w:r>
    </w:p>
    <w:p w14:paraId="4D5B5BE4" w14:textId="77777777" w:rsidR="003E5D78" w:rsidRPr="001E134D" w:rsidRDefault="003E5D78" w:rsidP="003E5D78">
      <w:pPr>
        <w:jc w:val="both"/>
        <w:rPr>
          <w:rFonts w:ascii="Cambria" w:hAnsi="Cambria"/>
        </w:rPr>
      </w:pPr>
      <w:r w:rsidRPr="001E134D">
        <w:rPr>
          <w:rFonts w:ascii="Cambria" w:hAnsi="Cambria"/>
        </w:rPr>
        <w:t xml:space="preserve">Los intermediarios podrán designar de manera excepcional una persona que actúe como enlace de cumplimiento en sustitución del oficial de cumplimiento titular y/o adjunto, a partir del resultado del análisis del riesgo de LC/FT/FPADM, el cual debe justificar que, de acuerdo con el tamaño, naturaleza y complejidad del negocio y la cantidad de colaboradores, existe una limitación evidente para contar con dichos puestos; este análisis deberá estar a disposición de la SUGESE en todo momento quien podrá requerir la designación del oficial de cumplimiento titular y/o adjunto según el Acuerdo 12-21 de considerar que el análisis no sustenta la justificación.  El análisis del riesgo de LC/FT/FPADM deberá ser actualizado </w:t>
      </w:r>
      <w:r w:rsidRPr="001E134D">
        <w:rPr>
          <w:rFonts w:ascii="Cambria" w:hAnsi="Cambria"/>
        </w:rPr>
        <w:lastRenderedPageBreak/>
        <w:t>cuando se presenten cambios significativos a las condiciones iniciales en las que se fundamentó la justificación para la designación del enlace de cumplimiento o cuando la Superintendencia lo requiera.</w:t>
      </w:r>
    </w:p>
    <w:p w14:paraId="3345C212" w14:textId="77777777" w:rsidR="003E5D78" w:rsidRDefault="003E5D78" w:rsidP="003E5D78">
      <w:pPr>
        <w:jc w:val="both"/>
        <w:rPr>
          <w:rFonts w:ascii="Cambria" w:hAnsi="Cambria"/>
        </w:rPr>
      </w:pPr>
    </w:p>
    <w:p w14:paraId="44E11C5C" w14:textId="1577E2D5" w:rsidR="003E5D78" w:rsidRPr="001E134D" w:rsidRDefault="003E5D78" w:rsidP="003E5D78">
      <w:pPr>
        <w:jc w:val="both"/>
        <w:rPr>
          <w:rFonts w:ascii="Cambria" w:hAnsi="Cambria"/>
        </w:rPr>
      </w:pPr>
      <w:r w:rsidRPr="001E134D">
        <w:rPr>
          <w:rFonts w:ascii="Cambria" w:hAnsi="Cambria"/>
        </w:rPr>
        <w:t>El enlace de cumplimiento deberá ser un funcionario del intermediario, a quien se le asigne esa función y deberá tener conocimientos técnicos básicos en la gestión del riesgo de LC/FT/FPADM, que lo hagan idóneo para cumplir con dicha función en todas las responsabilidades que le competen según la ley y normativa conexa.</w:t>
      </w:r>
    </w:p>
    <w:p w14:paraId="0B09C9CB" w14:textId="77777777" w:rsidR="003E5D78" w:rsidRPr="001E134D" w:rsidRDefault="003E5D78" w:rsidP="003E5D78">
      <w:pPr>
        <w:jc w:val="both"/>
        <w:rPr>
          <w:rFonts w:ascii="Cambria" w:hAnsi="Cambria"/>
        </w:rPr>
      </w:pPr>
      <w:r w:rsidRPr="001E134D">
        <w:rPr>
          <w:rFonts w:ascii="Cambria" w:hAnsi="Cambria"/>
        </w:rPr>
        <w:t xml:space="preserve">La aseguradora debe velar por el cumplimiento de sus políticas y procedimientos en materia de LC/FT/FPADM por parte de los intermediarios y   podrá apoyar la función de cumplimiento de estos. </w:t>
      </w:r>
    </w:p>
    <w:p w14:paraId="3F464060" w14:textId="77777777" w:rsidR="003E5D78" w:rsidRDefault="003E5D78" w:rsidP="003E5D78">
      <w:pPr>
        <w:jc w:val="both"/>
        <w:rPr>
          <w:rFonts w:ascii="Cambria" w:hAnsi="Cambria"/>
        </w:rPr>
      </w:pPr>
    </w:p>
    <w:p w14:paraId="118F3875" w14:textId="16330B54" w:rsidR="003E5D78" w:rsidRPr="001E134D" w:rsidRDefault="003E5D78" w:rsidP="003E5D78">
      <w:pPr>
        <w:jc w:val="both"/>
        <w:rPr>
          <w:rFonts w:ascii="Cambria" w:hAnsi="Cambria"/>
        </w:rPr>
      </w:pPr>
      <w:r w:rsidRPr="001E134D">
        <w:rPr>
          <w:rFonts w:ascii="Cambria" w:hAnsi="Cambria"/>
        </w:rPr>
        <w:t>Los intermediarios que opten por la figura de enlace de cumplimiento deberán comunicar mediante un hecho relevante privado a la Superintendencia dicha decisión, el nombre y el cargo de la persona designada, así como cualquier cambio subsecuente.</w:t>
      </w:r>
    </w:p>
    <w:p w14:paraId="3E758D76" w14:textId="77777777" w:rsidR="003E5D78" w:rsidRPr="001E134D" w:rsidRDefault="003E5D78" w:rsidP="003E5D78">
      <w:pPr>
        <w:jc w:val="both"/>
        <w:rPr>
          <w:rFonts w:ascii="Cambria" w:hAnsi="Cambria"/>
        </w:rPr>
      </w:pPr>
      <w:r w:rsidRPr="001E134D">
        <w:rPr>
          <w:rFonts w:ascii="Cambria" w:hAnsi="Cambria"/>
        </w:rPr>
        <w:t>Además, los intermediarios deben informar a la(s) aseguradora(s) y la Unidad de Inteligencia Financiera del Instituto Costarricense sobre Drogas (ICD) el nombramiento o el cambio del enlace de cumplimiento en un plazo no mayor a tres días hábiles posteriores a su designación o cese.</w:t>
      </w:r>
    </w:p>
    <w:p w14:paraId="3EC0C11B" w14:textId="77777777" w:rsidR="003E5D78" w:rsidRPr="001E134D" w:rsidRDefault="003E5D78" w:rsidP="003E5D78">
      <w:pPr>
        <w:jc w:val="both"/>
        <w:rPr>
          <w:rFonts w:ascii="Cambria" w:hAnsi="Cambria"/>
        </w:rPr>
      </w:pPr>
    </w:p>
    <w:p w14:paraId="03BD0F77" w14:textId="77777777" w:rsidR="003E5D78" w:rsidRPr="001E134D" w:rsidRDefault="003E5D78" w:rsidP="003E5D78">
      <w:pPr>
        <w:jc w:val="both"/>
        <w:rPr>
          <w:rFonts w:ascii="Cambria" w:hAnsi="Cambria"/>
          <w:b/>
          <w:bCs/>
        </w:rPr>
      </w:pPr>
      <w:r w:rsidRPr="0071010A">
        <w:rPr>
          <w:rFonts w:ascii="Cambria" w:hAnsi="Cambria"/>
          <w:b/>
          <w:bCs/>
        </w:rPr>
        <w:t>Artículo 9. Metodología para la clasificación de riesgo de los clientes</w:t>
      </w:r>
    </w:p>
    <w:p w14:paraId="0706F5DE" w14:textId="77777777" w:rsidR="003E5D78" w:rsidRPr="001E134D" w:rsidRDefault="003E5D78" w:rsidP="003E5D78">
      <w:pPr>
        <w:jc w:val="both"/>
        <w:rPr>
          <w:rFonts w:ascii="Cambria" w:hAnsi="Cambria"/>
        </w:rPr>
      </w:pPr>
      <w:r w:rsidRPr="00AC1848">
        <w:rPr>
          <w:rFonts w:ascii="Cambria" w:hAnsi="Cambria"/>
        </w:rPr>
        <w:t>Los intermediarios, de común acuerdo con la aseguradora que se encuentran vinculados, podrán justificar, en forma documentada, el uso de la metodología para la clasificación de riesgos de los clientes desarrollada por la aseguradora con base en su análisis de riesgo, en lo que resulte viable, cuando esto redunde en un mejor análisis y control del riesgo de LC/FT/FPADM; la justificación y el análisis que la sustente deberán estar disponibles para las labores de supervisión de la SUGESE.</w:t>
      </w:r>
    </w:p>
    <w:p w14:paraId="49C7D0E1" w14:textId="77777777" w:rsidR="003E5D78" w:rsidRDefault="003E5D78" w:rsidP="003E5D78">
      <w:pPr>
        <w:jc w:val="both"/>
        <w:rPr>
          <w:rFonts w:ascii="Cambria" w:hAnsi="Cambria"/>
          <w:b/>
          <w:bCs/>
        </w:rPr>
      </w:pPr>
    </w:p>
    <w:p w14:paraId="3112EA84" w14:textId="052078D2" w:rsidR="003E5D78" w:rsidRPr="001E134D" w:rsidRDefault="003E5D78" w:rsidP="003E5D78">
      <w:pPr>
        <w:jc w:val="both"/>
        <w:rPr>
          <w:rFonts w:ascii="Cambria" w:hAnsi="Cambria"/>
          <w:b/>
          <w:bCs/>
        </w:rPr>
      </w:pPr>
      <w:r w:rsidRPr="001E134D">
        <w:rPr>
          <w:rFonts w:ascii="Cambria" w:hAnsi="Cambria"/>
          <w:b/>
          <w:bCs/>
        </w:rPr>
        <w:t>Artículo 10. Auditoría externa</w:t>
      </w:r>
    </w:p>
    <w:p w14:paraId="3DBB8B84" w14:textId="77777777" w:rsidR="003E5D78" w:rsidRPr="00AC1848" w:rsidRDefault="003E5D78" w:rsidP="003E5D78">
      <w:pPr>
        <w:jc w:val="both"/>
        <w:rPr>
          <w:rFonts w:ascii="Cambria" w:hAnsi="Cambria"/>
        </w:rPr>
      </w:pPr>
      <w:r w:rsidRPr="00AC1848">
        <w:rPr>
          <w:rFonts w:ascii="Cambria" w:hAnsi="Cambria"/>
        </w:rPr>
        <w:t>Las sociedades agencias de seguros y los agentes de seguros no vinculados a una sociedad agencia pueden someterse a la auditoría externa requerida en el Reglamento LC/FT/FPADM con una frecuencia superior a un año y que no exceda tres años, previo acuerdo con la aseguradora que los acredita y con base en un análisis de riesgo de LC/FT/FPADM, el cual deberá encontrarse actualizado y a disposición de la Superintendencia en caso de ser requerid</w:t>
      </w:r>
      <w:r>
        <w:rPr>
          <w:rFonts w:ascii="Cambria" w:hAnsi="Cambria"/>
        </w:rPr>
        <w:t>o</w:t>
      </w:r>
      <w:r w:rsidRPr="00AC1848">
        <w:rPr>
          <w:rFonts w:ascii="Cambria" w:hAnsi="Cambria"/>
        </w:rPr>
        <w:t>.</w:t>
      </w:r>
    </w:p>
    <w:p w14:paraId="049358A2" w14:textId="77777777" w:rsidR="003E5D78" w:rsidRDefault="003E5D78" w:rsidP="003E5D78">
      <w:pPr>
        <w:jc w:val="both"/>
        <w:rPr>
          <w:rFonts w:ascii="Cambria" w:hAnsi="Cambria"/>
        </w:rPr>
      </w:pPr>
    </w:p>
    <w:p w14:paraId="5EE41E51" w14:textId="11A5113F" w:rsidR="003E5D78" w:rsidRDefault="003E5D78" w:rsidP="003E5D78">
      <w:pPr>
        <w:jc w:val="both"/>
        <w:rPr>
          <w:rFonts w:ascii="Cambria" w:hAnsi="Cambria"/>
        </w:rPr>
      </w:pPr>
      <w:r w:rsidRPr="00AC1848">
        <w:rPr>
          <w:rFonts w:ascii="Cambria" w:hAnsi="Cambria"/>
        </w:rPr>
        <w:t>A partir de acuerdos con la aseguradora, también puede definirse que la auditoría externa de esta, abarque a las sociedades agencias de seguros y los agentes de seguros no vinculados a una sociedad agencia que forman parte de sus canales de comercialización.</w:t>
      </w:r>
    </w:p>
    <w:p w14:paraId="706C01AF" w14:textId="77777777" w:rsidR="003E5D78" w:rsidRPr="001E134D" w:rsidRDefault="003E5D78" w:rsidP="003E5D78">
      <w:pPr>
        <w:jc w:val="both"/>
        <w:rPr>
          <w:rFonts w:ascii="Cambria" w:hAnsi="Cambria"/>
        </w:rPr>
      </w:pPr>
    </w:p>
    <w:p w14:paraId="7A8984DE" w14:textId="77777777" w:rsidR="003E5D78" w:rsidRDefault="003E5D78" w:rsidP="003E5D78">
      <w:pPr>
        <w:jc w:val="center"/>
        <w:rPr>
          <w:rFonts w:ascii="Cambria" w:hAnsi="Cambria"/>
          <w:b/>
          <w:bCs/>
        </w:rPr>
      </w:pPr>
      <w:r w:rsidRPr="001E134D">
        <w:rPr>
          <w:rFonts w:ascii="Cambria" w:hAnsi="Cambria"/>
          <w:b/>
          <w:bCs/>
        </w:rPr>
        <w:t>Capítulo III</w:t>
      </w:r>
    </w:p>
    <w:p w14:paraId="08BB20E1" w14:textId="77777777" w:rsidR="003E5D78" w:rsidRPr="001E134D" w:rsidRDefault="003E5D78" w:rsidP="003E5D78">
      <w:pPr>
        <w:jc w:val="center"/>
        <w:rPr>
          <w:rFonts w:ascii="Cambria" w:hAnsi="Cambria"/>
          <w:b/>
          <w:bCs/>
        </w:rPr>
      </w:pPr>
      <w:r w:rsidRPr="001E134D">
        <w:rPr>
          <w:rFonts w:ascii="Cambria" w:hAnsi="Cambria"/>
          <w:b/>
          <w:bCs/>
        </w:rPr>
        <w:t>Aclaraciones sobre el monitoreo de clientes</w:t>
      </w:r>
    </w:p>
    <w:p w14:paraId="0DE8FE54" w14:textId="77777777" w:rsidR="003E5D78" w:rsidRDefault="003E5D78" w:rsidP="003E5D78">
      <w:pPr>
        <w:jc w:val="both"/>
        <w:rPr>
          <w:rFonts w:ascii="Cambria" w:hAnsi="Cambria"/>
          <w:b/>
          <w:bCs/>
        </w:rPr>
      </w:pPr>
    </w:p>
    <w:p w14:paraId="3E71A4E6" w14:textId="77777777" w:rsidR="003E5D78" w:rsidRPr="001E134D" w:rsidRDefault="003E5D78" w:rsidP="003E5D78">
      <w:pPr>
        <w:jc w:val="both"/>
        <w:rPr>
          <w:rFonts w:ascii="Cambria" w:hAnsi="Cambria"/>
          <w:b/>
          <w:bCs/>
        </w:rPr>
      </w:pPr>
      <w:r w:rsidRPr="001E134D">
        <w:rPr>
          <w:rFonts w:ascii="Cambria" w:hAnsi="Cambria"/>
          <w:b/>
          <w:bCs/>
        </w:rPr>
        <w:t>Artículo 11. Gestión de monitoreo</w:t>
      </w:r>
    </w:p>
    <w:p w14:paraId="28CFD0DD" w14:textId="77777777" w:rsidR="003E5D78" w:rsidRPr="001E134D" w:rsidRDefault="003E5D78" w:rsidP="003E5D78">
      <w:pPr>
        <w:jc w:val="both"/>
        <w:rPr>
          <w:rFonts w:ascii="Cambria" w:hAnsi="Cambria"/>
        </w:rPr>
      </w:pPr>
      <w:r w:rsidRPr="001E134D">
        <w:rPr>
          <w:rFonts w:ascii="Cambria" w:hAnsi="Cambria"/>
        </w:rPr>
        <w:t>Las aseguradoras, en coordinación con las sociedades agencias de seguros y los agentes de seguros no vinculados a una sociedad agencia, pueden</w:t>
      </w:r>
      <w:r w:rsidRPr="001E134D" w:rsidDel="000A056F">
        <w:rPr>
          <w:rFonts w:ascii="Cambria" w:hAnsi="Cambria"/>
        </w:rPr>
        <w:t xml:space="preserve"> </w:t>
      </w:r>
      <w:r w:rsidRPr="001E134D">
        <w:rPr>
          <w:rFonts w:ascii="Cambria" w:hAnsi="Cambria"/>
        </w:rPr>
        <w:t xml:space="preserve">realizar la gestión y el monitoreo de sus clientes. </w:t>
      </w:r>
    </w:p>
    <w:p w14:paraId="478C88CC" w14:textId="77777777" w:rsidR="003E5D78" w:rsidRPr="001E134D" w:rsidRDefault="003E5D78" w:rsidP="003E5D78">
      <w:pPr>
        <w:jc w:val="both"/>
        <w:rPr>
          <w:rFonts w:ascii="Cambria" w:hAnsi="Cambria"/>
        </w:rPr>
      </w:pPr>
    </w:p>
    <w:p w14:paraId="7568E421" w14:textId="77777777" w:rsidR="003E5D78" w:rsidRPr="001E134D" w:rsidRDefault="003E5D78" w:rsidP="003E5D78">
      <w:pPr>
        <w:jc w:val="both"/>
        <w:rPr>
          <w:rFonts w:ascii="Cambria" w:hAnsi="Cambria"/>
          <w:b/>
          <w:bCs/>
        </w:rPr>
      </w:pPr>
      <w:r w:rsidRPr="001E134D">
        <w:rPr>
          <w:rFonts w:ascii="Cambria" w:hAnsi="Cambria"/>
          <w:b/>
          <w:bCs/>
        </w:rPr>
        <w:t>Artículo 12. Monitoreo de transacciones</w:t>
      </w:r>
    </w:p>
    <w:p w14:paraId="5404C704" w14:textId="77777777" w:rsidR="003E5D78" w:rsidRPr="001E134D" w:rsidRDefault="003E5D78" w:rsidP="003E5D78">
      <w:pPr>
        <w:jc w:val="both"/>
        <w:rPr>
          <w:rFonts w:ascii="Cambria" w:hAnsi="Cambria"/>
        </w:rPr>
      </w:pPr>
      <w:r w:rsidRPr="001E134D">
        <w:rPr>
          <w:rFonts w:ascii="Cambria" w:hAnsi="Cambria"/>
        </w:rPr>
        <w:t>Para efectos del monitoreo del perfil transaccional al que se hace referencia en el artículo 46 del Reglamento LC/FT/FPADM, el término transacciones se debe interpretar en un sentido amplio,</w:t>
      </w:r>
      <w:r>
        <w:rPr>
          <w:rFonts w:ascii="Cambria" w:hAnsi="Cambria"/>
        </w:rPr>
        <w:t xml:space="preserve"> </w:t>
      </w:r>
      <w:r w:rsidRPr="001E134D">
        <w:rPr>
          <w:rFonts w:ascii="Cambria" w:hAnsi="Cambria"/>
        </w:rPr>
        <w:t>por ejemplo consultas, solicitudes de la póliza de seguro, pago de primas, monto y cantidad de siniestros, solicitudes de cambios en beneficios, en beneficiarios, en la vigencia de la póliza, en las condiciones particulares del contrato de seguros, que de acuerdo con el perfil de riesgo del cliente sean inusuales, así como en cualquier otra situación que el sujeto obligado considere relevante en su análisis de riesgo de LC/FT/FPADM.</w:t>
      </w:r>
    </w:p>
    <w:p w14:paraId="5653B633" w14:textId="77777777" w:rsidR="003E5D78" w:rsidRPr="001E134D" w:rsidRDefault="003E5D78" w:rsidP="003E5D78">
      <w:pPr>
        <w:jc w:val="both"/>
        <w:rPr>
          <w:rFonts w:ascii="Cambria" w:hAnsi="Cambria"/>
        </w:rPr>
      </w:pPr>
    </w:p>
    <w:p w14:paraId="6481A2E2" w14:textId="77777777" w:rsidR="003E5D78" w:rsidRPr="001E134D" w:rsidRDefault="003E5D78" w:rsidP="003E5D78">
      <w:pPr>
        <w:jc w:val="both"/>
        <w:rPr>
          <w:rFonts w:ascii="Cambria" w:hAnsi="Cambria"/>
          <w:b/>
          <w:bCs/>
        </w:rPr>
      </w:pPr>
      <w:r w:rsidRPr="001E134D">
        <w:rPr>
          <w:rFonts w:ascii="Cambria" w:hAnsi="Cambria"/>
          <w:b/>
          <w:bCs/>
        </w:rPr>
        <w:t>Artículo 13. Sistema de monitoreo</w:t>
      </w:r>
    </w:p>
    <w:p w14:paraId="5C52A891" w14:textId="77777777" w:rsidR="003E5D78" w:rsidRPr="001E134D" w:rsidRDefault="003E5D78" w:rsidP="003E5D78">
      <w:pPr>
        <w:jc w:val="both"/>
        <w:rPr>
          <w:rFonts w:ascii="Cambria" w:hAnsi="Cambria"/>
        </w:rPr>
      </w:pPr>
      <w:r w:rsidRPr="001E134D">
        <w:rPr>
          <w:rFonts w:ascii="Cambria" w:hAnsi="Cambria"/>
        </w:rPr>
        <w:t>Las sociedades agencias de seguros y los agentes de seguros no vinculados a una sociedad agencia de seguros, podrán realizar el monitoreo en coordinación con la aseguradora que los acredita. Las sociedades corredoras, considerando que no actúan en nombre ni por cuenta de las aseguradoras, deberán realizar el monitoreo conforme lo definido en este acuerdo y lo requerido en el Reglamento LC/FT/FPADM, utilizando una herramienta o programa informático en proporción a sus riesgos.</w:t>
      </w:r>
    </w:p>
    <w:p w14:paraId="6A19B52A" w14:textId="77777777" w:rsidR="003E5D78" w:rsidRDefault="003E5D78" w:rsidP="003E5D78">
      <w:pPr>
        <w:jc w:val="center"/>
        <w:rPr>
          <w:rFonts w:ascii="Cambria" w:hAnsi="Cambria"/>
          <w:b/>
          <w:bCs/>
        </w:rPr>
      </w:pPr>
    </w:p>
    <w:p w14:paraId="7747FB13" w14:textId="77777777" w:rsidR="003E5D78" w:rsidRDefault="003E5D78" w:rsidP="003E5D78">
      <w:pPr>
        <w:jc w:val="center"/>
        <w:rPr>
          <w:rFonts w:ascii="Cambria" w:hAnsi="Cambria"/>
          <w:b/>
          <w:bCs/>
        </w:rPr>
      </w:pPr>
    </w:p>
    <w:p w14:paraId="1F77FA8C" w14:textId="77777777" w:rsidR="003E5D78" w:rsidRDefault="003E5D78" w:rsidP="003E5D78">
      <w:pPr>
        <w:jc w:val="center"/>
        <w:rPr>
          <w:rFonts w:ascii="Cambria" w:hAnsi="Cambria"/>
          <w:b/>
          <w:bCs/>
        </w:rPr>
      </w:pPr>
      <w:r w:rsidRPr="001E134D">
        <w:rPr>
          <w:rFonts w:ascii="Cambria" w:hAnsi="Cambria"/>
          <w:b/>
          <w:bCs/>
        </w:rPr>
        <w:t xml:space="preserve">Capítulo IV </w:t>
      </w:r>
    </w:p>
    <w:p w14:paraId="58D37D09" w14:textId="77777777" w:rsidR="003E5D78" w:rsidRPr="001E134D" w:rsidRDefault="003E5D78" w:rsidP="003E5D78">
      <w:pPr>
        <w:jc w:val="center"/>
        <w:rPr>
          <w:rFonts w:ascii="Cambria" w:hAnsi="Cambria"/>
          <w:b/>
          <w:bCs/>
        </w:rPr>
      </w:pPr>
      <w:r w:rsidRPr="001E134D">
        <w:rPr>
          <w:rFonts w:ascii="Cambria" w:hAnsi="Cambria"/>
          <w:b/>
          <w:bCs/>
        </w:rPr>
        <w:t>Reportes a la Superintendencia</w:t>
      </w:r>
    </w:p>
    <w:p w14:paraId="4470BA9B" w14:textId="77777777" w:rsidR="003E5D78" w:rsidRDefault="003E5D78" w:rsidP="003E5D78">
      <w:pPr>
        <w:jc w:val="both"/>
        <w:rPr>
          <w:rFonts w:ascii="Cambria" w:hAnsi="Cambria"/>
          <w:b/>
          <w:bCs/>
        </w:rPr>
      </w:pPr>
    </w:p>
    <w:p w14:paraId="33B39B36" w14:textId="77777777" w:rsidR="003E5D78" w:rsidRPr="001E134D" w:rsidRDefault="003E5D78" w:rsidP="003E5D78">
      <w:pPr>
        <w:jc w:val="both"/>
        <w:rPr>
          <w:rFonts w:ascii="Cambria" w:hAnsi="Cambria"/>
          <w:b/>
          <w:bCs/>
        </w:rPr>
      </w:pPr>
      <w:r w:rsidRPr="001E134D">
        <w:rPr>
          <w:rFonts w:ascii="Cambria" w:hAnsi="Cambria"/>
          <w:b/>
          <w:bCs/>
        </w:rPr>
        <w:t>Artículo 14. Reportes a la Superintendencia</w:t>
      </w:r>
    </w:p>
    <w:p w14:paraId="0C56245D" w14:textId="77777777" w:rsidR="003E5D78" w:rsidRPr="001E134D" w:rsidRDefault="003E5D78" w:rsidP="003E5D78">
      <w:pPr>
        <w:jc w:val="both"/>
        <w:rPr>
          <w:rFonts w:ascii="Cambria" w:hAnsi="Cambria"/>
        </w:rPr>
      </w:pPr>
      <w:r w:rsidRPr="001E134D">
        <w:rPr>
          <w:rFonts w:ascii="Cambria" w:hAnsi="Cambria"/>
        </w:rPr>
        <w:t>Las entidades aseguradoras son las responsables de remitir la información de transacciones realizadas en efectivo y mediante transferencias electrónicas</w:t>
      </w:r>
      <w:r w:rsidRPr="001E134D">
        <w:rPr>
          <w:rFonts w:ascii="Cambria" w:hAnsi="Cambria"/>
          <w:strike/>
        </w:rPr>
        <w:t>,</w:t>
      </w:r>
      <w:r w:rsidRPr="001E134D">
        <w:rPr>
          <w:rFonts w:ascii="Cambria" w:hAnsi="Cambria"/>
        </w:rPr>
        <w:t xml:space="preserve">  desde o hacia el exterior, únicas y múltiples, que durante el mes calendario igualen o superen los US$10.000,00 (diez mil dólares de los Estados Unidos de América) o su equivalente en colones u otra moneda extranjera, realizadas por sus clientes directamente en la aseguradora o por medio de sus intermediarios, por lo que las entidades aseguradoras deberán establecer los requerimientos a sus intermediarios para la efectiva consolidación de la información correspondiente. </w:t>
      </w:r>
    </w:p>
    <w:p w14:paraId="7EA23749" w14:textId="77777777" w:rsidR="003E5D78" w:rsidRDefault="003E5D78" w:rsidP="003E5D78">
      <w:pPr>
        <w:jc w:val="both"/>
        <w:rPr>
          <w:rFonts w:ascii="Cambria" w:hAnsi="Cambria"/>
        </w:rPr>
      </w:pPr>
    </w:p>
    <w:p w14:paraId="5FBDAAAC" w14:textId="23BC01EA" w:rsidR="003E5D78" w:rsidRPr="001E134D" w:rsidRDefault="003E5D78" w:rsidP="003E5D78">
      <w:pPr>
        <w:jc w:val="both"/>
        <w:rPr>
          <w:rFonts w:ascii="Cambria" w:hAnsi="Cambria"/>
          <w:i/>
          <w:iCs/>
        </w:rPr>
      </w:pPr>
      <w:r w:rsidRPr="001E134D">
        <w:rPr>
          <w:rFonts w:ascii="Cambria" w:hAnsi="Cambria"/>
        </w:rPr>
        <w:t xml:space="preserve">Para la remisión de la información indicada anteriormente debe utilizarse el formato establecido en el Anexo 1 de estos lineamientos y ser remitido por medio del servicio de Ejecución de Estudios y Seguimiento (EES), disponible en el portal </w:t>
      </w:r>
      <w:r w:rsidRPr="001E134D">
        <w:rPr>
          <w:rFonts w:ascii="Cambria" w:hAnsi="Cambria"/>
          <w:i/>
          <w:iCs/>
        </w:rPr>
        <w:t>Sugese en línea.</w:t>
      </w:r>
    </w:p>
    <w:p w14:paraId="0A496CBE" w14:textId="77777777" w:rsidR="003E5D78" w:rsidRPr="001E134D" w:rsidRDefault="003E5D78" w:rsidP="003E5D78">
      <w:pPr>
        <w:jc w:val="both"/>
        <w:rPr>
          <w:rFonts w:ascii="Cambria" w:hAnsi="Cambria"/>
        </w:rPr>
      </w:pPr>
      <w:r w:rsidRPr="001E134D">
        <w:rPr>
          <w:rFonts w:ascii="Cambria" w:hAnsi="Cambria"/>
        </w:rPr>
        <w:t>En caso de no existir transacciones que reportar, por medio del mismo sistema EES se debe informar sobre la no existencia de estas.</w:t>
      </w:r>
    </w:p>
    <w:p w14:paraId="3DDD69D9" w14:textId="77777777" w:rsidR="003E5D78" w:rsidRDefault="003E5D78" w:rsidP="003E5D78">
      <w:pPr>
        <w:jc w:val="both"/>
        <w:rPr>
          <w:rFonts w:ascii="Cambria" w:hAnsi="Cambria"/>
        </w:rPr>
      </w:pPr>
    </w:p>
    <w:p w14:paraId="723285D7" w14:textId="77777777" w:rsidR="003E5D78" w:rsidRPr="001E134D" w:rsidRDefault="003E5D78" w:rsidP="003E5D78">
      <w:pPr>
        <w:jc w:val="both"/>
        <w:rPr>
          <w:rFonts w:ascii="Cambria" w:hAnsi="Cambria"/>
        </w:rPr>
      </w:pPr>
    </w:p>
    <w:p w14:paraId="17458B69" w14:textId="77777777" w:rsidR="003E5D78" w:rsidRDefault="003E5D78" w:rsidP="003E5D78">
      <w:pPr>
        <w:jc w:val="center"/>
        <w:rPr>
          <w:rFonts w:ascii="Cambria" w:hAnsi="Cambria"/>
          <w:b/>
          <w:bCs/>
        </w:rPr>
      </w:pPr>
      <w:r w:rsidRPr="001E134D">
        <w:rPr>
          <w:rFonts w:ascii="Cambria" w:hAnsi="Cambria"/>
          <w:b/>
          <w:bCs/>
        </w:rPr>
        <w:t>Capítulo V</w:t>
      </w:r>
    </w:p>
    <w:p w14:paraId="6201E9D3" w14:textId="77777777" w:rsidR="003E5D78" w:rsidRPr="001E134D" w:rsidRDefault="003E5D78" w:rsidP="003E5D78">
      <w:pPr>
        <w:jc w:val="center"/>
        <w:rPr>
          <w:rFonts w:ascii="Cambria" w:hAnsi="Cambria"/>
          <w:b/>
          <w:bCs/>
        </w:rPr>
      </w:pPr>
      <w:r w:rsidRPr="001E134D">
        <w:rPr>
          <w:rFonts w:ascii="Cambria" w:hAnsi="Cambria"/>
          <w:b/>
          <w:bCs/>
        </w:rPr>
        <w:t>Otras Disposiciones</w:t>
      </w:r>
    </w:p>
    <w:p w14:paraId="7E7423B5" w14:textId="77777777" w:rsidR="003E5D78" w:rsidRDefault="003E5D78" w:rsidP="003E5D78">
      <w:pPr>
        <w:jc w:val="both"/>
        <w:rPr>
          <w:rFonts w:ascii="Cambria" w:hAnsi="Cambria"/>
          <w:b/>
          <w:bCs/>
        </w:rPr>
      </w:pPr>
    </w:p>
    <w:p w14:paraId="488AD1B6" w14:textId="77777777" w:rsidR="003E5D78" w:rsidRPr="001E134D" w:rsidRDefault="003E5D78" w:rsidP="003E5D78">
      <w:pPr>
        <w:jc w:val="both"/>
        <w:rPr>
          <w:rFonts w:ascii="Cambria" w:hAnsi="Cambria"/>
          <w:b/>
          <w:bCs/>
        </w:rPr>
      </w:pPr>
      <w:r w:rsidRPr="001E134D">
        <w:rPr>
          <w:rFonts w:ascii="Cambria" w:hAnsi="Cambria"/>
          <w:b/>
          <w:bCs/>
        </w:rPr>
        <w:t>Artículo 15. Derogatorias</w:t>
      </w:r>
    </w:p>
    <w:p w14:paraId="109C0FCF" w14:textId="0E093856" w:rsidR="003E5D78" w:rsidRDefault="003E5D78" w:rsidP="003E5D78">
      <w:pPr>
        <w:jc w:val="both"/>
        <w:rPr>
          <w:rFonts w:ascii="Cambria" w:hAnsi="Cambria"/>
        </w:rPr>
      </w:pPr>
      <w:r w:rsidRPr="001E134D">
        <w:rPr>
          <w:rFonts w:ascii="Cambria" w:hAnsi="Cambria"/>
        </w:rPr>
        <w:t xml:space="preserve">Se derogan o dejan sin efecto los siguientes documentos: </w:t>
      </w:r>
    </w:p>
    <w:p w14:paraId="12C2FF21" w14:textId="77777777" w:rsidR="003E5D78" w:rsidRPr="001E134D" w:rsidRDefault="003E5D78" w:rsidP="003E5D78">
      <w:pPr>
        <w:jc w:val="both"/>
        <w:rPr>
          <w:rFonts w:ascii="Cambria" w:hAnsi="Cambria"/>
        </w:rPr>
      </w:pPr>
    </w:p>
    <w:p w14:paraId="4E171FC3" w14:textId="77777777" w:rsidR="003E5D78" w:rsidRPr="001E134D" w:rsidRDefault="003E5D78" w:rsidP="003E5D78">
      <w:pPr>
        <w:ind w:left="591" w:hanging="591"/>
        <w:jc w:val="both"/>
        <w:rPr>
          <w:rFonts w:ascii="Cambria" w:hAnsi="Cambria"/>
        </w:rPr>
      </w:pPr>
      <w:r w:rsidRPr="001E134D">
        <w:rPr>
          <w:rFonts w:ascii="Cambria" w:hAnsi="Cambria"/>
        </w:rPr>
        <w:t>•</w:t>
      </w:r>
      <w:r w:rsidRPr="001E134D">
        <w:rPr>
          <w:rFonts w:ascii="Cambria" w:hAnsi="Cambria"/>
        </w:rPr>
        <w:tab/>
        <w:t xml:space="preserve">Acuerdo de Superintendente SGS-A-0063-2018, </w:t>
      </w:r>
      <w:r w:rsidRPr="001E134D">
        <w:rPr>
          <w:rFonts w:ascii="Cambria" w:hAnsi="Cambria"/>
          <w:i/>
          <w:iCs/>
        </w:rPr>
        <w:t>Lineamientos diferenciados SUGESE respecto a la Normativa para el cumplimiento de la Ley N° 8204</w:t>
      </w:r>
      <w:r w:rsidRPr="001E134D">
        <w:rPr>
          <w:rFonts w:ascii="Cambria" w:hAnsi="Cambria"/>
        </w:rPr>
        <w:t>, del 26 de octubre del 2018 y todos aquellos acuerdos de superintendente que modificaron el acuerdo SGS-A-0063-2018.</w:t>
      </w:r>
    </w:p>
    <w:p w14:paraId="682A5215" w14:textId="77777777" w:rsidR="003E5D78" w:rsidRPr="001E134D" w:rsidRDefault="003E5D78" w:rsidP="003E5D78">
      <w:pPr>
        <w:ind w:left="591" w:hanging="591"/>
        <w:jc w:val="both"/>
        <w:rPr>
          <w:rFonts w:ascii="Cambria" w:hAnsi="Cambria"/>
        </w:rPr>
      </w:pPr>
      <w:r w:rsidRPr="001E134D">
        <w:rPr>
          <w:rFonts w:ascii="Cambria" w:hAnsi="Cambria"/>
        </w:rPr>
        <w:t>•</w:t>
      </w:r>
      <w:r w:rsidRPr="001E134D">
        <w:rPr>
          <w:rFonts w:ascii="Cambria" w:hAnsi="Cambria"/>
        </w:rPr>
        <w:tab/>
        <w:t xml:space="preserve">Acuerdo de Superintendente SGS-A-011-2011, </w:t>
      </w:r>
      <w:r w:rsidRPr="001E134D">
        <w:rPr>
          <w:rFonts w:ascii="Cambria" w:hAnsi="Cambria"/>
          <w:i/>
          <w:iCs/>
        </w:rPr>
        <w:t xml:space="preserve">Tramite de Solicitudes de Aplicación a las Sociedades Agencia de Seguros del Último Párrafo del Artículo 37 del Reglamento a la Ley sobre Estupefacientes, Sustancias Psicotrópicas, Drogas de Uso No Autorizado, Actividades Conexas, Legitimación de Capitales y Financiamiento al Terrorismo”, </w:t>
      </w:r>
      <w:r w:rsidRPr="001E134D">
        <w:rPr>
          <w:rFonts w:ascii="Cambria" w:hAnsi="Cambria"/>
        </w:rPr>
        <w:t xml:space="preserve">del 5 de octubre de 2012.  </w:t>
      </w:r>
    </w:p>
    <w:p w14:paraId="3A9BCC17" w14:textId="77777777" w:rsidR="003E5D78" w:rsidRPr="001E134D" w:rsidRDefault="003E5D78" w:rsidP="003E5D78">
      <w:pPr>
        <w:ind w:left="591" w:hanging="591"/>
        <w:jc w:val="both"/>
        <w:rPr>
          <w:rFonts w:ascii="Cambria" w:hAnsi="Cambria"/>
        </w:rPr>
      </w:pPr>
      <w:r w:rsidRPr="001E134D">
        <w:rPr>
          <w:rFonts w:ascii="Cambria" w:hAnsi="Cambria"/>
        </w:rPr>
        <w:t>•</w:t>
      </w:r>
      <w:r w:rsidRPr="001E134D">
        <w:rPr>
          <w:rFonts w:ascii="Cambria" w:hAnsi="Cambria"/>
        </w:rPr>
        <w:tab/>
        <w:t>Circular Externa SGS-CE-002-2009 del 1 de setiembre de 2009 sobre remisión de información a la Superintendencia.</w:t>
      </w:r>
    </w:p>
    <w:p w14:paraId="05F16DBE" w14:textId="77777777" w:rsidR="003E5D78" w:rsidRPr="001E134D" w:rsidRDefault="003E5D78" w:rsidP="003E5D78">
      <w:pPr>
        <w:ind w:left="591" w:hanging="591"/>
        <w:jc w:val="both"/>
        <w:rPr>
          <w:rFonts w:ascii="Cambria" w:hAnsi="Cambria"/>
        </w:rPr>
      </w:pPr>
      <w:r w:rsidRPr="001E134D">
        <w:rPr>
          <w:rFonts w:ascii="Cambria" w:hAnsi="Cambria"/>
        </w:rPr>
        <w:t>•</w:t>
      </w:r>
      <w:r w:rsidRPr="001E134D">
        <w:rPr>
          <w:rFonts w:ascii="Cambria" w:hAnsi="Cambria"/>
        </w:rPr>
        <w:tab/>
        <w:t>Circular Externa SGS-CE-011-2011del 16 de agosto de 2011 sobre la información documental para respaldar el origen de los fondos.</w:t>
      </w:r>
    </w:p>
    <w:p w14:paraId="1A0BCE45" w14:textId="77777777" w:rsidR="003E5D78" w:rsidRPr="001E134D" w:rsidRDefault="003E5D78" w:rsidP="003E5D78">
      <w:pPr>
        <w:ind w:left="591" w:hanging="591"/>
        <w:jc w:val="both"/>
        <w:rPr>
          <w:rFonts w:ascii="Cambria" w:hAnsi="Cambria"/>
        </w:rPr>
      </w:pPr>
      <w:r w:rsidRPr="001E134D">
        <w:rPr>
          <w:rFonts w:ascii="Cambria" w:hAnsi="Cambria"/>
        </w:rPr>
        <w:t>•</w:t>
      </w:r>
      <w:r w:rsidRPr="001E134D">
        <w:rPr>
          <w:rFonts w:ascii="Cambria" w:hAnsi="Cambria"/>
        </w:rPr>
        <w:tab/>
        <w:t>Oficio SGS-DES-O-0951-2014, del 04 de junio de 2014 referente a remisión de información a las Superintendencias.</w:t>
      </w:r>
    </w:p>
    <w:p w14:paraId="51F4E20A" w14:textId="77777777" w:rsidR="003E5D78" w:rsidRPr="001E134D" w:rsidRDefault="003E5D78" w:rsidP="003E5D78">
      <w:pPr>
        <w:jc w:val="both"/>
        <w:rPr>
          <w:rFonts w:ascii="Cambria" w:hAnsi="Cambria"/>
        </w:rPr>
      </w:pPr>
    </w:p>
    <w:p w14:paraId="3A908395" w14:textId="77777777" w:rsidR="003E5D78" w:rsidRPr="001E134D" w:rsidRDefault="003E5D78" w:rsidP="003E5D78">
      <w:pPr>
        <w:jc w:val="both"/>
        <w:rPr>
          <w:rFonts w:ascii="Cambria" w:hAnsi="Cambria"/>
          <w:b/>
          <w:bCs/>
        </w:rPr>
      </w:pPr>
      <w:r w:rsidRPr="001E134D">
        <w:rPr>
          <w:rFonts w:ascii="Cambria" w:hAnsi="Cambria"/>
          <w:b/>
          <w:bCs/>
        </w:rPr>
        <w:t>Artículo 16.  Modificación de otras normas</w:t>
      </w:r>
    </w:p>
    <w:p w14:paraId="5514BED3" w14:textId="77777777" w:rsidR="003E5D78" w:rsidRPr="001E134D" w:rsidRDefault="003E5D78" w:rsidP="003E5D78">
      <w:pPr>
        <w:jc w:val="both"/>
        <w:rPr>
          <w:rFonts w:ascii="Cambria" w:hAnsi="Cambria"/>
        </w:rPr>
      </w:pPr>
      <w:r w:rsidRPr="001E134D">
        <w:rPr>
          <w:rFonts w:ascii="Cambria" w:hAnsi="Cambria"/>
        </w:rPr>
        <w:t xml:space="preserve">Agregar al Acuerdo SGS-A-079-2021, </w:t>
      </w:r>
      <w:r w:rsidRPr="001E134D">
        <w:rPr>
          <w:rFonts w:ascii="Cambria" w:hAnsi="Cambria"/>
          <w:i/>
          <w:iCs/>
        </w:rPr>
        <w:t>Lineamientos para la Comunicación de los Hechos Relevantes por Parte de las Entidades Supervisadas por la Superintendencia General de Seguros y el Funcionamiento del Servicio de Hechos Relevantes, dispuesto en la plataforma Sugese en Línea,</w:t>
      </w:r>
      <w:r w:rsidRPr="001E134D">
        <w:rPr>
          <w:rFonts w:ascii="Cambria" w:hAnsi="Cambria"/>
        </w:rPr>
        <w:t xml:space="preserve"> en el artículo 4: Situaciones del Capítulo II: Hechos Relevantes, el siguiente inciso:</w:t>
      </w:r>
    </w:p>
    <w:p w14:paraId="17E97A60" w14:textId="77777777" w:rsidR="003E5D78" w:rsidRPr="001E134D" w:rsidRDefault="003E5D78" w:rsidP="003E5D78">
      <w:pPr>
        <w:jc w:val="both"/>
        <w:rPr>
          <w:rFonts w:ascii="Cambria" w:hAnsi="Cambria"/>
          <w:i/>
          <w:iCs/>
        </w:rPr>
      </w:pPr>
      <w:r w:rsidRPr="001E134D">
        <w:rPr>
          <w:rFonts w:ascii="Cambria" w:hAnsi="Cambria"/>
          <w:i/>
          <w:iCs/>
        </w:rPr>
        <w:t xml:space="preserve">u)  </w:t>
      </w:r>
      <w:r w:rsidRPr="001E134D">
        <w:rPr>
          <w:rFonts w:ascii="Cambria" w:hAnsi="Cambria"/>
          <w:i/>
          <w:iCs/>
        </w:rPr>
        <w:tab/>
        <w:t>Designación del enlace de cumplimiento, nombre y cargo de la persona designada, así como cualquier cambio subsecuente.</w:t>
      </w:r>
    </w:p>
    <w:p w14:paraId="7308608E" w14:textId="77777777" w:rsidR="003E5D78" w:rsidRDefault="003E5D78" w:rsidP="003E5D78">
      <w:pPr>
        <w:jc w:val="both"/>
        <w:rPr>
          <w:rFonts w:ascii="Cambria" w:hAnsi="Cambria"/>
        </w:rPr>
      </w:pPr>
    </w:p>
    <w:p w14:paraId="236D23D2" w14:textId="5DC25E31" w:rsidR="003E5D78" w:rsidRDefault="003E5D78" w:rsidP="003E5D78">
      <w:pPr>
        <w:jc w:val="both"/>
        <w:rPr>
          <w:rFonts w:ascii="Cambria" w:hAnsi="Cambria"/>
        </w:rPr>
      </w:pPr>
    </w:p>
    <w:p w14:paraId="04A46967" w14:textId="77777777" w:rsidR="003E5D78" w:rsidRPr="001E134D" w:rsidRDefault="003E5D78" w:rsidP="003E5D78">
      <w:pPr>
        <w:jc w:val="both"/>
        <w:rPr>
          <w:rFonts w:ascii="Cambria" w:hAnsi="Cambria"/>
        </w:rPr>
      </w:pPr>
    </w:p>
    <w:p w14:paraId="2D03E90F" w14:textId="77777777" w:rsidR="003E5D78" w:rsidRPr="001E134D" w:rsidRDefault="003E5D78" w:rsidP="003E5D78">
      <w:pPr>
        <w:jc w:val="center"/>
        <w:rPr>
          <w:rFonts w:ascii="Cambria" w:hAnsi="Cambria"/>
          <w:b/>
          <w:bCs/>
        </w:rPr>
      </w:pPr>
      <w:r w:rsidRPr="001E134D">
        <w:rPr>
          <w:rFonts w:ascii="Cambria" w:hAnsi="Cambria"/>
          <w:b/>
          <w:bCs/>
        </w:rPr>
        <w:t>Disposiciones Transitorias</w:t>
      </w:r>
    </w:p>
    <w:p w14:paraId="0A10C004" w14:textId="77777777" w:rsidR="003E5D78" w:rsidRDefault="003E5D78" w:rsidP="003E5D78">
      <w:pPr>
        <w:jc w:val="both"/>
        <w:rPr>
          <w:rFonts w:ascii="Cambria" w:hAnsi="Cambria"/>
          <w:b/>
          <w:bCs/>
        </w:rPr>
      </w:pPr>
    </w:p>
    <w:p w14:paraId="3FA30B95" w14:textId="77777777" w:rsidR="003E5D78" w:rsidRPr="001E134D" w:rsidRDefault="003E5D78" w:rsidP="003E5D78">
      <w:pPr>
        <w:jc w:val="both"/>
        <w:rPr>
          <w:rFonts w:ascii="Cambria" w:hAnsi="Cambria"/>
          <w:b/>
          <w:bCs/>
        </w:rPr>
      </w:pPr>
      <w:r w:rsidRPr="001E134D">
        <w:rPr>
          <w:rFonts w:ascii="Cambria" w:hAnsi="Cambria"/>
          <w:b/>
          <w:bCs/>
        </w:rPr>
        <w:t>Transitorio I</w:t>
      </w:r>
    </w:p>
    <w:p w14:paraId="6D001A75" w14:textId="77777777" w:rsidR="003E5D78" w:rsidRPr="001E134D" w:rsidRDefault="003E5D78" w:rsidP="003E5D78">
      <w:pPr>
        <w:jc w:val="both"/>
        <w:rPr>
          <w:rFonts w:ascii="Cambria" w:hAnsi="Cambria"/>
        </w:rPr>
      </w:pPr>
      <w:r w:rsidRPr="001E134D">
        <w:rPr>
          <w:rFonts w:ascii="Cambria" w:hAnsi="Cambria"/>
        </w:rPr>
        <w:t xml:space="preserve">Los sujetos obligados contarán con un plazo de seis meses para actualizar sus manuales de cumplimiento en los términos indicados en el acuerdo de ser necesario. Además, contarán como máximo con un año a partir de la actualización de los manuales, para actualizar los sus contratos con intermediarios de seguros de ser necesario. </w:t>
      </w:r>
    </w:p>
    <w:p w14:paraId="3767C17E" w14:textId="77777777" w:rsidR="003E5D78" w:rsidRDefault="003E5D78" w:rsidP="003E5D78">
      <w:pPr>
        <w:jc w:val="both"/>
        <w:rPr>
          <w:rFonts w:ascii="Cambria" w:hAnsi="Cambria"/>
          <w:b/>
          <w:bCs/>
        </w:rPr>
      </w:pPr>
    </w:p>
    <w:p w14:paraId="3803F7B6" w14:textId="302FDE16" w:rsidR="003E5D78" w:rsidRPr="001E134D" w:rsidRDefault="003E5D78" w:rsidP="003E5D78">
      <w:pPr>
        <w:jc w:val="both"/>
        <w:rPr>
          <w:rFonts w:ascii="Cambria" w:hAnsi="Cambria"/>
          <w:b/>
          <w:bCs/>
        </w:rPr>
      </w:pPr>
      <w:r w:rsidRPr="001E134D">
        <w:rPr>
          <w:rFonts w:ascii="Cambria" w:hAnsi="Cambria"/>
          <w:b/>
          <w:bCs/>
        </w:rPr>
        <w:t>Transitorio II</w:t>
      </w:r>
    </w:p>
    <w:p w14:paraId="0B42C8AD" w14:textId="77777777" w:rsidR="003E5D78" w:rsidRPr="001E134D" w:rsidRDefault="003E5D78" w:rsidP="003E5D78">
      <w:pPr>
        <w:jc w:val="both"/>
        <w:rPr>
          <w:rFonts w:ascii="Cambria" w:hAnsi="Cambria"/>
        </w:rPr>
      </w:pPr>
      <w:r w:rsidRPr="001E134D">
        <w:rPr>
          <w:rFonts w:ascii="Cambria" w:hAnsi="Cambria"/>
        </w:rPr>
        <w:t>Las autorizaciones de flexibilización de la estructura de cumplimiento aprobadas a la entrada en vigor de estos lineamientos con fundamento en el Acuerdo SGS-A-011-2011 se mantendrán hasta que las características especiales alegadas por el sujeto supervisado para justificarla tengan algún cambio, luego de lo cual se deben aplicar las disposiciones de estos lineamientos y la normativa vigente.</w:t>
      </w:r>
    </w:p>
    <w:p w14:paraId="1C195A3C" w14:textId="77777777" w:rsidR="003E5D78" w:rsidRDefault="003E5D78" w:rsidP="003E5D78">
      <w:pPr>
        <w:widowControl w:val="0"/>
        <w:jc w:val="both"/>
        <w:rPr>
          <w:rFonts w:ascii="Cambria" w:hAnsi="Cambria" w:cstheme="minorHAnsi"/>
          <w:b/>
          <w:bCs/>
        </w:rPr>
      </w:pPr>
    </w:p>
    <w:p w14:paraId="13A76AEB" w14:textId="77777777" w:rsidR="003E5D78" w:rsidRDefault="003E5D78" w:rsidP="003E5D78">
      <w:pPr>
        <w:widowControl w:val="0"/>
        <w:jc w:val="both"/>
        <w:rPr>
          <w:rFonts w:ascii="Cambria" w:hAnsi="Cambria" w:cstheme="minorHAnsi"/>
          <w:b/>
          <w:bCs/>
        </w:rPr>
      </w:pPr>
    </w:p>
    <w:p w14:paraId="18BD78EA" w14:textId="7E676990" w:rsidR="003E5D78" w:rsidRDefault="003E5D78" w:rsidP="003E5D78">
      <w:pPr>
        <w:widowControl w:val="0"/>
        <w:jc w:val="both"/>
        <w:rPr>
          <w:rFonts w:ascii="Cambria" w:hAnsi="Cambria" w:cstheme="minorHAnsi"/>
          <w:b/>
          <w:bCs/>
        </w:rPr>
      </w:pPr>
      <w:r w:rsidRPr="0064612A">
        <w:rPr>
          <w:rFonts w:ascii="Cambria" w:hAnsi="Cambria" w:cstheme="minorHAnsi"/>
          <w:b/>
          <w:bCs/>
        </w:rPr>
        <w:t>Rige a partir de su notificación.</w:t>
      </w:r>
    </w:p>
    <w:p w14:paraId="6049AD26" w14:textId="0F4B9B90" w:rsidR="003E5D78" w:rsidRDefault="003E5D78" w:rsidP="003E5D78">
      <w:pPr>
        <w:widowControl w:val="0"/>
        <w:jc w:val="both"/>
        <w:rPr>
          <w:rFonts w:ascii="Cambria" w:hAnsi="Cambria" w:cstheme="minorHAnsi"/>
          <w:b/>
          <w:bCs/>
        </w:rPr>
      </w:pPr>
      <w:r>
        <w:rPr>
          <w:noProof/>
          <w:lang w:val="es-CR" w:eastAsia="es-CR"/>
        </w:rPr>
        <w:drawing>
          <wp:inline distT="0" distB="0" distL="0" distR="0" wp14:anchorId="629BA03A" wp14:editId="075EC4C3">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7CD294C" w14:textId="24B61D81" w:rsidR="003E5D78" w:rsidRDefault="003E5D78" w:rsidP="003E5D78">
      <w:pPr>
        <w:widowControl w:val="0"/>
        <w:jc w:val="both"/>
        <w:rPr>
          <w:rFonts w:ascii="Cambria" w:hAnsi="Cambria" w:cstheme="minorHAnsi"/>
          <w:b/>
          <w:bCs/>
        </w:rPr>
      </w:pPr>
    </w:p>
    <w:p w14:paraId="7996AFFB" w14:textId="77777777" w:rsidR="003E5D78" w:rsidRPr="0064612A" w:rsidRDefault="003E5D78" w:rsidP="003E5D78">
      <w:pPr>
        <w:widowControl w:val="0"/>
        <w:jc w:val="both"/>
        <w:rPr>
          <w:rFonts w:ascii="Cambria" w:hAnsi="Cambria" w:cstheme="minorHAnsi"/>
        </w:rPr>
      </w:pPr>
    </w:p>
    <w:p w14:paraId="330C6ABB" w14:textId="77777777" w:rsidR="003E5D78" w:rsidRDefault="003E5D78" w:rsidP="003E5D78">
      <w:pPr>
        <w:jc w:val="center"/>
        <w:rPr>
          <w:rFonts w:ascii="Cambria" w:hAnsi="Cambria"/>
          <w:b/>
          <w:bCs/>
        </w:rPr>
      </w:pPr>
    </w:p>
    <w:p w14:paraId="44C3547C" w14:textId="7ACA041B" w:rsidR="003E5D78" w:rsidRPr="001E134D" w:rsidRDefault="003E5D78" w:rsidP="003E5D78">
      <w:pPr>
        <w:jc w:val="center"/>
        <w:rPr>
          <w:rFonts w:ascii="Cambria" w:hAnsi="Cambria"/>
          <w:b/>
          <w:bCs/>
        </w:rPr>
      </w:pPr>
      <w:r w:rsidRPr="001E134D">
        <w:rPr>
          <w:rFonts w:ascii="Cambria" w:hAnsi="Cambria"/>
          <w:b/>
          <w:bCs/>
        </w:rPr>
        <w:t>Anexo 1</w:t>
      </w:r>
    </w:p>
    <w:p w14:paraId="148CED45" w14:textId="77777777" w:rsidR="003E5D78" w:rsidRPr="001E134D" w:rsidRDefault="003E5D78" w:rsidP="003E5D78">
      <w:pPr>
        <w:jc w:val="center"/>
        <w:rPr>
          <w:rFonts w:ascii="Cambria" w:hAnsi="Cambria" w:cstheme="minorHAnsi"/>
        </w:rPr>
      </w:pPr>
    </w:p>
    <w:bookmarkStart w:id="0" w:name="_MON_1728816930"/>
    <w:bookmarkEnd w:id="0"/>
    <w:p w14:paraId="2D66914F" w14:textId="4F6CF365" w:rsidR="005876B5" w:rsidRDefault="003E5D78" w:rsidP="003E5D78">
      <w:pPr>
        <w:jc w:val="center"/>
        <w:rPr>
          <w:rFonts w:ascii="Cambria" w:hAnsi="Cambria"/>
        </w:rPr>
      </w:pPr>
      <w:r w:rsidRPr="001E134D">
        <w:rPr>
          <w:rFonts w:ascii="Cambria" w:hAnsi="Cambria" w:cstheme="minorHAnsi"/>
        </w:rPr>
        <w:object w:dxaOrig="1894" w:dyaOrig="1230" w14:anchorId="1BEAA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61.5pt" o:ole="">
            <v:imagedata r:id="rId14" o:title=""/>
          </v:shape>
          <o:OLEObject Type="Embed" ProgID="Excel.Sheet.12" ShapeID="_x0000_i1025" DrawAspect="Icon" ObjectID="_1728883898" r:id="rId15"/>
        </w:object>
      </w:r>
    </w:p>
    <w:p w14:paraId="52E1531F" w14:textId="7C597788" w:rsidR="00761D54" w:rsidRPr="006A3734" w:rsidRDefault="00761D54" w:rsidP="007F09F5">
      <w:pPr>
        <w:jc w:val="both"/>
        <w:rPr>
          <w:rFonts w:ascii="Cambria" w:hAnsi="Cambria"/>
        </w:rPr>
      </w:pPr>
    </w:p>
    <w:sectPr w:rsidR="00761D54" w:rsidRPr="006A3734" w:rsidSect="009618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78B6A" w14:textId="77777777" w:rsidR="00331DE9" w:rsidRDefault="00331DE9" w:rsidP="005A1442">
      <w:r>
        <w:separator/>
      </w:r>
    </w:p>
  </w:endnote>
  <w:endnote w:type="continuationSeparator" w:id="0">
    <w:p w14:paraId="63C8EAFA" w14:textId="77777777" w:rsidR="00331DE9" w:rsidRDefault="00331DE9"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6303" w14:textId="77777777" w:rsidR="00086927" w:rsidRDefault="000869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6655" w14:textId="77777777" w:rsidR="00843EE4" w:rsidRDefault="00843EE4" w:rsidP="005A1442">
    <w:pPr>
      <w:pStyle w:val="Piedepgina"/>
      <w:pBdr>
        <w:top w:val="single" w:sz="4" w:space="1" w:color="auto"/>
      </w:pBdr>
      <w:rPr>
        <w:sz w:val="16"/>
        <w:szCs w:val="16"/>
      </w:rPr>
    </w:pPr>
  </w:p>
  <w:p w14:paraId="7E6ABCB1" w14:textId="77777777" w:rsidR="00FD4273" w:rsidRPr="00FD4273" w:rsidRDefault="00FD4273" w:rsidP="00FD4273">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5FD5CF21"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28781682" w14:textId="77777777" w:rsidR="00843EE4" w:rsidRPr="00FD4273" w:rsidRDefault="00086927" w:rsidP="00FD4273">
    <w:pPr>
      <w:pStyle w:val="Piedepgina"/>
      <w:tabs>
        <w:tab w:val="clear" w:pos="8838"/>
      </w:tabs>
      <w:jc w:val="right"/>
      <w:rPr>
        <w:rFonts w:ascii="Cambria" w:hAnsi="Cambria"/>
        <w:sz w:val="18"/>
        <w:szCs w:val="18"/>
      </w:rPr>
    </w:pPr>
    <w:hyperlink r:id="rId1" w:history="1">
      <w:r w:rsidR="00FD4273" w:rsidRPr="00FD4273">
        <w:rPr>
          <w:rStyle w:val="Hipervnculo"/>
          <w:rFonts w:ascii="Cambria" w:hAnsi="Cambria"/>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25B4" w14:textId="77777777" w:rsidR="00843EE4" w:rsidRDefault="00843EE4" w:rsidP="00A83BA5">
    <w:pPr>
      <w:pStyle w:val="Piedepgina"/>
      <w:pBdr>
        <w:top w:val="single" w:sz="4" w:space="1" w:color="auto"/>
      </w:pBdr>
      <w:rPr>
        <w:sz w:val="16"/>
        <w:szCs w:val="16"/>
      </w:rPr>
    </w:pPr>
  </w:p>
  <w:p w14:paraId="60585BC1" w14:textId="77777777" w:rsidR="00843EE4" w:rsidRPr="00FD4273" w:rsidRDefault="00843EE4" w:rsidP="00A83BA5">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38C4F47F"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76E48FDD" w14:textId="77777777" w:rsidR="00843EE4" w:rsidRPr="00FD4273" w:rsidRDefault="00086927" w:rsidP="00A83BA5">
    <w:pPr>
      <w:pStyle w:val="Piedepgina"/>
      <w:tabs>
        <w:tab w:val="clear" w:pos="8838"/>
      </w:tabs>
      <w:jc w:val="right"/>
      <w:rPr>
        <w:rFonts w:ascii="Cambria" w:hAnsi="Cambria"/>
        <w:sz w:val="18"/>
        <w:szCs w:val="18"/>
      </w:rPr>
    </w:pPr>
    <w:hyperlink r:id="rId1" w:history="1">
      <w:r w:rsidR="00843EE4" w:rsidRPr="00FD4273">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6531C" w14:textId="77777777" w:rsidR="00331DE9" w:rsidRDefault="00331DE9" w:rsidP="005A1442">
      <w:r>
        <w:separator/>
      </w:r>
    </w:p>
  </w:footnote>
  <w:footnote w:type="continuationSeparator" w:id="0">
    <w:p w14:paraId="66F691C4" w14:textId="77777777" w:rsidR="00331DE9" w:rsidRDefault="00331DE9"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9C239" w14:textId="77777777" w:rsidR="00086927" w:rsidRDefault="000869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90B3"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09BC43FE" wp14:editId="1689264A">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6B3F24D" w14:textId="77777777" w:rsidR="00373AC0" w:rsidRPr="009618C8" w:rsidRDefault="00373AC0" w:rsidP="00373AC0">
    <w:pPr>
      <w:pStyle w:val="Encabezado"/>
      <w:rPr>
        <w:rFonts w:asciiTheme="majorHAnsi" w:hAnsiTheme="majorHAnsi"/>
        <w:sz w:val="16"/>
        <w:szCs w:val="16"/>
      </w:rPr>
    </w:pPr>
  </w:p>
  <w:p w14:paraId="0063548F" w14:textId="4C7F3914"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086927">
      <w:rPr>
        <w:rFonts w:asciiTheme="majorHAnsi" w:hAnsiTheme="majorHAnsi"/>
        <w:b/>
        <w:bCs/>
        <w:i/>
      </w:rPr>
      <w:t>091-2022</w:t>
    </w:r>
  </w:p>
  <w:p w14:paraId="7DAFAA97"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A606CB">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57306F59"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DAC8"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268EB582" wp14:editId="4BD600C9">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A89D5D0"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E103F1"/>
    <w:multiLevelType w:val="hybridMultilevel"/>
    <w:tmpl w:val="E972600E"/>
    <w:lvl w:ilvl="0" w:tplc="12B60DBA">
      <w:start w:val="1"/>
      <w:numFmt w:val="lowerLetter"/>
      <w:lvlText w:val="(%1)"/>
      <w:lvlJc w:val="left"/>
      <w:pPr>
        <w:ind w:left="750" w:hanging="39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E9"/>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86927"/>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1DE9"/>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5D78"/>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D37D1"/>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C7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paragraph" w:styleId="Prrafodelista">
    <w:name w:val="List Paragraph"/>
    <w:basedOn w:val="Normal"/>
    <w:uiPriority w:val="34"/>
    <w:qFormat/>
    <w:rsid w:val="003E5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footnotes" Target="footnotes.xml"/><Relationship Id="rId23" Type="http://schemas.openxmlformats.org/officeDocument/2006/relationships/glossaryDocument" Target="glossary/document.xml"/><Relationship Id="rId15" Type="http://schemas.openxmlformats.org/officeDocument/2006/relationships/package" Target="embeddings/Microsoft_Excel_Worksheet.xlsx"/><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F0B79E766C4F45989402A0350C01A6"/>
        <w:category>
          <w:name w:val="General"/>
          <w:gallery w:val="placeholder"/>
        </w:category>
        <w:types>
          <w:type w:val="bbPlcHdr"/>
        </w:types>
        <w:behaviors>
          <w:behavior w:val="content"/>
        </w:behaviors>
        <w:guid w:val="{F69B812F-4C73-4696-9617-CD6E4D6B0415}"/>
      </w:docPartPr>
      <w:docPartBody>
        <w:p w:rsidR="0068740D" w:rsidRDefault="0068740D">
          <w:pPr>
            <w:pStyle w:val="C1F0B79E766C4F45989402A0350C01A6"/>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0D"/>
    <w:rsid w:val="0068740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C1F0B79E766C4F45989402A0350C01A6">
    <w:name w:val="C1F0B79E766C4F45989402A0350C0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Ed1p4S5z4VV7Mo6gEtupS3BP+hw6D+u8KOAQcdu7LsY=</DigestValue>
    </Reference>
    <Reference Type="http://www.w3.org/2000/09/xmldsig#Object" URI="#idOfficeObject">
      <DigestMethod Algorithm="http://www.w3.org/2001/04/xmlenc#sha256"/>
      <DigestValue>RN4OIMZdG7GvzSIcLmtKh9h2UUxvXERMvWDDoz9PVi4=</DigestValue>
    </Reference>
    <Reference Type="http://uri.etsi.org/01903#SignedProperties" URI="#idSignedProperties">
      <Transforms>
        <Transform Algorithm="http://www.w3.org/TR/2001/REC-xml-c14n-20010315"/>
      </Transforms>
      <DigestMethod Algorithm="http://www.w3.org/2001/04/xmlenc#sha256"/>
      <DigestValue>py23CdIYEk1X7ykCfRKTTToHvUqPDnScJgfm0RsTvIA=</DigestValue>
    </Reference>
  </SignedInfo>
  <SignatureValue>KPU21D7dWvgVbUaJo8NAnSHmrfBf7EyUaahPcpZnUU0LdafEieFFVRpD+bDR1PScdjS6Y04MQH2p
BmmbJTjVGiIokXM6rkRiajsk4RUsmHvILQd355EAxY8+6xN2G1uEc9cZfsMmlo9vLCUlrodYew5K
i2f3EZr14B9QaUvLvDs57b5apB8GRz6aLEK3xB23zqR5XPenKU+H+SzYfLtxfOQqQeKQ5AD5XRu9
Cq+a6Xfk2ONmCmHboLw0baAlz1FuEufXwaeWot5Cmz5HTUcbtlol0jY+D1OITmi/nplS2vX6CO4G
B6bh7JEDxAZM82u3Jh2keQeSeFybBDMyWqRTPA==</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LglAQ52n1vEui9WoU/nB+z0sgO4ODlBs4H/hyjdBuks=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h357fgE2RIDjGghcNEFJh2EBj5Dgmz8v4uvXMOa3vx0=</DigestValue>
      </Reference>
      <Reference URI="/word/document.xml?ContentType=application/vnd.openxmlformats-officedocument.wordprocessingml.document.main+xml">
        <DigestMethod Algorithm="http://www.w3.org/2001/04/xmlenc#sha256"/>
        <DigestValue>+tFZCSjWlGKP9+ph8+1jFXJ6ymwjQ+ahXEU9t09r8c0=</DigestValue>
      </Reference>
      <Reference URI="/word/embeddings/Microsoft_Excel_Worksheet.xlsx?ContentType=application/vnd.openxmlformats-officedocument.spreadsheetml.sheet">
        <DigestMethod Algorithm="http://www.w3.org/2001/04/xmlenc#sha256"/>
        <DigestValue>MY0JDqwsnJg6X84TywlVWc0WmkbjCx8mTmwSuA8FOcw=</DigestValue>
      </Reference>
      <Reference URI="/word/endnotes.xml?ContentType=application/vnd.openxmlformats-officedocument.wordprocessingml.endnotes+xml">
        <DigestMethod Algorithm="http://www.w3.org/2001/04/xmlenc#sha256"/>
        <DigestValue>pABAlSFMynKExC50/hWOM7T6z59Zv7IuVCNNdcrQdbM=</DigestValue>
      </Reference>
      <Reference URI="/word/fontTable.xml?ContentType=application/vnd.openxmlformats-officedocument.wordprocessingml.fontTable+xml">
        <DigestMethod Algorithm="http://www.w3.org/2001/04/xmlenc#sha256"/>
        <DigestValue>6z5XJQqeil3QeWTUufxMyC1geis2fXTOicbevj3Vszg=</DigestValue>
      </Reference>
      <Reference URI="/word/footer1.xml?ContentType=application/vnd.openxmlformats-officedocument.wordprocessingml.footer+xml">
        <DigestMethod Algorithm="http://www.w3.org/2001/04/xmlenc#sha256"/>
        <DigestValue>ANgQwTIkhYeGwqFoOKgVMKX5JyV+yuunGVXd5aEzujY=</DigestValue>
      </Reference>
      <Reference URI="/word/footer2.xml?ContentType=application/vnd.openxmlformats-officedocument.wordprocessingml.footer+xml">
        <DigestMethod Algorithm="http://www.w3.org/2001/04/xmlenc#sha256"/>
        <DigestValue>b7EkP2o7/ylKcl5HVKod4JsdKMcYDdoKW1DQ2lr+FlM=</DigestValue>
      </Reference>
      <Reference URI="/word/footer3.xml?ContentType=application/vnd.openxmlformats-officedocument.wordprocessingml.footer+xml">
        <DigestMethod Algorithm="http://www.w3.org/2001/04/xmlenc#sha256"/>
        <DigestValue>1JxsScZ+ZlWf0nhYVOMJTCVSn/PBJ/9W1kmo8zLGMOI=</DigestValue>
      </Reference>
      <Reference URI="/word/footnotes.xml?ContentType=application/vnd.openxmlformats-officedocument.wordprocessingml.footnotes+xml">
        <DigestMethod Algorithm="http://www.w3.org/2001/04/xmlenc#sha256"/>
        <DigestValue>fW0nUYaxNLI2QVrmCPbzVw4XbLlP0Py3aQ6vLnALtls=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ZlJ9sfWxRN571+Qy9+qOnaAqN6nbbkuMY8mut+e9CBw=</DigestValue>
      </Reference>
      <Reference URI="/word/glossary/fontTable.xml?ContentType=application/vnd.openxmlformats-officedocument.wordprocessingml.fontTable+xml">
        <DigestMethod Algorithm="http://www.w3.org/2001/04/xmlenc#sha256"/>
        <DigestValue>EA7UPS2vMD8wuL/5PN5zaOOZ9QNIHoJf2FOC6wyKfdA=</DigestValue>
      </Reference>
      <Reference URI="/word/glossary/settings.xml?ContentType=application/vnd.openxmlformats-officedocument.wordprocessingml.settings+xml">
        <DigestMethod Algorithm="http://www.w3.org/2001/04/xmlenc#sha256"/>
        <DigestValue>krYAQ469/bMETA/+Ehaync4309SSEQLmiNOBEKPnCfE=</DigestValue>
      </Reference>
      <Reference URI="/word/glossary/styles.xml?ContentType=application/vnd.openxmlformats-officedocument.wordprocessingml.styles+xml">
        <DigestMethod Algorithm="http://www.w3.org/2001/04/xmlenc#sha256"/>
        <DigestValue>3hfYK2wY74CB/ktabm3xgYXd/UJ05py3InBniI+1vk8=</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2RK5+FB+cB6GO34ZIkFWCcxQHWJSTqC8UteFHYAemY8=</DigestValue>
      </Reference>
      <Reference URI="/word/header2.xml?ContentType=application/vnd.openxmlformats-officedocument.wordprocessingml.header+xml">
        <DigestMethod Algorithm="http://www.w3.org/2001/04/xmlenc#sha256"/>
        <DigestValue>bF6dPtTy3djyQkWa+kuKOsdUcELVLQH2Pcp+fyzG0WY=</DigestValue>
      </Reference>
      <Reference URI="/word/header3.xml?ContentType=application/vnd.openxmlformats-officedocument.wordprocessingml.header+xml">
        <DigestMethod Algorithm="http://www.w3.org/2001/04/xmlenc#sha256"/>
        <DigestValue>ghVR2G8IGgQSeS+zm17Bma5Ll449GPcUeA6exlrjsc0=</DigestValue>
      </Reference>
      <Reference URI="/word/media/image1.png?ContentType=image/png">
        <DigestMethod Algorithm="http://www.w3.org/2001/04/xmlenc#sha256"/>
        <DigestValue>8ow0IbLvIuBewu4WCsfpgILO/EmmHhLyHA30uNxvsQ8=</DigestValue>
      </Reference>
      <Reference URI="/word/media/image2.emf?ContentType=image/x-emf">
        <DigestMethod Algorithm="http://www.w3.org/2001/04/xmlenc#sha256"/>
        <DigestValue>thSmUYMqu1u6y9wGEpd7381qlsYe8rg2PtSojkEwCmQ=</DigestValue>
      </Reference>
      <Reference URI="/word/media/image3.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Ict4br2MFU6TAdEzxH3XeXJWzNauOV7rFweo3aczScY=</DigestValue>
      </Reference>
      <Reference URI="/word/settings.xml?ContentType=application/vnd.openxmlformats-officedocument.wordprocessingml.settings+xml">
        <DigestMethod Algorithm="http://www.w3.org/2001/04/xmlenc#sha256"/>
        <DigestValue>5X3Pnul4YisEeMHEg/AFOHXMu2TUESHR8b38iTnulsc=</DigestValue>
      </Reference>
      <Reference URI="/word/styles.xml?ContentType=application/vnd.openxmlformats-officedocument.wordprocessingml.styles+xml">
        <DigestMethod Algorithm="http://www.w3.org/2001/04/xmlenc#sha256"/>
        <DigestValue>s+vGXw714Wpw1lECypPh76+pbV6BfAiLUuTU4jd+KXM=</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Manifest>
    <SignatureProperties>
      <SignatureProperty Id="idSignatureTime" Target="#idPackageSignature">
        <mdssi:SignatureTime xmlns:mdssi="http://schemas.openxmlformats.org/package/2006/digital-signature">
          <mdssi:Format>YYYY-MM-DDThh:mm:ssTZD</mdssi:Format>
          <mdssi:Value>2022-11-02T14:48:16Z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2022-11-02T14:48:16Z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6qdnmVzkao0w11UJ40I9VOEmUJM5r6k2BY48PBIwq+ICBBFn6ZMYDzIwMjIxMTAyMTQ0ODI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</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MiVtZJqF8qxvbGcQ4hidt6F1wYs=</xd:ByKey>
                  </xd:ResponderID>
                  <xd:ProducedAt>2022-11-02T14:48:15Z</xd:ProducedAt>
                </xd:OCSPIdentifier>
                <xd:DigestAlgAndValue>
                  <DigestMethod Algorithm="http://www.w3.org/2001/04/xmlenc#sha256"/>
                  <DigestValue>NKqCO+bey4+vBuhRBrzpYht8FHbGhgcIS9/IXeX4/y0=</DigestValue>
                </xd:DigestAlgAndValue>
              </xd:OCSPRef>
            </xd:OCSPRefs>
            <xd:CRLRefs>
              <xd:CRLRef>
                <xd:DigestAlgAndValue>
                  <DigestMethod Algorithm="http://www.w3.org/2001/04/xmlenc#sha256"/>
                  <DigestValue>iVg/3zUCIKaedr6KDd6g+v081zcooqCr5uCKHEdiCkc=</DigestValue>
                </xd:DigestAlgAndValue>
                <xd:CRLIdentifier>
                  <xd:Issuer>CN=CA POLITICA PERSONA FISICA - COSTA RICA v2, OU=DCFD, O=MICITT, C=CR, SERIALNUMBER=CPJ-2-100-098311</xd:Issuer>
                  <xd:IssueTime>2022-10-31T19:09:07Z</xd:IssueTime>
                </xd:CRLIdentifier>
              </xd:CRLRef>
              <xd:CRLRef>
                <xd:DigestAlgAndValue>
                  <DigestMethod Algorithm="http://www.w3.org/2001/04/xmlenc#sha256"/>
                  <DigestValue>eqBH8sV8kzrheJSKSTxJOpNxJOW0I0VfSbltqJfY9hw=</DigestValue>
                </xd:DigestAlgAndValue>
                <xd:CRLIdentifier>
                  <xd:Issuer>CN=CA RAIZ NACIONAL - COSTA RICA v2, C=CR, O=MICITT, OU=DCFD, SERIALNUMBER=CPJ-2-100-098311</xd:Issuer>
                  <xd:IssueTime>2022-09-08T16:36:31Z</xd:IssueTime>
                </xd:CRLIdentifier>
              </xd:CRLRef>
            </xd:CRLRefs>
          </xd:CompleteRevocationRefs>
          <xd:RevocationValues>
            <xd:OCSPValues>
              <xd:EncapsulatedOCSPValue>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</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</xd:EncapsulatedCRLValue>
              <xd:EncapsulatedCRLValue>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0VQxX7mt2HlpzpNTG0gPwp2wPGW4GJVUFyaYF36HxvMCBBFn6ZQYDzIwMjIxMTAyMTQ0ODI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4" ma:contentTypeDescription="Crear nuevo documento." ma:contentTypeScope="" ma:versionID="1071d2ab14faac70c9270c0aa8ac717a">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0e8d6740e50556d292837d51584ce767"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mso-contentType ?>
<SharedContentType xmlns="Microsoft.SharePoint.Taxonomy.ContentTypeSync" SourceId="031b4bb2-0db7-40b3-a341-fc1511e9642d" ContentTypeId="0x010100E97154E09FCE6A4E8EAEBD5C54DD1AE402" PreviousValue="false"/>
</file>

<file path=customXml/itemProps1.xml><?xml version="1.0" encoding="utf-8"?>
<ds:datastoreItem xmlns:ds="http://schemas.openxmlformats.org/officeDocument/2006/customXml" ds:itemID="{5A5D73E5-1C6F-49EE-ACEB-4E359CB29300}"/>
</file>

<file path=customXml/itemProps2.xml><?xml version="1.0" encoding="utf-8"?>
<ds:datastoreItem xmlns:ds="http://schemas.openxmlformats.org/officeDocument/2006/customXml" ds:itemID="{1DE01D58-EBFA-4550-B578-885F26199ADB}"/>
</file>

<file path=customXml/itemProps3.xml><?xml version="1.0" encoding="utf-8"?>
<ds:datastoreItem xmlns:ds="http://schemas.openxmlformats.org/officeDocument/2006/customXml" ds:itemID="{0FDB955C-A54C-403C-8BEB-A28E4A9D9608}">
  <ds:schemaRefs>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 ds:uri="b875e23b-67d9-4b2e-bdec-edacbf90b326"/>
    <ds:schemaRef ds:uri="http://schemas.openxmlformats.org/package/2006/metadata/core-properties"/>
    <ds:schemaRef ds:uri="233f2551-3930-43c2-a744-679e70430545"/>
    <ds:schemaRef ds:uri="http://schemas.microsoft.com/sharepoint/v3"/>
  </ds:schemaRefs>
</ds:datastoreItem>
</file>

<file path=customXml/itemProps4.xml><?xml version="1.0" encoding="utf-8"?>
<ds:datastoreItem xmlns:ds="http://schemas.openxmlformats.org/officeDocument/2006/customXml" ds:itemID="{8FD1569A-4AF2-4351-9253-70AADC675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BBC6E9-777D-480E-8BCF-F602B73B7570}">
  <ds:schemaRefs>
    <ds:schemaRef ds:uri="office.server.policy"/>
  </ds:schemaRefs>
</ds:datastoreItem>
</file>

<file path=customXml/itemProps6.xml><?xml version="1.0" encoding="utf-8"?>
<ds:datastoreItem xmlns:ds="http://schemas.openxmlformats.org/officeDocument/2006/customXml" ds:itemID="{4FEC1B93-3B99-43A3-BBEB-2DCFF3EFC58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Plantilla-SGS-A</Template>
  <TotalTime>0</TotalTime>
  <Pages>18</Pages>
  <Words>6083</Words>
  <Characters>33459</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SGS-A-0091-2022</dc:title>
  <dc:creator/>
  <cp:lastModifiedBy/>
  <cp:revision>1</cp:revision>
  <dcterms:created xsi:type="dcterms:W3CDTF">2022-11-02T14:24:00Z</dcterms:created>
  <dcterms:modified xsi:type="dcterms:W3CDTF">2022-11-02T14:45:00Z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Corredoras|35c820cc-2e74-4907-8439-32dfa8037acb;#309;#Asociación de Aseguradores Privados (AAP)|c0cb0013-61dc-4c5a-87ab-4e50a02299ff;#429;#Cámara Intermediarios de Costa Rica|d9f0d767-5889-40d7-b0b7-0d6c02809c4e</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130;#Confidencial|d19c5cf3-f0e9-4d18-86d2-7bee4000e1ea</vt:lpwstr>
  </property>
  <property fmtid="{D5CDD505-2E9C-101B-9397-08002B2CF9AE}" pid="13" name="lb0b7da792b243d9bfa96ad7487ad734">
    <vt:lpwstr/>
  </property>
  <property fmtid="{D5CDD505-2E9C-101B-9397-08002B2CF9AE}" pid="14" name="Confidencialidad">
    <vt:lpwstr>1;#Público|99c2402f-8ec3-4ca8-8024-be52e4e7f629</vt:lpwstr>
  </property>
  <property fmtid="{D5CDD505-2E9C-101B-9397-08002B2CF9AE}" pid="15" name="WorkflowChangePath">
    <vt:lpwstr>a04ecaee-163e-4670-bddd-e0ee954511fc,5;1aa28896-1dd1-4078-8dfd-4097646820ff,10;f0cb250b-c1ef-4893-9022-2aaf0b532c25,11;</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Order">
    <vt:r8>357300</vt:r8>
  </property>
  <property fmtid="{D5CDD505-2E9C-101B-9397-08002B2CF9AE}" pid="23" name="xd_Signature">
    <vt:bool>false</vt:bool>
  </property>
  <property fmtid="{D5CDD505-2E9C-101B-9397-08002B2CF9AE}" pid="24" name="xd_ProgID">
    <vt:lpwstr/>
  </property>
  <property fmtid="{D5CDD505-2E9C-101B-9397-08002B2CF9AE}" pid="25" name="DocumentSetDescription">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