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9401E"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7C4DB236"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4BBAB05C" w14:textId="77777777" w:rsidR="00B330AC" w:rsidRDefault="00B330AC" w:rsidP="009618C8">
      <w:pPr>
        <w:jc w:val="both"/>
        <w:rPr>
          <w:rFonts w:ascii="Cambria" w:hAnsi="Cambria"/>
          <w:color w:val="000000"/>
        </w:rPr>
      </w:pPr>
    </w:p>
    <w:p w14:paraId="540CA53E" w14:textId="77777777" w:rsidR="009618C8" w:rsidRDefault="009618C8" w:rsidP="009618C8">
      <w:pPr>
        <w:jc w:val="both"/>
        <w:rPr>
          <w:rFonts w:ascii="Cambria" w:hAnsi="Cambria"/>
          <w:color w:val="000000"/>
        </w:rPr>
      </w:pPr>
    </w:p>
    <w:p w14:paraId="042C23FA" w14:textId="77777777" w:rsidR="009618C8" w:rsidRDefault="009618C8" w:rsidP="009618C8">
      <w:pPr>
        <w:jc w:val="both"/>
        <w:rPr>
          <w:rFonts w:asciiTheme="majorHAnsi" w:hAnsiTheme="majorHAnsi"/>
          <w:b/>
          <w:bCs/>
        </w:rPr>
      </w:pPr>
    </w:p>
    <w:p w14:paraId="2C6CE93D" w14:textId="77777777" w:rsidR="00B330AC" w:rsidRDefault="00B330AC" w:rsidP="00B330AC">
      <w:pPr>
        <w:jc w:val="center"/>
        <w:rPr>
          <w:rFonts w:asciiTheme="majorHAnsi" w:hAnsiTheme="majorHAnsi"/>
          <w:b/>
          <w:bCs/>
        </w:rPr>
      </w:pPr>
      <w:r>
        <w:rPr>
          <w:rFonts w:asciiTheme="majorHAnsi" w:hAnsiTheme="majorHAnsi"/>
          <w:b/>
          <w:bCs/>
        </w:rPr>
        <w:t>ACUERDO DE SUPERINTENDENTE</w:t>
      </w:r>
    </w:p>
    <w:p w14:paraId="693CA492" w14:textId="1DCE3946" w:rsidR="00B330AC" w:rsidRPr="00D41C55" w:rsidRDefault="00B330AC" w:rsidP="00B330AC">
      <w:pPr>
        <w:jc w:val="center"/>
        <w:rPr>
          <w:rFonts w:asciiTheme="majorHAnsi" w:hAnsiTheme="majorHAnsi"/>
          <w:b/>
          <w:bCs/>
          <w:i/>
          <w:iCs/>
        </w:rPr>
      </w:pPr>
      <w:r w:rsidRPr="00D41C55">
        <w:rPr>
          <w:rFonts w:asciiTheme="majorHAnsi" w:hAnsiTheme="majorHAnsi"/>
          <w:b/>
          <w:bCs/>
          <w:i/>
          <w:iCs/>
        </w:rPr>
        <w:t>SGS-A-0</w:t>
      </w:r>
      <w:r w:rsidR="00D41C55" w:rsidRPr="00D41C55">
        <w:rPr>
          <w:rFonts w:asciiTheme="majorHAnsi" w:hAnsiTheme="majorHAnsi"/>
          <w:b/>
          <w:bCs/>
          <w:i/>
          <w:iCs/>
        </w:rPr>
        <w:t>087</w:t>
      </w:r>
      <w:r w:rsidRPr="00D41C55">
        <w:rPr>
          <w:rFonts w:asciiTheme="majorHAnsi" w:hAnsiTheme="majorHAnsi"/>
          <w:b/>
          <w:bCs/>
          <w:i/>
          <w:iCs/>
        </w:rPr>
        <w:t>-20</w:t>
      </w:r>
      <w:r w:rsidR="00D41C55" w:rsidRPr="00D41C55">
        <w:rPr>
          <w:rFonts w:asciiTheme="majorHAnsi" w:hAnsiTheme="majorHAnsi"/>
          <w:b/>
          <w:bCs/>
          <w:i/>
          <w:iCs/>
        </w:rPr>
        <w:t>21</w:t>
      </w:r>
    </w:p>
    <w:p w14:paraId="568265F4" w14:textId="77777777" w:rsidR="00744A2C" w:rsidRDefault="00744A2C" w:rsidP="007F09F5">
      <w:pPr>
        <w:jc w:val="both"/>
        <w:rPr>
          <w:rFonts w:ascii="Cambria" w:hAnsi="Cambria"/>
        </w:rPr>
      </w:pPr>
    </w:p>
    <w:p w14:paraId="4350ED01" w14:textId="77777777" w:rsidR="0070713F" w:rsidRPr="00D01250" w:rsidRDefault="0070713F" w:rsidP="0070713F">
      <w:pPr>
        <w:rPr>
          <w:rFonts w:asciiTheme="majorHAnsi" w:hAnsiTheme="majorHAnsi"/>
          <w:b/>
          <w:bCs/>
          <w:sz w:val="28"/>
          <w:szCs w:val="28"/>
        </w:rPr>
      </w:pPr>
    </w:p>
    <w:p w14:paraId="12A1075F" w14:textId="77777777" w:rsidR="0070713F" w:rsidRPr="00D01250" w:rsidRDefault="0070713F" w:rsidP="0070713F">
      <w:pPr>
        <w:ind w:left="189"/>
        <w:jc w:val="center"/>
        <w:rPr>
          <w:rFonts w:asciiTheme="majorHAnsi" w:hAnsiTheme="majorHAnsi"/>
          <w:b/>
        </w:rPr>
      </w:pPr>
      <w:r w:rsidRPr="00D01250">
        <w:rPr>
          <w:rFonts w:asciiTheme="majorHAnsi" w:hAnsiTheme="majorHAnsi"/>
          <w:b/>
        </w:rPr>
        <w:t xml:space="preserve">Modificación al acuerdo SGS-DES-A-021-2013 </w:t>
      </w:r>
      <w:r w:rsidRPr="00D01250">
        <w:rPr>
          <w:rFonts w:asciiTheme="majorHAnsi" w:hAnsiTheme="majorHAnsi"/>
          <w:b/>
          <w:i/>
        </w:rPr>
        <w:t>“Disposiciones para la Remisión de la Información Contable y Estadística a la Superintendencia General de Seguros por parte de las Entidades Supervisadas”</w:t>
      </w:r>
      <w:r w:rsidRPr="00D01250">
        <w:rPr>
          <w:rFonts w:asciiTheme="majorHAnsi" w:hAnsiTheme="majorHAnsi"/>
          <w:b/>
        </w:rPr>
        <w:t>, para ajustar el Anexo 4 en relación con el cálculo del requerimiento de capital por riesgo técnico de los seguros de caución</w:t>
      </w:r>
    </w:p>
    <w:p w14:paraId="46A49058" w14:textId="77777777" w:rsidR="0070713F" w:rsidRPr="00D01250" w:rsidRDefault="0070713F" w:rsidP="0070713F">
      <w:pPr>
        <w:jc w:val="center"/>
        <w:rPr>
          <w:rFonts w:asciiTheme="majorHAnsi" w:hAnsiTheme="majorHAnsi"/>
          <w:b/>
          <w:bCs/>
        </w:rPr>
      </w:pPr>
    </w:p>
    <w:p w14:paraId="324248BA" w14:textId="77777777" w:rsidR="0070713F" w:rsidRPr="00031998" w:rsidRDefault="0070713F" w:rsidP="0070713F">
      <w:pPr>
        <w:ind w:left="-567"/>
        <w:jc w:val="both"/>
        <w:rPr>
          <w:rFonts w:asciiTheme="majorHAnsi" w:hAnsiTheme="majorHAnsi"/>
          <w:i/>
          <w:color w:val="000000"/>
        </w:rPr>
      </w:pPr>
    </w:p>
    <w:p w14:paraId="33ECC95C" w14:textId="72871BBF" w:rsidR="0070713F" w:rsidRPr="009D64F0" w:rsidRDefault="0070713F" w:rsidP="0070713F">
      <w:pPr>
        <w:jc w:val="both"/>
        <w:rPr>
          <w:rFonts w:asciiTheme="majorHAnsi" w:hAnsiTheme="majorHAnsi"/>
          <w:color w:val="000000"/>
        </w:rPr>
      </w:pPr>
      <w:r w:rsidRPr="0070713F">
        <w:rPr>
          <w:rFonts w:asciiTheme="majorHAnsi" w:hAnsiTheme="majorHAnsi"/>
          <w:color w:val="000000"/>
        </w:rPr>
        <w:t>El Superintendente General de Seguros, a las ocho horas y treinta minutos del veintid</w:t>
      </w:r>
      <w:r>
        <w:rPr>
          <w:rFonts w:asciiTheme="majorHAnsi" w:hAnsiTheme="majorHAnsi"/>
          <w:color w:val="000000"/>
        </w:rPr>
        <w:t xml:space="preserve">ós de </w:t>
      </w:r>
      <w:r w:rsidRPr="009D64F0">
        <w:rPr>
          <w:rFonts w:asciiTheme="majorHAnsi" w:hAnsiTheme="majorHAnsi"/>
          <w:color w:val="000000"/>
        </w:rPr>
        <w:t>diciembre de dos mil veintiuno.</w:t>
      </w:r>
    </w:p>
    <w:p w14:paraId="1DF59455" w14:textId="77777777" w:rsidR="0070713F" w:rsidRPr="009D64F0" w:rsidRDefault="0070713F" w:rsidP="0070713F">
      <w:pPr>
        <w:jc w:val="both"/>
        <w:rPr>
          <w:rFonts w:asciiTheme="majorHAnsi" w:hAnsiTheme="majorHAnsi"/>
          <w:color w:val="000000"/>
        </w:rPr>
      </w:pPr>
    </w:p>
    <w:p w14:paraId="71484669" w14:textId="77777777" w:rsidR="0070713F" w:rsidRPr="009D64F0" w:rsidRDefault="0070713F" w:rsidP="0070713F">
      <w:pPr>
        <w:jc w:val="center"/>
        <w:rPr>
          <w:rFonts w:asciiTheme="majorHAnsi" w:hAnsiTheme="majorHAnsi"/>
          <w:b/>
          <w:color w:val="000000"/>
        </w:rPr>
      </w:pPr>
      <w:r w:rsidRPr="009D64F0">
        <w:rPr>
          <w:rFonts w:asciiTheme="majorHAnsi" w:hAnsiTheme="majorHAnsi"/>
          <w:b/>
          <w:color w:val="000000"/>
        </w:rPr>
        <w:t>Considerando que:</w:t>
      </w:r>
    </w:p>
    <w:p w14:paraId="7CC2198F" w14:textId="77777777" w:rsidR="0070713F" w:rsidRPr="009D64F0" w:rsidRDefault="0070713F" w:rsidP="0070713F">
      <w:pPr>
        <w:jc w:val="both"/>
        <w:rPr>
          <w:rFonts w:asciiTheme="majorHAnsi" w:hAnsiTheme="majorHAnsi"/>
          <w:color w:val="000000"/>
        </w:rPr>
      </w:pPr>
    </w:p>
    <w:p w14:paraId="3D5B870C" w14:textId="77777777" w:rsidR="0070713F" w:rsidRPr="009D64F0" w:rsidRDefault="0070713F" w:rsidP="0070713F">
      <w:pPr>
        <w:pStyle w:val="Prrafodelista"/>
        <w:numPr>
          <w:ilvl w:val="0"/>
          <w:numId w:val="1"/>
        </w:numPr>
        <w:jc w:val="both"/>
        <w:rPr>
          <w:rFonts w:asciiTheme="majorHAnsi" w:hAnsiTheme="majorHAnsi"/>
          <w:bCs/>
          <w:lang w:val="es-ES_tradnl"/>
        </w:rPr>
      </w:pPr>
      <w:r w:rsidRPr="009D64F0">
        <w:rPr>
          <w:rFonts w:asciiTheme="majorHAnsi" w:hAnsiTheme="majorHAnsi"/>
          <w:bCs/>
          <w:lang w:val="es-ES_tradnl"/>
        </w:rPr>
        <w:t>El Consejo Nacional de Supervisión del Sistema Financiero (CONASSIF) aprobó, mediante artículo 8 del acta de la sesión 1050-2013 del 2 de julio de 2013, el</w:t>
      </w:r>
      <w:r w:rsidRPr="009D64F0">
        <w:rPr>
          <w:rFonts w:asciiTheme="majorHAnsi" w:hAnsiTheme="majorHAnsi"/>
          <w:bCs/>
          <w:i/>
          <w:lang w:val="es-ES_tradnl"/>
        </w:rPr>
        <w:t xml:space="preserve"> Reglamento sobre la Solvencia de Entidades de Seguros y Reaseguros</w:t>
      </w:r>
      <w:r w:rsidRPr="009D64F0">
        <w:rPr>
          <w:rFonts w:asciiTheme="majorHAnsi" w:hAnsiTheme="majorHAnsi"/>
          <w:bCs/>
          <w:lang w:val="es-ES_tradnl"/>
        </w:rPr>
        <w:t>, Acuerdo SUGESE 02-2013 (en adelante el Reglamento), el cual dispone, entre otros, la metodología para el cálculo de los requerimientos de capital de solvencia de los seguros generales (Anexo RCS-4), dentro de los cuales se encuentran los requerimientos para los seguros de caución.</w:t>
      </w:r>
    </w:p>
    <w:p w14:paraId="7B58BA30" w14:textId="77777777" w:rsidR="0070713F" w:rsidRPr="009D64F0" w:rsidRDefault="0070713F" w:rsidP="0070713F">
      <w:pPr>
        <w:jc w:val="both"/>
        <w:rPr>
          <w:rFonts w:asciiTheme="majorHAnsi" w:hAnsiTheme="majorHAnsi"/>
          <w:bCs/>
          <w:lang w:val="es-ES_tradnl"/>
        </w:rPr>
      </w:pPr>
    </w:p>
    <w:p w14:paraId="15EBB3AF" w14:textId="77777777" w:rsidR="0070713F" w:rsidRPr="009D64F0" w:rsidRDefault="0070713F" w:rsidP="0070713F">
      <w:pPr>
        <w:pStyle w:val="Prrafodelista"/>
        <w:numPr>
          <w:ilvl w:val="0"/>
          <w:numId w:val="1"/>
        </w:numPr>
        <w:jc w:val="both"/>
        <w:rPr>
          <w:rFonts w:ascii="Cambria" w:hAnsi="Cambria"/>
          <w:b/>
          <w:bCs/>
        </w:rPr>
      </w:pPr>
      <w:r w:rsidRPr="009D64F0">
        <w:rPr>
          <w:rFonts w:ascii="Cambria" w:hAnsi="Cambria"/>
        </w:rPr>
        <w:t xml:space="preserve">El inciso j) del artículo 29 de la </w:t>
      </w:r>
      <w:r w:rsidRPr="009D64F0">
        <w:rPr>
          <w:rFonts w:ascii="Cambria" w:hAnsi="Cambria"/>
          <w:i/>
          <w:iCs/>
        </w:rPr>
        <w:t xml:space="preserve">Ley Reguladora del Mercado de Seguros </w:t>
      </w:r>
      <w:r w:rsidRPr="009D64F0">
        <w:rPr>
          <w:rFonts w:ascii="Cambria" w:hAnsi="Cambria"/>
        </w:rPr>
        <w:t xml:space="preserve">(LRMS), Ley N°8653, faculta al Superintendente a dictar normas y directrices de carácter técnico u operativo necesarias para el cumplimiento de los objetivos de supervisión que la Ley impone a la Superintendencia General de Seguros. En particular, esto le permite realizar una evaluación exhaustiva y rigurosa de cada uno de los participantes del mercado de seguros, con el fin de cumplir con el objetivo definido en el artículo 29 de la LRMS de </w:t>
      </w:r>
      <w:r w:rsidRPr="009D64F0">
        <w:rPr>
          <w:rFonts w:ascii="Cambria" w:hAnsi="Cambria"/>
          <w:i/>
          <w:iCs/>
        </w:rPr>
        <w:t xml:space="preserve">“velar por la estabilidad y el eficiente funcionamiento del mercado de seguros, así como entregar la más amplia información a los asegurados”. </w:t>
      </w:r>
      <w:r w:rsidRPr="009D64F0">
        <w:rPr>
          <w:rFonts w:ascii="Cambria" w:hAnsi="Cambria"/>
        </w:rPr>
        <w:t xml:space="preserve">Además, el último párrafo  del artículo 26 de la LRMS, relacionado con las obligaciones de las entidades de seguros y reaseguros dispone que, </w:t>
      </w:r>
      <w:r w:rsidRPr="009D64F0">
        <w:rPr>
          <w:rFonts w:ascii="Cambria" w:hAnsi="Cambria"/>
          <w:i/>
          <w:iCs/>
        </w:rPr>
        <w:t>“el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14:paraId="0E58F7F3" w14:textId="77777777" w:rsidR="0070713F" w:rsidRPr="009D64F0" w:rsidRDefault="0070713F" w:rsidP="0070713F">
      <w:pPr>
        <w:pStyle w:val="Prrafodelista"/>
        <w:ind w:left="426"/>
        <w:jc w:val="both"/>
        <w:rPr>
          <w:rFonts w:asciiTheme="majorHAnsi" w:eastAsia="Calibri" w:hAnsiTheme="majorHAnsi"/>
          <w:color w:val="000000"/>
          <w:lang w:eastAsia="en-US"/>
        </w:rPr>
      </w:pPr>
    </w:p>
    <w:p w14:paraId="062CE1AC" w14:textId="77777777" w:rsidR="0070713F" w:rsidRPr="009D64F0" w:rsidRDefault="0070713F" w:rsidP="0070713F">
      <w:pPr>
        <w:pStyle w:val="Prrafodelista"/>
        <w:numPr>
          <w:ilvl w:val="0"/>
          <w:numId w:val="1"/>
        </w:numPr>
        <w:jc w:val="both"/>
        <w:rPr>
          <w:rFonts w:asciiTheme="majorHAnsi" w:eastAsia="Calibri" w:hAnsiTheme="majorHAnsi"/>
          <w:color w:val="000000"/>
          <w:lang w:eastAsia="en-US"/>
        </w:rPr>
      </w:pPr>
      <w:r w:rsidRPr="009D64F0">
        <w:rPr>
          <w:rFonts w:asciiTheme="majorHAnsi" w:eastAsia="Calibri" w:hAnsiTheme="majorHAnsi"/>
          <w:color w:val="000000"/>
          <w:lang w:eastAsia="en-US"/>
        </w:rPr>
        <w:t xml:space="preserve">De conformidad con los artículos 25 c) de la Ley </w:t>
      </w:r>
      <w:proofErr w:type="spellStart"/>
      <w:r w:rsidRPr="009D64F0">
        <w:rPr>
          <w:rFonts w:asciiTheme="majorHAnsi" w:eastAsia="Calibri" w:hAnsiTheme="majorHAnsi"/>
          <w:color w:val="000000"/>
          <w:lang w:eastAsia="en-US"/>
        </w:rPr>
        <w:t>N°</w:t>
      </w:r>
      <w:proofErr w:type="spellEnd"/>
      <w:r w:rsidRPr="009D64F0">
        <w:rPr>
          <w:rFonts w:asciiTheme="majorHAnsi" w:eastAsia="Calibri" w:hAnsiTheme="majorHAnsi"/>
          <w:color w:val="000000"/>
          <w:lang w:eastAsia="en-US"/>
        </w:rPr>
        <w:t xml:space="preserve"> 8653, las entidades aseguradoras y reaseguradoras están obligadas a proporcionar a la Superintendencia la información correcta y completa, dentro de los plazos y las formalidades requeridos.</w:t>
      </w:r>
    </w:p>
    <w:p w14:paraId="02DA4666" w14:textId="77777777" w:rsidR="0070713F" w:rsidRPr="009D64F0" w:rsidRDefault="0070713F" w:rsidP="0070713F">
      <w:pPr>
        <w:jc w:val="both"/>
        <w:rPr>
          <w:rFonts w:asciiTheme="majorHAnsi" w:eastAsia="Calibri" w:hAnsiTheme="majorHAnsi"/>
          <w:color w:val="000000"/>
          <w:lang w:eastAsia="en-US"/>
        </w:rPr>
      </w:pPr>
    </w:p>
    <w:p w14:paraId="0ACB7267" w14:textId="77777777" w:rsidR="0070713F" w:rsidRPr="009D64F0" w:rsidRDefault="0070713F" w:rsidP="0070713F">
      <w:pPr>
        <w:pStyle w:val="Prrafodelista"/>
        <w:numPr>
          <w:ilvl w:val="0"/>
          <w:numId w:val="1"/>
        </w:numPr>
        <w:jc w:val="both"/>
        <w:rPr>
          <w:rFonts w:ascii="Cambria" w:hAnsi="Cambria"/>
          <w:b/>
          <w:bCs/>
        </w:rPr>
      </w:pPr>
      <w:r w:rsidRPr="009D64F0">
        <w:rPr>
          <w:rFonts w:ascii="Cambria" w:hAnsi="Cambria"/>
        </w:rPr>
        <w:t xml:space="preserve">El artículo 29 de la Ley N°8653 señala que al Superintendente le será aplicable lo establecido en el artículo 180 de la </w:t>
      </w:r>
      <w:r w:rsidRPr="009D64F0">
        <w:rPr>
          <w:rFonts w:ascii="Cambria" w:hAnsi="Cambria"/>
          <w:i/>
          <w:iCs/>
        </w:rPr>
        <w:t>Ley Reguladora del Mercado de Valores</w:t>
      </w:r>
      <w:r w:rsidRPr="009D64F0">
        <w:rPr>
          <w:rFonts w:ascii="Cambria" w:hAnsi="Cambria"/>
        </w:rPr>
        <w:t>, Ley N°7732, el cual permite a la Superintendencia General de Seguros “</w:t>
      </w:r>
      <w:r w:rsidRPr="009D64F0">
        <w:rPr>
          <w:rFonts w:ascii="Cambria" w:hAnsi="Cambria"/>
          <w:i/>
          <w:iCs/>
        </w:rPr>
        <w:t>utilizar medios electrónicos o magnéticos de transmisión y almacenamiento de datos, para solicitar información a las entidades fiscalizadas y para mantener sus archivos, actas y demás documentos. La información así mantenida tiene valor probatorio equivalente al de los documentos físicos para todos los efectos legales</w:t>
      </w:r>
      <w:r w:rsidRPr="009D64F0">
        <w:rPr>
          <w:rFonts w:ascii="Cambria" w:hAnsi="Cambria"/>
        </w:rPr>
        <w:t>”.</w:t>
      </w:r>
    </w:p>
    <w:p w14:paraId="39F08780" w14:textId="77777777" w:rsidR="0070713F" w:rsidRPr="009D64F0" w:rsidRDefault="0070713F" w:rsidP="0070713F">
      <w:pPr>
        <w:pStyle w:val="Prrafodelista"/>
        <w:ind w:left="360"/>
        <w:jc w:val="both"/>
        <w:rPr>
          <w:rFonts w:asciiTheme="majorHAnsi" w:hAnsiTheme="majorHAnsi"/>
        </w:rPr>
      </w:pPr>
    </w:p>
    <w:p w14:paraId="5B8B1F2B" w14:textId="77777777" w:rsidR="0070713F" w:rsidRPr="009D64F0" w:rsidRDefault="0070713F" w:rsidP="0070713F">
      <w:pPr>
        <w:pStyle w:val="Prrafodelista"/>
        <w:numPr>
          <w:ilvl w:val="0"/>
          <w:numId w:val="1"/>
        </w:numPr>
        <w:jc w:val="both"/>
        <w:rPr>
          <w:rFonts w:asciiTheme="majorHAnsi" w:hAnsiTheme="majorHAnsi"/>
          <w:bCs/>
        </w:rPr>
      </w:pPr>
      <w:r w:rsidRPr="009D64F0">
        <w:rPr>
          <w:rFonts w:ascii="Cambria" w:hAnsi="Cambria"/>
        </w:rPr>
        <w:t>Mediante acuerdo de Superintendente SGS-DES-A-021-2013, del 23 de mayo de 2013, se emitieron las “</w:t>
      </w:r>
      <w:r w:rsidRPr="009D64F0">
        <w:rPr>
          <w:rFonts w:ascii="Cambria" w:hAnsi="Cambria"/>
          <w:i/>
          <w:iCs/>
        </w:rPr>
        <w:t xml:space="preserve">Disposiciones para la Remisión de la Información Contable y Estadística a la Superintendencia General de Seguros por parte de las Entidades Supervisadas”, </w:t>
      </w:r>
      <w:r w:rsidRPr="009D64F0">
        <w:rPr>
          <w:rFonts w:ascii="Cambria" w:hAnsi="Cambria"/>
        </w:rPr>
        <w:t>las cuales norman los requerimientos de información de la Superintendencia para las entidades supervisadas y establece la periodicidad, plazo, medio y formatos para la entrega de información, entre ellos los formatos para la revelación mensual del Índice de Suficiencia de Capital (ISC) y sus diferentes componentes.</w:t>
      </w:r>
    </w:p>
    <w:p w14:paraId="033791D6" w14:textId="77777777" w:rsidR="0070713F" w:rsidRPr="009D64F0" w:rsidRDefault="0070713F" w:rsidP="0070713F">
      <w:pPr>
        <w:pStyle w:val="Prrafodelista"/>
        <w:rPr>
          <w:rFonts w:asciiTheme="majorHAnsi" w:hAnsiTheme="majorHAnsi"/>
          <w:bCs/>
        </w:rPr>
      </w:pPr>
    </w:p>
    <w:p w14:paraId="05E270B9" w14:textId="77777777" w:rsidR="0070713F" w:rsidRPr="009D64F0" w:rsidRDefault="0070713F" w:rsidP="0070713F">
      <w:pPr>
        <w:pStyle w:val="Prrafodelista"/>
        <w:numPr>
          <w:ilvl w:val="0"/>
          <w:numId w:val="1"/>
        </w:numPr>
        <w:jc w:val="both"/>
        <w:rPr>
          <w:rFonts w:asciiTheme="majorHAnsi" w:hAnsiTheme="majorHAnsi"/>
          <w:color w:val="000000"/>
        </w:rPr>
      </w:pPr>
      <w:r w:rsidRPr="009D64F0">
        <w:rPr>
          <w:rFonts w:ascii="Cambria" w:hAnsi="Cambria"/>
        </w:rPr>
        <w:t>El</w:t>
      </w:r>
      <w:r w:rsidRPr="009D64F0">
        <w:rPr>
          <w:rFonts w:asciiTheme="majorHAnsi" w:hAnsiTheme="majorHAnsi"/>
        </w:rPr>
        <w:t xml:space="preserve"> CONASSIF dispuso, mediante artículo 5 del acta de la sesión 1681-2021 celebrada el 16 de agosto de 2021, reformar el Reglamento a efecto de normar el tratamiento de los seguros de caución, específicamente para modificar la forma de cálculo de la provisión técnica y el requerimiento de capital por riesgo técnico de dichos seguros. Este cambio fue publicado en el diario oficial </w:t>
      </w:r>
      <w:r w:rsidRPr="009D64F0">
        <w:rPr>
          <w:rFonts w:asciiTheme="majorHAnsi" w:hAnsiTheme="majorHAnsi"/>
          <w:i/>
          <w:iCs/>
        </w:rPr>
        <w:t>La Gaceta</w:t>
      </w:r>
      <w:r w:rsidRPr="009D64F0">
        <w:rPr>
          <w:rFonts w:asciiTheme="majorHAnsi" w:hAnsiTheme="majorHAnsi"/>
        </w:rPr>
        <w:t xml:space="preserve"> N°164 del 26 de agosto de 2021, Alcance N°167 y entra en vigor el 1 de enero de 2022.</w:t>
      </w:r>
    </w:p>
    <w:p w14:paraId="5B0B229A" w14:textId="77777777" w:rsidR="0070713F" w:rsidRPr="009D64F0" w:rsidRDefault="0070713F" w:rsidP="0070713F">
      <w:pPr>
        <w:pStyle w:val="Prrafodelista"/>
        <w:ind w:left="360"/>
        <w:jc w:val="both"/>
        <w:rPr>
          <w:rFonts w:asciiTheme="majorHAnsi" w:hAnsiTheme="majorHAnsi"/>
          <w:color w:val="000000"/>
        </w:rPr>
      </w:pPr>
    </w:p>
    <w:p w14:paraId="553B6406" w14:textId="77777777" w:rsidR="0070713F" w:rsidRDefault="0070713F" w:rsidP="0070713F">
      <w:pPr>
        <w:pStyle w:val="Prrafodelista"/>
        <w:numPr>
          <w:ilvl w:val="0"/>
          <w:numId w:val="1"/>
        </w:numPr>
        <w:jc w:val="both"/>
        <w:rPr>
          <w:rFonts w:asciiTheme="majorHAnsi" w:hAnsiTheme="majorHAnsi"/>
        </w:rPr>
      </w:pPr>
      <w:r w:rsidRPr="009D64F0">
        <w:rPr>
          <w:rFonts w:asciiTheme="majorHAnsi" w:hAnsiTheme="majorHAnsi"/>
        </w:rPr>
        <w:t xml:space="preserve">La reforma al Reglamento aprobada por el CONASSIF, en relación con los seguros de caución, obliga a la Superintendencia a actualizar el formato de remisión de información del requerimiento de capital por riesgo técnico, establecido en el Anexo 4 del acuerdo SGS-DES-A-021-2013 </w:t>
      </w:r>
      <w:r w:rsidRPr="009D64F0">
        <w:rPr>
          <w:rFonts w:asciiTheme="majorHAnsi" w:hAnsiTheme="majorHAnsi"/>
          <w:i/>
        </w:rPr>
        <w:t>“Disposiciones para la Remisión de la Información Contable y Estadística a la Superintendencia General de Seguros por parte de las Entidades Supervisadas”.</w:t>
      </w:r>
      <w:r w:rsidRPr="009D64F0">
        <w:rPr>
          <w:rFonts w:asciiTheme="majorHAnsi" w:hAnsiTheme="majorHAnsi"/>
        </w:rPr>
        <w:t xml:space="preserve"> </w:t>
      </w:r>
    </w:p>
    <w:p w14:paraId="62790EEC" w14:textId="77777777" w:rsidR="0070713F" w:rsidRPr="007A1C58" w:rsidRDefault="0070713F" w:rsidP="0070713F">
      <w:pPr>
        <w:pStyle w:val="Prrafodelista"/>
        <w:rPr>
          <w:rFonts w:asciiTheme="majorHAnsi" w:hAnsiTheme="majorHAnsi"/>
        </w:rPr>
      </w:pPr>
    </w:p>
    <w:p w14:paraId="593E5E48" w14:textId="77777777" w:rsidR="0070713F" w:rsidRPr="007A1C58" w:rsidRDefault="0070713F" w:rsidP="0070713F">
      <w:pPr>
        <w:pStyle w:val="Prrafodelista"/>
        <w:numPr>
          <w:ilvl w:val="0"/>
          <w:numId w:val="1"/>
        </w:numPr>
        <w:jc w:val="both"/>
        <w:rPr>
          <w:rFonts w:asciiTheme="majorHAnsi" w:hAnsiTheme="majorHAnsi"/>
        </w:rPr>
      </w:pPr>
      <w:r w:rsidRPr="007A1C58">
        <w:rPr>
          <w:rFonts w:ascii="Cambria" w:hAnsi="Cambria"/>
        </w:rPr>
        <w:t xml:space="preserve">El Superintendente de Seguros, mediante oficio SGS-1070-2021 del 3 de diciembre de 2021, en acatamiento del artículo 361, numeral 2, de la </w:t>
      </w:r>
      <w:r w:rsidRPr="007A1C58">
        <w:rPr>
          <w:rFonts w:ascii="Cambria" w:hAnsi="Cambria"/>
          <w:i/>
          <w:iCs/>
        </w:rPr>
        <w:t>Ley General de Administración Pública</w:t>
      </w:r>
      <w:r w:rsidRPr="007A1C58">
        <w:rPr>
          <w:rFonts w:ascii="Cambria" w:hAnsi="Cambria"/>
        </w:rPr>
        <w:t xml:space="preserve">, envió a consulta de las entidades aseguradoras el proyecto de acuerdo denominado </w:t>
      </w:r>
      <w:r w:rsidRPr="007A1C58">
        <w:rPr>
          <w:rFonts w:asciiTheme="majorHAnsi" w:hAnsiTheme="majorHAnsi"/>
          <w:bCs/>
          <w:i/>
          <w:iCs/>
        </w:rPr>
        <w:t xml:space="preserve">Modificación al acuerdo SGS-DES-A-021-2013 “Disposiciones para la </w:t>
      </w:r>
      <w:r w:rsidRPr="007A1C58">
        <w:rPr>
          <w:rFonts w:asciiTheme="majorHAnsi" w:hAnsiTheme="majorHAnsi"/>
          <w:bCs/>
          <w:i/>
          <w:iCs/>
        </w:rPr>
        <w:lastRenderedPageBreak/>
        <w:t>Remisión de la Información Contable y Estadística a la Superintendencia General de Seguros por parte de las Entidades Supervisadas”, para ajustar el Anexo 4 en relación con el cálculo del requerimiento de capital por riesgo técnico de los seguros de caución</w:t>
      </w:r>
      <w:r w:rsidRPr="007A1C58">
        <w:rPr>
          <w:rFonts w:ascii="Cambria" w:hAnsi="Cambria"/>
          <w:i/>
          <w:iCs/>
        </w:rPr>
        <w:t xml:space="preserve">, </w:t>
      </w:r>
      <w:r w:rsidRPr="007A1C58">
        <w:rPr>
          <w:rFonts w:ascii="Cambria" w:hAnsi="Cambria"/>
        </w:rPr>
        <w:t>por un plazo de diez días hábiles. En este proceso no se recibieron observaciones de las entidades, siendo lo procedente en este momento la emisión definitiva del acuerdo.</w:t>
      </w:r>
    </w:p>
    <w:p w14:paraId="48B3D53C" w14:textId="77777777" w:rsidR="0070713F" w:rsidRPr="007A1C58" w:rsidRDefault="0070713F" w:rsidP="0070713F">
      <w:pPr>
        <w:jc w:val="center"/>
        <w:rPr>
          <w:rFonts w:asciiTheme="majorHAnsi" w:hAnsiTheme="majorHAnsi"/>
          <w:b/>
        </w:rPr>
      </w:pPr>
      <w:r w:rsidRPr="007A1C58">
        <w:rPr>
          <w:rFonts w:asciiTheme="majorHAnsi" w:hAnsiTheme="majorHAnsi"/>
          <w:b/>
        </w:rPr>
        <w:t>Dispone:</w:t>
      </w:r>
    </w:p>
    <w:p w14:paraId="360839E9" w14:textId="77777777" w:rsidR="0070713F" w:rsidRPr="009D64F0" w:rsidRDefault="0070713F" w:rsidP="0070713F">
      <w:pPr>
        <w:jc w:val="both"/>
        <w:rPr>
          <w:rFonts w:asciiTheme="majorHAnsi" w:hAnsiTheme="majorHAnsi"/>
          <w:b/>
        </w:rPr>
      </w:pPr>
    </w:p>
    <w:p w14:paraId="74A274AF" w14:textId="77777777" w:rsidR="0070713F" w:rsidRPr="009D64F0" w:rsidRDefault="0070713F" w:rsidP="0070713F">
      <w:pPr>
        <w:jc w:val="both"/>
        <w:rPr>
          <w:rFonts w:asciiTheme="majorHAnsi" w:hAnsiTheme="majorHAnsi"/>
        </w:rPr>
      </w:pPr>
      <w:r w:rsidRPr="009D64F0">
        <w:rPr>
          <w:rFonts w:asciiTheme="majorHAnsi" w:hAnsiTheme="majorHAnsi"/>
          <w:b/>
        </w:rPr>
        <w:t>Primero:</w:t>
      </w:r>
      <w:r w:rsidRPr="009D64F0">
        <w:rPr>
          <w:rFonts w:asciiTheme="majorHAnsi" w:hAnsiTheme="majorHAnsi"/>
        </w:rPr>
        <w:t xml:space="preserve"> Modificar el Anexo 4 del acuerdo SGS-DES-A-021-2013 </w:t>
      </w:r>
      <w:r w:rsidRPr="009D64F0">
        <w:rPr>
          <w:rFonts w:asciiTheme="majorHAnsi" w:hAnsiTheme="majorHAnsi"/>
          <w:i/>
        </w:rPr>
        <w:t>“Disposiciones para la Remisión de la Información Contable y Estadística a la Superintendencia General de Seguros por parte de las Entidades Supervisadas”</w:t>
      </w:r>
      <w:r w:rsidRPr="009D64F0">
        <w:rPr>
          <w:rFonts w:asciiTheme="majorHAnsi" w:hAnsiTheme="majorHAnsi"/>
        </w:rPr>
        <w:t xml:space="preserve">, en lo referente al archivo que contiene el formato de presentación de la información para el cálculo del Índice de Suficiencia de Capital (ISC) de las entidades de seguros y reaseguros, para que en adelante se remita, según la versión adjunta:  </w:t>
      </w:r>
    </w:p>
    <w:p w14:paraId="17636400" w14:textId="36E68460" w:rsidR="0070713F" w:rsidRPr="009D64F0" w:rsidRDefault="00C3608A" w:rsidP="0070713F">
      <w:pPr>
        <w:jc w:val="center"/>
        <w:rPr>
          <w:rFonts w:asciiTheme="majorHAnsi" w:hAnsiTheme="majorHAnsi"/>
        </w:rPr>
      </w:pPr>
      <w:r>
        <w:rPr>
          <w:rFonts w:asciiTheme="majorHAnsi" w:hAnsiTheme="majorHAnsi"/>
        </w:rPr>
        <w:object w:dxaOrig="1503" w:dyaOrig="983" w14:anchorId="44711E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49pt" o:ole="">
            <v:imagedata r:id="rId13" o:title=""/>
          </v:shape>
          <o:OLEObject Type="Embed" ProgID="Excel.Sheet.12" ShapeID="_x0000_i1027" DrawAspect="Icon" ObjectID="_1701851010" r:id="rId14"/>
        </w:object>
      </w:r>
    </w:p>
    <w:p w14:paraId="5B000261" w14:textId="77777777" w:rsidR="0070713F" w:rsidRDefault="0070713F" w:rsidP="0070713F">
      <w:pPr>
        <w:pStyle w:val="Prrafodelista"/>
        <w:ind w:left="0"/>
        <w:jc w:val="both"/>
        <w:rPr>
          <w:rFonts w:ascii="Cambria" w:hAnsi="Cambria"/>
          <w:b/>
          <w:bCs/>
        </w:rPr>
      </w:pPr>
    </w:p>
    <w:p w14:paraId="2A682DCA" w14:textId="77777777" w:rsidR="0070713F" w:rsidRPr="009D64F0" w:rsidRDefault="0070713F" w:rsidP="0070713F">
      <w:pPr>
        <w:pStyle w:val="Prrafodelista"/>
        <w:ind w:left="0"/>
        <w:jc w:val="both"/>
        <w:rPr>
          <w:rFonts w:ascii="Cambria" w:hAnsi="Cambria"/>
        </w:rPr>
      </w:pPr>
      <w:r w:rsidRPr="009D64F0">
        <w:rPr>
          <w:rFonts w:ascii="Cambria" w:hAnsi="Cambria"/>
          <w:b/>
          <w:bCs/>
        </w:rPr>
        <w:t xml:space="preserve">Segundo: </w:t>
      </w:r>
      <w:r w:rsidRPr="009D64F0">
        <w:rPr>
          <w:rFonts w:ascii="Cambria" w:hAnsi="Cambria"/>
        </w:rPr>
        <w:t>Actualizar la versión publicada del acuerdo de Superintendente SGS-DES-A-021-2013 para incluir la modificación señalada en este acto.</w:t>
      </w:r>
    </w:p>
    <w:p w14:paraId="79B15D18" w14:textId="77777777" w:rsidR="0070713F" w:rsidRPr="009D64F0" w:rsidRDefault="0070713F" w:rsidP="0070713F">
      <w:pPr>
        <w:pStyle w:val="Prrafodelista"/>
        <w:ind w:left="0"/>
        <w:jc w:val="both"/>
        <w:rPr>
          <w:rFonts w:ascii="Cambria" w:hAnsi="Cambria"/>
        </w:rPr>
      </w:pPr>
    </w:p>
    <w:p w14:paraId="244D6332" w14:textId="77777777" w:rsidR="0070713F" w:rsidRPr="009D64F0" w:rsidRDefault="0070713F" w:rsidP="0070713F">
      <w:pPr>
        <w:pStyle w:val="Prrafodelista"/>
        <w:ind w:left="0"/>
        <w:jc w:val="both"/>
        <w:rPr>
          <w:rFonts w:ascii="Cambria" w:hAnsi="Cambria"/>
        </w:rPr>
      </w:pPr>
      <w:r w:rsidRPr="009D64F0">
        <w:rPr>
          <w:rFonts w:ascii="Cambria" w:hAnsi="Cambria"/>
        </w:rPr>
        <w:t xml:space="preserve">Rige a partir del 1 de enero de 2022. </w:t>
      </w:r>
    </w:p>
    <w:p w14:paraId="47E34A35" w14:textId="77777777" w:rsidR="0070713F" w:rsidRPr="009D64F0" w:rsidRDefault="0070713F" w:rsidP="0070713F"/>
    <w:p w14:paraId="227BEF10" w14:textId="77777777" w:rsidR="00761D54" w:rsidRPr="006A3734" w:rsidRDefault="005876B5" w:rsidP="007F09F5">
      <w:pPr>
        <w:jc w:val="both"/>
        <w:rPr>
          <w:rFonts w:ascii="Cambria" w:hAnsi="Cambria"/>
        </w:rPr>
      </w:pPr>
      <w:r>
        <w:rPr>
          <w:noProof/>
          <w:lang w:val="es-CR" w:eastAsia="es-CR"/>
        </w:rPr>
        <w:drawing>
          <wp:inline distT="0" distB="0" distL="0" distR="0" wp14:anchorId="078EF3B6" wp14:editId="122837C1">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761D54" w:rsidRPr="006A3734" w:rsidSect="009618C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CFA3B" w14:textId="77777777" w:rsidR="00382AA9" w:rsidRDefault="00382AA9" w:rsidP="005A1442">
      <w:r>
        <w:separator/>
      </w:r>
    </w:p>
  </w:endnote>
  <w:endnote w:type="continuationSeparator" w:id="0">
    <w:p w14:paraId="43EA8AC6" w14:textId="77777777" w:rsidR="00382AA9" w:rsidRDefault="00382AA9"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CA836" w14:textId="77777777" w:rsidR="00D41C55" w:rsidRDefault="00D41C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AD917" w14:textId="77777777" w:rsidR="00F8332E" w:rsidRPr="00F8332E" w:rsidRDefault="00F8332E" w:rsidP="00F8332E">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w:t>
    </w:r>
    <w:proofErr w:type="gramStart"/>
    <w:r w:rsidRPr="00F8332E">
      <w:rPr>
        <w:rFonts w:asciiTheme="majorHAnsi" w:hAnsiTheme="majorHAnsi"/>
        <w:sz w:val="18"/>
        <w:szCs w:val="18"/>
      </w:rPr>
      <w:t>5103  •</w:t>
    </w:r>
    <w:proofErr w:type="gramEnd"/>
    <w:r w:rsidRPr="00F8332E">
      <w:rPr>
        <w:rFonts w:asciiTheme="majorHAnsi" w:hAnsiTheme="majorHAnsi"/>
        <w:sz w:val="18"/>
        <w:szCs w:val="18"/>
      </w:rPr>
      <w:t xml:space="preserve">  Fax: 2243-5151</w:t>
    </w:r>
  </w:p>
  <w:p w14:paraId="2856F13E" w14:textId="77777777" w:rsidR="00F8332E" w:rsidRDefault="00F8332E" w:rsidP="00F8332E">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 xml:space="preserve">Edificio </w:t>
    </w:r>
    <w:proofErr w:type="spellStart"/>
    <w:r w:rsidRPr="009E7017">
      <w:rPr>
        <w:rFonts w:asciiTheme="majorHAnsi" w:hAnsiTheme="majorHAnsi"/>
        <w:sz w:val="18"/>
        <w:szCs w:val="18"/>
      </w:rPr>
      <w:t>ODMs</w:t>
    </w:r>
    <w:proofErr w:type="spellEnd"/>
    <w:r w:rsidRPr="009E7017">
      <w:rPr>
        <w:rFonts w:asciiTheme="majorHAnsi" w:hAnsiTheme="majorHAnsi"/>
        <w:sz w:val="18"/>
        <w:szCs w:val="18"/>
      </w:rPr>
      <w:t xml:space="preserve">, Barrio </w:t>
    </w:r>
    <w:proofErr w:type="spellStart"/>
    <w:r w:rsidRPr="009E7017">
      <w:rPr>
        <w:rFonts w:asciiTheme="majorHAnsi" w:hAnsiTheme="majorHAnsi"/>
        <w:sz w:val="18"/>
        <w:szCs w:val="18"/>
      </w:rPr>
      <w:t>T</w:t>
    </w:r>
    <w:r>
      <w:rPr>
        <w:rFonts w:asciiTheme="majorHAnsi" w:hAnsiTheme="majorHAnsi"/>
        <w:sz w:val="18"/>
        <w:szCs w:val="18"/>
      </w:rPr>
      <w:t>o</w:t>
    </w:r>
    <w:r w:rsidRPr="009E7017">
      <w:rPr>
        <w:rFonts w:asciiTheme="majorHAnsi" w:hAnsiTheme="majorHAnsi"/>
        <w:sz w:val="18"/>
        <w:szCs w:val="18"/>
      </w:rPr>
      <w:t>urnón</w:t>
    </w:r>
    <w:proofErr w:type="spellEnd"/>
    <w:r w:rsidRPr="009E7017">
      <w:rPr>
        <w:rFonts w:asciiTheme="majorHAnsi" w:hAnsiTheme="majorHAnsi"/>
        <w:sz w:val="18"/>
        <w:szCs w:val="18"/>
      </w:rPr>
      <w:t>, Piso 4</w:t>
    </w:r>
  </w:p>
  <w:p w14:paraId="2A719F9B" w14:textId="77777777" w:rsidR="00F8332E" w:rsidRPr="00F8332E" w:rsidRDefault="00382AA9" w:rsidP="00F8332E">
    <w:pPr>
      <w:pStyle w:val="Piedepgina"/>
      <w:tabs>
        <w:tab w:val="clear" w:pos="8838"/>
      </w:tabs>
      <w:jc w:val="right"/>
      <w:rPr>
        <w:rFonts w:ascii="Baskerville Old Face" w:hAnsi="Baskerville Old Face"/>
        <w:sz w:val="18"/>
        <w:szCs w:val="18"/>
      </w:rPr>
    </w:pPr>
    <w:hyperlink r:id="rId1" w:history="1">
      <w:r w:rsidR="00F8332E"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7836D" w14:textId="77777777" w:rsidR="00843EE4" w:rsidRDefault="00843EE4" w:rsidP="00A83BA5">
    <w:pPr>
      <w:pStyle w:val="Piedepgina"/>
      <w:pBdr>
        <w:top w:val="single" w:sz="4" w:space="1" w:color="auto"/>
      </w:pBdr>
      <w:rPr>
        <w:sz w:val="16"/>
        <w:szCs w:val="16"/>
      </w:rPr>
    </w:pPr>
  </w:p>
  <w:p w14:paraId="0029C58B"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w:t>
    </w:r>
    <w:proofErr w:type="gramStart"/>
    <w:r w:rsidRPr="00F8332E">
      <w:rPr>
        <w:rFonts w:asciiTheme="majorHAnsi" w:hAnsiTheme="majorHAnsi"/>
        <w:sz w:val="18"/>
        <w:szCs w:val="18"/>
      </w:rPr>
      <w:t>5103  •</w:t>
    </w:r>
    <w:proofErr w:type="gramEnd"/>
    <w:r w:rsidRPr="00F8332E">
      <w:rPr>
        <w:rFonts w:asciiTheme="majorHAnsi" w:hAnsiTheme="majorHAnsi"/>
        <w:sz w:val="18"/>
        <w:szCs w:val="18"/>
      </w:rPr>
      <w:t xml:space="preserve">  Fax: 2243-5151</w:t>
    </w:r>
  </w:p>
  <w:p w14:paraId="5D8C09E9"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 xml:space="preserve">Edificio </w:t>
    </w:r>
    <w:proofErr w:type="spellStart"/>
    <w:r w:rsidR="00F8332E" w:rsidRPr="009E7017">
      <w:rPr>
        <w:rFonts w:asciiTheme="majorHAnsi" w:hAnsiTheme="majorHAnsi"/>
        <w:sz w:val="18"/>
        <w:szCs w:val="18"/>
      </w:rPr>
      <w:t>ODMs</w:t>
    </w:r>
    <w:proofErr w:type="spellEnd"/>
    <w:r w:rsidR="00F8332E" w:rsidRPr="009E7017">
      <w:rPr>
        <w:rFonts w:asciiTheme="majorHAnsi" w:hAnsiTheme="majorHAnsi"/>
        <w:sz w:val="18"/>
        <w:szCs w:val="18"/>
      </w:rPr>
      <w:t xml:space="preserve">, Barrio </w:t>
    </w:r>
    <w:proofErr w:type="spellStart"/>
    <w:r w:rsidR="00F8332E" w:rsidRPr="009E7017">
      <w:rPr>
        <w:rFonts w:asciiTheme="majorHAnsi" w:hAnsiTheme="majorHAnsi"/>
        <w:sz w:val="18"/>
        <w:szCs w:val="18"/>
      </w:rPr>
      <w:t>T</w:t>
    </w:r>
    <w:r w:rsidR="00F8332E">
      <w:rPr>
        <w:rFonts w:asciiTheme="majorHAnsi" w:hAnsiTheme="majorHAnsi"/>
        <w:sz w:val="18"/>
        <w:szCs w:val="18"/>
      </w:rPr>
      <w:t>o</w:t>
    </w:r>
    <w:r w:rsidR="00F8332E" w:rsidRPr="009E7017">
      <w:rPr>
        <w:rFonts w:asciiTheme="majorHAnsi" w:hAnsiTheme="majorHAnsi"/>
        <w:sz w:val="18"/>
        <w:szCs w:val="18"/>
      </w:rPr>
      <w:t>urnón</w:t>
    </w:r>
    <w:proofErr w:type="spellEnd"/>
    <w:r w:rsidR="00F8332E" w:rsidRPr="009E7017">
      <w:rPr>
        <w:rFonts w:asciiTheme="majorHAnsi" w:hAnsiTheme="majorHAnsi"/>
        <w:sz w:val="18"/>
        <w:szCs w:val="18"/>
      </w:rPr>
      <w:t>, Piso 4</w:t>
    </w:r>
  </w:p>
  <w:p w14:paraId="60651420" w14:textId="77777777" w:rsidR="00843EE4" w:rsidRPr="00A83BA5" w:rsidRDefault="00382AA9"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79F29" w14:textId="77777777" w:rsidR="00382AA9" w:rsidRDefault="00382AA9" w:rsidP="005A1442">
      <w:r>
        <w:separator/>
      </w:r>
    </w:p>
  </w:footnote>
  <w:footnote w:type="continuationSeparator" w:id="0">
    <w:p w14:paraId="6461CE59" w14:textId="77777777" w:rsidR="00382AA9" w:rsidRDefault="00382AA9"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C0756" w14:textId="77777777" w:rsidR="00D41C55" w:rsidRDefault="00D41C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495E9"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51E732D2" wp14:editId="2D958E43">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30E7DC6B" w14:textId="77777777" w:rsidR="00373AC0" w:rsidRPr="009618C8" w:rsidRDefault="00373AC0" w:rsidP="00373AC0">
    <w:pPr>
      <w:pStyle w:val="Encabezado"/>
      <w:rPr>
        <w:rFonts w:asciiTheme="majorHAnsi" w:hAnsiTheme="majorHAnsi"/>
        <w:sz w:val="16"/>
        <w:szCs w:val="16"/>
      </w:rPr>
    </w:pPr>
  </w:p>
  <w:p w14:paraId="49FFC75E" w14:textId="1F59B71E"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D41C55">
      <w:rPr>
        <w:rFonts w:asciiTheme="majorHAnsi" w:hAnsiTheme="majorHAnsi"/>
        <w:b/>
        <w:bCs/>
        <w:i/>
      </w:rPr>
      <w:t>087</w:t>
    </w:r>
    <w:r w:rsidRPr="00373AC0">
      <w:rPr>
        <w:rFonts w:asciiTheme="majorHAnsi" w:hAnsiTheme="majorHAnsi"/>
        <w:b/>
        <w:bCs/>
        <w:i/>
      </w:rPr>
      <w:t>-20</w:t>
    </w:r>
    <w:r w:rsidR="00D41C55">
      <w:rPr>
        <w:rFonts w:asciiTheme="majorHAnsi" w:hAnsiTheme="majorHAnsi"/>
        <w:b/>
        <w:bCs/>
        <w:i/>
      </w:rPr>
      <w:t>21</w:t>
    </w:r>
  </w:p>
  <w:p w14:paraId="74903A76"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F8332E">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5C1FAE7C"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D6FCF"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5D7F705D" wp14:editId="7D067952">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7AF71A5C"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D54C4E"/>
    <w:multiLevelType w:val="hybridMultilevel"/>
    <w:tmpl w:val="8196E976"/>
    <w:lvl w:ilvl="0" w:tplc="F7DE9874">
      <w:start w:val="1"/>
      <w:numFmt w:val="decimal"/>
      <w:lvlText w:val="%1."/>
      <w:lvlJc w:val="left"/>
      <w:pPr>
        <w:ind w:left="360" w:hanging="360"/>
      </w:pPr>
      <w:rPr>
        <w:b w:val="0"/>
        <w:bCs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926"/>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2AA9"/>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0713F"/>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1926"/>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3608A"/>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41C55"/>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7AC4"/>
    <w:rsid w:val="00F952FA"/>
    <w:rsid w:val="00FA4D98"/>
    <w:rsid w:val="00FA56C0"/>
    <w:rsid w:val="00FB25AE"/>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B8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paragraph" w:styleId="Prrafodelista">
    <w:name w:val="List Paragraph"/>
    <w:basedOn w:val="Normal"/>
    <w:uiPriority w:val="34"/>
    <w:qFormat/>
    <w:rsid w:val="007071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package" Target="embeddings/Microsoft_Excel_Worksheet.xlsx"/></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31b4bb2-0db7-40b3-a341-fc1511e9642d" ContentTypeId="0x010100E97154E09FCE6A4E8EAEBD5C54DD1AE402"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Props1.xml><?xml version="1.0" encoding="utf-8"?>
<ds:datastoreItem xmlns:ds="http://schemas.openxmlformats.org/officeDocument/2006/customXml" ds:itemID="{15D92776-217D-4A23-BE9E-71D00954E9F8}">
  <ds:schemaRefs>
    <ds:schemaRef ds:uri="Microsoft.SharePoint.Taxonomy.ContentTypeSync"/>
  </ds:schemaRefs>
</ds:datastoreItem>
</file>

<file path=customXml/itemProps2.xml><?xml version="1.0" encoding="utf-8"?>
<ds:datastoreItem xmlns:ds="http://schemas.openxmlformats.org/officeDocument/2006/customXml" ds:itemID="{8CEB5EE2-61EC-4197-865B-4D00DC71E1D0}"/>
</file>

<file path=customXml/itemProps3.xml><?xml version="1.0" encoding="utf-8"?>
<ds:datastoreItem xmlns:ds="http://schemas.openxmlformats.org/officeDocument/2006/customXml" ds:itemID="{C04EB9B1-9182-46FA-A55F-B4217093FBF5}"/>
</file>

<file path=customXml/itemProps4.xml><?xml version="1.0" encoding="utf-8"?>
<ds:datastoreItem xmlns:ds="http://schemas.openxmlformats.org/officeDocument/2006/customXml" ds:itemID="{3503DE95-5581-4BD5-B7FC-1EF6E009C2A3}">
  <ds:schemaRefs>
    <ds:schemaRef ds:uri="http://schemas.microsoft.com/sharepoint/events"/>
  </ds:schemaRefs>
</ds:datastoreItem>
</file>

<file path=customXml/itemProps5.xml><?xml version="1.0" encoding="utf-8"?>
<ds:datastoreItem xmlns:ds="http://schemas.openxmlformats.org/officeDocument/2006/customXml" ds:itemID="{A464F4DF-72CE-4A40-9D1C-3D5035855E0E}">
  <ds:schemaRefs>
    <ds:schemaRef ds:uri="http://schemas.microsoft.com/office/2006/metadata/properties"/>
    <ds:schemaRef ds:uri="http://schemas.microsoft.com/office/infopath/2007/PartnerControls"/>
    <ds:schemaRef ds:uri="b875e23b-67d9-4b2e-bdec-edacbf90b326"/>
    <ds:schemaRef ds:uri="http://schemas.microsoft.com/sharepoint/v3"/>
    <ds:schemaRef ds:uri="233f2551-3930-43c2-a744-679e70430545"/>
  </ds:schemaRefs>
</ds:datastoreItem>
</file>

<file path=customXml/itemProps6.xml><?xml version="1.0" encoding="utf-8"?>
<ds:datastoreItem xmlns:ds="http://schemas.openxmlformats.org/officeDocument/2006/customXml" ds:itemID="{13D722A3-4C67-46AF-8C9A-7D0E13644C71}">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Plantilla-SGS-A-13</Template>
  <TotalTime>0</TotalTime>
  <Pages>3</Pages>
  <Words>917</Words>
  <Characters>5045</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SGS-A-0087-2021</dc:title>
  <dc:creator/>
  <cp:lastModifiedBy/>
  <cp:revision>1</cp:revision>
  <dcterms:created xsi:type="dcterms:W3CDTF">2021-12-22T14:07:00Z</dcterms:created>
  <dcterms:modified xsi:type="dcterms:W3CDTF">2021-12-24T17:37:00Z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lb0b7da792b243d9bfa96ad7487ad734">
    <vt:lpwstr/>
  </property>
  <property fmtid="{D5CDD505-2E9C-101B-9397-08002B2CF9AE}" pid="13" name="ConfidencialidadNueva">
    <vt:lpwstr>130;#Confidencial|d19c5cf3-f0e9-4d18-86d2-7bee4000e1ea</vt:lpwstr>
  </property>
  <property fmtid="{D5CDD505-2E9C-101B-9397-08002B2CF9AE}" pid="14" name="Confidencialidad">
    <vt:lpwstr>130;#Confidencial|d19c5cf3-f0e9-4d18-86d2-7bee4000e1ea</vt:lpwstr>
  </property>
  <property fmtid="{D5CDD505-2E9C-101B-9397-08002B2CF9AE}" pid="15" name="WorkflowChangePath">
    <vt:lpwstr>034ac108-de92-4be3-afe5-2e50b1ad33ef,5;f53beb82-3a64-483b-83ba-ca097d8a31d5,8;f0cb250b-c1ef-4893-9022-2aaf0b532c25,9;</vt:lpwstr>
  </property>
  <property fmtid="{D5CDD505-2E9C-101B-9397-08002B2CF9AE}" pid="16"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Order">
    <vt:r8>357100</vt:r8>
  </property>
  <property fmtid="{D5CDD505-2E9C-101B-9397-08002B2CF9AE}" pid="23" name="xd_Signature">
    <vt:bool>false</vt:bool>
  </property>
  <property fmtid="{D5CDD505-2E9C-101B-9397-08002B2CF9AE}" pid="24" name="xd_ProgID">
    <vt:lpwstr/>
  </property>
  <property fmtid="{D5CDD505-2E9C-101B-9397-08002B2CF9AE}" pid="25" name="DocumentSetDescription">
    <vt:lpwstr/>
  </property>
  <property fmtid="{D5CDD505-2E9C-101B-9397-08002B2CF9AE}" pid="26" name="_SourceUrl">
    <vt:lpwstr/>
  </property>
  <property fmtid="{D5CDD505-2E9C-101B-9397-08002B2CF9AE}" pid="27" name="_SharedFileIndex">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ies>
</file>