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01C31"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Tomas Soley Pérez</w:t>
      </w:r>
    </w:p>
    <w:p w14:paraId="42967385"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Superintendente de Seguros</w:t>
      </w:r>
    </w:p>
    <w:p w14:paraId="20DA887D" w14:textId="77777777" w:rsidR="00B330AC" w:rsidRDefault="00B330AC" w:rsidP="009618C8">
      <w:pPr>
        <w:jc w:val="both"/>
        <w:rPr>
          <w:rFonts w:ascii="Cambria" w:hAnsi="Cambria"/>
          <w:color w:val="000000"/>
        </w:rPr>
      </w:pPr>
    </w:p>
    <w:p w14:paraId="7AB2EEB6" w14:textId="77777777" w:rsidR="009618C8" w:rsidRDefault="009618C8" w:rsidP="009618C8">
      <w:pPr>
        <w:jc w:val="both"/>
        <w:rPr>
          <w:rFonts w:ascii="Cambria" w:hAnsi="Cambria"/>
          <w:color w:val="000000"/>
        </w:rPr>
      </w:pPr>
    </w:p>
    <w:p w14:paraId="3D7CAB03" w14:textId="77777777" w:rsidR="009618C8" w:rsidRDefault="009618C8" w:rsidP="009618C8">
      <w:pPr>
        <w:jc w:val="both"/>
        <w:rPr>
          <w:rFonts w:asciiTheme="majorHAnsi" w:hAnsiTheme="majorHAnsi"/>
          <w:b/>
          <w:bCs/>
        </w:rPr>
      </w:pPr>
    </w:p>
    <w:p w14:paraId="12769A84" w14:textId="77777777" w:rsidR="00744A2C" w:rsidRDefault="00744A2C" w:rsidP="007F09F5">
      <w:pPr>
        <w:jc w:val="both"/>
        <w:rPr>
          <w:rFonts w:ascii="Cambria" w:hAnsi="Cambria"/>
        </w:rPr>
      </w:pPr>
    </w:p>
    <w:p w14:paraId="02B7D8A3" w14:textId="5C9C109F" w:rsidR="002B31EF" w:rsidRPr="0018293F" w:rsidRDefault="002B31EF" w:rsidP="002B31EF">
      <w:pPr>
        <w:jc w:val="center"/>
        <w:rPr>
          <w:rFonts w:asciiTheme="majorHAnsi" w:hAnsiTheme="majorHAnsi"/>
          <w:b/>
          <w:bCs/>
          <w:sz w:val="28"/>
          <w:szCs w:val="28"/>
        </w:rPr>
      </w:pPr>
      <w:r w:rsidRPr="0018293F">
        <w:rPr>
          <w:rFonts w:asciiTheme="majorHAnsi" w:hAnsiTheme="majorHAnsi"/>
          <w:b/>
          <w:bCs/>
          <w:sz w:val="28"/>
          <w:szCs w:val="28"/>
        </w:rPr>
        <w:t>ACUERDO DE SUPERINTENDENTE</w:t>
      </w:r>
      <w:r w:rsidR="00B84E6C">
        <w:rPr>
          <w:rStyle w:val="Refdenotaalpie"/>
          <w:rFonts w:asciiTheme="majorHAnsi" w:hAnsiTheme="majorHAnsi"/>
          <w:b/>
          <w:bCs/>
          <w:sz w:val="28"/>
          <w:szCs w:val="28"/>
        </w:rPr>
        <w:footnoteReference w:id="1"/>
      </w:r>
    </w:p>
    <w:p w14:paraId="61FE8BF3" w14:textId="07575B0F" w:rsidR="002B31EF" w:rsidRPr="000813F0" w:rsidRDefault="002B31EF" w:rsidP="002B31EF">
      <w:pPr>
        <w:jc w:val="center"/>
        <w:rPr>
          <w:rFonts w:asciiTheme="majorHAnsi" w:hAnsiTheme="majorHAnsi"/>
          <w:b/>
          <w:bCs/>
          <w:i/>
          <w:iCs/>
          <w:sz w:val="28"/>
          <w:szCs w:val="28"/>
        </w:rPr>
      </w:pPr>
      <w:r w:rsidRPr="000813F0">
        <w:rPr>
          <w:rFonts w:asciiTheme="majorHAnsi" w:hAnsiTheme="majorHAnsi"/>
          <w:b/>
          <w:bCs/>
          <w:i/>
          <w:iCs/>
          <w:sz w:val="28"/>
          <w:szCs w:val="28"/>
        </w:rPr>
        <w:t>SGS-A-</w:t>
      </w:r>
      <w:r w:rsidR="000813F0" w:rsidRPr="000813F0">
        <w:rPr>
          <w:rFonts w:asciiTheme="majorHAnsi" w:hAnsiTheme="majorHAnsi"/>
          <w:b/>
          <w:bCs/>
          <w:i/>
          <w:iCs/>
          <w:sz w:val="28"/>
          <w:szCs w:val="28"/>
        </w:rPr>
        <w:t>0085</w:t>
      </w:r>
      <w:r w:rsidRPr="000813F0">
        <w:rPr>
          <w:rFonts w:asciiTheme="majorHAnsi" w:hAnsiTheme="majorHAnsi"/>
          <w:b/>
          <w:bCs/>
          <w:i/>
          <w:iCs/>
          <w:sz w:val="28"/>
          <w:szCs w:val="28"/>
        </w:rPr>
        <w:t>-2021</w:t>
      </w:r>
    </w:p>
    <w:p w14:paraId="7D4BE5F5" w14:textId="77777777" w:rsidR="002B31EF" w:rsidRPr="0018293F" w:rsidRDefault="002B31EF" w:rsidP="002B31EF">
      <w:pPr>
        <w:jc w:val="both"/>
        <w:rPr>
          <w:rFonts w:ascii="Cambria" w:hAnsi="Cambria"/>
        </w:rPr>
      </w:pPr>
    </w:p>
    <w:p w14:paraId="63C1E26F" w14:textId="77777777" w:rsidR="002B31EF" w:rsidRPr="0018293F" w:rsidRDefault="002B31EF" w:rsidP="002B31EF">
      <w:pPr>
        <w:jc w:val="both"/>
        <w:rPr>
          <w:rFonts w:ascii="Cambria" w:hAnsi="Cambria"/>
        </w:rPr>
      </w:pPr>
    </w:p>
    <w:p w14:paraId="2018B509" w14:textId="77777777" w:rsidR="002B31EF" w:rsidRPr="0018293F" w:rsidRDefault="002B31EF" w:rsidP="002B31EF">
      <w:pPr>
        <w:jc w:val="center"/>
        <w:rPr>
          <w:rFonts w:ascii="Cambria" w:hAnsi="Cambria"/>
          <w:b/>
          <w:bCs/>
        </w:rPr>
      </w:pPr>
      <w:r w:rsidRPr="0018293F">
        <w:rPr>
          <w:rFonts w:ascii="Cambria" w:hAnsi="Cambria"/>
          <w:b/>
          <w:bCs/>
        </w:rPr>
        <w:t>MODIFICACIÓN A LOS ACUERDOS SGS-DES-A-021-2013,</w:t>
      </w:r>
      <w:r>
        <w:rPr>
          <w:rFonts w:ascii="Cambria" w:hAnsi="Cambria"/>
          <w:b/>
          <w:bCs/>
        </w:rPr>
        <w:t xml:space="preserve"> </w:t>
      </w:r>
      <w:r w:rsidRPr="0018293F">
        <w:rPr>
          <w:rFonts w:ascii="Cambria" w:hAnsi="Cambria"/>
          <w:b/>
          <w:bCs/>
          <w:i/>
          <w:iCs/>
        </w:rPr>
        <w:t>DISPOSICIONES PARA LA REMISIÓN DE LA INFORMACIÓN CONTABLE Y ESTADÍSTICA A LA SUPERINTENDENCIA GENERAL DE SEGUROS POR PARTE DE LAS ENTIDADES SUPERVISADAS</w:t>
      </w:r>
      <w:r w:rsidRPr="0018293F">
        <w:rPr>
          <w:rFonts w:ascii="Cambria" w:hAnsi="Cambria"/>
          <w:b/>
          <w:bCs/>
        </w:rPr>
        <w:t xml:space="preserve"> Y SGS-DES-A-029-2013, </w:t>
      </w:r>
      <w:r w:rsidRPr="0018293F">
        <w:rPr>
          <w:rFonts w:ascii="Cambria" w:hAnsi="Cambria"/>
          <w:b/>
          <w:bCs/>
          <w:i/>
          <w:iCs/>
        </w:rPr>
        <w:t>MODIFICACIÓN INTEGRAL DEL ACUERDO SGS-A-009-2010 LINEAMIENTOS GENERALES PARA LA APLICACIÓN DEL REGLAMENTO SOBRE LA SOLVENCIA DE ENTIDADES DE SEGUROS Y REASEGUROS</w:t>
      </w:r>
      <w:r w:rsidRPr="0018293F">
        <w:rPr>
          <w:rFonts w:ascii="Cambria" w:hAnsi="Cambria"/>
          <w:b/>
          <w:bCs/>
        </w:rPr>
        <w:t>, A EFECTOS DE INCORPORAR LAS MODIFICACIONES REGLAMENTARIAS APROBADAS POR EL CONASSIF PARA LA ADOPCIÓN DE LA NIIF 17</w:t>
      </w:r>
    </w:p>
    <w:p w14:paraId="6EE5E5A5" w14:textId="77777777" w:rsidR="002B31EF" w:rsidRPr="0018293F" w:rsidRDefault="002B31EF" w:rsidP="002B31EF">
      <w:pPr>
        <w:contextualSpacing/>
        <w:jc w:val="center"/>
        <w:rPr>
          <w:rFonts w:asciiTheme="majorHAnsi" w:hAnsiTheme="majorHAnsi" w:cstheme="minorHAnsi"/>
          <w:b/>
        </w:rPr>
      </w:pPr>
      <w:r w:rsidRPr="0018293F">
        <w:rPr>
          <w:rFonts w:asciiTheme="majorHAnsi" w:hAnsiTheme="majorHAnsi" w:cstheme="minorHAnsi"/>
          <w:b/>
        </w:rPr>
        <w:t>VERSIÓN DEFINITIVA</w:t>
      </w:r>
    </w:p>
    <w:p w14:paraId="04A7E0CF" w14:textId="77777777" w:rsidR="002B31EF" w:rsidRPr="0018293F" w:rsidRDefault="002B31EF" w:rsidP="002B31EF">
      <w:pPr>
        <w:contextualSpacing/>
        <w:jc w:val="center"/>
        <w:rPr>
          <w:rFonts w:asciiTheme="majorHAnsi" w:hAnsiTheme="majorHAnsi" w:cstheme="minorHAnsi"/>
          <w:b/>
        </w:rPr>
      </w:pPr>
    </w:p>
    <w:p w14:paraId="37680E09" w14:textId="05589939" w:rsidR="002B31EF" w:rsidRPr="0018293F" w:rsidRDefault="002B31EF" w:rsidP="002B31EF">
      <w:pPr>
        <w:jc w:val="both"/>
        <w:rPr>
          <w:rFonts w:asciiTheme="majorHAnsi" w:hAnsiTheme="majorHAnsi"/>
        </w:rPr>
      </w:pPr>
      <w:r w:rsidRPr="0018293F">
        <w:rPr>
          <w:rFonts w:asciiTheme="majorHAnsi" w:hAnsiTheme="majorHAnsi"/>
          <w:lang w:val="es-ES_tradnl"/>
        </w:rPr>
        <w:t xml:space="preserve">El Superintendente General de Seguros a las </w:t>
      </w:r>
      <w:r>
        <w:rPr>
          <w:rFonts w:asciiTheme="majorHAnsi" w:hAnsiTheme="majorHAnsi"/>
          <w:lang w:val="es-ES_tradnl"/>
        </w:rPr>
        <w:t>diez</w:t>
      </w:r>
      <w:r w:rsidRPr="0018293F">
        <w:rPr>
          <w:rFonts w:asciiTheme="majorHAnsi" w:hAnsiTheme="majorHAnsi"/>
          <w:lang w:val="es-ES_tradnl"/>
        </w:rPr>
        <w:t xml:space="preserve"> horas del </w:t>
      </w:r>
      <w:r>
        <w:rPr>
          <w:rFonts w:asciiTheme="majorHAnsi" w:hAnsiTheme="majorHAnsi"/>
          <w:lang w:val="es-ES_tradnl"/>
        </w:rPr>
        <w:t>nueve</w:t>
      </w:r>
      <w:r w:rsidRPr="0018293F">
        <w:rPr>
          <w:rFonts w:asciiTheme="majorHAnsi" w:hAnsiTheme="majorHAnsi"/>
          <w:lang w:val="es-ES_tradnl"/>
        </w:rPr>
        <w:t xml:space="preserve"> de </w:t>
      </w:r>
      <w:r>
        <w:rPr>
          <w:rFonts w:asciiTheme="majorHAnsi" w:hAnsiTheme="majorHAnsi"/>
          <w:lang w:val="es-ES_tradnl"/>
        </w:rPr>
        <w:t>noviembre</w:t>
      </w:r>
      <w:r w:rsidRPr="0018293F">
        <w:rPr>
          <w:rFonts w:asciiTheme="majorHAnsi" w:hAnsiTheme="majorHAnsi"/>
          <w:lang w:val="es-ES_tradnl"/>
        </w:rPr>
        <w:t xml:space="preserve"> de dos mil veintiuno, </w:t>
      </w:r>
      <w:r w:rsidRPr="0018293F">
        <w:rPr>
          <w:rFonts w:asciiTheme="majorHAnsi" w:hAnsiTheme="majorHAnsi"/>
          <w:b/>
          <w:bCs/>
          <w:lang w:val="es-ES_tradnl"/>
        </w:rPr>
        <w:t>considerando</w:t>
      </w:r>
      <w:r w:rsidRPr="0018293F">
        <w:rPr>
          <w:rFonts w:asciiTheme="majorHAnsi" w:hAnsiTheme="majorHAnsi"/>
          <w:b/>
          <w:bCs/>
        </w:rPr>
        <w:t xml:space="preserve"> que</w:t>
      </w:r>
      <w:r w:rsidRPr="0018293F">
        <w:rPr>
          <w:rFonts w:asciiTheme="majorHAnsi" w:hAnsiTheme="majorHAnsi"/>
        </w:rPr>
        <w:t>:</w:t>
      </w:r>
    </w:p>
    <w:p w14:paraId="2DEF48E3" w14:textId="77777777" w:rsidR="002B31EF" w:rsidRPr="0018293F" w:rsidRDefault="002B31EF" w:rsidP="002B31EF">
      <w:pPr>
        <w:jc w:val="both"/>
        <w:rPr>
          <w:rFonts w:asciiTheme="majorHAnsi" w:hAnsiTheme="majorHAnsi"/>
        </w:rPr>
      </w:pPr>
    </w:p>
    <w:p w14:paraId="4FCBE93B" w14:textId="77777777" w:rsidR="002B31EF" w:rsidRPr="0018293F" w:rsidRDefault="002B31EF" w:rsidP="002B31EF">
      <w:pPr>
        <w:jc w:val="both"/>
        <w:rPr>
          <w:rFonts w:asciiTheme="majorHAnsi" w:hAnsiTheme="majorHAnsi"/>
          <w:bCs/>
          <w:iCs/>
        </w:rPr>
      </w:pPr>
      <w:r w:rsidRPr="0018293F">
        <w:rPr>
          <w:rFonts w:asciiTheme="majorHAnsi" w:hAnsiTheme="majorHAnsi"/>
          <w:b/>
          <w:iCs/>
        </w:rPr>
        <w:t xml:space="preserve">1. </w:t>
      </w:r>
      <w:r w:rsidRPr="0018293F">
        <w:rPr>
          <w:rFonts w:asciiTheme="majorHAnsi" w:hAnsiTheme="majorHAnsi"/>
          <w:bCs/>
          <w:iCs/>
        </w:rPr>
        <w:t>El artículo 25 de La ley Reguladora del Mercado de Seguros (LRMS) como parte de las obligaciones de las entidades aseguradoras y reaseguradoras, establece en lo que interesa, lo siguiente:</w:t>
      </w:r>
    </w:p>
    <w:p w14:paraId="5CBF622F" w14:textId="77777777" w:rsidR="002B31EF" w:rsidRPr="0018293F" w:rsidRDefault="002B31EF" w:rsidP="002B31EF">
      <w:pPr>
        <w:jc w:val="both"/>
        <w:rPr>
          <w:rFonts w:asciiTheme="majorHAnsi" w:hAnsiTheme="majorHAnsi"/>
          <w:bCs/>
          <w:iCs/>
        </w:rPr>
      </w:pPr>
    </w:p>
    <w:p w14:paraId="3526988A" w14:textId="77777777" w:rsidR="002B31EF" w:rsidRPr="0018293F" w:rsidRDefault="002B31EF" w:rsidP="002B31EF">
      <w:pPr>
        <w:ind w:left="993" w:right="713"/>
        <w:jc w:val="both"/>
        <w:rPr>
          <w:rFonts w:asciiTheme="majorHAnsi" w:hAnsiTheme="majorHAnsi"/>
          <w:bCs/>
          <w:i/>
          <w:sz w:val="22"/>
          <w:szCs w:val="22"/>
        </w:rPr>
      </w:pPr>
      <w:r w:rsidRPr="0018293F">
        <w:rPr>
          <w:rFonts w:asciiTheme="majorHAnsi" w:hAnsiTheme="majorHAnsi"/>
          <w:bCs/>
          <w:i/>
          <w:sz w:val="22"/>
          <w:szCs w:val="22"/>
        </w:rPr>
        <w:t>“a) Colaborar y facilitar la supervisión de la Superintendencia.</w:t>
      </w:r>
    </w:p>
    <w:p w14:paraId="24B6BC74" w14:textId="77777777" w:rsidR="002B31EF" w:rsidRPr="0018293F" w:rsidRDefault="002B31EF" w:rsidP="002B31EF">
      <w:pPr>
        <w:ind w:left="993" w:right="713"/>
        <w:jc w:val="both"/>
        <w:rPr>
          <w:rFonts w:asciiTheme="majorHAnsi" w:hAnsiTheme="majorHAnsi"/>
          <w:bCs/>
          <w:i/>
          <w:sz w:val="22"/>
          <w:szCs w:val="22"/>
        </w:rPr>
      </w:pPr>
      <w:r w:rsidRPr="0018293F">
        <w:rPr>
          <w:rFonts w:asciiTheme="majorHAnsi" w:hAnsiTheme="majorHAnsi"/>
          <w:bCs/>
          <w:i/>
          <w:sz w:val="22"/>
          <w:szCs w:val="22"/>
        </w:rPr>
        <w:t>(…)</w:t>
      </w:r>
    </w:p>
    <w:p w14:paraId="11686B36" w14:textId="77777777" w:rsidR="002B31EF" w:rsidRPr="0018293F" w:rsidRDefault="002B31EF" w:rsidP="002B31EF">
      <w:pPr>
        <w:ind w:left="993" w:right="713"/>
        <w:jc w:val="both"/>
        <w:rPr>
          <w:rFonts w:asciiTheme="majorHAnsi" w:hAnsiTheme="majorHAnsi"/>
          <w:bCs/>
          <w:i/>
          <w:sz w:val="22"/>
          <w:szCs w:val="22"/>
        </w:rPr>
      </w:pPr>
      <w:r w:rsidRPr="0018293F">
        <w:rPr>
          <w:rFonts w:asciiTheme="majorHAnsi" w:hAnsiTheme="majorHAnsi"/>
          <w:bCs/>
          <w:i/>
          <w:sz w:val="22"/>
          <w:szCs w:val="22"/>
        </w:rPr>
        <w:t>c) Comunicar hechos relevantes y suministrar a la Superintendencia la información correcta y completa, dentro de los plazos y las formalidades requeridos.</w:t>
      </w:r>
    </w:p>
    <w:p w14:paraId="6DE5AB84" w14:textId="77777777" w:rsidR="002B31EF" w:rsidRPr="0018293F" w:rsidRDefault="002B31EF" w:rsidP="002B31EF">
      <w:pPr>
        <w:ind w:left="993" w:right="713"/>
        <w:jc w:val="both"/>
        <w:rPr>
          <w:rFonts w:asciiTheme="majorHAnsi" w:hAnsiTheme="majorHAnsi"/>
          <w:bCs/>
          <w:i/>
          <w:sz w:val="22"/>
          <w:szCs w:val="22"/>
        </w:rPr>
      </w:pPr>
      <w:r w:rsidRPr="0018293F">
        <w:rPr>
          <w:rFonts w:asciiTheme="majorHAnsi" w:hAnsiTheme="majorHAnsi"/>
          <w:bCs/>
          <w:i/>
          <w:sz w:val="22"/>
          <w:szCs w:val="22"/>
        </w:rPr>
        <w:t>(…)</w:t>
      </w:r>
    </w:p>
    <w:p w14:paraId="1EF1C9F0" w14:textId="77777777" w:rsidR="002B31EF" w:rsidRPr="0018293F" w:rsidRDefault="002B31EF" w:rsidP="002B31EF">
      <w:pPr>
        <w:ind w:left="993" w:right="713"/>
        <w:jc w:val="both"/>
        <w:rPr>
          <w:rFonts w:asciiTheme="majorHAnsi" w:hAnsiTheme="majorHAnsi"/>
          <w:bCs/>
          <w:i/>
          <w:sz w:val="22"/>
          <w:szCs w:val="22"/>
        </w:rPr>
      </w:pPr>
      <w:r w:rsidRPr="0018293F">
        <w:rPr>
          <w:rFonts w:asciiTheme="majorHAnsi" w:hAnsiTheme="majorHAnsi"/>
          <w:bCs/>
          <w:i/>
          <w:sz w:val="22"/>
          <w:szCs w:val="22"/>
        </w:rPr>
        <w:t>f) Acatar las normas técnicas emitidas por el Consejo Nacional de Supervisión o la Superintendencia para la constitución de las provisiones técnicas y reservas, la estimación de riesgos, la custodia y valoración de activos y pasivos.</w:t>
      </w:r>
    </w:p>
    <w:p w14:paraId="3CDCADB7" w14:textId="77777777" w:rsidR="002B31EF" w:rsidRPr="0018293F" w:rsidRDefault="002B31EF" w:rsidP="002B31EF">
      <w:pPr>
        <w:ind w:left="993" w:right="713"/>
        <w:jc w:val="both"/>
        <w:rPr>
          <w:rFonts w:asciiTheme="majorHAnsi" w:hAnsiTheme="majorHAnsi"/>
          <w:bCs/>
          <w:i/>
          <w:sz w:val="22"/>
          <w:szCs w:val="22"/>
        </w:rPr>
      </w:pPr>
      <w:r w:rsidRPr="0018293F">
        <w:rPr>
          <w:rFonts w:asciiTheme="majorHAnsi" w:hAnsiTheme="majorHAnsi"/>
          <w:bCs/>
          <w:i/>
          <w:sz w:val="22"/>
          <w:szCs w:val="22"/>
        </w:rPr>
        <w:t>(…)</w:t>
      </w:r>
    </w:p>
    <w:p w14:paraId="790121CA" w14:textId="77777777" w:rsidR="002B31EF" w:rsidRPr="0018293F" w:rsidRDefault="002B31EF" w:rsidP="002B31EF">
      <w:pPr>
        <w:ind w:left="993" w:right="713"/>
        <w:jc w:val="both"/>
        <w:rPr>
          <w:rFonts w:asciiTheme="majorHAnsi" w:hAnsiTheme="majorHAnsi"/>
          <w:bCs/>
          <w:i/>
          <w:sz w:val="22"/>
          <w:szCs w:val="22"/>
        </w:rPr>
      </w:pPr>
      <w:r w:rsidRPr="0018293F">
        <w:rPr>
          <w:rFonts w:asciiTheme="majorHAnsi" w:hAnsiTheme="majorHAnsi"/>
          <w:bCs/>
          <w:i/>
          <w:sz w:val="22"/>
          <w:szCs w:val="22"/>
        </w:rPr>
        <w:t>i) Llevar, en forma adecuada, la contabilidad o los registros exigidos legalmente.</w:t>
      </w:r>
    </w:p>
    <w:p w14:paraId="3B7A3A32" w14:textId="77777777" w:rsidR="002B31EF" w:rsidRPr="0018293F" w:rsidRDefault="002B31EF" w:rsidP="002B31EF">
      <w:pPr>
        <w:ind w:left="993" w:right="713"/>
        <w:jc w:val="both"/>
        <w:rPr>
          <w:rFonts w:asciiTheme="majorHAnsi" w:hAnsiTheme="majorHAnsi"/>
          <w:bCs/>
          <w:i/>
          <w:sz w:val="22"/>
          <w:szCs w:val="22"/>
        </w:rPr>
      </w:pPr>
      <w:r w:rsidRPr="0018293F">
        <w:rPr>
          <w:rFonts w:asciiTheme="majorHAnsi" w:hAnsiTheme="majorHAnsi"/>
          <w:bCs/>
          <w:i/>
          <w:sz w:val="22"/>
          <w:szCs w:val="22"/>
        </w:rPr>
        <w:t>(…)</w:t>
      </w:r>
    </w:p>
    <w:p w14:paraId="5B1754B9" w14:textId="77777777" w:rsidR="002B31EF" w:rsidRPr="0018293F" w:rsidRDefault="002B31EF" w:rsidP="002B31EF">
      <w:pPr>
        <w:ind w:left="993" w:right="713"/>
        <w:jc w:val="both"/>
        <w:rPr>
          <w:rFonts w:asciiTheme="majorHAnsi" w:hAnsiTheme="majorHAnsi"/>
          <w:bCs/>
          <w:i/>
          <w:sz w:val="22"/>
          <w:szCs w:val="22"/>
        </w:rPr>
      </w:pPr>
      <w:r w:rsidRPr="0018293F">
        <w:rPr>
          <w:rFonts w:asciiTheme="majorHAnsi" w:hAnsiTheme="majorHAnsi"/>
          <w:bCs/>
          <w:i/>
          <w:sz w:val="22"/>
          <w:szCs w:val="22"/>
        </w:rPr>
        <w:t>m) Definir políticas de control y procedimientos, establecer sistemas contables, financieros, informáticos, de control interno y de comunicaciones.</w:t>
      </w:r>
    </w:p>
    <w:p w14:paraId="291A1EC4" w14:textId="77777777" w:rsidR="002B31EF" w:rsidRPr="0018293F" w:rsidRDefault="002B31EF" w:rsidP="002B31EF">
      <w:pPr>
        <w:ind w:left="993" w:right="713"/>
        <w:jc w:val="both"/>
        <w:rPr>
          <w:rFonts w:asciiTheme="majorHAnsi" w:hAnsiTheme="majorHAnsi"/>
          <w:bCs/>
          <w:i/>
          <w:sz w:val="22"/>
          <w:szCs w:val="22"/>
        </w:rPr>
      </w:pPr>
      <w:r w:rsidRPr="0018293F">
        <w:rPr>
          <w:rFonts w:asciiTheme="majorHAnsi" w:hAnsiTheme="majorHAnsi"/>
          <w:bCs/>
          <w:i/>
          <w:sz w:val="22"/>
          <w:szCs w:val="22"/>
        </w:rPr>
        <w:lastRenderedPageBreak/>
        <w:t>(…)</w:t>
      </w:r>
    </w:p>
    <w:p w14:paraId="6A1B0BB5" w14:textId="77777777" w:rsidR="002B31EF" w:rsidRPr="0018293F" w:rsidRDefault="002B31EF" w:rsidP="002B31EF">
      <w:pPr>
        <w:ind w:left="993" w:right="713"/>
        <w:jc w:val="both"/>
        <w:rPr>
          <w:rFonts w:asciiTheme="majorHAnsi" w:hAnsiTheme="majorHAnsi"/>
          <w:bCs/>
          <w:i/>
          <w:sz w:val="22"/>
          <w:szCs w:val="22"/>
        </w:rPr>
      </w:pPr>
      <w:r w:rsidRPr="0018293F">
        <w:rPr>
          <w:rFonts w:asciiTheme="majorHAnsi" w:hAnsiTheme="majorHAnsi"/>
          <w:bCs/>
          <w:i/>
          <w:sz w:val="22"/>
          <w:szCs w:val="22"/>
        </w:rPr>
        <w:t>u) Actualizar los libros de contabilidad o los registros obligatorios.</w:t>
      </w:r>
    </w:p>
    <w:p w14:paraId="2A9D1C09" w14:textId="77777777" w:rsidR="002B31EF" w:rsidRPr="0018293F" w:rsidRDefault="002B31EF" w:rsidP="002B31EF">
      <w:pPr>
        <w:ind w:left="993" w:right="713"/>
        <w:jc w:val="both"/>
        <w:rPr>
          <w:rFonts w:asciiTheme="majorHAnsi" w:hAnsiTheme="majorHAnsi"/>
          <w:bCs/>
          <w:i/>
          <w:sz w:val="22"/>
          <w:szCs w:val="22"/>
        </w:rPr>
      </w:pPr>
      <w:r w:rsidRPr="0018293F">
        <w:rPr>
          <w:rFonts w:asciiTheme="majorHAnsi" w:hAnsiTheme="majorHAnsi"/>
          <w:bCs/>
          <w:i/>
          <w:sz w:val="22"/>
          <w:szCs w:val="22"/>
        </w:rPr>
        <w:t>(…)”</w:t>
      </w:r>
    </w:p>
    <w:p w14:paraId="684953B8" w14:textId="77777777" w:rsidR="002B31EF" w:rsidRPr="0018293F" w:rsidRDefault="002B31EF" w:rsidP="002B31EF">
      <w:pPr>
        <w:jc w:val="both"/>
        <w:rPr>
          <w:rFonts w:asciiTheme="majorHAnsi" w:hAnsiTheme="majorHAnsi"/>
        </w:rPr>
      </w:pPr>
    </w:p>
    <w:p w14:paraId="601D9A80" w14:textId="77777777" w:rsidR="002B31EF" w:rsidRPr="0018293F" w:rsidRDefault="002B31EF" w:rsidP="002B31EF">
      <w:pPr>
        <w:jc w:val="both"/>
        <w:rPr>
          <w:rFonts w:asciiTheme="majorHAnsi" w:hAnsiTheme="majorHAnsi"/>
          <w:bCs/>
          <w:iCs/>
        </w:rPr>
      </w:pPr>
      <w:r w:rsidRPr="0018293F">
        <w:rPr>
          <w:rFonts w:asciiTheme="majorHAnsi" w:hAnsiTheme="majorHAnsi"/>
          <w:bCs/>
          <w:iCs/>
        </w:rPr>
        <w:t>Para cumplir con las obligaciones señaladas de previo, el último párrafo de dicho artículo indica que.</w:t>
      </w:r>
    </w:p>
    <w:p w14:paraId="6ABD067A" w14:textId="77777777" w:rsidR="002B31EF" w:rsidRPr="0018293F" w:rsidRDefault="002B31EF" w:rsidP="002B31EF">
      <w:pPr>
        <w:jc w:val="both"/>
        <w:rPr>
          <w:rFonts w:asciiTheme="majorHAnsi" w:hAnsiTheme="majorHAnsi"/>
        </w:rPr>
      </w:pPr>
    </w:p>
    <w:p w14:paraId="70AE5853" w14:textId="77777777" w:rsidR="002B31EF" w:rsidRPr="0018293F" w:rsidRDefault="002B31EF" w:rsidP="002B31EF">
      <w:pPr>
        <w:ind w:left="993" w:right="713"/>
        <w:jc w:val="both"/>
        <w:rPr>
          <w:rFonts w:asciiTheme="majorHAnsi" w:hAnsiTheme="majorHAnsi"/>
          <w:bCs/>
          <w:i/>
        </w:rPr>
      </w:pPr>
      <w:proofErr w:type="gramStart"/>
      <w:r w:rsidRPr="0018293F">
        <w:rPr>
          <w:rFonts w:asciiTheme="majorHAnsi" w:hAnsiTheme="majorHAnsi"/>
          <w:sz w:val="22"/>
          <w:szCs w:val="22"/>
        </w:rPr>
        <w:t>“….</w:t>
      </w:r>
      <w:proofErr w:type="gramEnd"/>
      <w:r w:rsidRPr="0018293F">
        <w:rPr>
          <w:rFonts w:asciiTheme="majorHAnsi" w:hAnsiTheme="majorHAnsi"/>
          <w:bCs/>
          <w:i/>
          <w:sz w:val="22"/>
          <w:szCs w:val="22"/>
        </w:rPr>
        <w:t>el Consejo Nacional y la Superintendencia, según corresponda, podrán emitir la normativa necesaria que determine el contenido de las obligaciones, la periodicidad, las condiciones, los formatos, los términos, la operatividad y, en general, cualquier aspecto necesario para su efectivo cumplimiento, supervisión, verificación y sanción en caso de inobservancia.”</w:t>
      </w:r>
    </w:p>
    <w:p w14:paraId="6B7F5878" w14:textId="77777777" w:rsidR="002B31EF" w:rsidRPr="0018293F" w:rsidRDefault="002B31EF" w:rsidP="002B31EF">
      <w:pPr>
        <w:jc w:val="both"/>
        <w:rPr>
          <w:rFonts w:asciiTheme="majorHAnsi" w:hAnsiTheme="majorHAnsi"/>
        </w:rPr>
      </w:pPr>
    </w:p>
    <w:p w14:paraId="0F71D83A" w14:textId="77777777" w:rsidR="002B31EF" w:rsidRPr="0018293F" w:rsidRDefault="002B31EF" w:rsidP="002B31EF">
      <w:pPr>
        <w:jc w:val="both"/>
        <w:rPr>
          <w:rFonts w:asciiTheme="majorHAnsi" w:hAnsiTheme="majorHAnsi"/>
          <w:bCs/>
          <w:iCs/>
        </w:rPr>
      </w:pPr>
      <w:r w:rsidRPr="0018293F">
        <w:rPr>
          <w:rFonts w:asciiTheme="majorHAnsi" w:hAnsiTheme="majorHAnsi"/>
          <w:b/>
          <w:iCs/>
        </w:rPr>
        <w:t>2.</w:t>
      </w:r>
      <w:r w:rsidRPr="0018293F">
        <w:rPr>
          <w:rFonts w:asciiTheme="majorHAnsi" w:hAnsiTheme="majorHAnsi"/>
          <w:bCs/>
          <w:iCs/>
        </w:rPr>
        <w:t xml:space="preserve"> El artículo 29 de la LRMS como parte de los objetivos y funciones de la Superintendencia establece lo siguiente: </w:t>
      </w:r>
    </w:p>
    <w:p w14:paraId="1D80DA73" w14:textId="77777777" w:rsidR="002B31EF" w:rsidRPr="0018293F" w:rsidRDefault="002B31EF" w:rsidP="002B31EF">
      <w:pPr>
        <w:jc w:val="both"/>
        <w:rPr>
          <w:rFonts w:asciiTheme="majorHAnsi" w:hAnsiTheme="majorHAnsi"/>
          <w:bCs/>
          <w:iCs/>
        </w:rPr>
      </w:pPr>
    </w:p>
    <w:p w14:paraId="73493C26" w14:textId="77777777" w:rsidR="002B31EF" w:rsidRPr="0018293F" w:rsidRDefault="002B31EF" w:rsidP="002B31EF">
      <w:pPr>
        <w:ind w:left="993" w:right="713"/>
        <w:jc w:val="both"/>
        <w:rPr>
          <w:rFonts w:asciiTheme="majorHAnsi" w:hAnsiTheme="majorHAnsi"/>
          <w:bCs/>
          <w:i/>
          <w:sz w:val="22"/>
          <w:szCs w:val="22"/>
        </w:rPr>
      </w:pPr>
      <w:r w:rsidRPr="0018293F">
        <w:rPr>
          <w:rFonts w:asciiTheme="majorHAnsi" w:hAnsiTheme="majorHAnsi"/>
          <w:bCs/>
          <w:i/>
          <w:sz w:val="22"/>
          <w:szCs w:val="22"/>
        </w:rPr>
        <w:t>“(…) i) Proponer al Consejo Nacional, para su aprobación, la normativa reglamentaria que se requiera para la aplicación de esta Ley y para cumplir sus competencias y funciones.</w:t>
      </w:r>
      <w:r>
        <w:rPr>
          <w:rFonts w:asciiTheme="majorHAnsi" w:hAnsiTheme="majorHAnsi"/>
          <w:bCs/>
          <w:i/>
          <w:sz w:val="22"/>
          <w:szCs w:val="22"/>
        </w:rPr>
        <w:t xml:space="preserve"> </w:t>
      </w:r>
      <w:r w:rsidRPr="0018293F">
        <w:rPr>
          <w:rFonts w:asciiTheme="majorHAnsi" w:hAnsiTheme="majorHAnsi"/>
          <w:bCs/>
          <w:i/>
          <w:sz w:val="22"/>
          <w:szCs w:val="22"/>
        </w:rPr>
        <w:t>La emisión de nueva normativa deberá otorgar un plazo prudencial a los entes supervisados para ajustarse a las nuevas regulaciones.</w:t>
      </w:r>
    </w:p>
    <w:p w14:paraId="5B957DDB" w14:textId="77777777" w:rsidR="002B31EF" w:rsidRPr="0018293F" w:rsidRDefault="002B31EF" w:rsidP="002B31EF">
      <w:pPr>
        <w:ind w:left="993" w:right="713"/>
        <w:jc w:val="both"/>
        <w:rPr>
          <w:rFonts w:asciiTheme="majorHAnsi" w:hAnsiTheme="majorHAnsi"/>
          <w:bCs/>
          <w:i/>
          <w:sz w:val="22"/>
          <w:szCs w:val="22"/>
        </w:rPr>
      </w:pPr>
    </w:p>
    <w:p w14:paraId="110A24BC" w14:textId="77777777" w:rsidR="002B31EF" w:rsidRPr="0018293F" w:rsidRDefault="002B31EF" w:rsidP="002B31EF">
      <w:pPr>
        <w:ind w:left="993" w:right="713"/>
        <w:jc w:val="both"/>
        <w:rPr>
          <w:rFonts w:asciiTheme="majorHAnsi" w:hAnsiTheme="majorHAnsi"/>
          <w:bCs/>
          <w:i/>
          <w:sz w:val="22"/>
          <w:szCs w:val="22"/>
        </w:rPr>
      </w:pPr>
      <w:r w:rsidRPr="0018293F">
        <w:rPr>
          <w:rFonts w:asciiTheme="majorHAnsi" w:hAnsiTheme="majorHAnsi"/>
          <w:bCs/>
          <w:i/>
          <w:sz w:val="22"/>
          <w:szCs w:val="22"/>
        </w:rPr>
        <w:t>j) Dictar las demás normas y directrices de carácter técnico u operativo.</w:t>
      </w:r>
    </w:p>
    <w:p w14:paraId="4D300288" w14:textId="77777777" w:rsidR="002B31EF" w:rsidRPr="0018293F" w:rsidRDefault="002B31EF" w:rsidP="002B31EF">
      <w:pPr>
        <w:ind w:left="993" w:right="713"/>
        <w:jc w:val="both"/>
        <w:rPr>
          <w:rFonts w:asciiTheme="majorHAnsi" w:hAnsiTheme="majorHAnsi"/>
          <w:bCs/>
          <w:i/>
          <w:sz w:val="22"/>
          <w:szCs w:val="22"/>
        </w:rPr>
      </w:pPr>
      <w:r w:rsidRPr="0018293F">
        <w:rPr>
          <w:rFonts w:asciiTheme="majorHAnsi" w:hAnsiTheme="majorHAnsi"/>
          <w:bCs/>
          <w:i/>
          <w:sz w:val="22"/>
          <w:szCs w:val="22"/>
        </w:rPr>
        <w:t>(…)”</w:t>
      </w:r>
    </w:p>
    <w:p w14:paraId="45DE0B20" w14:textId="77777777" w:rsidR="002B31EF" w:rsidRPr="0018293F" w:rsidRDefault="002B31EF" w:rsidP="002B31EF">
      <w:pPr>
        <w:ind w:left="51" w:right="136"/>
        <w:jc w:val="both"/>
        <w:rPr>
          <w:rFonts w:asciiTheme="majorHAnsi" w:hAnsiTheme="majorHAnsi"/>
          <w:bCs/>
          <w:iCs/>
        </w:rPr>
      </w:pPr>
    </w:p>
    <w:p w14:paraId="725D9DCB" w14:textId="77777777" w:rsidR="002B31EF" w:rsidRPr="0018293F" w:rsidRDefault="002B31EF" w:rsidP="002B31EF">
      <w:pPr>
        <w:ind w:left="51" w:right="136"/>
        <w:jc w:val="both"/>
        <w:rPr>
          <w:rFonts w:asciiTheme="majorHAnsi" w:hAnsiTheme="majorHAnsi"/>
          <w:bCs/>
          <w:iCs/>
        </w:rPr>
      </w:pPr>
      <w:r w:rsidRPr="0018293F">
        <w:rPr>
          <w:rFonts w:asciiTheme="majorHAnsi" w:hAnsiTheme="majorHAnsi"/>
          <w:bCs/>
          <w:iCs/>
        </w:rPr>
        <w:t>Adicionalmente, indica que la Superintendencia General de Seguros debe disponer de información, en los plazos, formatos y medios que le permita realizar una evaluación exhaustiva y rigurosa de cada uno de los participantes del mercado de seguros, con el fin de cumplir con el objetivo de “velar por la estabilidad y el eficiente funcionamiento del mercado de seguros, así como entregar la más amplia información a los asegurados”. Para alcanzar este propósito la Superintendencia se adhiere a las mejores prácticas y estándares internacionales de regulación y supervisión, como lo son las Normas Internacionales de Información Financiera (</w:t>
      </w:r>
      <w:proofErr w:type="spellStart"/>
      <w:r w:rsidRPr="0018293F">
        <w:rPr>
          <w:rFonts w:asciiTheme="majorHAnsi" w:hAnsiTheme="majorHAnsi"/>
          <w:bCs/>
          <w:iCs/>
        </w:rPr>
        <w:t>NIIFs</w:t>
      </w:r>
      <w:proofErr w:type="spellEnd"/>
      <w:r w:rsidRPr="0018293F">
        <w:rPr>
          <w:rFonts w:asciiTheme="majorHAnsi" w:hAnsiTheme="majorHAnsi"/>
          <w:bCs/>
          <w:iCs/>
        </w:rPr>
        <w:t>) dictadas por el Consejo de Normas Internacionales de Contabilidad (IASB por sus siglas en inglés) y los Principios Básicos de Supervisión de Seguros (PBS) dispuestos por la Asociación Internacional de Supervisores de Seguros (IAIS, por sus siglas en inglés).</w:t>
      </w:r>
    </w:p>
    <w:p w14:paraId="0C7B666A" w14:textId="77777777" w:rsidR="002B31EF" w:rsidRPr="0018293F" w:rsidRDefault="002B31EF" w:rsidP="002B31EF">
      <w:pPr>
        <w:ind w:left="51" w:right="136"/>
        <w:jc w:val="both"/>
        <w:rPr>
          <w:rFonts w:asciiTheme="majorHAnsi" w:hAnsiTheme="majorHAnsi"/>
        </w:rPr>
      </w:pPr>
    </w:p>
    <w:p w14:paraId="7514B91C" w14:textId="77777777" w:rsidR="002B31EF" w:rsidRPr="0018293F" w:rsidRDefault="002B31EF" w:rsidP="002B31EF">
      <w:pPr>
        <w:jc w:val="both"/>
        <w:rPr>
          <w:rFonts w:asciiTheme="majorHAnsi" w:hAnsiTheme="majorHAnsi"/>
          <w:bCs/>
          <w:iCs/>
        </w:rPr>
      </w:pPr>
      <w:r w:rsidRPr="0018293F">
        <w:rPr>
          <w:rFonts w:asciiTheme="majorHAnsi" w:hAnsiTheme="majorHAnsi"/>
          <w:b/>
          <w:iCs/>
        </w:rPr>
        <w:t xml:space="preserve">3. </w:t>
      </w:r>
      <w:r w:rsidRPr="0018293F">
        <w:rPr>
          <w:rFonts w:asciiTheme="majorHAnsi" w:hAnsiTheme="majorHAnsi"/>
          <w:bCs/>
          <w:iCs/>
        </w:rPr>
        <w:t xml:space="preserve">El artículo 13 de la LRMS establece lo siguiente en relación con los pasivos y reservas que pueden constituir las entidades de seguros: </w:t>
      </w:r>
    </w:p>
    <w:p w14:paraId="370E67C0" w14:textId="77777777" w:rsidR="002B31EF" w:rsidRPr="0018293F" w:rsidRDefault="002B31EF" w:rsidP="002B31EF">
      <w:pPr>
        <w:jc w:val="both"/>
        <w:rPr>
          <w:rFonts w:asciiTheme="majorHAnsi" w:hAnsiTheme="majorHAnsi"/>
          <w:bCs/>
          <w:iCs/>
        </w:rPr>
      </w:pPr>
    </w:p>
    <w:p w14:paraId="3EAEFEE7" w14:textId="77777777" w:rsidR="002B31EF" w:rsidRPr="0018293F" w:rsidRDefault="002B31EF" w:rsidP="002B31EF">
      <w:pPr>
        <w:ind w:left="993" w:right="713"/>
        <w:jc w:val="both"/>
        <w:rPr>
          <w:rFonts w:asciiTheme="majorHAnsi" w:hAnsiTheme="majorHAnsi"/>
          <w:bCs/>
          <w:i/>
          <w:sz w:val="22"/>
          <w:szCs w:val="22"/>
        </w:rPr>
      </w:pPr>
      <w:r w:rsidRPr="0018293F">
        <w:rPr>
          <w:rFonts w:asciiTheme="majorHAnsi" w:hAnsiTheme="majorHAnsi"/>
          <w:bCs/>
          <w:i/>
          <w:sz w:val="22"/>
          <w:szCs w:val="22"/>
        </w:rPr>
        <w:lastRenderedPageBreak/>
        <w:t>“…Las entidades aseguradoras y reaseguradoras deberán constituir y mantener, en todo momento, provisiones técnicas suficientes para garantizar el cumplimiento de sus obligaciones asociadas a sus contratos de seguros y reaseguros, según corresponda. Igualmente, constituirán y mantendrán reservas suficientes para poder afrontar los demás riesgos que puedan afectar el desarrollo del negocio.</w:t>
      </w:r>
    </w:p>
    <w:p w14:paraId="5A75A8B3" w14:textId="77777777" w:rsidR="002B31EF" w:rsidRPr="0018293F" w:rsidRDefault="002B31EF" w:rsidP="002B31EF">
      <w:pPr>
        <w:ind w:left="993" w:right="713"/>
        <w:jc w:val="both"/>
        <w:rPr>
          <w:rFonts w:asciiTheme="majorHAnsi" w:hAnsiTheme="majorHAnsi"/>
          <w:bCs/>
          <w:i/>
          <w:sz w:val="22"/>
          <w:szCs w:val="22"/>
        </w:rPr>
      </w:pPr>
    </w:p>
    <w:p w14:paraId="6ED5D17D" w14:textId="77777777" w:rsidR="002B31EF" w:rsidRPr="0018293F" w:rsidRDefault="002B31EF" w:rsidP="002B31EF">
      <w:pPr>
        <w:ind w:left="993" w:right="713"/>
        <w:jc w:val="both"/>
        <w:rPr>
          <w:rFonts w:asciiTheme="majorHAnsi" w:hAnsiTheme="majorHAnsi"/>
          <w:bCs/>
          <w:i/>
          <w:sz w:val="22"/>
          <w:szCs w:val="22"/>
        </w:rPr>
      </w:pPr>
      <w:r w:rsidRPr="0018293F">
        <w:rPr>
          <w:rFonts w:asciiTheme="majorHAnsi" w:hAnsiTheme="majorHAnsi"/>
          <w:bCs/>
          <w:i/>
          <w:sz w:val="22"/>
          <w:szCs w:val="22"/>
        </w:rPr>
        <w:t>En adición a lo que defina el Consejo Nacional, las entidades solo podrán establecer provisiones y reservas específicas cuando la Superintendencia lo haya autorizado.”</w:t>
      </w:r>
    </w:p>
    <w:p w14:paraId="1BD288EC" w14:textId="77777777" w:rsidR="002B31EF" w:rsidRPr="0018293F" w:rsidRDefault="002B31EF" w:rsidP="002B31EF">
      <w:pPr>
        <w:jc w:val="both"/>
        <w:rPr>
          <w:rFonts w:asciiTheme="majorHAnsi" w:hAnsiTheme="majorHAnsi"/>
        </w:rPr>
      </w:pPr>
    </w:p>
    <w:p w14:paraId="76DB7769" w14:textId="77777777" w:rsidR="002B31EF" w:rsidRPr="0018293F" w:rsidRDefault="002B31EF" w:rsidP="002B31EF">
      <w:pPr>
        <w:jc w:val="both"/>
        <w:rPr>
          <w:rFonts w:asciiTheme="majorHAnsi" w:hAnsiTheme="majorHAnsi"/>
          <w:bCs/>
          <w:iCs/>
        </w:rPr>
      </w:pPr>
      <w:r w:rsidRPr="0018293F">
        <w:rPr>
          <w:rFonts w:asciiTheme="majorHAnsi" w:hAnsiTheme="majorHAnsi"/>
          <w:b/>
          <w:iCs/>
        </w:rPr>
        <w:t xml:space="preserve">4. </w:t>
      </w:r>
      <w:r w:rsidRPr="0018293F">
        <w:rPr>
          <w:rFonts w:asciiTheme="majorHAnsi" w:hAnsiTheme="majorHAnsi"/>
          <w:bCs/>
          <w:iCs/>
        </w:rPr>
        <w:t xml:space="preserve">El Consejo Nacional de Supervisión del Sistema Financiero (CONASSIF) mediante artículos 6 y 5 de las actas de las sesiones 1442-2018 y 1443-2018 del 11 de setiembre de 2018, aprobó el </w:t>
      </w:r>
      <w:r w:rsidRPr="0018293F">
        <w:rPr>
          <w:rFonts w:asciiTheme="majorHAnsi" w:hAnsiTheme="majorHAnsi"/>
          <w:bCs/>
          <w:i/>
        </w:rPr>
        <w:t>Reglamento de Información Financiera</w:t>
      </w:r>
      <w:r w:rsidRPr="0018293F">
        <w:rPr>
          <w:rFonts w:asciiTheme="majorHAnsi" w:hAnsiTheme="majorHAnsi"/>
          <w:bCs/>
          <w:iCs/>
        </w:rPr>
        <w:t xml:space="preserve"> (RIF), el cual es de aplicación para las entidades supervisadas por la Superintendencia General de Seguros (SUGESE).</w:t>
      </w:r>
      <w:r>
        <w:rPr>
          <w:rFonts w:asciiTheme="majorHAnsi" w:hAnsiTheme="majorHAnsi"/>
          <w:bCs/>
          <w:iCs/>
        </w:rPr>
        <w:t xml:space="preserve"> </w:t>
      </w:r>
      <w:r w:rsidRPr="0018293F">
        <w:rPr>
          <w:rFonts w:asciiTheme="majorHAnsi" w:hAnsiTheme="majorHAnsi"/>
          <w:bCs/>
          <w:iCs/>
        </w:rPr>
        <w:t>Dicho reglamento en su artículo 3 establece que:</w:t>
      </w:r>
    </w:p>
    <w:p w14:paraId="5C80E164" w14:textId="77777777" w:rsidR="002B31EF" w:rsidRPr="0018293F" w:rsidRDefault="002B31EF" w:rsidP="002B31EF">
      <w:pPr>
        <w:jc w:val="both"/>
        <w:rPr>
          <w:rFonts w:asciiTheme="majorHAnsi" w:hAnsiTheme="majorHAnsi"/>
          <w:bCs/>
          <w:iCs/>
        </w:rPr>
      </w:pPr>
    </w:p>
    <w:p w14:paraId="5753A90C" w14:textId="77777777" w:rsidR="002B31EF" w:rsidRPr="0018293F" w:rsidRDefault="002B31EF" w:rsidP="002B31EF">
      <w:pPr>
        <w:ind w:left="993" w:right="713"/>
        <w:jc w:val="both"/>
        <w:rPr>
          <w:rFonts w:asciiTheme="majorHAnsi" w:hAnsiTheme="majorHAnsi"/>
          <w:bCs/>
          <w:i/>
          <w:sz w:val="22"/>
          <w:szCs w:val="22"/>
        </w:rPr>
      </w:pPr>
      <w:r w:rsidRPr="0018293F">
        <w:rPr>
          <w:rFonts w:asciiTheme="majorHAnsi" w:hAnsiTheme="majorHAnsi"/>
          <w:bCs/>
          <w:i/>
          <w:sz w:val="22"/>
          <w:szCs w:val="22"/>
        </w:rPr>
        <w:t>“…Las NIIF y sus interpretaciones serán aplicadas en su totalidad por los entes indicados en el alcance del artículo anterior, excepto por los tratamientos prudenciales o regulatorios señalados en este Reglamento.</w:t>
      </w:r>
    </w:p>
    <w:p w14:paraId="3F890488" w14:textId="77777777" w:rsidR="002B31EF" w:rsidRPr="0018293F" w:rsidRDefault="002B31EF" w:rsidP="002B31EF">
      <w:pPr>
        <w:ind w:left="993" w:right="713"/>
        <w:jc w:val="both"/>
        <w:rPr>
          <w:rFonts w:asciiTheme="majorHAnsi" w:hAnsiTheme="majorHAnsi"/>
          <w:bCs/>
          <w:i/>
          <w:sz w:val="22"/>
          <w:szCs w:val="22"/>
        </w:rPr>
      </w:pPr>
    </w:p>
    <w:p w14:paraId="067FA0B7" w14:textId="77777777" w:rsidR="002B31EF" w:rsidRPr="0018293F" w:rsidRDefault="002B31EF" w:rsidP="002B31EF">
      <w:pPr>
        <w:ind w:left="993" w:right="713"/>
        <w:jc w:val="both"/>
        <w:rPr>
          <w:rFonts w:asciiTheme="majorHAnsi" w:hAnsiTheme="majorHAnsi"/>
          <w:bCs/>
          <w:i/>
          <w:sz w:val="22"/>
          <w:szCs w:val="22"/>
        </w:rPr>
      </w:pPr>
      <w:r w:rsidRPr="0018293F">
        <w:rPr>
          <w:rFonts w:asciiTheme="majorHAnsi" w:hAnsiTheme="majorHAnsi"/>
          <w:bCs/>
          <w:i/>
          <w:sz w:val="22"/>
          <w:szCs w:val="22"/>
        </w:rPr>
        <w:t>En el caso de entidades financieras, las nuevas NIIF emitidas por el IASB, o sus modificaciones, serían incorporadas en el proceso contable de los entes supervisados. No obstante, la aplicación anticipada a la fecha de vigencia no está permitida, salvo que el Consejo Nacional de Supervisión del Sistema Financiero así lo disponga por medio de un acuerdo o modificación a esta normativa…”</w:t>
      </w:r>
    </w:p>
    <w:p w14:paraId="69452EA5" w14:textId="77777777" w:rsidR="002B31EF" w:rsidRPr="0018293F" w:rsidRDefault="002B31EF" w:rsidP="002B31EF">
      <w:pPr>
        <w:ind w:left="51"/>
        <w:jc w:val="both"/>
        <w:rPr>
          <w:rFonts w:asciiTheme="majorHAnsi" w:hAnsiTheme="majorHAnsi"/>
        </w:rPr>
      </w:pPr>
    </w:p>
    <w:p w14:paraId="1E1B698D" w14:textId="77777777" w:rsidR="002B31EF" w:rsidRPr="0018293F" w:rsidRDefault="002B31EF" w:rsidP="002B31EF">
      <w:pPr>
        <w:jc w:val="both"/>
        <w:rPr>
          <w:rFonts w:asciiTheme="majorHAnsi" w:hAnsiTheme="majorHAnsi"/>
          <w:bCs/>
          <w:iCs/>
        </w:rPr>
      </w:pPr>
      <w:r w:rsidRPr="0018293F">
        <w:rPr>
          <w:rFonts w:asciiTheme="majorHAnsi" w:hAnsiTheme="majorHAnsi"/>
          <w:b/>
          <w:iCs/>
        </w:rPr>
        <w:t xml:space="preserve">5. </w:t>
      </w:r>
      <w:r w:rsidRPr="0018293F">
        <w:rPr>
          <w:rFonts w:asciiTheme="majorHAnsi" w:hAnsiTheme="majorHAnsi"/>
          <w:bCs/>
          <w:iCs/>
        </w:rPr>
        <w:t>El estándar 9.4 de los Principios Básicos de Supervisión de Seguros de IAIS indica, entre otros aspectos, que el Supervisor debe establecer los requerimientos de remisión de información cuantitativa y cualitativa de aplicación para las aseguradoras de su jurisdicción; además, debe definir los principios y normas relevantes para los reportes al Supervisor, en particular los estándares contables que deben usar las entidades. Adicionalmente, el PBS 14 indica que el Supervisor establece los requerimientos para la valuación de los activos y pasivos para propósitos de solvencia.</w:t>
      </w:r>
    </w:p>
    <w:p w14:paraId="1CAD187F" w14:textId="77777777" w:rsidR="002B31EF" w:rsidRPr="0018293F" w:rsidRDefault="002B31EF" w:rsidP="002B31EF">
      <w:pPr>
        <w:jc w:val="both"/>
        <w:rPr>
          <w:rFonts w:asciiTheme="majorHAnsi" w:hAnsiTheme="majorHAnsi"/>
        </w:rPr>
      </w:pPr>
    </w:p>
    <w:p w14:paraId="3791848C" w14:textId="77777777" w:rsidR="002B31EF" w:rsidRPr="0018293F" w:rsidRDefault="002B31EF" w:rsidP="002B31EF">
      <w:pPr>
        <w:jc w:val="both"/>
        <w:rPr>
          <w:rFonts w:asciiTheme="majorHAnsi" w:hAnsiTheme="majorHAnsi"/>
          <w:bCs/>
          <w:iCs/>
        </w:rPr>
      </w:pPr>
      <w:r w:rsidRPr="0018293F">
        <w:rPr>
          <w:rFonts w:asciiTheme="majorHAnsi" w:hAnsiTheme="majorHAnsi"/>
          <w:b/>
          <w:iCs/>
        </w:rPr>
        <w:t xml:space="preserve">6. </w:t>
      </w:r>
      <w:r w:rsidRPr="0018293F">
        <w:rPr>
          <w:rFonts w:asciiTheme="majorHAnsi" w:hAnsiTheme="majorHAnsi"/>
          <w:bCs/>
          <w:iCs/>
        </w:rPr>
        <w:t xml:space="preserve">El IASB emitió en mayo de 2017, la primera versión de la NIIF 17, Contratos de Seguros, la cual </w:t>
      </w:r>
      <w:r w:rsidRPr="0018293F">
        <w:rPr>
          <w:rFonts w:asciiTheme="majorHAnsi" w:hAnsiTheme="majorHAnsi"/>
          <w:bCs/>
          <w:i/>
          <w:sz w:val="22"/>
          <w:szCs w:val="22"/>
        </w:rPr>
        <w:t>“…establece principios para el reconocimiento, medición, presentación e información a revelar de los contratos de seguro que están dentro del alcance de la Norma. El objetivo de la NIIF 17 es asegurar que una entidad proporciona información relevante que represente fidedignamente esos contratos. Esta información proporciona una base a los usuarios de los estados financieros para evaluar el efecto que los contratos de seguro tienen sobre la situación financiera, el rendimiento financiero y los flujos de efectivo de la entidad…”</w:t>
      </w:r>
      <w:r w:rsidRPr="0018293F">
        <w:rPr>
          <w:rFonts w:asciiTheme="majorHAnsi" w:hAnsiTheme="majorHAnsi"/>
          <w:bCs/>
          <w:i/>
        </w:rPr>
        <w:t>.</w:t>
      </w:r>
      <w:r>
        <w:rPr>
          <w:rFonts w:asciiTheme="majorHAnsi" w:hAnsiTheme="majorHAnsi"/>
          <w:bCs/>
          <w:i/>
        </w:rPr>
        <w:t xml:space="preserve"> </w:t>
      </w:r>
      <w:r w:rsidRPr="0018293F">
        <w:rPr>
          <w:rFonts w:asciiTheme="majorHAnsi" w:hAnsiTheme="majorHAnsi"/>
          <w:bCs/>
          <w:iCs/>
        </w:rPr>
        <w:t xml:space="preserve">Originalmente la NIIF 17 entraba en vigor a partir del 1° de enero de </w:t>
      </w:r>
      <w:r w:rsidRPr="0018293F">
        <w:rPr>
          <w:rFonts w:asciiTheme="majorHAnsi" w:hAnsiTheme="majorHAnsi"/>
          <w:bCs/>
          <w:iCs/>
        </w:rPr>
        <w:lastRenderedPageBreak/>
        <w:t>2021, pero la vigencia fue trasladada en dos ocasiones</w:t>
      </w:r>
      <w:r w:rsidRPr="0018293F">
        <w:rPr>
          <w:rFonts w:asciiTheme="majorHAnsi" w:hAnsiTheme="majorHAnsi"/>
          <w:b/>
          <w:iCs/>
        </w:rPr>
        <w:t xml:space="preserve"> </w:t>
      </w:r>
      <w:r w:rsidRPr="0018293F">
        <w:rPr>
          <w:rFonts w:asciiTheme="majorHAnsi" w:hAnsiTheme="majorHAnsi"/>
          <w:bCs/>
          <w:iCs/>
        </w:rPr>
        <w:t>por el</w:t>
      </w:r>
      <w:r w:rsidRPr="0018293F">
        <w:rPr>
          <w:rFonts w:asciiTheme="majorHAnsi" w:hAnsiTheme="majorHAnsi"/>
          <w:b/>
          <w:iCs/>
        </w:rPr>
        <w:t xml:space="preserve"> </w:t>
      </w:r>
      <w:r w:rsidRPr="0018293F">
        <w:rPr>
          <w:rFonts w:asciiTheme="majorHAnsi" w:hAnsiTheme="majorHAnsi"/>
          <w:bCs/>
          <w:iCs/>
        </w:rPr>
        <w:t>IASB, quedando como fecha definitiva el 1° de enero de 2023.</w:t>
      </w:r>
    </w:p>
    <w:p w14:paraId="6496C27A" w14:textId="77777777" w:rsidR="002B31EF" w:rsidRPr="0018293F" w:rsidRDefault="002B31EF" w:rsidP="002B31EF">
      <w:pPr>
        <w:jc w:val="both"/>
        <w:rPr>
          <w:rFonts w:asciiTheme="majorHAnsi" w:hAnsiTheme="majorHAnsi"/>
        </w:rPr>
      </w:pPr>
    </w:p>
    <w:p w14:paraId="06AFB770" w14:textId="77777777" w:rsidR="002B31EF" w:rsidRPr="0018293F" w:rsidRDefault="002B31EF" w:rsidP="002B31EF">
      <w:pPr>
        <w:jc w:val="both"/>
        <w:rPr>
          <w:rFonts w:asciiTheme="majorHAnsi" w:hAnsiTheme="majorHAnsi"/>
          <w:bCs/>
          <w:iCs/>
        </w:rPr>
      </w:pPr>
      <w:r w:rsidRPr="0018293F">
        <w:rPr>
          <w:rFonts w:asciiTheme="majorHAnsi" w:hAnsiTheme="majorHAnsi"/>
          <w:b/>
          <w:iCs/>
        </w:rPr>
        <w:t xml:space="preserve">7. </w:t>
      </w:r>
      <w:r w:rsidRPr="0018293F">
        <w:rPr>
          <w:rFonts w:asciiTheme="majorHAnsi" w:hAnsiTheme="majorHAnsi"/>
          <w:bCs/>
          <w:iCs/>
        </w:rPr>
        <w:t xml:space="preserve">La Superintendencia como parte de la formulación de su Plan Estratégico 2019 – 2023 incorporó el proyecto de Adopción de la NIIF 17, con el objetivo de: </w:t>
      </w:r>
      <w:r w:rsidRPr="0018293F">
        <w:rPr>
          <w:rFonts w:asciiTheme="majorHAnsi" w:hAnsiTheme="majorHAnsi"/>
          <w:bCs/>
          <w:i/>
        </w:rPr>
        <w:t>“Actualizar el modelo de Suficiencia Patrimonial con base en Riesgos en un plazo de cinco años”</w:t>
      </w:r>
      <w:r w:rsidRPr="0018293F">
        <w:rPr>
          <w:rFonts w:asciiTheme="majorHAnsi" w:hAnsiTheme="majorHAnsi"/>
          <w:bCs/>
          <w:iCs/>
        </w:rPr>
        <w:t xml:space="preserve"> y vinculado a la estrategia de: </w:t>
      </w:r>
      <w:r w:rsidRPr="0018293F">
        <w:rPr>
          <w:rFonts w:asciiTheme="majorHAnsi" w:hAnsiTheme="majorHAnsi"/>
          <w:bCs/>
          <w:i/>
        </w:rPr>
        <w:t>“Profundizar en la aplicación de buenas prácticas internacionales”</w:t>
      </w:r>
      <w:r w:rsidRPr="0018293F">
        <w:rPr>
          <w:rFonts w:asciiTheme="majorHAnsi" w:hAnsiTheme="majorHAnsi"/>
          <w:bCs/>
          <w:iCs/>
        </w:rPr>
        <w:t>.</w:t>
      </w:r>
      <w:r>
        <w:rPr>
          <w:rFonts w:asciiTheme="majorHAnsi" w:hAnsiTheme="majorHAnsi"/>
          <w:bCs/>
          <w:iCs/>
        </w:rPr>
        <w:t xml:space="preserve"> </w:t>
      </w:r>
      <w:r w:rsidRPr="0018293F">
        <w:rPr>
          <w:rFonts w:asciiTheme="majorHAnsi" w:hAnsiTheme="majorHAnsi"/>
          <w:bCs/>
          <w:iCs/>
        </w:rPr>
        <w:t>El proyecto incluye el ajuste de normativa emitida por el CONASSIF, entre ellas el catálogo y plan de cuentas para las entidades supervisadas por Sugese, dispuestos en los Anexos 2 y 4 del RIF y</w:t>
      </w:r>
      <w:r>
        <w:rPr>
          <w:rFonts w:asciiTheme="majorHAnsi" w:hAnsiTheme="majorHAnsi"/>
          <w:bCs/>
          <w:iCs/>
        </w:rPr>
        <w:t xml:space="preserve"> </w:t>
      </w:r>
      <w:r w:rsidRPr="0018293F">
        <w:rPr>
          <w:rFonts w:asciiTheme="majorHAnsi" w:hAnsiTheme="majorHAnsi"/>
          <w:bCs/>
          <w:iCs/>
        </w:rPr>
        <w:t xml:space="preserve">la normativa relacionada con la definición de las obligaciones por contratos de seguro (provisiones técnicas) en el </w:t>
      </w:r>
      <w:r w:rsidRPr="0018293F">
        <w:rPr>
          <w:rFonts w:asciiTheme="majorHAnsi" w:hAnsiTheme="majorHAnsi"/>
          <w:bCs/>
          <w:i/>
        </w:rPr>
        <w:t xml:space="preserve">Reglamento sobre la Solvencia de Entidades de Seguros y Reaseguros </w:t>
      </w:r>
      <w:r w:rsidRPr="0018293F">
        <w:rPr>
          <w:rFonts w:asciiTheme="majorHAnsi" w:hAnsiTheme="majorHAnsi"/>
          <w:bCs/>
          <w:iCs/>
        </w:rPr>
        <w:t xml:space="preserve">y el </w:t>
      </w:r>
      <w:r w:rsidRPr="0018293F">
        <w:rPr>
          <w:rFonts w:asciiTheme="majorHAnsi" w:hAnsiTheme="majorHAnsi"/>
          <w:bCs/>
          <w:i/>
        </w:rPr>
        <w:t>Reglamento sobre el Registro de Productos de Seguro;</w:t>
      </w:r>
      <w:r>
        <w:rPr>
          <w:rFonts w:asciiTheme="majorHAnsi" w:hAnsiTheme="majorHAnsi"/>
          <w:bCs/>
          <w:i/>
        </w:rPr>
        <w:t xml:space="preserve"> </w:t>
      </w:r>
      <w:r w:rsidRPr="0018293F">
        <w:rPr>
          <w:rFonts w:asciiTheme="majorHAnsi" w:hAnsiTheme="majorHAnsi"/>
          <w:bCs/>
          <w:iCs/>
        </w:rPr>
        <w:t>además, de la reforma de los acuerdos de Superintendente</w:t>
      </w:r>
      <w:r w:rsidRPr="0018293F">
        <w:rPr>
          <w:rFonts w:asciiTheme="majorHAnsi" w:hAnsiTheme="majorHAnsi"/>
          <w:bCs/>
          <w:i/>
        </w:rPr>
        <w:t xml:space="preserve"> </w:t>
      </w:r>
      <w:r w:rsidRPr="0018293F">
        <w:rPr>
          <w:rFonts w:asciiTheme="majorHAnsi" w:hAnsiTheme="majorHAnsi"/>
          <w:bCs/>
          <w:iCs/>
        </w:rPr>
        <w:t>relacionados con requerimientos de información financiera, contable y estadística, y de solvencia.</w:t>
      </w:r>
    </w:p>
    <w:p w14:paraId="1E1CF37F" w14:textId="77777777" w:rsidR="002B31EF" w:rsidRPr="0018293F" w:rsidRDefault="002B31EF" w:rsidP="002B31EF">
      <w:pPr>
        <w:jc w:val="both"/>
        <w:rPr>
          <w:rFonts w:asciiTheme="majorHAnsi" w:hAnsiTheme="majorHAnsi"/>
        </w:rPr>
      </w:pPr>
    </w:p>
    <w:p w14:paraId="57B5FE44" w14:textId="77777777" w:rsidR="002B31EF" w:rsidRPr="0018293F" w:rsidRDefault="002B31EF" w:rsidP="002B31EF">
      <w:pPr>
        <w:jc w:val="both"/>
        <w:rPr>
          <w:rFonts w:asciiTheme="majorHAnsi" w:hAnsiTheme="majorHAnsi"/>
        </w:rPr>
      </w:pPr>
      <w:r w:rsidRPr="0018293F">
        <w:rPr>
          <w:rFonts w:asciiTheme="majorHAnsi" w:hAnsiTheme="majorHAnsi"/>
          <w:b/>
          <w:bCs/>
        </w:rPr>
        <w:t>8.</w:t>
      </w:r>
      <w:r w:rsidRPr="0018293F">
        <w:rPr>
          <w:rFonts w:asciiTheme="majorHAnsi" w:hAnsiTheme="majorHAnsi"/>
        </w:rPr>
        <w:tab/>
        <w:t xml:space="preserve">La Superintendencia mediante acuerdo SGS-DES-A-021-2013, del 23 de mayo de 2013, emitió las </w:t>
      </w:r>
      <w:r w:rsidRPr="0018293F">
        <w:rPr>
          <w:rFonts w:asciiTheme="majorHAnsi" w:hAnsiTheme="majorHAnsi"/>
          <w:i/>
          <w:iCs/>
        </w:rPr>
        <w:t>Disposiciones para la Remisión de la Información Contable y Estadística a la Superintendencia General de Seguros por parte de las Entidades Supervisadas</w:t>
      </w:r>
      <w:r w:rsidRPr="0018293F">
        <w:rPr>
          <w:rFonts w:asciiTheme="majorHAnsi" w:hAnsiTheme="majorHAnsi"/>
        </w:rPr>
        <w:t>, cuyo alcance se refiere a la remisión de información contable y estadística. En dichas disposiciones se definen los modelos de saldos contables, balance general, estado de resultados, cuenta técnica, entre otros, que son indispensables para una supervisión apropiada de las entidades de seguros, los cuales deben ser actualizados a partir de la adopción de la NIIF 17, en línea con las modificaciones que se realicen en el RIF.</w:t>
      </w:r>
    </w:p>
    <w:p w14:paraId="7BE85A34" w14:textId="77777777" w:rsidR="002B31EF" w:rsidRPr="0018293F" w:rsidRDefault="002B31EF" w:rsidP="002B31EF">
      <w:pPr>
        <w:jc w:val="both"/>
        <w:rPr>
          <w:rFonts w:asciiTheme="majorHAnsi" w:hAnsiTheme="majorHAnsi"/>
        </w:rPr>
      </w:pPr>
    </w:p>
    <w:p w14:paraId="1BD9857D" w14:textId="77777777" w:rsidR="002B31EF" w:rsidRPr="0018293F" w:rsidRDefault="002B31EF" w:rsidP="002B31EF">
      <w:pPr>
        <w:jc w:val="both"/>
        <w:rPr>
          <w:rFonts w:asciiTheme="majorHAnsi" w:hAnsiTheme="majorHAnsi"/>
        </w:rPr>
      </w:pPr>
      <w:r w:rsidRPr="0018293F">
        <w:rPr>
          <w:rFonts w:asciiTheme="majorHAnsi" w:hAnsiTheme="majorHAnsi"/>
          <w:b/>
          <w:bCs/>
        </w:rPr>
        <w:t>9.</w:t>
      </w:r>
      <w:r w:rsidRPr="0018293F">
        <w:rPr>
          <w:rFonts w:asciiTheme="majorHAnsi" w:hAnsiTheme="majorHAnsi"/>
        </w:rPr>
        <w:t xml:space="preserve"> La Superintendencia emitió el acuerdo SGS-DES-A-029-2013, del 17 de setiembre de 2013 denominado </w:t>
      </w:r>
      <w:r w:rsidRPr="0018293F">
        <w:rPr>
          <w:rFonts w:asciiTheme="majorHAnsi" w:hAnsiTheme="majorHAnsi"/>
          <w:i/>
          <w:iCs/>
        </w:rPr>
        <w:t>Modificación Integral del Acuerdo SGS-A-009-2010 Lineamientos Generales para la Aplicación del Reglamento sobre la Solvencia de Entidades de Seguros y Reaseguros</w:t>
      </w:r>
      <w:r w:rsidRPr="0018293F">
        <w:rPr>
          <w:rFonts w:asciiTheme="majorHAnsi" w:hAnsiTheme="majorHAnsi"/>
        </w:rPr>
        <w:t xml:space="preserve">, con el objetivo de </w:t>
      </w:r>
      <w:r w:rsidRPr="0018293F">
        <w:rPr>
          <w:rFonts w:asciiTheme="majorHAnsi" w:hAnsiTheme="majorHAnsi"/>
          <w:i/>
          <w:iCs/>
          <w:sz w:val="22"/>
          <w:szCs w:val="22"/>
        </w:rPr>
        <w:t>“…establecer las metodologías para el cálculo de los requerimientos de capital por los diferentes riesgos, según lo define el Reglamento de Solvencia de las Entidades de Seguros y Reaseguros (el Reglamento) y presentar las cuentas contables y datos adicionales utilizadas en el cálculo del capital base de las entidades aseguradoras y reaseguradoras…”</w:t>
      </w:r>
      <w:r w:rsidRPr="0018293F">
        <w:rPr>
          <w:rFonts w:asciiTheme="majorHAnsi" w:hAnsiTheme="majorHAnsi"/>
        </w:rPr>
        <w:t>; el cual requiere ser ajustado a partir</w:t>
      </w:r>
      <w:r>
        <w:rPr>
          <w:rFonts w:asciiTheme="majorHAnsi" w:hAnsiTheme="majorHAnsi"/>
        </w:rPr>
        <w:t xml:space="preserve"> </w:t>
      </w:r>
      <w:r w:rsidRPr="0018293F">
        <w:rPr>
          <w:rFonts w:asciiTheme="majorHAnsi" w:hAnsiTheme="majorHAnsi"/>
        </w:rPr>
        <w:t xml:space="preserve">de los cambios derivados de adopción de la NIIF 17, en cuanto al uso de términos propios de la norma, todo ello en línea con las modificaciones que se realicen a la normativa de solvencia emitida por el </w:t>
      </w:r>
      <w:proofErr w:type="spellStart"/>
      <w:r w:rsidRPr="0018293F">
        <w:rPr>
          <w:rFonts w:asciiTheme="majorHAnsi" w:hAnsiTheme="majorHAnsi"/>
        </w:rPr>
        <w:t>Conassif</w:t>
      </w:r>
      <w:proofErr w:type="spellEnd"/>
      <w:r w:rsidRPr="0018293F">
        <w:rPr>
          <w:rFonts w:asciiTheme="majorHAnsi" w:hAnsiTheme="majorHAnsi"/>
        </w:rPr>
        <w:t>.</w:t>
      </w:r>
    </w:p>
    <w:p w14:paraId="02E2C4FC" w14:textId="77777777" w:rsidR="002B31EF" w:rsidRPr="0018293F" w:rsidRDefault="002B31EF" w:rsidP="002B31EF">
      <w:pPr>
        <w:jc w:val="both"/>
        <w:rPr>
          <w:rFonts w:asciiTheme="majorHAnsi" w:hAnsiTheme="majorHAnsi"/>
        </w:rPr>
      </w:pPr>
    </w:p>
    <w:p w14:paraId="50ABB058" w14:textId="77777777" w:rsidR="002B31EF" w:rsidRPr="0018293F" w:rsidRDefault="002B31EF" w:rsidP="002B31EF">
      <w:pPr>
        <w:pStyle w:val="Prrafodelista"/>
        <w:spacing w:line="240" w:lineRule="auto"/>
        <w:ind w:left="0"/>
        <w:jc w:val="both"/>
        <w:rPr>
          <w:rFonts w:asciiTheme="majorHAnsi" w:hAnsiTheme="majorHAnsi"/>
          <w:bCs/>
          <w:sz w:val="24"/>
          <w:szCs w:val="24"/>
        </w:rPr>
      </w:pPr>
      <w:r w:rsidRPr="0018293F">
        <w:rPr>
          <w:rFonts w:asciiTheme="majorHAnsi" w:hAnsiTheme="majorHAnsi"/>
          <w:b/>
          <w:bCs/>
          <w:sz w:val="24"/>
          <w:szCs w:val="24"/>
        </w:rPr>
        <w:t>10.</w:t>
      </w:r>
      <w:r w:rsidRPr="0018293F">
        <w:rPr>
          <w:rFonts w:asciiTheme="majorHAnsi" w:hAnsiTheme="majorHAnsi"/>
          <w:sz w:val="24"/>
          <w:szCs w:val="24"/>
        </w:rPr>
        <w:t xml:space="preserve"> De conformidad con la NIIF 17 las entidades aseguradoras y reaseguradoras a partir de la adopción de la norma, deberán estar en capacidad de realizar comparativos respecto a la información financiera del período inmediato anterior de conformidad con el método seleccionado, por lo que para efectos de un seguimiento apropiado se hace relevante tener</w:t>
      </w:r>
      <w:r>
        <w:rPr>
          <w:rFonts w:asciiTheme="majorHAnsi" w:hAnsiTheme="majorHAnsi"/>
          <w:sz w:val="24"/>
          <w:szCs w:val="24"/>
        </w:rPr>
        <w:t xml:space="preserve"> </w:t>
      </w:r>
      <w:r w:rsidRPr="0018293F">
        <w:rPr>
          <w:rFonts w:asciiTheme="majorHAnsi" w:hAnsiTheme="majorHAnsi"/>
          <w:sz w:val="24"/>
          <w:szCs w:val="24"/>
        </w:rPr>
        <w:lastRenderedPageBreak/>
        <w:t>la posibilidad de realizar paralelos de la información, y por lo tanto contar con los modelos de información habilitados al menos con un año de anticipación de la entrada en vigor de la norma.</w:t>
      </w:r>
    </w:p>
    <w:p w14:paraId="6598EDAB" w14:textId="77777777" w:rsidR="002B31EF" w:rsidRPr="0018293F" w:rsidRDefault="002B31EF" w:rsidP="002B31EF">
      <w:pPr>
        <w:jc w:val="both"/>
        <w:rPr>
          <w:rFonts w:asciiTheme="majorHAnsi" w:hAnsiTheme="majorHAnsi"/>
          <w:bCs/>
        </w:rPr>
      </w:pPr>
      <w:r w:rsidRPr="0018293F">
        <w:rPr>
          <w:rFonts w:asciiTheme="majorHAnsi" w:hAnsiTheme="majorHAnsi"/>
          <w:b/>
        </w:rPr>
        <w:t>11.</w:t>
      </w:r>
      <w:r>
        <w:rPr>
          <w:rFonts w:asciiTheme="majorHAnsi" w:hAnsiTheme="majorHAnsi"/>
          <w:bCs/>
        </w:rPr>
        <w:t xml:space="preserve"> </w:t>
      </w:r>
      <w:r w:rsidRPr="0018293F">
        <w:rPr>
          <w:rFonts w:asciiTheme="majorHAnsi" w:hAnsiTheme="majorHAnsi"/>
          <w:bCs/>
        </w:rPr>
        <w:t xml:space="preserve">Los cambios que se introdujeron en el </w:t>
      </w:r>
      <w:r w:rsidRPr="0018293F">
        <w:rPr>
          <w:rFonts w:asciiTheme="majorHAnsi" w:hAnsiTheme="majorHAnsi"/>
          <w:bCs/>
          <w:i/>
          <w:iCs/>
        </w:rPr>
        <w:t>Reglamento sobre la Solvencia de Entidades de Seguros y Reaseguros</w:t>
      </w:r>
      <w:r w:rsidRPr="0018293F">
        <w:rPr>
          <w:rFonts w:asciiTheme="majorHAnsi" w:hAnsiTheme="majorHAnsi"/>
          <w:bCs/>
        </w:rPr>
        <w:t xml:space="preserve"> y sus lineamientos obligaron a la actualización del Anexo para el cálculo del Índice de Suficiencia de Capital (ISC) requerido en el acuerdo SGS-DES-A-021-2013; sin embargo, considerando que el cálculo de dicho índice se requerirá hasta la entrada en vigor de la NIIF 17, se consideró conveniente que dicho anexo sea actualizado en una etapa posterior.</w:t>
      </w:r>
    </w:p>
    <w:p w14:paraId="36E2B7D3" w14:textId="77777777" w:rsidR="002B31EF" w:rsidRPr="0018293F" w:rsidRDefault="002B31EF" w:rsidP="002B31EF">
      <w:pPr>
        <w:jc w:val="both"/>
        <w:rPr>
          <w:rFonts w:asciiTheme="majorHAnsi" w:hAnsiTheme="majorHAnsi"/>
        </w:rPr>
      </w:pPr>
    </w:p>
    <w:p w14:paraId="32B2F969" w14:textId="77777777" w:rsidR="002B31EF" w:rsidRPr="0018293F" w:rsidRDefault="002B31EF" w:rsidP="002B31EF">
      <w:pPr>
        <w:jc w:val="both"/>
        <w:rPr>
          <w:rFonts w:asciiTheme="majorHAnsi" w:hAnsiTheme="majorHAnsi"/>
          <w:bCs/>
        </w:rPr>
      </w:pPr>
      <w:r w:rsidRPr="0018293F">
        <w:rPr>
          <w:rFonts w:asciiTheme="majorHAnsi" w:hAnsiTheme="majorHAnsi"/>
          <w:b/>
        </w:rPr>
        <w:t xml:space="preserve">12. </w:t>
      </w:r>
      <w:r w:rsidRPr="0018293F">
        <w:rPr>
          <w:rFonts w:asciiTheme="majorHAnsi" w:hAnsiTheme="majorHAnsi"/>
          <w:bCs/>
        </w:rPr>
        <w:t xml:space="preserve">Que mediante oficio SGS-0415-2021 del 19 de mayo de 2021 el Superintendente remitió en consulta, por un plazo de 20 días hábiles, el proyecto de modificación de los acuerdos </w:t>
      </w:r>
      <w:r w:rsidRPr="0018293F">
        <w:rPr>
          <w:rFonts w:asciiTheme="majorHAnsi" w:hAnsiTheme="majorHAnsi"/>
          <w:bCs/>
          <w:i/>
          <w:iCs/>
        </w:rPr>
        <w:t>SGS-DES-A-021-2013, Disposiciones para la Remisión de la Información Contable y Estadística a la Superintendencia General de Seguros por parte de las Entidades Supervisadas y SGS-DES-A-029-2013, Modificación Integral del Acuerdo SGS-A-009-2010 Lineamientos Generales para la Aplicación del Reglamento sobre la Solvencia de Entidades de Seguros y Reaseguros</w:t>
      </w:r>
      <w:r w:rsidRPr="0018293F">
        <w:rPr>
          <w:rFonts w:asciiTheme="majorHAnsi" w:hAnsiTheme="majorHAnsi"/>
          <w:bCs/>
        </w:rPr>
        <w:t>, a efectos de reformar algunas disposiciones de dichos acuerdos y los modelos de información remitidos mediante el Servicio de Supervisión de Seguros (SSS), para que sean consistentes con la propuesta normativa tramitada por el Consejo Nacional de Supervisión del Sistema Financiero (CONASSIF) mediante artículo 9 del acta de la sesión 1661-2021, celebrada el 10 de mayo de 2021, denominada Proyecto de modificaciones a la Normativa Financiera y de Solvencia para la adopción de la Norma Internacional de Información Financiera 17 – Contratos de Seguros. El plazo de esta consulta fue extendido hasta el 14 de julio de 2021 mediante oficio SGS-0500-2021 del 16 de junio de 2021, de conformidad con lo aprobado por el CONASSIF mediante artículo 10, del acta de la sesión 1667-2021, celebrada el 7 de junio del 2021.</w:t>
      </w:r>
    </w:p>
    <w:p w14:paraId="1717103B" w14:textId="77777777" w:rsidR="002B31EF" w:rsidRPr="0018293F" w:rsidRDefault="002B31EF" w:rsidP="002B31EF">
      <w:pPr>
        <w:jc w:val="both"/>
        <w:rPr>
          <w:rFonts w:asciiTheme="majorHAnsi" w:hAnsiTheme="majorHAnsi"/>
          <w:b/>
        </w:rPr>
      </w:pPr>
    </w:p>
    <w:p w14:paraId="6AD66E2A" w14:textId="77777777" w:rsidR="002B31EF" w:rsidRPr="0018293F" w:rsidRDefault="002B31EF" w:rsidP="002B31EF">
      <w:pPr>
        <w:jc w:val="both"/>
        <w:rPr>
          <w:rFonts w:asciiTheme="majorHAnsi" w:hAnsiTheme="majorHAnsi"/>
          <w:bCs/>
        </w:rPr>
      </w:pPr>
      <w:r w:rsidRPr="0018293F">
        <w:rPr>
          <w:rFonts w:asciiTheme="majorHAnsi" w:hAnsiTheme="majorHAnsi"/>
          <w:b/>
        </w:rPr>
        <w:t xml:space="preserve">13. </w:t>
      </w:r>
      <w:r w:rsidRPr="0018293F">
        <w:rPr>
          <w:rFonts w:asciiTheme="majorHAnsi" w:hAnsiTheme="majorHAnsi"/>
          <w:bCs/>
        </w:rPr>
        <w:t xml:space="preserve">Una vez finalizada la consulta del acuerdo del Superintendente que complementa la normativa del proyecto denominado </w:t>
      </w:r>
      <w:r w:rsidRPr="0018293F">
        <w:rPr>
          <w:rFonts w:asciiTheme="majorHAnsi" w:hAnsiTheme="majorHAnsi"/>
          <w:bCs/>
          <w:i/>
          <w:iCs/>
        </w:rPr>
        <w:t>Proyecto de modificaciones a la Normativa Financiera y de Solvencia para la adopción de la Norma Internacional de Información Financiera 17 – Contratos de Seguros</w:t>
      </w:r>
      <w:r w:rsidRPr="0018293F">
        <w:rPr>
          <w:rFonts w:asciiTheme="majorHAnsi" w:hAnsiTheme="majorHAnsi"/>
          <w:bCs/>
        </w:rPr>
        <w:t>, se recibieron observaciones relevantes que implicaron el ajuste del proyecto en particular sobre la entrada en vigor de la NIIF 17 debido principalmente a las siguientes razones:</w:t>
      </w:r>
    </w:p>
    <w:p w14:paraId="3F4D2D14" w14:textId="77777777" w:rsidR="002B31EF" w:rsidRPr="0018293F" w:rsidRDefault="002B31EF" w:rsidP="002B31EF">
      <w:pPr>
        <w:jc w:val="both"/>
        <w:rPr>
          <w:rFonts w:asciiTheme="majorHAnsi" w:hAnsiTheme="majorHAnsi"/>
          <w:bCs/>
        </w:rPr>
      </w:pPr>
    </w:p>
    <w:p w14:paraId="0EC740CB" w14:textId="77777777" w:rsidR="002B31EF" w:rsidRPr="0018293F" w:rsidRDefault="002B31EF" w:rsidP="002B31EF">
      <w:pPr>
        <w:pStyle w:val="Prrafodelista"/>
        <w:numPr>
          <w:ilvl w:val="0"/>
          <w:numId w:val="27"/>
        </w:numPr>
        <w:spacing w:after="0" w:line="240" w:lineRule="auto"/>
        <w:ind w:left="851"/>
        <w:jc w:val="both"/>
        <w:rPr>
          <w:rFonts w:asciiTheme="majorHAnsi" w:hAnsiTheme="majorHAnsi"/>
          <w:bCs/>
          <w:sz w:val="24"/>
          <w:szCs w:val="24"/>
        </w:rPr>
      </w:pPr>
      <w:r w:rsidRPr="0018293F">
        <w:rPr>
          <w:rFonts w:asciiTheme="majorHAnsi" w:hAnsiTheme="majorHAnsi"/>
          <w:bCs/>
          <w:sz w:val="24"/>
          <w:szCs w:val="24"/>
        </w:rPr>
        <w:t xml:space="preserve">De los reportes periódicos de seguimiento de los planes de implementación de NIIF 17 presentados por las aseguradoras, se observa que solo cuatro entidades tienen un avance satisfactorio en la implementación, sin embargo, el resto (9) han tenido </w:t>
      </w:r>
      <w:r w:rsidRPr="0018293F">
        <w:rPr>
          <w:rFonts w:asciiTheme="majorHAnsi" w:hAnsiTheme="majorHAnsi"/>
          <w:bCs/>
          <w:sz w:val="24"/>
          <w:szCs w:val="24"/>
        </w:rPr>
        <w:lastRenderedPageBreak/>
        <w:t>problemas con sus planes de implementación, originados principalmente en temas económicos y de recursos humanos.</w:t>
      </w:r>
    </w:p>
    <w:p w14:paraId="0D0D6E23" w14:textId="77777777" w:rsidR="002B31EF" w:rsidRPr="0018293F" w:rsidRDefault="002B31EF" w:rsidP="002B31EF">
      <w:pPr>
        <w:pStyle w:val="Prrafodelista"/>
        <w:numPr>
          <w:ilvl w:val="0"/>
          <w:numId w:val="27"/>
        </w:numPr>
        <w:spacing w:after="0" w:line="240" w:lineRule="auto"/>
        <w:ind w:left="851"/>
        <w:jc w:val="both"/>
        <w:rPr>
          <w:rFonts w:asciiTheme="majorHAnsi" w:hAnsiTheme="majorHAnsi"/>
          <w:bCs/>
          <w:sz w:val="24"/>
          <w:szCs w:val="24"/>
        </w:rPr>
      </w:pPr>
      <w:r w:rsidRPr="0018293F">
        <w:rPr>
          <w:rFonts w:asciiTheme="majorHAnsi" w:hAnsiTheme="majorHAnsi"/>
          <w:bCs/>
          <w:sz w:val="24"/>
          <w:szCs w:val="24"/>
        </w:rPr>
        <w:t>La mayoría de los planes de implementación están ajustados a la fecha límite propuesta del 1° de enero de 2023, por lo que el margen de maniobra, ante alguna eventualidad, estaría limitado no sólo por la disponibilidad de recursos, como se mencionó previamente, sino también por el tiempo.</w:t>
      </w:r>
    </w:p>
    <w:p w14:paraId="5746E5A4" w14:textId="77777777" w:rsidR="002B31EF" w:rsidRPr="0018293F" w:rsidRDefault="002B31EF" w:rsidP="002B31EF">
      <w:pPr>
        <w:pStyle w:val="Prrafodelista"/>
        <w:numPr>
          <w:ilvl w:val="0"/>
          <w:numId w:val="27"/>
        </w:numPr>
        <w:spacing w:after="0" w:line="240" w:lineRule="auto"/>
        <w:ind w:left="851"/>
        <w:jc w:val="both"/>
        <w:rPr>
          <w:rFonts w:asciiTheme="majorHAnsi" w:hAnsiTheme="majorHAnsi"/>
          <w:bCs/>
          <w:sz w:val="24"/>
          <w:szCs w:val="24"/>
        </w:rPr>
      </w:pPr>
      <w:r w:rsidRPr="0018293F">
        <w:rPr>
          <w:rFonts w:asciiTheme="majorHAnsi" w:hAnsiTheme="majorHAnsi"/>
          <w:bCs/>
          <w:sz w:val="24"/>
          <w:szCs w:val="24"/>
        </w:rPr>
        <w:t>La confiabilidad de la información contable que se produce es un elemento indispensable al implementar una norma como la NIIF17, por lo que márgenes de tiempo ajustados y recursos escasos para el proyecto podrían restar fiabilidad a la información financiera que se presente, pues no hay un nivel de certeza aceptable de que la implementación se realice con la calidad que se requiere.</w:t>
      </w:r>
    </w:p>
    <w:p w14:paraId="55E4B5DE" w14:textId="77777777" w:rsidR="002B31EF" w:rsidRPr="0018293F" w:rsidRDefault="002B31EF" w:rsidP="002B31EF">
      <w:pPr>
        <w:pStyle w:val="Prrafodelista"/>
        <w:numPr>
          <w:ilvl w:val="0"/>
          <w:numId w:val="27"/>
        </w:numPr>
        <w:spacing w:after="0" w:line="240" w:lineRule="auto"/>
        <w:ind w:left="851"/>
        <w:jc w:val="both"/>
        <w:rPr>
          <w:rFonts w:asciiTheme="majorHAnsi" w:hAnsiTheme="majorHAnsi"/>
          <w:bCs/>
          <w:sz w:val="24"/>
          <w:szCs w:val="24"/>
        </w:rPr>
      </w:pPr>
      <w:r w:rsidRPr="0018293F">
        <w:rPr>
          <w:rFonts w:asciiTheme="majorHAnsi" w:hAnsiTheme="majorHAnsi"/>
          <w:bCs/>
          <w:sz w:val="24"/>
          <w:szCs w:val="24"/>
        </w:rPr>
        <w:t xml:space="preserve">La implementación de la norma requiere inversión en software, así como mejoras y desarrollo de las plataformas tecnológicas; por lo que cualquier desviación en lo planificado podría generar incumplimientos, a pesar de cualquier medida alternativa que se tome para mitigar esta situación, lo cual podría incrementar los riesgos operativos en el manejo de información y de integración posterior de la información procesada bajo modelos complementarios a las nuevas plataformas desarrolladas para la adopción de la norma. </w:t>
      </w:r>
    </w:p>
    <w:p w14:paraId="4221F810" w14:textId="77777777" w:rsidR="002B31EF" w:rsidRPr="0018293F" w:rsidRDefault="002B31EF" w:rsidP="002B31EF">
      <w:pPr>
        <w:pStyle w:val="Prrafodelista"/>
        <w:numPr>
          <w:ilvl w:val="0"/>
          <w:numId w:val="27"/>
        </w:numPr>
        <w:spacing w:after="0" w:line="240" w:lineRule="auto"/>
        <w:ind w:left="851"/>
        <w:jc w:val="both"/>
        <w:rPr>
          <w:rFonts w:asciiTheme="majorHAnsi" w:hAnsiTheme="majorHAnsi"/>
          <w:bCs/>
          <w:sz w:val="24"/>
          <w:szCs w:val="24"/>
        </w:rPr>
      </w:pPr>
      <w:r w:rsidRPr="0018293F">
        <w:rPr>
          <w:rFonts w:asciiTheme="majorHAnsi" w:hAnsiTheme="majorHAnsi"/>
          <w:bCs/>
          <w:sz w:val="24"/>
          <w:szCs w:val="24"/>
        </w:rPr>
        <w:t>Al menos cuatro entidades aseguradoras señalaron que no podrán cumplir con las fechas definidas para el envío de paralelos, planteadas en la propuesta enviada a consulta.</w:t>
      </w:r>
      <w:r>
        <w:rPr>
          <w:rFonts w:asciiTheme="majorHAnsi" w:hAnsiTheme="majorHAnsi"/>
          <w:bCs/>
          <w:sz w:val="24"/>
          <w:szCs w:val="24"/>
        </w:rPr>
        <w:t xml:space="preserve"> </w:t>
      </w:r>
      <w:r w:rsidRPr="0018293F">
        <w:rPr>
          <w:rFonts w:asciiTheme="majorHAnsi" w:hAnsiTheme="majorHAnsi"/>
          <w:bCs/>
          <w:sz w:val="24"/>
          <w:szCs w:val="24"/>
        </w:rPr>
        <w:t>Los paralelos son importantes para determinar la calidad de la información contable que se presente a partir de la entrada en vigor de la norma.</w:t>
      </w:r>
    </w:p>
    <w:p w14:paraId="2C3665AA" w14:textId="77777777" w:rsidR="002B31EF" w:rsidRPr="0018293F" w:rsidRDefault="002B31EF" w:rsidP="002B31EF">
      <w:pPr>
        <w:pStyle w:val="Prrafodelista"/>
        <w:numPr>
          <w:ilvl w:val="0"/>
          <w:numId w:val="27"/>
        </w:numPr>
        <w:spacing w:after="0" w:line="240" w:lineRule="auto"/>
        <w:ind w:left="851"/>
        <w:jc w:val="both"/>
        <w:rPr>
          <w:rFonts w:asciiTheme="majorHAnsi" w:hAnsiTheme="majorHAnsi"/>
          <w:bCs/>
          <w:sz w:val="24"/>
          <w:szCs w:val="24"/>
        </w:rPr>
      </w:pPr>
      <w:r w:rsidRPr="0018293F">
        <w:rPr>
          <w:rFonts w:asciiTheme="majorHAnsi" w:hAnsiTheme="majorHAnsi"/>
          <w:bCs/>
          <w:sz w:val="24"/>
          <w:szCs w:val="24"/>
        </w:rPr>
        <w:t xml:space="preserve">La implementación de la norma requiere replantear integralmente no sólo la normativa contable, sino también a la de solvencia, la correspondiente a registro de productos y acuerdos del Superintendente relacionados; por lo que los procesos de implementación se tornan complejos, con muchas aristas que es necesario resolver de previo a la fecha de vigencia y algunos ajustes o implicaciones es posible que se evidencien hasta que se hagan los paralelos. </w:t>
      </w:r>
    </w:p>
    <w:p w14:paraId="3DE6FB28" w14:textId="77777777" w:rsidR="002B31EF" w:rsidRPr="0018293F" w:rsidRDefault="002B31EF" w:rsidP="002B31EF">
      <w:pPr>
        <w:pStyle w:val="Prrafodelista"/>
        <w:numPr>
          <w:ilvl w:val="0"/>
          <w:numId w:val="27"/>
        </w:numPr>
        <w:spacing w:after="0" w:line="240" w:lineRule="auto"/>
        <w:ind w:left="851"/>
        <w:jc w:val="both"/>
        <w:rPr>
          <w:rFonts w:asciiTheme="majorHAnsi" w:hAnsiTheme="majorHAnsi"/>
          <w:bCs/>
          <w:sz w:val="24"/>
          <w:szCs w:val="24"/>
        </w:rPr>
      </w:pPr>
      <w:r w:rsidRPr="0018293F">
        <w:rPr>
          <w:rFonts w:asciiTheme="majorHAnsi" w:hAnsiTheme="majorHAnsi"/>
          <w:bCs/>
          <w:sz w:val="24"/>
          <w:szCs w:val="24"/>
        </w:rPr>
        <w:t>La generación de información financiera paralela bajo NIIF 17 es crítica a efectos de calibrar el impacto en los estados financieros y los requerimientos de capital de solvencia de las entidades aseguradoras a partir de la entrada en vigor de la norma, por lo que no se puede desestimar su elaboración y entrega, ni eliminar la realización de los paralelos.</w:t>
      </w:r>
    </w:p>
    <w:p w14:paraId="613E038C" w14:textId="77777777" w:rsidR="002B31EF" w:rsidRPr="0018293F" w:rsidRDefault="002B31EF" w:rsidP="002B31EF">
      <w:pPr>
        <w:pStyle w:val="Prrafodelista"/>
        <w:numPr>
          <w:ilvl w:val="0"/>
          <w:numId w:val="27"/>
        </w:numPr>
        <w:spacing w:after="0" w:line="240" w:lineRule="auto"/>
        <w:ind w:left="851"/>
        <w:jc w:val="both"/>
        <w:rPr>
          <w:rFonts w:asciiTheme="majorHAnsi" w:hAnsiTheme="majorHAnsi"/>
          <w:bCs/>
          <w:sz w:val="24"/>
          <w:szCs w:val="24"/>
        </w:rPr>
      </w:pPr>
      <w:r w:rsidRPr="0018293F">
        <w:rPr>
          <w:rFonts w:asciiTheme="majorHAnsi" w:hAnsiTheme="majorHAnsi"/>
          <w:bCs/>
          <w:sz w:val="24"/>
          <w:szCs w:val="24"/>
        </w:rPr>
        <w:t xml:space="preserve">Para las entidades aseguradoras que poseen créditos como parte de sus operaciones, es clave ajustar los valores de este tipo de activo financiero de conformidad con la NIIF 9 al mismo tiempo en que se implementa la NIIF 17, en particular el registro de las pérdidas crediticias esperadas de conformidad con lo que establece la NIIF 9. Dado que la propuesta sobre la normativa de pérdidas </w:t>
      </w:r>
      <w:r w:rsidRPr="0018293F">
        <w:rPr>
          <w:rFonts w:asciiTheme="majorHAnsi" w:hAnsiTheme="majorHAnsi"/>
          <w:bCs/>
          <w:sz w:val="24"/>
          <w:szCs w:val="24"/>
        </w:rPr>
        <w:lastRenderedPageBreak/>
        <w:t>esperadas, en trámite actualmente, se espera que entre en vigor en enero de 2024, es importante que ambos proyectos entren en vigor en el mismo tiempo.</w:t>
      </w:r>
      <w:r>
        <w:rPr>
          <w:rFonts w:asciiTheme="majorHAnsi" w:hAnsiTheme="majorHAnsi"/>
          <w:bCs/>
          <w:sz w:val="24"/>
          <w:szCs w:val="24"/>
        </w:rPr>
        <w:t xml:space="preserve"> </w:t>
      </w:r>
    </w:p>
    <w:p w14:paraId="231AFFC8" w14:textId="77777777" w:rsidR="002B31EF" w:rsidRPr="0018293F" w:rsidRDefault="002B31EF" w:rsidP="002B31EF">
      <w:pPr>
        <w:widowControl w:val="0"/>
        <w:numPr>
          <w:ilvl w:val="0"/>
          <w:numId w:val="27"/>
        </w:numPr>
        <w:ind w:left="851"/>
        <w:jc w:val="both"/>
        <w:rPr>
          <w:rFonts w:asciiTheme="majorHAnsi" w:hAnsiTheme="majorHAnsi"/>
          <w:bCs/>
        </w:rPr>
      </w:pPr>
      <w:r w:rsidRPr="0018293F">
        <w:rPr>
          <w:rFonts w:asciiTheme="majorHAnsi" w:hAnsiTheme="majorHAnsi"/>
          <w:bCs/>
        </w:rPr>
        <w:t>El avance en la región en cuanto a la implementación de NIIF 17 es disímil, en la mayoría de los países de Centroamérica el tema no se ha planteado por parte del regulador. En Nicaragua y Panamá, si bien se ha propuesto la vigencia el 1° de enero de 2023, el regulador no ha avanzado en acciones tendentes a su implementación. Por su parte Chile, que inició el proceso en 2019 con un plan de acción robusto, ha considerado apropiado y prudente la implementación de la NIIF 17 un año después de la fecha propuesta por IASB, con el fin de asegurar un resultado exitoso de la reforma contable. Por ello, con el fin de mitigar riesgos, en particular operativos, se consideran prudente contar con un mayor plazo para completar la preparación para el cambio en el régimen contable.</w:t>
      </w:r>
    </w:p>
    <w:p w14:paraId="5DD3610A" w14:textId="77777777" w:rsidR="002B31EF" w:rsidRPr="0018293F" w:rsidRDefault="002B31EF" w:rsidP="002B31EF">
      <w:pPr>
        <w:jc w:val="both"/>
        <w:rPr>
          <w:rFonts w:asciiTheme="majorHAnsi" w:hAnsiTheme="majorHAnsi"/>
          <w:bCs/>
        </w:rPr>
      </w:pPr>
    </w:p>
    <w:p w14:paraId="113E9E1E" w14:textId="77777777" w:rsidR="002B31EF" w:rsidRPr="0018293F" w:rsidRDefault="002B31EF" w:rsidP="002B31EF">
      <w:pPr>
        <w:jc w:val="both"/>
        <w:rPr>
          <w:rFonts w:asciiTheme="majorHAnsi" w:hAnsiTheme="majorHAnsi"/>
          <w:bCs/>
        </w:rPr>
      </w:pPr>
      <w:r w:rsidRPr="0018293F">
        <w:rPr>
          <w:rFonts w:asciiTheme="majorHAnsi" w:hAnsiTheme="majorHAnsi"/>
          <w:bCs/>
        </w:rPr>
        <w:t>Así, la fecha de vigencia de todas las modificaciones normativas complementarias para la implementación se trasladó para el 1° de enero de 2024.</w:t>
      </w:r>
      <w:r>
        <w:rPr>
          <w:rFonts w:asciiTheme="majorHAnsi" w:hAnsiTheme="majorHAnsi"/>
          <w:bCs/>
        </w:rPr>
        <w:t xml:space="preserve"> </w:t>
      </w:r>
      <w:r w:rsidRPr="0018293F">
        <w:rPr>
          <w:rFonts w:asciiTheme="majorHAnsi" w:hAnsiTheme="majorHAnsi"/>
          <w:bCs/>
        </w:rPr>
        <w:t>Lo anterior también implica la realización de paralelos durante el 2023.</w:t>
      </w:r>
    </w:p>
    <w:p w14:paraId="2A44A470" w14:textId="77777777" w:rsidR="002B31EF" w:rsidRPr="0018293F" w:rsidRDefault="002B31EF" w:rsidP="002B31EF">
      <w:pPr>
        <w:jc w:val="both"/>
        <w:rPr>
          <w:rFonts w:asciiTheme="majorHAnsi" w:hAnsiTheme="majorHAnsi"/>
          <w:b/>
        </w:rPr>
      </w:pPr>
    </w:p>
    <w:p w14:paraId="266537BA" w14:textId="77777777" w:rsidR="002B31EF" w:rsidRPr="0018293F" w:rsidRDefault="002B31EF" w:rsidP="002B31EF">
      <w:pPr>
        <w:jc w:val="both"/>
        <w:rPr>
          <w:rFonts w:asciiTheme="majorHAnsi" w:hAnsiTheme="majorHAnsi"/>
          <w:bCs/>
        </w:rPr>
      </w:pPr>
      <w:r w:rsidRPr="0018293F">
        <w:rPr>
          <w:rFonts w:asciiTheme="majorHAnsi" w:hAnsiTheme="majorHAnsi"/>
          <w:b/>
        </w:rPr>
        <w:t xml:space="preserve">14. </w:t>
      </w:r>
      <w:r w:rsidRPr="0018293F">
        <w:rPr>
          <w:rFonts w:asciiTheme="majorHAnsi" w:hAnsiTheme="majorHAnsi"/>
          <w:bCs/>
        </w:rPr>
        <w:t>El CONASSIF mediante artículo 7 del acta de la sesión 1682-2021 del 23 de agosto de 2021 aprobó las modificaciones a la normativa financiera y de solvencia, para la adopción de la Norma Internacional de Información Financiera 17 – Contratos de Seguros.</w:t>
      </w:r>
    </w:p>
    <w:p w14:paraId="1417A8A6" w14:textId="77777777" w:rsidR="002B31EF" w:rsidRPr="0018293F" w:rsidRDefault="002B31EF" w:rsidP="002B31EF">
      <w:pPr>
        <w:jc w:val="both"/>
        <w:rPr>
          <w:rFonts w:asciiTheme="majorHAnsi" w:hAnsiTheme="majorHAnsi"/>
          <w:b/>
        </w:rPr>
      </w:pPr>
    </w:p>
    <w:p w14:paraId="6AADA61E" w14:textId="77777777" w:rsidR="002B31EF" w:rsidRPr="0018293F" w:rsidRDefault="002B31EF" w:rsidP="002B31EF">
      <w:pPr>
        <w:jc w:val="both"/>
        <w:rPr>
          <w:rFonts w:asciiTheme="majorHAnsi" w:hAnsiTheme="majorHAnsi"/>
          <w:b/>
        </w:rPr>
      </w:pPr>
      <w:r w:rsidRPr="0018293F">
        <w:rPr>
          <w:rFonts w:asciiTheme="majorHAnsi" w:hAnsiTheme="majorHAnsi"/>
          <w:b/>
        </w:rPr>
        <w:t xml:space="preserve">15. </w:t>
      </w:r>
      <w:r w:rsidRPr="0018293F">
        <w:rPr>
          <w:rFonts w:asciiTheme="majorHAnsi" w:hAnsiTheme="majorHAnsi"/>
          <w:bCs/>
        </w:rPr>
        <w:t>De conformidad con lo anterior, lo que corresponde es la aprobación de las presentes modificaciones considerando una nueva fecha de vigencia para las mismas.</w:t>
      </w:r>
      <w:r>
        <w:rPr>
          <w:rFonts w:asciiTheme="majorHAnsi" w:hAnsiTheme="majorHAnsi"/>
          <w:bCs/>
        </w:rPr>
        <w:t xml:space="preserve"> </w:t>
      </w:r>
    </w:p>
    <w:p w14:paraId="22CAC77C" w14:textId="77777777" w:rsidR="002B31EF" w:rsidRPr="0018293F" w:rsidRDefault="002B31EF" w:rsidP="002B31EF">
      <w:pPr>
        <w:jc w:val="both"/>
        <w:rPr>
          <w:rFonts w:asciiTheme="majorHAnsi" w:hAnsiTheme="majorHAnsi"/>
          <w:b/>
        </w:rPr>
      </w:pPr>
    </w:p>
    <w:p w14:paraId="585399D1" w14:textId="77777777" w:rsidR="002B31EF" w:rsidRPr="0018293F" w:rsidRDefault="002B31EF" w:rsidP="002B31EF">
      <w:pPr>
        <w:jc w:val="both"/>
        <w:rPr>
          <w:rFonts w:asciiTheme="majorHAnsi" w:hAnsiTheme="majorHAnsi"/>
          <w:b/>
        </w:rPr>
      </w:pPr>
      <w:r w:rsidRPr="0018293F">
        <w:rPr>
          <w:rFonts w:asciiTheme="majorHAnsi" w:hAnsiTheme="majorHAnsi"/>
          <w:b/>
        </w:rPr>
        <w:t xml:space="preserve">Dispone: </w:t>
      </w:r>
    </w:p>
    <w:p w14:paraId="1A40C27E" w14:textId="77777777" w:rsidR="002B31EF" w:rsidRPr="0018293F" w:rsidRDefault="002B31EF" w:rsidP="002B31EF">
      <w:pPr>
        <w:jc w:val="both"/>
        <w:rPr>
          <w:rFonts w:asciiTheme="majorHAnsi" w:hAnsiTheme="majorHAnsi"/>
        </w:rPr>
      </w:pPr>
    </w:p>
    <w:p w14:paraId="41720DE7" w14:textId="77777777" w:rsidR="002B31EF" w:rsidRPr="0018293F" w:rsidRDefault="002B31EF" w:rsidP="002B31EF">
      <w:pPr>
        <w:jc w:val="both"/>
        <w:rPr>
          <w:rFonts w:asciiTheme="majorHAnsi" w:hAnsiTheme="majorHAnsi"/>
          <w:b/>
        </w:rPr>
      </w:pPr>
      <w:r w:rsidRPr="0018293F">
        <w:rPr>
          <w:rFonts w:asciiTheme="majorHAnsi" w:hAnsiTheme="majorHAnsi"/>
          <w:b/>
        </w:rPr>
        <w:t>I. Agregar las siguientes líneas a la tabla dispuesta en el artículo 2 del acuerdo SGS-DES-A-021-2013 para que se lea de la siguiente manera:</w:t>
      </w:r>
    </w:p>
    <w:p w14:paraId="4F8C1E40" w14:textId="77777777" w:rsidR="002B31EF" w:rsidRPr="0018293F" w:rsidRDefault="002B31EF" w:rsidP="002B31EF">
      <w:pPr>
        <w:jc w:val="both"/>
        <w:rPr>
          <w:rFonts w:asciiTheme="majorHAnsi" w:hAnsiTheme="majorHAnsi"/>
        </w:rPr>
      </w:pPr>
    </w:p>
    <w:p w14:paraId="4D715417" w14:textId="77777777" w:rsidR="002B31EF" w:rsidRDefault="002B31EF" w:rsidP="002B31EF">
      <w:pPr>
        <w:spacing w:after="200" w:line="276" w:lineRule="auto"/>
        <w:rPr>
          <w:rFonts w:asciiTheme="majorHAnsi" w:hAnsiTheme="majorHAnsi"/>
          <w:b/>
          <w:i/>
          <w:iCs/>
        </w:rPr>
      </w:pPr>
      <w:r>
        <w:rPr>
          <w:rFonts w:asciiTheme="majorHAnsi" w:hAnsiTheme="majorHAnsi"/>
          <w:b/>
          <w:i/>
          <w:iCs/>
        </w:rPr>
        <w:br w:type="page"/>
      </w:r>
    </w:p>
    <w:p w14:paraId="0FB3E434" w14:textId="77777777" w:rsidR="002B31EF" w:rsidRPr="0018293F" w:rsidRDefault="002B31EF" w:rsidP="002B31EF">
      <w:pPr>
        <w:jc w:val="both"/>
        <w:rPr>
          <w:rFonts w:asciiTheme="majorHAnsi" w:hAnsiTheme="majorHAnsi"/>
          <w:b/>
          <w:i/>
          <w:iCs/>
        </w:rPr>
      </w:pPr>
      <w:r w:rsidRPr="0018293F">
        <w:rPr>
          <w:rFonts w:asciiTheme="majorHAnsi" w:hAnsiTheme="majorHAnsi"/>
          <w:b/>
          <w:i/>
          <w:iCs/>
        </w:rPr>
        <w:lastRenderedPageBreak/>
        <w:t xml:space="preserve">“Artículo 2. Información que deben Enviar las Entidades de Seguros, Periodicidad, Plazo y Medio de Remisión… </w:t>
      </w:r>
    </w:p>
    <w:p w14:paraId="03465D4F" w14:textId="77777777" w:rsidR="002B31EF" w:rsidRPr="0018293F" w:rsidRDefault="002B31EF" w:rsidP="002B31EF">
      <w:pPr>
        <w:jc w:val="both"/>
        <w:rPr>
          <w:rFonts w:asciiTheme="majorHAnsi" w:hAnsiTheme="majorHAnsi"/>
        </w:rPr>
      </w:pPr>
    </w:p>
    <w:tbl>
      <w:tblPr>
        <w:tblStyle w:val="Tablaconcuadrcula"/>
        <w:tblW w:w="5000" w:type="pct"/>
        <w:jc w:val="center"/>
        <w:tblLook w:val="04A0" w:firstRow="1" w:lastRow="0" w:firstColumn="1" w:lastColumn="0" w:noHBand="0" w:noVBand="1"/>
      </w:tblPr>
      <w:tblGrid>
        <w:gridCol w:w="2777"/>
        <w:gridCol w:w="2364"/>
        <w:gridCol w:w="1883"/>
        <w:gridCol w:w="2326"/>
      </w:tblGrid>
      <w:tr w:rsidR="002B31EF" w:rsidRPr="0018293F" w14:paraId="6C9A6E4C" w14:textId="77777777" w:rsidTr="00F7010D">
        <w:trPr>
          <w:cantSplit/>
          <w:tblHeader/>
          <w:jc w:val="center"/>
        </w:trPr>
        <w:tc>
          <w:tcPr>
            <w:tcW w:w="1485" w:type="pct"/>
            <w:shd w:val="clear" w:color="auto" w:fill="A6A6A6" w:themeFill="background1" w:themeFillShade="A6"/>
            <w:vAlign w:val="center"/>
          </w:tcPr>
          <w:p w14:paraId="3D765EF0" w14:textId="77777777" w:rsidR="002B31EF" w:rsidRPr="0018293F" w:rsidRDefault="002B31EF" w:rsidP="00F7010D">
            <w:pPr>
              <w:widowControl w:val="0"/>
              <w:jc w:val="both"/>
              <w:rPr>
                <w:rFonts w:asciiTheme="majorHAnsi" w:hAnsiTheme="majorHAnsi"/>
                <w:b/>
                <w:i/>
                <w:iCs/>
                <w:snapToGrid w:val="0"/>
              </w:rPr>
            </w:pPr>
            <w:r w:rsidRPr="0018293F">
              <w:rPr>
                <w:rFonts w:asciiTheme="majorHAnsi" w:hAnsiTheme="majorHAnsi"/>
                <w:b/>
                <w:i/>
                <w:iCs/>
                <w:snapToGrid w:val="0"/>
              </w:rPr>
              <w:t>Información</w:t>
            </w:r>
          </w:p>
        </w:tc>
        <w:tc>
          <w:tcPr>
            <w:tcW w:w="1264" w:type="pct"/>
            <w:shd w:val="clear" w:color="auto" w:fill="A6A6A6" w:themeFill="background1" w:themeFillShade="A6"/>
            <w:vAlign w:val="center"/>
          </w:tcPr>
          <w:p w14:paraId="012502B9" w14:textId="77777777" w:rsidR="002B31EF" w:rsidRPr="0018293F" w:rsidRDefault="002B31EF" w:rsidP="00F7010D">
            <w:pPr>
              <w:pStyle w:val="Ttulo5"/>
              <w:jc w:val="both"/>
              <w:rPr>
                <w:b/>
                <w:iCs/>
                <w:color w:val="auto"/>
              </w:rPr>
            </w:pPr>
            <w:r w:rsidRPr="0018293F">
              <w:rPr>
                <w:iCs/>
                <w:color w:val="auto"/>
              </w:rPr>
              <w:t>Periodicidad</w:t>
            </w:r>
          </w:p>
        </w:tc>
        <w:tc>
          <w:tcPr>
            <w:tcW w:w="1007" w:type="pct"/>
            <w:shd w:val="clear" w:color="auto" w:fill="A6A6A6" w:themeFill="background1" w:themeFillShade="A6"/>
            <w:vAlign w:val="center"/>
          </w:tcPr>
          <w:p w14:paraId="03E61C0C" w14:textId="77777777" w:rsidR="002B31EF" w:rsidRPr="0018293F" w:rsidRDefault="002B31EF" w:rsidP="00F7010D">
            <w:pPr>
              <w:widowControl w:val="0"/>
              <w:jc w:val="both"/>
              <w:rPr>
                <w:rFonts w:asciiTheme="majorHAnsi" w:hAnsiTheme="majorHAnsi"/>
                <w:b/>
                <w:i/>
                <w:iCs/>
                <w:snapToGrid w:val="0"/>
              </w:rPr>
            </w:pPr>
            <w:r w:rsidRPr="0018293F">
              <w:rPr>
                <w:rFonts w:asciiTheme="majorHAnsi" w:hAnsiTheme="majorHAnsi"/>
                <w:b/>
                <w:i/>
                <w:iCs/>
                <w:snapToGrid w:val="0"/>
              </w:rPr>
              <w:t>Plazo de entrega</w:t>
            </w:r>
          </w:p>
        </w:tc>
        <w:tc>
          <w:tcPr>
            <w:tcW w:w="1244" w:type="pct"/>
            <w:shd w:val="clear" w:color="auto" w:fill="A6A6A6" w:themeFill="background1" w:themeFillShade="A6"/>
            <w:vAlign w:val="center"/>
          </w:tcPr>
          <w:p w14:paraId="2DCEAB9D" w14:textId="77777777" w:rsidR="002B31EF" w:rsidRPr="0018293F" w:rsidRDefault="002B31EF" w:rsidP="00F7010D">
            <w:pPr>
              <w:widowControl w:val="0"/>
              <w:jc w:val="both"/>
              <w:rPr>
                <w:rFonts w:asciiTheme="majorHAnsi" w:hAnsiTheme="majorHAnsi"/>
                <w:b/>
                <w:i/>
                <w:iCs/>
                <w:snapToGrid w:val="0"/>
              </w:rPr>
            </w:pPr>
            <w:r w:rsidRPr="0018293F">
              <w:rPr>
                <w:rFonts w:asciiTheme="majorHAnsi" w:hAnsiTheme="majorHAnsi"/>
                <w:b/>
                <w:i/>
                <w:iCs/>
                <w:snapToGrid w:val="0"/>
              </w:rPr>
              <w:t>Medio</w:t>
            </w:r>
          </w:p>
        </w:tc>
      </w:tr>
      <w:tr w:rsidR="002B31EF" w:rsidRPr="0018293F" w14:paraId="694663D4" w14:textId="77777777" w:rsidTr="00F7010D">
        <w:trPr>
          <w:cantSplit/>
          <w:jc w:val="center"/>
        </w:trPr>
        <w:tc>
          <w:tcPr>
            <w:tcW w:w="5000" w:type="pct"/>
            <w:gridSpan w:val="4"/>
          </w:tcPr>
          <w:p w14:paraId="7B86465D" w14:textId="77777777" w:rsidR="002B31EF" w:rsidRPr="0018293F" w:rsidRDefault="002B31EF" w:rsidP="00F7010D">
            <w:pPr>
              <w:widowControl w:val="0"/>
              <w:jc w:val="both"/>
              <w:rPr>
                <w:rFonts w:asciiTheme="majorHAnsi" w:hAnsiTheme="majorHAnsi" w:cstheme="minorHAnsi"/>
                <w:b/>
                <w:i/>
                <w:iCs/>
                <w:strike/>
                <w:snapToGrid w:val="0"/>
              </w:rPr>
            </w:pPr>
            <w:r w:rsidRPr="0018293F">
              <w:rPr>
                <w:rFonts w:asciiTheme="majorHAnsi" w:hAnsiTheme="majorHAnsi" w:cstheme="minorHAnsi"/>
                <w:b/>
                <w:i/>
                <w:iCs/>
                <w:strike/>
                <w:snapToGrid w:val="0"/>
              </w:rPr>
              <w:t>…</w:t>
            </w:r>
          </w:p>
        </w:tc>
      </w:tr>
      <w:tr w:rsidR="002B31EF" w:rsidRPr="0018293F" w14:paraId="11126652" w14:textId="77777777" w:rsidTr="00F7010D">
        <w:trPr>
          <w:cantSplit/>
          <w:jc w:val="center"/>
        </w:trPr>
        <w:tc>
          <w:tcPr>
            <w:tcW w:w="1485" w:type="pct"/>
          </w:tcPr>
          <w:p w14:paraId="4C70BA92" w14:textId="77777777" w:rsidR="002B31EF" w:rsidRPr="0018293F" w:rsidRDefault="002B31EF" w:rsidP="00F7010D">
            <w:pPr>
              <w:pStyle w:val="Textoindependiente"/>
              <w:jc w:val="both"/>
              <w:rPr>
                <w:rFonts w:asciiTheme="majorHAnsi" w:hAnsiTheme="majorHAnsi"/>
                <w:b/>
                <w:bCs/>
                <w:i/>
                <w:iCs/>
              </w:rPr>
            </w:pPr>
            <w:r w:rsidRPr="0018293F">
              <w:rPr>
                <w:rFonts w:asciiTheme="majorHAnsi" w:hAnsiTheme="majorHAnsi"/>
                <w:i/>
                <w:iCs/>
              </w:rPr>
              <w:t>Modelo 18 SSS: Estado de Situación Financiera (Activo, Pasivo y Patrimonio) – NIIF17</w:t>
            </w:r>
          </w:p>
        </w:tc>
        <w:tc>
          <w:tcPr>
            <w:tcW w:w="1264" w:type="pct"/>
          </w:tcPr>
          <w:p w14:paraId="1BB244DD" w14:textId="77777777" w:rsidR="002B31EF" w:rsidRPr="0018293F" w:rsidRDefault="002B31EF" w:rsidP="00F7010D">
            <w:pPr>
              <w:widowControl w:val="0"/>
              <w:jc w:val="both"/>
              <w:rPr>
                <w:rFonts w:asciiTheme="majorHAnsi" w:hAnsiTheme="majorHAnsi"/>
                <w:bCs/>
                <w:i/>
                <w:iCs/>
              </w:rPr>
            </w:pPr>
            <w:r w:rsidRPr="0018293F">
              <w:rPr>
                <w:rFonts w:asciiTheme="majorHAnsi" w:hAnsiTheme="majorHAnsi"/>
                <w:bCs/>
                <w:i/>
                <w:iCs/>
              </w:rPr>
              <w:t>Trimestral</w:t>
            </w:r>
          </w:p>
          <w:p w14:paraId="21089340" w14:textId="77777777" w:rsidR="002B31EF" w:rsidRPr="0018293F" w:rsidRDefault="002B31EF" w:rsidP="00F7010D">
            <w:pPr>
              <w:jc w:val="both"/>
              <w:rPr>
                <w:rFonts w:asciiTheme="majorHAnsi" w:hAnsiTheme="majorHAnsi"/>
                <w:i/>
                <w:iCs/>
              </w:rPr>
            </w:pPr>
          </w:p>
          <w:p w14:paraId="6105C43B" w14:textId="77777777" w:rsidR="002B31EF" w:rsidRPr="0018293F" w:rsidRDefault="002B31EF" w:rsidP="00F7010D">
            <w:pPr>
              <w:jc w:val="both"/>
              <w:rPr>
                <w:rFonts w:asciiTheme="majorHAnsi" w:hAnsiTheme="majorHAnsi"/>
                <w:i/>
                <w:iCs/>
              </w:rPr>
            </w:pPr>
          </w:p>
        </w:tc>
        <w:tc>
          <w:tcPr>
            <w:tcW w:w="1007" w:type="pct"/>
          </w:tcPr>
          <w:p w14:paraId="3545FE4D" w14:textId="77777777" w:rsidR="002B31EF" w:rsidRPr="0018293F" w:rsidRDefault="002B31EF" w:rsidP="00F7010D">
            <w:pPr>
              <w:widowControl w:val="0"/>
              <w:jc w:val="both"/>
              <w:rPr>
                <w:rFonts w:asciiTheme="majorHAnsi" w:hAnsiTheme="majorHAnsi"/>
                <w:bCs/>
                <w:i/>
                <w:iCs/>
              </w:rPr>
            </w:pPr>
            <w:r w:rsidRPr="0018293F">
              <w:rPr>
                <w:rFonts w:asciiTheme="majorHAnsi" w:hAnsiTheme="majorHAnsi"/>
                <w:bCs/>
                <w:i/>
                <w:iCs/>
              </w:rPr>
              <w:t>15 días hábiles después del cierre de los meses de marzo, junio, setiembre y diciembre</w:t>
            </w:r>
          </w:p>
        </w:tc>
        <w:tc>
          <w:tcPr>
            <w:tcW w:w="1244" w:type="pct"/>
          </w:tcPr>
          <w:p w14:paraId="593994E8" w14:textId="77777777" w:rsidR="002B31EF" w:rsidRPr="0018293F" w:rsidRDefault="002B31EF" w:rsidP="00F7010D">
            <w:pPr>
              <w:widowControl w:val="0"/>
              <w:jc w:val="both"/>
              <w:rPr>
                <w:rFonts w:asciiTheme="majorHAnsi" w:hAnsiTheme="majorHAnsi"/>
                <w:bCs/>
                <w:i/>
                <w:iCs/>
              </w:rPr>
            </w:pPr>
            <w:r w:rsidRPr="0018293F">
              <w:rPr>
                <w:rFonts w:asciiTheme="majorHAnsi" w:hAnsiTheme="majorHAnsi"/>
                <w:bCs/>
                <w:i/>
                <w:iCs/>
              </w:rPr>
              <w:t xml:space="preserve">Web </w:t>
            </w:r>
            <w:proofErr w:type="spellStart"/>
            <w:r w:rsidRPr="0018293F">
              <w:rPr>
                <w:rFonts w:asciiTheme="majorHAnsi" w:hAnsiTheme="majorHAnsi"/>
                <w:bCs/>
                <w:i/>
                <w:iCs/>
              </w:rPr>
              <w:t>Service</w:t>
            </w:r>
            <w:proofErr w:type="spellEnd"/>
            <w:r w:rsidRPr="0018293F">
              <w:rPr>
                <w:rFonts w:asciiTheme="majorHAnsi" w:hAnsiTheme="majorHAnsi"/>
                <w:bCs/>
                <w:i/>
                <w:iCs/>
              </w:rPr>
              <w:t>, a través de archivos *.</w:t>
            </w:r>
            <w:proofErr w:type="spellStart"/>
            <w:r w:rsidRPr="0018293F">
              <w:rPr>
                <w:rFonts w:asciiTheme="majorHAnsi" w:hAnsiTheme="majorHAnsi"/>
                <w:bCs/>
                <w:i/>
                <w:iCs/>
              </w:rPr>
              <w:t>xml</w:t>
            </w:r>
            <w:proofErr w:type="spellEnd"/>
            <w:r w:rsidRPr="0018293F">
              <w:rPr>
                <w:rFonts w:asciiTheme="majorHAnsi" w:hAnsiTheme="majorHAnsi"/>
                <w:bCs/>
                <w:i/>
                <w:iCs/>
              </w:rPr>
              <w:t xml:space="preserve">, de conformidad con el Estándar de Negocio para Entidades de Seguros, incluido en el </w:t>
            </w:r>
            <w:r w:rsidRPr="0018293F">
              <w:rPr>
                <w:rFonts w:asciiTheme="majorHAnsi" w:hAnsiTheme="majorHAnsi"/>
                <w:b/>
                <w:bCs/>
                <w:i/>
                <w:iCs/>
              </w:rPr>
              <w:t>Anexo 5</w:t>
            </w:r>
          </w:p>
        </w:tc>
      </w:tr>
      <w:tr w:rsidR="002B31EF" w:rsidRPr="0018293F" w14:paraId="11E03278" w14:textId="77777777" w:rsidTr="00F7010D">
        <w:trPr>
          <w:cantSplit/>
          <w:jc w:val="center"/>
        </w:trPr>
        <w:tc>
          <w:tcPr>
            <w:tcW w:w="1485" w:type="pct"/>
          </w:tcPr>
          <w:p w14:paraId="09EC09B2" w14:textId="77777777" w:rsidR="002B31EF" w:rsidRPr="0018293F" w:rsidRDefault="002B31EF" w:rsidP="00F7010D">
            <w:pPr>
              <w:pStyle w:val="Textoindependiente"/>
              <w:jc w:val="both"/>
              <w:rPr>
                <w:rFonts w:asciiTheme="majorHAnsi" w:hAnsiTheme="majorHAnsi"/>
                <w:b/>
                <w:bCs/>
                <w:i/>
                <w:iCs/>
              </w:rPr>
            </w:pPr>
            <w:r w:rsidRPr="0018293F">
              <w:rPr>
                <w:rFonts w:asciiTheme="majorHAnsi" w:hAnsiTheme="majorHAnsi"/>
                <w:i/>
                <w:iCs/>
              </w:rPr>
              <w:t>Modelo 19 SSS: Estado de Rendimiento Financiero y Cuenta de Rendimiento Técnico Financiera – NIIF 17</w:t>
            </w:r>
          </w:p>
        </w:tc>
        <w:tc>
          <w:tcPr>
            <w:tcW w:w="1264" w:type="pct"/>
          </w:tcPr>
          <w:p w14:paraId="3F3CA417" w14:textId="77777777" w:rsidR="002B31EF" w:rsidRPr="0018293F" w:rsidRDefault="002B31EF" w:rsidP="00F7010D">
            <w:pPr>
              <w:widowControl w:val="0"/>
              <w:jc w:val="both"/>
              <w:rPr>
                <w:rFonts w:asciiTheme="majorHAnsi" w:hAnsiTheme="majorHAnsi"/>
                <w:bCs/>
                <w:i/>
                <w:iCs/>
              </w:rPr>
            </w:pPr>
            <w:r w:rsidRPr="0018293F">
              <w:rPr>
                <w:rFonts w:asciiTheme="majorHAnsi" w:hAnsiTheme="majorHAnsi"/>
                <w:bCs/>
                <w:i/>
                <w:iCs/>
              </w:rPr>
              <w:t>Trimestral</w:t>
            </w:r>
          </w:p>
        </w:tc>
        <w:tc>
          <w:tcPr>
            <w:tcW w:w="1007" w:type="pct"/>
          </w:tcPr>
          <w:p w14:paraId="146FE990" w14:textId="77777777" w:rsidR="002B31EF" w:rsidRPr="0018293F" w:rsidRDefault="002B31EF" w:rsidP="00F7010D">
            <w:pPr>
              <w:widowControl w:val="0"/>
              <w:jc w:val="both"/>
              <w:rPr>
                <w:rFonts w:asciiTheme="majorHAnsi" w:hAnsiTheme="majorHAnsi"/>
                <w:bCs/>
                <w:i/>
                <w:iCs/>
              </w:rPr>
            </w:pPr>
            <w:r w:rsidRPr="0018293F">
              <w:rPr>
                <w:rFonts w:asciiTheme="majorHAnsi" w:hAnsiTheme="majorHAnsi"/>
                <w:bCs/>
                <w:i/>
                <w:iCs/>
              </w:rPr>
              <w:t>15 días hábiles después del cierre de los meses de marzo, junio, setiembre y diciembre</w:t>
            </w:r>
          </w:p>
        </w:tc>
        <w:tc>
          <w:tcPr>
            <w:tcW w:w="1244" w:type="pct"/>
          </w:tcPr>
          <w:p w14:paraId="245FFFAC" w14:textId="77777777" w:rsidR="002B31EF" w:rsidRPr="0018293F" w:rsidRDefault="002B31EF" w:rsidP="00F7010D">
            <w:pPr>
              <w:widowControl w:val="0"/>
              <w:jc w:val="both"/>
              <w:rPr>
                <w:rFonts w:asciiTheme="majorHAnsi" w:hAnsiTheme="majorHAnsi"/>
                <w:bCs/>
                <w:i/>
                <w:iCs/>
              </w:rPr>
            </w:pPr>
            <w:r w:rsidRPr="0018293F">
              <w:rPr>
                <w:rFonts w:asciiTheme="majorHAnsi" w:hAnsiTheme="majorHAnsi"/>
                <w:bCs/>
                <w:i/>
                <w:iCs/>
              </w:rPr>
              <w:t xml:space="preserve">Web </w:t>
            </w:r>
            <w:proofErr w:type="spellStart"/>
            <w:r w:rsidRPr="0018293F">
              <w:rPr>
                <w:rFonts w:asciiTheme="majorHAnsi" w:hAnsiTheme="majorHAnsi"/>
                <w:bCs/>
                <w:i/>
                <w:iCs/>
              </w:rPr>
              <w:t>Service</w:t>
            </w:r>
            <w:proofErr w:type="spellEnd"/>
            <w:r w:rsidRPr="0018293F">
              <w:rPr>
                <w:rFonts w:asciiTheme="majorHAnsi" w:hAnsiTheme="majorHAnsi"/>
                <w:bCs/>
                <w:i/>
                <w:iCs/>
              </w:rPr>
              <w:t>, a través de archivos *.</w:t>
            </w:r>
            <w:proofErr w:type="spellStart"/>
            <w:r w:rsidRPr="0018293F">
              <w:rPr>
                <w:rFonts w:asciiTheme="majorHAnsi" w:hAnsiTheme="majorHAnsi"/>
                <w:bCs/>
                <w:i/>
                <w:iCs/>
              </w:rPr>
              <w:t>xml</w:t>
            </w:r>
            <w:proofErr w:type="spellEnd"/>
            <w:r w:rsidRPr="0018293F">
              <w:rPr>
                <w:rFonts w:asciiTheme="majorHAnsi" w:hAnsiTheme="majorHAnsi"/>
                <w:bCs/>
                <w:i/>
                <w:iCs/>
              </w:rPr>
              <w:t xml:space="preserve">, de conformidad con el Estándar de Negocio para Entidades de Seguros, incluido en el </w:t>
            </w:r>
            <w:r w:rsidRPr="0018293F">
              <w:rPr>
                <w:rFonts w:asciiTheme="majorHAnsi" w:hAnsiTheme="majorHAnsi"/>
                <w:b/>
                <w:bCs/>
                <w:i/>
                <w:iCs/>
              </w:rPr>
              <w:t>Anexo 5</w:t>
            </w:r>
          </w:p>
        </w:tc>
      </w:tr>
      <w:tr w:rsidR="002B31EF" w:rsidRPr="0018293F" w14:paraId="4EF46EE5" w14:textId="77777777" w:rsidTr="00F7010D">
        <w:trPr>
          <w:cantSplit/>
          <w:jc w:val="center"/>
        </w:trPr>
        <w:tc>
          <w:tcPr>
            <w:tcW w:w="1485" w:type="pct"/>
          </w:tcPr>
          <w:p w14:paraId="60FCD5EC" w14:textId="77777777" w:rsidR="002B31EF" w:rsidRPr="0018293F" w:rsidRDefault="002B31EF" w:rsidP="00F7010D">
            <w:pPr>
              <w:pStyle w:val="Textoindependiente"/>
              <w:jc w:val="both"/>
              <w:rPr>
                <w:rFonts w:asciiTheme="majorHAnsi" w:hAnsiTheme="majorHAnsi"/>
                <w:b/>
                <w:bCs/>
                <w:i/>
                <w:iCs/>
              </w:rPr>
            </w:pPr>
            <w:r w:rsidRPr="0018293F">
              <w:rPr>
                <w:rFonts w:asciiTheme="majorHAnsi" w:hAnsiTheme="majorHAnsi"/>
                <w:i/>
                <w:iCs/>
              </w:rPr>
              <w:t>Modelo 20 SSS: Saldos Contables – NIIF 17</w:t>
            </w:r>
          </w:p>
        </w:tc>
        <w:tc>
          <w:tcPr>
            <w:tcW w:w="1264" w:type="pct"/>
          </w:tcPr>
          <w:p w14:paraId="5EA79EA4" w14:textId="77777777" w:rsidR="002B31EF" w:rsidRPr="0018293F" w:rsidRDefault="002B31EF" w:rsidP="00F7010D">
            <w:pPr>
              <w:widowControl w:val="0"/>
              <w:jc w:val="both"/>
              <w:rPr>
                <w:rFonts w:asciiTheme="majorHAnsi" w:hAnsiTheme="majorHAnsi"/>
                <w:bCs/>
                <w:i/>
                <w:iCs/>
              </w:rPr>
            </w:pPr>
            <w:r w:rsidRPr="0018293F">
              <w:rPr>
                <w:rFonts w:asciiTheme="majorHAnsi" w:hAnsiTheme="majorHAnsi"/>
                <w:i/>
                <w:iCs/>
              </w:rPr>
              <w:t>Mensual</w:t>
            </w:r>
          </w:p>
        </w:tc>
        <w:tc>
          <w:tcPr>
            <w:tcW w:w="1007" w:type="pct"/>
          </w:tcPr>
          <w:p w14:paraId="5F7DE699" w14:textId="77777777" w:rsidR="002B31EF" w:rsidRPr="0018293F" w:rsidRDefault="002B31EF" w:rsidP="00F7010D">
            <w:pPr>
              <w:widowControl w:val="0"/>
              <w:jc w:val="both"/>
              <w:rPr>
                <w:rFonts w:asciiTheme="majorHAnsi" w:hAnsiTheme="majorHAnsi"/>
                <w:bCs/>
                <w:i/>
                <w:iCs/>
              </w:rPr>
            </w:pPr>
            <w:r w:rsidRPr="0018293F">
              <w:rPr>
                <w:rFonts w:asciiTheme="majorHAnsi" w:hAnsiTheme="majorHAnsi"/>
                <w:i/>
                <w:iCs/>
              </w:rPr>
              <w:t>5 días hábiles después del cierre de cada mes.</w:t>
            </w:r>
          </w:p>
        </w:tc>
        <w:tc>
          <w:tcPr>
            <w:tcW w:w="1244" w:type="pct"/>
          </w:tcPr>
          <w:p w14:paraId="7C04606F" w14:textId="77777777" w:rsidR="002B31EF" w:rsidRPr="0018293F" w:rsidRDefault="002B31EF" w:rsidP="00F7010D">
            <w:pPr>
              <w:widowControl w:val="0"/>
              <w:jc w:val="both"/>
              <w:rPr>
                <w:rFonts w:asciiTheme="majorHAnsi" w:hAnsiTheme="majorHAnsi"/>
                <w:bCs/>
                <w:i/>
                <w:iCs/>
              </w:rPr>
            </w:pPr>
            <w:r w:rsidRPr="0018293F">
              <w:rPr>
                <w:rFonts w:asciiTheme="majorHAnsi" w:hAnsiTheme="majorHAnsi"/>
                <w:i/>
                <w:iCs/>
              </w:rPr>
              <w:t xml:space="preserve">Web </w:t>
            </w:r>
            <w:proofErr w:type="spellStart"/>
            <w:r w:rsidRPr="0018293F">
              <w:rPr>
                <w:rFonts w:asciiTheme="majorHAnsi" w:hAnsiTheme="majorHAnsi"/>
                <w:i/>
                <w:iCs/>
              </w:rPr>
              <w:t>Service</w:t>
            </w:r>
            <w:proofErr w:type="spellEnd"/>
            <w:r w:rsidRPr="0018293F">
              <w:rPr>
                <w:rFonts w:asciiTheme="majorHAnsi" w:hAnsiTheme="majorHAnsi"/>
                <w:i/>
                <w:iCs/>
              </w:rPr>
              <w:t>, a través de archivos *.</w:t>
            </w:r>
            <w:proofErr w:type="spellStart"/>
            <w:r w:rsidRPr="0018293F">
              <w:rPr>
                <w:rFonts w:asciiTheme="majorHAnsi" w:hAnsiTheme="majorHAnsi"/>
                <w:i/>
                <w:iCs/>
              </w:rPr>
              <w:t>xml</w:t>
            </w:r>
            <w:proofErr w:type="spellEnd"/>
            <w:r w:rsidRPr="0018293F">
              <w:rPr>
                <w:rFonts w:asciiTheme="majorHAnsi" w:hAnsiTheme="majorHAnsi"/>
                <w:i/>
                <w:iCs/>
              </w:rPr>
              <w:t xml:space="preserve">, de conformidad con el Estándar de Negocio para Entidades de Seguros, incluido en el </w:t>
            </w:r>
            <w:r w:rsidRPr="0018293F">
              <w:rPr>
                <w:rFonts w:asciiTheme="majorHAnsi" w:hAnsiTheme="majorHAnsi"/>
                <w:b/>
                <w:i/>
                <w:iCs/>
              </w:rPr>
              <w:t>Anexo 5.</w:t>
            </w:r>
          </w:p>
        </w:tc>
      </w:tr>
      <w:tr w:rsidR="002B31EF" w:rsidRPr="0018293F" w14:paraId="724E64DE" w14:textId="77777777" w:rsidTr="00F7010D">
        <w:trPr>
          <w:cantSplit/>
          <w:jc w:val="center"/>
        </w:trPr>
        <w:tc>
          <w:tcPr>
            <w:tcW w:w="1485" w:type="pct"/>
            <w:shd w:val="clear" w:color="auto" w:fill="FFFFFF" w:themeFill="background1"/>
          </w:tcPr>
          <w:p w14:paraId="124F28AD" w14:textId="77777777" w:rsidR="002B31EF" w:rsidRPr="0018293F" w:rsidRDefault="002B31EF" w:rsidP="00F7010D">
            <w:pPr>
              <w:pStyle w:val="Textoindependiente"/>
              <w:jc w:val="both"/>
              <w:rPr>
                <w:rFonts w:asciiTheme="majorHAnsi" w:hAnsiTheme="majorHAnsi"/>
                <w:b/>
                <w:bCs/>
                <w:i/>
                <w:iCs/>
              </w:rPr>
            </w:pPr>
            <w:r w:rsidRPr="0018293F">
              <w:rPr>
                <w:rFonts w:asciiTheme="majorHAnsi" w:hAnsiTheme="majorHAnsi"/>
                <w:i/>
                <w:iCs/>
              </w:rPr>
              <w:t>Modelo 21 SSS: Requerimientos Estadísticos Organismos Internacionales – NIIF 17</w:t>
            </w:r>
          </w:p>
        </w:tc>
        <w:tc>
          <w:tcPr>
            <w:tcW w:w="1264" w:type="pct"/>
            <w:shd w:val="clear" w:color="auto" w:fill="FFFFFF" w:themeFill="background1"/>
          </w:tcPr>
          <w:p w14:paraId="01D83464" w14:textId="77777777" w:rsidR="002B31EF" w:rsidRPr="0018293F" w:rsidRDefault="002B31EF" w:rsidP="00F7010D">
            <w:pPr>
              <w:widowControl w:val="0"/>
              <w:jc w:val="both"/>
              <w:rPr>
                <w:rFonts w:asciiTheme="majorHAnsi" w:hAnsiTheme="majorHAnsi"/>
                <w:bCs/>
                <w:i/>
                <w:iCs/>
              </w:rPr>
            </w:pPr>
            <w:r w:rsidRPr="0018293F">
              <w:rPr>
                <w:rFonts w:asciiTheme="majorHAnsi" w:hAnsiTheme="majorHAnsi"/>
                <w:bCs/>
                <w:i/>
                <w:iCs/>
              </w:rPr>
              <w:t>Anual</w:t>
            </w:r>
          </w:p>
        </w:tc>
        <w:tc>
          <w:tcPr>
            <w:tcW w:w="1007" w:type="pct"/>
            <w:shd w:val="clear" w:color="auto" w:fill="FFFFFF" w:themeFill="background1"/>
          </w:tcPr>
          <w:p w14:paraId="5E5E9500" w14:textId="77777777" w:rsidR="002B31EF" w:rsidRPr="0018293F" w:rsidRDefault="002B31EF" w:rsidP="00F7010D">
            <w:pPr>
              <w:widowControl w:val="0"/>
              <w:jc w:val="both"/>
              <w:rPr>
                <w:rFonts w:asciiTheme="majorHAnsi" w:hAnsiTheme="majorHAnsi"/>
                <w:bCs/>
                <w:i/>
                <w:iCs/>
                <w:highlight w:val="yellow"/>
              </w:rPr>
            </w:pPr>
            <w:r w:rsidRPr="0018293F">
              <w:rPr>
                <w:rFonts w:asciiTheme="majorHAnsi" w:hAnsiTheme="majorHAnsi"/>
                <w:bCs/>
                <w:i/>
                <w:iCs/>
              </w:rPr>
              <w:t>15 días hábiles después del cierre de diciembre de cada año.</w:t>
            </w:r>
          </w:p>
        </w:tc>
        <w:tc>
          <w:tcPr>
            <w:tcW w:w="1244" w:type="pct"/>
            <w:shd w:val="clear" w:color="auto" w:fill="FFFFFF" w:themeFill="background1"/>
          </w:tcPr>
          <w:p w14:paraId="6D871570" w14:textId="77777777" w:rsidR="002B31EF" w:rsidRPr="0018293F" w:rsidRDefault="002B31EF" w:rsidP="00F7010D">
            <w:pPr>
              <w:widowControl w:val="0"/>
              <w:jc w:val="both"/>
              <w:rPr>
                <w:rFonts w:asciiTheme="majorHAnsi" w:hAnsiTheme="majorHAnsi"/>
                <w:bCs/>
                <w:i/>
                <w:iCs/>
              </w:rPr>
            </w:pPr>
            <w:r w:rsidRPr="0018293F">
              <w:rPr>
                <w:rFonts w:asciiTheme="majorHAnsi" w:hAnsiTheme="majorHAnsi"/>
                <w:bCs/>
                <w:i/>
                <w:iCs/>
              </w:rPr>
              <w:t xml:space="preserve">Web </w:t>
            </w:r>
            <w:proofErr w:type="spellStart"/>
            <w:r w:rsidRPr="0018293F">
              <w:rPr>
                <w:rFonts w:asciiTheme="majorHAnsi" w:hAnsiTheme="majorHAnsi"/>
                <w:bCs/>
                <w:i/>
                <w:iCs/>
              </w:rPr>
              <w:t>Service</w:t>
            </w:r>
            <w:proofErr w:type="spellEnd"/>
            <w:r w:rsidRPr="0018293F">
              <w:rPr>
                <w:rFonts w:asciiTheme="majorHAnsi" w:hAnsiTheme="majorHAnsi"/>
                <w:bCs/>
                <w:i/>
                <w:iCs/>
              </w:rPr>
              <w:t>, a través de archivos *.</w:t>
            </w:r>
            <w:proofErr w:type="spellStart"/>
            <w:r w:rsidRPr="0018293F">
              <w:rPr>
                <w:rFonts w:asciiTheme="majorHAnsi" w:hAnsiTheme="majorHAnsi"/>
                <w:bCs/>
                <w:i/>
                <w:iCs/>
              </w:rPr>
              <w:t>xml</w:t>
            </w:r>
            <w:proofErr w:type="spellEnd"/>
            <w:r w:rsidRPr="0018293F">
              <w:rPr>
                <w:rFonts w:asciiTheme="majorHAnsi" w:hAnsiTheme="majorHAnsi"/>
                <w:bCs/>
                <w:i/>
                <w:iCs/>
              </w:rPr>
              <w:t xml:space="preserve">, de conformidad con el Estándar de Negocio para Entidades de Seguros, incluido en el </w:t>
            </w:r>
            <w:r w:rsidRPr="0018293F">
              <w:rPr>
                <w:rFonts w:asciiTheme="majorHAnsi" w:hAnsiTheme="majorHAnsi"/>
                <w:b/>
                <w:bCs/>
                <w:i/>
                <w:iCs/>
              </w:rPr>
              <w:t>Anexo 5</w:t>
            </w:r>
          </w:p>
        </w:tc>
      </w:tr>
    </w:tbl>
    <w:p w14:paraId="44808A2A" w14:textId="77777777" w:rsidR="002B31EF" w:rsidRPr="0018293F" w:rsidRDefault="002B31EF" w:rsidP="002B31EF">
      <w:pPr>
        <w:jc w:val="both"/>
        <w:rPr>
          <w:rFonts w:asciiTheme="majorHAnsi" w:hAnsiTheme="majorHAnsi"/>
          <w:b/>
        </w:rPr>
      </w:pPr>
    </w:p>
    <w:p w14:paraId="12414E4B" w14:textId="77777777" w:rsidR="002B31EF" w:rsidRDefault="002B31EF" w:rsidP="002B31EF">
      <w:pPr>
        <w:spacing w:after="200" w:line="276" w:lineRule="auto"/>
        <w:rPr>
          <w:rFonts w:asciiTheme="majorHAnsi" w:hAnsiTheme="majorHAnsi"/>
          <w:b/>
          <w:bCs/>
          <w:iCs/>
        </w:rPr>
      </w:pPr>
      <w:r>
        <w:rPr>
          <w:rFonts w:asciiTheme="majorHAnsi" w:hAnsiTheme="majorHAnsi"/>
          <w:b/>
          <w:bCs/>
          <w:iCs/>
        </w:rPr>
        <w:br w:type="page"/>
      </w:r>
    </w:p>
    <w:p w14:paraId="6E654F56" w14:textId="77777777" w:rsidR="002B31EF" w:rsidRPr="0018293F" w:rsidRDefault="002B31EF" w:rsidP="002B31EF">
      <w:pPr>
        <w:jc w:val="both"/>
        <w:rPr>
          <w:rFonts w:asciiTheme="majorHAnsi" w:hAnsiTheme="majorHAnsi"/>
          <w:b/>
          <w:bCs/>
        </w:rPr>
      </w:pPr>
      <w:r w:rsidRPr="0018293F">
        <w:rPr>
          <w:rFonts w:asciiTheme="majorHAnsi" w:hAnsiTheme="majorHAnsi"/>
          <w:b/>
          <w:bCs/>
          <w:iCs/>
        </w:rPr>
        <w:lastRenderedPageBreak/>
        <w:t xml:space="preserve">II. Modificar el Anexo 5 </w:t>
      </w:r>
      <w:r w:rsidRPr="0018293F">
        <w:rPr>
          <w:rFonts w:asciiTheme="majorHAnsi" w:hAnsiTheme="majorHAnsi"/>
          <w:b/>
          <w:bCs/>
        </w:rPr>
        <w:t>del acuerdo SGS-DES-A-021-2013 para que se lea de la siguiente manera:</w:t>
      </w:r>
    </w:p>
    <w:p w14:paraId="3FA18A02" w14:textId="77777777" w:rsidR="002B31EF" w:rsidRPr="0018293F" w:rsidRDefault="002B31EF" w:rsidP="002B31EF">
      <w:pPr>
        <w:jc w:val="both"/>
        <w:rPr>
          <w:rFonts w:asciiTheme="majorHAnsi" w:hAnsiTheme="majorHAnsi"/>
        </w:rPr>
      </w:pPr>
    </w:p>
    <w:p w14:paraId="33383AA1" w14:textId="77777777" w:rsidR="002B31EF" w:rsidRPr="0018293F" w:rsidRDefault="002B31EF" w:rsidP="002B31EF">
      <w:pPr>
        <w:jc w:val="center"/>
        <w:rPr>
          <w:rFonts w:asciiTheme="majorHAnsi" w:hAnsiTheme="majorHAnsi"/>
          <w:b/>
        </w:rPr>
      </w:pPr>
      <w:r w:rsidRPr="0018293F">
        <w:rPr>
          <w:rFonts w:asciiTheme="majorHAnsi" w:hAnsiTheme="majorHAnsi"/>
          <w:b/>
        </w:rPr>
        <w:t>Anexo 5.</w:t>
      </w:r>
    </w:p>
    <w:p w14:paraId="0F2E0C68" w14:textId="77777777" w:rsidR="002B31EF" w:rsidRPr="0018293F" w:rsidRDefault="002B31EF" w:rsidP="002B31EF">
      <w:pPr>
        <w:jc w:val="center"/>
        <w:rPr>
          <w:rFonts w:asciiTheme="majorHAnsi" w:hAnsiTheme="majorHAnsi"/>
          <w:b/>
        </w:rPr>
      </w:pPr>
      <w:r w:rsidRPr="0018293F">
        <w:rPr>
          <w:rFonts w:asciiTheme="majorHAnsi" w:hAnsiTheme="majorHAnsi"/>
          <w:b/>
        </w:rPr>
        <w:t>Estándar de Negocio para Entidades de Seguros</w:t>
      </w:r>
    </w:p>
    <w:p w14:paraId="749EA40E" w14:textId="77777777" w:rsidR="002B31EF" w:rsidRPr="0018293F" w:rsidRDefault="002B31EF" w:rsidP="002B31EF">
      <w:pPr>
        <w:jc w:val="both"/>
        <w:rPr>
          <w:rFonts w:asciiTheme="majorHAnsi" w:hAnsiTheme="majorHAnsi"/>
          <w:b/>
        </w:rPr>
      </w:pPr>
    </w:p>
    <w:p w14:paraId="0508A8B9" w14:textId="77777777" w:rsidR="002B31EF" w:rsidRPr="0018293F" w:rsidRDefault="002B31EF" w:rsidP="002B31EF">
      <w:pPr>
        <w:jc w:val="center"/>
        <w:rPr>
          <w:rFonts w:asciiTheme="majorHAnsi" w:hAnsiTheme="majorHAnsi"/>
        </w:rPr>
      </w:pPr>
      <w:r w:rsidRPr="0018293F">
        <w:rPr>
          <w:rFonts w:asciiTheme="majorHAnsi" w:hAnsiTheme="majorHAnsi"/>
        </w:rPr>
        <w:t>Estándar de Negocio Entidades Asegurador.</w:t>
      </w:r>
    </w:p>
    <w:p w14:paraId="383D6998" w14:textId="77777777" w:rsidR="002B31EF" w:rsidRPr="0018293F" w:rsidRDefault="002B31EF" w:rsidP="002B31EF">
      <w:pPr>
        <w:jc w:val="both"/>
        <w:rPr>
          <w:rFonts w:asciiTheme="majorHAnsi" w:hAnsiTheme="majorHAnsi"/>
          <w:b/>
        </w:rPr>
      </w:pPr>
    </w:p>
    <w:bookmarkStart w:id="0" w:name="_MON_1690025299"/>
    <w:bookmarkEnd w:id="0"/>
    <w:p w14:paraId="2708C263" w14:textId="77777777" w:rsidR="002B31EF" w:rsidRPr="0018293F" w:rsidRDefault="002B31EF" w:rsidP="002B31EF">
      <w:pPr>
        <w:jc w:val="center"/>
        <w:rPr>
          <w:rFonts w:asciiTheme="majorHAnsi" w:hAnsiTheme="majorHAnsi"/>
          <w:b/>
        </w:rPr>
      </w:pPr>
      <w:r w:rsidRPr="0018293F">
        <w:rPr>
          <w:rFonts w:asciiTheme="majorHAnsi" w:hAnsiTheme="majorHAnsi"/>
          <w:b/>
        </w:rPr>
        <w:object w:dxaOrig="1376" w:dyaOrig="893" w14:anchorId="3507A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pt;height:44.4pt" o:ole="">
            <v:imagedata r:id="rId11" o:title=""/>
          </v:shape>
          <o:OLEObject Type="Embed" ProgID="Word.Document.12" ShapeID="_x0000_i1025" DrawAspect="Icon" ObjectID="_1829113254" r:id="rId12">
            <o:FieldCodes>\s</o:FieldCodes>
          </o:OLEObject>
        </w:object>
      </w:r>
    </w:p>
    <w:p w14:paraId="16162576" w14:textId="77777777" w:rsidR="002B31EF" w:rsidRPr="0018293F" w:rsidRDefault="002B31EF" w:rsidP="002B31EF">
      <w:pPr>
        <w:jc w:val="both"/>
        <w:rPr>
          <w:rFonts w:asciiTheme="majorHAnsi" w:hAnsiTheme="majorHAnsi"/>
          <w:b/>
        </w:rPr>
      </w:pPr>
      <w:bookmarkStart w:id="1" w:name="_1690015936"/>
      <w:bookmarkEnd w:id="1"/>
    </w:p>
    <w:p w14:paraId="6AA7DD02" w14:textId="77777777" w:rsidR="002B31EF" w:rsidRPr="0018293F" w:rsidRDefault="002B31EF" w:rsidP="002B31EF">
      <w:pPr>
        <w:rPr>
          <w:rFonts w:asciiTheme="majorHAnsi" w:hAnsiTheme="majorHAnsi"/>
        </w:rPr>
      </w:pPr>
    </w:p>
    <w:p w14:paraId="44D677F5" w14:textId="77777777" w:rsidR="002B31EF" w:rsidRPr="0018293F" w:rsidRDefault="002B31EF" w:rsidP="002B31EF">
      <w:pPr>
        <w:rPr>
          <w:rFonts w:asciiTheme="majorHAnsi" w:hAnsiTheme="majorHAnsi"/>
          <w:b/>
          <w:bCs/>
        </w:rPr>
      </w:pPr>
      <w:r w:rsidRPr="0018293F">
        <w:rPr>
          <w:rFonts w:asciiTheme="majorHAnsi" w:hAnsiTheme="majorHAnsi"/>
          <w:b/>
          <w:bCs/>
        </w:rPr>
        <w:t>III. Modificar los artículos 2, 3, 17, 20, 21, 22 y 23 del SGS-DES-A-029-2013 para que en lo sucesivo se lea de la siguiente forma:</w:t>
      </w:r>
    </w:p>
    <w:p w14:paraId="72C4D0DC" w14:textId="77777777" w:rsidR="002B31EF" w:rsidRPr="0018293F" w:rsidRDefault="002B31EF" w:rsidP="002B31EF">
      <w:pPr>
        <w:rPr>
          <w:rFonts w:asciiTheme="majorHAnsi" w:hAnsiTheme="majorHAnsi"/>
        </w:rPr>
      </w:pPr>
    </w:p>
    <w:p w14:paraId="038D867B" w14:textId="77777777" w:rsidR="002B31EF" w:rsidRPr="0018293F" w:rsidRDefault="002B31EF" w:rsidP="002B31EF">
      <w:pPr>
        <w:jc w:val="both"/>
        <w:rPr>
          <w:rFonts w:asciiTheme="majorHAnsi" w:hAnsiTheme="majorHAnsi"/>
          <w:i/>
          <w:iCs/>
        </w:rPr>
      </w:pPr>
      <w:r w:rsidRPr="0018293F">
        <w:rPr>
          <w:rFonts w:asciiTheme="majorHAnsi" w:hAnsiTheme="majorHAnsi"/>
          <w:i/>
          <w:iCs/>
        </w:rPr>
        <w:t>“</w:t>
      </w:r>
      <w:r w:rsidRPr="0018293F">
        <w:rPr>
          <w:rFonts w:asciiTheme="majorHAnsi" w:hAnsiTheme="majorHAnsi"/>
          <w:b/>
          <w:bCs/>
          <w:i/>
          <w:iCs/>
        </w:rPr>
        <w:t>Artículo 2: Objetivo del Capítulo II</w:t>
      </w:r>
    </w:p>
    <w:p w14:paraId="676CC837" w14:textId="77777777" w:rsidR="002B31EF" w:rsidRPr="0018293F" w:rsidRDefault="002B31EF" w:rsidP="002B31EF">
      <w:pPr>
        <w:pStyle w:val="Prrafodelista"/>
        <w:jc w:val="both"/>
        <w:rPr>
          <w:rFonts w:asciiTheme="majorHAnsi" w:hAnsiTheme="majorHAnsi"/>
          <w:i/>
          <w:iCs/>
          <w:sz w:val="24"/>
          <w:szCs w:val="24"/>
        </w:rPr>
      </w:pPr>
    </w:p>
    <w:p w14:paraId="5349D446" w14:textId="77777777" w:rsidR="002B31EF" w:rsidRPr="0018293F" w:rsidRDefault="002B31EF" w:rsidP="002B31EF">
      <w:pPr>
        <w:pStyle w:val="Prrafodelista"/>
        <w:spacing w:line="240" w:lineRule="auto"/>
        <w:ind w:left="0"/>
        <w:jc w:val="both"/>
        <w:rPr>
          <w:rFonts w:asciiTheme="majorHAnsi" w:hAnsiTheme="majorHAnsi"/>
          <w:i/>
          <w:iCs/>
          <w:sz w:val="24"/>
          <w:szCs w:val="24"/>
        </w:rPr>
      </w:pPr>
      <w:r w:rsidRPr="0018293F">
        <w:rPr>
          <w:rFonts w:asciiTheme="majorHAnsi" w:hAnsiTheme="majorHAnsi"/>
          <w:i/>
          <w:iCs/>
          <w:sz w:val="24"/>
          <w:szCs w:val="24"/>
        </w:rPr>
        <w:t>Definir las cuentas para el cálculo del Capital Base establecido en los artículos 5, 6, 7 y 8 del Reglamento, a partir del catálogo de cuentas definido en el Reglamento de Información Financiera aprobado por el Consejo Nacional de Supervisión del Sistema Financiero para las Entidades de Seguros.”</w:t>
      </w:r>
    </w:p>
    <w:p w14:paraId="526169A7" w14:textId="77777777" w:rsidR="002B31EF" w:rsidRPr="0018293F" w:rsidRDefault="002B31EF" w:rsidP="002B31EF">
      <w:pPr>
        <w:widowControl w:val="0"/>
        <w:jc w:val="both"/>
        <w:rPr>
          <w:rFonts w:asciiTheme="majorHAnsi" w:hAnsiTheme="majorHAnsi"/>
          <w:b/>
          <w:i/>
          <w:iCs/>
        </w:rPr>
      </w:pPr>
      <w:r w:rsidRPr="0018293F">
        <w:rPr>
          <w:rFonts w:asciiTheme="majorHAnsi" w:hAnsiTheme="majorHAnsi"/>
          <w:b/>
          <w:i/>
          <w:iCs/>
        </w:rPr>
        <w:t>“Artículo 3: Códigos de las Cuentas que intervienen en el cálculo</w:t>
      </w:r>
    </w:p>
    <w:p w14:paraId="7E1F1EE7" w14:textId="77777777" w:rsidR="002B31EF" w:rsidRPr="0018293F" w:rsidRDefault="002B31EF" w:rsidP="002B31EF">
      <w:pPr>
        <w:widowControl w:val="0"/>
        <w:jc w:val="both"/>
        <w:rPr>
          <w:rFonts w:asciiTheme="majorHAnsi" w:hAnsiTheme="majorHAnsi"/>
          <w:b/>
          <w:i/>
          <w:iCs/>
        </w:rPr>
      </w:pPr>
    </w:p>
    <w:p w14:paraId="0AF1920F" w14:textId="77777777" w:rsidR="002B31EF" w:rsidRPr="0018293F" w:rsidRDefault="002B31EF" w:rsidP="002B31EF">
      <w:pPr>
        <w:widowControl w:val="0"/>
        <w:jc w:val="both"/>
        <w:rPr>
          <w:rFonts w:asciiTheme="majorHAnsi" w:hAnsiTheme="majorHAnsi"/>
          <w:bCs/>
          <w:i/>
          <w:iCs/>
        </w:rPr>
      </w:pPr>
      <w:r w:rsidRPr="0018293F">
        <w:rPr>
          <w:rFonts w:asciiTheme="majorHAnsi" w:hAnsiTheme="majorHAnsi"/>
          <w:bCs/>
          <w:i/>
          <w:iCs/>
        </w:rPr>
        <w:t>El capital base se calcula de acuerdo con el siguiente detalle:</w:t>
      </w:r>
    </w:p>
    <w:p w14:paraId="707D12F4" w14:textId="77777777" w:rsidR="002B31EF" w:rsidRPr="0018293F" w:rsidRDefault="002B31EF" w:rsidP="002B31EF">
      <w:pPr>
        <w:widowControl w:val="0"/>
        <w:jc w:val="both"/>
        <w:rPr>
          <w:rFonts w:asciiTheme="majorHAnsi" w:hAnsiTheme="majorHAnsi"/>
          <w:bCs/>
          <w:i/>
          <w:iCs/>
        </w:rPr>
      </w:pPr>
    </w:p>
    <w:p w14:paraId="094CFBC0" w14:textId="77777777" w:rsidR="002B31EF" w:rsidRDefault="002B31EF" w:rsidP="002B31EF">
      <w:pPr>
        <w:spacing w:after="200" w:line="276" w:lineRule="auto"/>
        <w:rPr>
          <w:rFonts w:asciiTheme="majorHAnsi" w:hAnsiTheme="majorHAnsi"/>
          <w:b/>
          <w:i/>
          <w:iCs/>
        </w:rPr>
      </w:pPr>
      <w:r>
        <w:rPr>
          <w:rFonts w:asciiTheme="majorHAnsi" w:hAnsiTheme="majorHAnsi"/>
          <w:b/>
          <w:i/>
          <w:iCs/>
        </w:rPr>
        <w:br w:type="page"/>
      </w:r>
    </w:p>
    <w:p w14:paraId="6962B7CF" w14:textId="77777777" w:rsidR="002B31EF" w:rsidRPr="0018293F" w:rsidRDefault="002B31EF" w:rsidP="002B31EF">
      <w:pPr>
        <w:widowControl w:val="0"/>
        <w:jc w:val="both"/>
        <w:rPr>
          <w:rFonts w:asciiTheme="majorHAnsi" w:hAnsiTheme="majorHAnsi"/>
          <w:b/>
          <w:i/>
          <w:iCs/>
        </w:rPr>
      </w:pPr>
      <w:r w:rsidRPr="0018293F">
        <w:rPr>
          <w:rFonts w:asciiTheme="majorHAnsi" w:hAnsiTheme="majorHAnsi"/>
          <w:b/>
          <w:i/>
          <w:iCs/>
        </w:rPr>
        <w:lastRenderedPageBreak/>
        <w:t xml:space="preserve">CAPITAL PRIMARIO </w:t>
      </w:r>
    </w:p>
    <w:p w14:paraId="0B326FD9" w14:textId="77777777" w:rsidR="002B31EF" w:rsidRPr="0018293F" w:rsidRDefault="002B31EF" w:rsidP="002B31EF">
      <w:pPr>
        <w:widowControl w:val="0"/>
        <w:jc w:val="both"/>
        <w:rPr>
          <w:rFonts w:asciiTheme="majorHAnsi" w:hAnsiTheme="majorHAnsi"/>
          <w:b/>
          <w:i/>
          <w:iCs/>
        </w:rPr>
      </w:pPr>
    </w:p>
    <w:p w14:paraId="28F97DAC" w14:textId="77777777" w:rsidR="002B31EF" w:rsidRPr="0018293F" w:rsidRDefault="002B31EF" w:rsidP="002B31EF">
      <w:pPr>
        <w:widowControl w:val="0"/>
        <w:jc w:val="both"/>
        <w:rPr>
          <w:rFonts w:asciiTheme="majorHAnsi" w:hAnsiTheme="majorHAnsi"/>
          <w:b/>
          <w:i/>
          <w:iCs/>
        </w:rPr>
      </w:pPr>
      <w:r w:rsidRPr="0018293F">
        <w:rPr>
          <w:rFonts w:asciiTheme="majorHAnsi" w:hAnsiTheme="majorHAnsi"/>
          <w:b/>
          <w:i/>
          <w:iCs/>
        </w:rPr>
        <w:t>Partidas que suman:</w:t>
      </w:r>
    </w:p>
    <w:p w14:paraId="0656FEEA" w14:textId="77777777" w:rsidR="002B31EF" w:rsidRPr="0018293F" w:rsidRDefault="002B31EF" w:rsidP="002B31EF">
      <w:pPr>
        <w:widowControl w:val="0"/>
        <w:jc w:val="both"/>
        <w:rPr>
          <w:rFonts w:asciiTheme="majorHAnsi" w:hAnsiTheme="majorHAnsi"/>
          <w:b/>
          <w:i/>
          <w:iCs/>
        </w:rPr>
      </w:pPr>
    </w:p>
    <w:tbl>
      <w:tblPr>
        <w:tblpPr w:leftFromText="141" w:rightFromText="141" w:vertAnchor="text" w:horzAnchor="margin" w:tblpY="-6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9"/>
        <w:gridCol w:w="4101"/>
      </w:tblGrid>
      <w:tr w:rsidR="002B31EF" w:rsidRPr="009C66E6" w14:paraId="3E22B60A" w14:textId="77777777" w:rsidTr="00F7010D">
        <w:trPr>
          <w:trHeight w:val="499"/>
          <w:tblHeader/>
        </w:trPr>
        <w:tc>
          <w:tcPr>
            <w:tcW w:w="2807" w:type="pct"/>
            <w:shd w:val="clear" w:color="auto" w:fill="BFBFBF" w:themeFill="background1" w:themeFillShade="BF"/>
            <w:vAlign w:val="center"/>
          </w:tcPr>
          <w:p w14:paraId="527DF8CD" w14:textId="77777777" w:rsidR="002B31EF" w:rsidRPr="009C66E6" w:rsidRDefault="002B31EF" w:rsidP="00F7010D">
            <w:pPr>
              <w:jc w:val="both"/>
              <w:rPr>
                <w:rFonts w:asciiTheme="majorHAnsi" w:hAnsiTheme="majorHAnsi" w:cs="Arial"/>
                <w:b/>
                <w:i/>
                <w:iCs/>
                <w:sz w:val="22"/>
                <w:szCs w:val="22"/>
              </w:rPr>
            </w:pPr>
            <w:r w:rsidRPr="009C66E6">
              <w:rPr>
                <w:rFonts w:asciiTheme="majorHAnsi" w:hAnsiTheme="majorHAnsi" w:cs="Arial"/>
                <w:b/>
                <w:i/>
                <w:iCs/>
                <w:sz w:val="22"/>
                <w:szCs w:val="22"/>
              </w:rPr>
              <w:t>Número de Cuenta</w:t>
            </w:r>
          </w:p>
        </w:tc>
        <w:tc>
          <w:tcPr>
            <w:tcW w:w="2193" w:type="pct"/>
            <w:shd w:val="clear" w:color="auto" w:fill="BFBFBF" w:themeFill="background1" w:themeFillShade="BF"/>
            <w:vAlign w:val="center"/>
          </w:tcPr>
          <w:p w14:paraId="45BEA73D" w14:textId="77777777" w:rsidR="002B31EF" w:rsidRPr="009C66E6" w:rsidRDefault="002B31EF" w:rsidP="00F7010D">
            <w:pPr>
              <w:jc w:val="both"/>
              <w:rPr>
                <w:rFonts w:asciiTheme="majorHAnsi" w:hAnsiTheme="majorHAnsi" w:cs="Arial"/>
                <w:b/>
                <w:i/>
                <w:iCs/>
                <w:sz w:val="22"/>
                <w:szCs w:val="22"/>
              </w:rPr>
            </w:pPr>
            <w:r w:rsidRPr="009C66E6">
              <w:rPr>
                <w:rFonts w:asciiTheme="majorHAnsi" w:hAnsiTheme="majorHAnsi" w:cs="Arial"/>
                <w:b/>
                <w:i/>
                <w:iCs/>
                <w:sz w:val="22"/>
                <w:szCs w:val="22"/>
              </w:rPr>
              <w:t>Descripción</w:t>
            </w:r>
          </w:p>
        </w:tc>
      </w:tr>
      <w:tr w:rsidR="002B31EF" w:rsidRPr="009C66E6" w14:paraId="29C10BE2" w14:textId="77777777" w:rsidTr="00F7010D">
        <w:trPr>
          <w:trHeight w:val="150"/>
        </w:trPr>
        <w:tc>
          <w:tcPr>
            <w:tcW w:w="2807" w:type="pct"/>
            <w:vAlign w:val="center"/>
          </w:tcPr>
          <w:p w14:paraId="54AE602B"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3.010.010.010</w:t>
            </w:r>
          </w:p>
        </w:tc>
        <w:tc>
          <w:tcPr>
            <w:tcW w:w="2193" w:type="pct"/>
          </w:tcPr>
          <w:p w14:paraId="40AC36D9"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Capital pagado ordinario</w:t>
            </w:r>
          </w:p>
        </w:tc>
      </w:tr>
      <w:tr w:rsidR="002B31EF" w:rsidRPr="009C66E6" w14:paraId="5BA0241F" w14:textId="77777777" w:rsidTr="00F7010D">
        <w:trPr>
          <w:trHeight w:val="159"/>
        </w:trPr>
        <w:tc>
          <w:tcPr>
            <w:tcW w:w="2807" w:type="pct"/>
            <w:vAlign w:val="center"/>
          </w:tcPr>
          <w:p w14:paraId="6DF1A9E7" w14:textId="77777777" w:rsidR="002B31EF" w:rsidRPr="009C66E6" w:rsidRDefault="002B31EF" w:rsidP="00F7010D">
            <w:pPr>
              <w:tabs>
                <w:tab w:val="left" w:pos="2662"/>
              </w:tabs>
              <w:jc w:val="both"/>
              <w:rPr>
                <w:rFonts w:asciiTheme="majorHAnsi" w:hAnsiTheme="majorHAnsi" w:cs="Arial"/>
                <w:i/>
                <w:iCs/>
                <w:sz w:val="22"/>
                <w:szCs w:val="22"/>
              </w:rPr>
            </w:pPr>
            <w:r w:rsidRPr="009C66E6">
              <w:rPr>
                <w:rFonts w:asciiTheme="majorHAnsi" w:hAnsiTheme="majorHAnsi" w:cs="Arial"/>
                <w:i/>
                <w:iCs/>
                <w:sz w:val="22"/>
                <w:szCs w:val="22"/>
              </w:rPr>
              <w:t>3.010.010.</w:t>
            </w:r>
            <w:proofErr w:type="gramStart"/>
            <w:r w:rsidRPr="009C66E6">
              <w:rPr>
                <w:rFonts w:asciiTheme="majorHAnsi" w:hAnsiTheme="majorHAnsi" w:cs="Arial"/>
                <w:i/>
                <w:iCs/>
                <w:sz w:val="22"/>
                <w:szCs w:val="22"/>
              </w:rPr>
              <w:t>020.M.</w:t>
            </w:r>
            <w:proofErr w:type="gramEnd"/>
            <w:r w:rsidRPr="009C66E6">
              <w:rPr>
                <w:rFonts w:asciiTheme="majorHAnsi" w:hAnsiTheme="majorHAnsi" w:cs="Arial"/>
                <w:i/>
                <w:iCs/>
                <w:sz w:val="22"/>
                <w:szCs w:val="22"/>
              </w:rPr>
              <w:t>020</w:t>
            </w:r>
          </w:p>
        </w:tc>
        <w:tc>
          <w:tcPr>
            <w:tcW w:w="2193" w:type="pct"/>
          </w:tcPr>
          <w:p w14:paraId="6B0FE3B9"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Capital preferente con dividendo no acumulativo</w:t>
            </w:r>
          </w:p>
        </w:tc>
      </w:tr>
      <w:tr w:rsidR="002B31EF" w:rsidRPr="009C66E6" w14:paraId="6A0E3E49" w14:textId="77777777" w:rsidTr="00F7010D">
        <w:trPr>
          <w:trHeight w:val="622"/>
        </w:trPr>
        <w:tc>
          <w:tcPr>
            <w:tcW w:w="2807" w:type="pct"/>
            <w:vAlign w:val="center"/>
          </w:tcPr>
          <w:p w14:paraId="2996931A"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3.010.010.060</w:t>
            </w:r>
          </w:p>
        </w:tc>
        <w:tc>
          <w:tcPr>
            <w:tcW w:w="2193" w:type="pct"/>
          </w:tcPr>
          <w:p w14:paraId="10961E1F"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Aportes para el mantenimiento del capital mínimo obligatorio de entidades aseguradoras y reaseguradoras por revaloración de las Unidades de Desarrollo</w:t>
            </w:r>
          </w:p>
        </w:tc>
      </w:tr>
      <w:tr w:rsidR="002B31EF" w:rsidRPr="009C66E6" w14:paraId="07753C14" w14:textId="77777777" w:rsidTr="00F7010D">
        <w:trPr>
          <w:trHeight w:val="150"/>
        </w:trPr>
        <w:tc>
          <w:tcPr>
            <w:tcW w:w="2807" w:type="pct"/>
            <w:vAlign w:val="center"/>
          </w:tcPr>
          <w:p w14:paraId="3F786B1C"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3.010.020</w:t>
            </w:r>
          </w:p>
        </w:tc>
        <w:tc>
          <w:tcPr>
            <w:tcW w:w="2193" w:type="pct"/>
          </w:tcPr>
          <w:p w14:paraId="09B1DCEE"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Capital donado</w:t>
            </w:r>
          </w:p>
        </w:tc>
      </w:tr>
      <w:tr w:rsidR="002B31EF" w:rsidRPr="009C66E6" w14:paraId="6BE537C6" w14:textId="77777777" w:rsidTr="00F7010D">
        <w:trPr>
          <w:trHeight w:val="159"/>
        </w:trPr>
        <w:tc>
          <w:tcPr>
            <w:tcW w:w="2807" w:type="pct"/>
            <w:vAlign w:val="center"/>
          </w:tcPr>
          <w:p w14:paraId="378E85C9"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3.020.010</w:t>
            </w:r>
          </w:p>
        </w:tc>
        <w:tc>
          <w:tcPr>
            <w:tcW w:w="2193" w:type="pct"/>
          </w:tcPr>
          <w:p w14:paraId="71AF4489"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Capital pagado adicional</w:t>
            </w:r>
          </w:p>
        </w:tc>
      </w:tr>
      <w:tr w:rsidR="002B31EF" w:rsidRPr="009C66E6" w14:paraId="5854ADDE" w14:textId="77777777" w:rsidTr="00F7010D">
        <w:trPr>
          <w:trHeight w:val="159"/>
        </w:trPr>
        <w:tc>
          <w:tcPr>
            <w:tcW w:w="2807" w:type="pct"/>
            <w:vAlign w:val="center"/>
          </w:tcPr>
          <w:p w14:paraId="53999872"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3.040.010</w:t>
            </w:r>
          </w:p>
        </w:tc>
        <w:tc>
          <w:tcPr>
            <w:tcW w:w="2193" w:type="pct"/>
          </w:tcPr>
          <w:p w14:paraId="467A2E72"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Reserva Legal</w:t>
            </w:r>
          </w:p>
        </w:tc>
      </w:tr>
    </w:tbl>
    <w:p w14:paraId="439F116A" w14:textId="77777777" w:rsidR="002B31EF" w:rsidRPr="0018293F" w:rsidRDefault="002B31EF" w:rsidP="002B31EF">
      <w:pPr>
        <w:widowControl w:val="0"/>
        <w:jc w:val="both"/>
        <w:rPr>
          <w:rFonts w:asciiTheme="majorHAnsi" w:hAnsiTheme="majorHAnsi"/>
          <w:b/>
          <w:i/>
          <w:iCs/>
        </w:rPr>
      </w:pPr>
    </w:p>
    <w:p w14:paraId="486BDB56" w14:textId="77777777" w:rsidR="002B31EF" w:rsidRPr="0018293F" w:rsidRDefault="002B31EF" w:rsidP="002B31EF">
      <w:pPr>
        <w:widowControl w:val="0"/>
        <w:jc w:val="both"/>
        <w:rPr>
          <w:rFonts w:asciiTheme="majorHAnsi" w:hAnsiTheme="majorHAnsi"/>
          <w:b/>
          <w:i/>
          <w:iCs/>
        </w:rPr>
      </w:pPr>
      <w:r w:rsidRPr="0018293F">
        <w:rPr>
          <w:rFonts w:asciiTheme="majorHAnsi" w:hAnsiTheme="majorHAnsi"/>
          <w:b/>
          <w:i/>
          <w:iCs/>
        </w:rPr>
        <w:t>Partidas que restan</w:t>
      </w:r>
      <w:r w:rsidRPr="0018293F">
        <w:rPr>
          <w:rFonts w:asciiTheme="majorHAnsi" w:hAnsiTheme="majorHAnsi"/>
          <w:b/>
          <w:i/>
          <w:iCs/>
          <w:vertAlign w:val="superscript"/>
        </w:rPr>
        <w:t>1</w:t>
      </w:r>
      <w:r w:rsidRPr="0018293F">
        <w:rPr>
          <w:rFonts w:asciiTheme="majorHAnsi" w:hAnsiTheme="majorHAnsi"/>
          <w:b/>
          <w:i/>
          <w:iCs/>
        </w:rPr>
        <w:t>:</w:t>
      </w:r>
    </w:p>
    <w:p w14:paraId="6CCA452F" w14:textId="77777777" w:rsidR="002B31EF" w:rsidRPr="0018293F" w:rsidRDefault="002B31EF" w:rsidP="002B31EF">
      <w:pPr>
        <w:widowControl w:val="0"/>
        <w:jc w:val="both"/>
        <w:rPr>
          <w:rFonts w:asciiTheme="majorHAnsi" w:hAnsiTheme="majorHAnsi"/>
          <w:b/>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4"/>
        <w:gridCol w:w="3966"/>
      </w:tblGrid>
      <w:tr w:rsidR="002B31EF" w:rsidRPr="009C66E6" w14:paraId="03790D1A" w14:textId="77777777" w:rsidTr="00F7010D">
        <w:trPr>
          <w:trHeight w:val="380"/>
        </w:trPr>
        <w:tc>
          <w:tcPr>
            <w:tcW w:w="2879" w:type="pct"/>
            <w:shd w:val="clear" w:color="auto" w:fill="BFBFBF" w:themeFill="background1" w:themeFillShade="BF"/>
            <w:vAlign w:val="center"/>
          </w:tcPr>
          <w:p w14:paraId="26CD1F33" w14:textId="77777777" w:rsidR="002B31EF" w:rsidRPr="009C66E6" w:rsidRDefault="002B31EF" w:rsidP="00F7010D">
            <w:pPr>
              <w:jc w:val="both"/>
              <w:rPr>
                <w:rFonts w:asciiTheme="majorHAnsi" w:hAnsiTheme="majorHAnsi"/>
                <w:b/>
                <w:i/>
                <w:iCs/>
                <w:sz w:val="22"/>
                <w:szCs w:val="22"/>
              </w:rPr>
            </w:pPr>
            <w:r w:rsidRPr="009C66E6">
              <w:rPr>
                <w:rFonts w:asciiTheme="majorHAnsi" w:hAnsiTheme="majorHAnsi"/>
                <w:b/>
                <w:i/>
                <w:iCs/>
                <w:sz w:val="22"/>
                <w:szCs w:val="22"/>
              </w:rPr>
              <w:t>Número de Cuenta</w:t>
            </w:r>
          </w:p>
        </w:tc>
        <w:tc>
          <w:tcPr>
            <w:tcW w:w="2121" w:type="pct"/>
            <w:shd w:val="clear" w:color="auto" w:fill="BFBFBF" w:themeFill="background1" w:themeFillShade="BF"/>
            <w:vAlign w:val="center"/>
          </w:tcPr>
          <w:p w14:paraId="2632BC93" w14:textId="77777777" w:rsidR="002B31EF" w:rsidRPr="009C66E6" w:rsidRDefault="002B31EF" w:rsidP="00F7010D">
            <w:pPr>
              <w:jc w:val="both"/>
              <w:rPr>
                <w:rFonts w:asciiTheme="majorHAnsi" w:hAnsiTheme="majorHAnsi"/>
                <w:b/>
                <w:i/>
                <w:iCs/>
                <w:sz w:val="22"/>
                <w:szCs w:val="22"/>
              </w:rPr>
            </w:pPr>
            <w:r w:rsidRPr="009C66E6">
              <w:rPr>
                <w:rFonts w:asciiTheme="majorHAnsi" w:hAnsiTheme="majorHAnsi"/>
                <w:b/>
                <w:i/>
                <w:iCs/>
                <w:sz w:val="22"/>
                <w:szCs w:val="22"/>
              </w:rPr>
              <w:t>Descripción</w:t>
            </w:r>
          </w:p>
        </w:tc>
      </w:tr>
      <w:tr w:rsidR="002B31EF" w:rsidRPr="009C66E6" w14:paraId="3E1B26D3" w14:textId="77777777" w:rsidTr="00F7010D">
        <w:trPr>
          <w:trHeight w:val="197"/>
        </w:trPr>
        <w:tc>
          <w:tcPr>
            <w:tcW w:w="2879" w:type="pct"/>
            <w:vAlign w:val="center"/>
          </w:tcPr>
          <w:p w14:paraId="55F84CAD" w14:textId="77777777" w:rsidR="002B31EF" w:rsidRPr="009C66E6" w:rsidRDefault="002B31EF" w:rsidP="00F7010D">
            <w:pPr>
              <w:jc w:val="both"/>
              <w:rPr>
                <w:rFonts w:asciiTheme="majorHAnsi" w:hAnsiTheme="majorHAnsi"/>
                <w:i/>
                <w:iCs/>
                <w:sz w:val="22"/>
                <w:szCs w:val="22"/>
              </w:rPr>
            </w:pPr>
            <w:r w:rsidRPr="009C66E6">
              <w:rPr>
                <w:rFonts w:asciiTheme="majorHAnsi" w:hAnsiTheme="majorHAnsi"/>
                <w:i/>
                <w:iCs/>
                <w:sz w:val="22"/>
                <w:szCs w:val="22"/>
              </w:rPr>
              <w:t>1.090.060.020</w:t>
            </w:r>
          </w:p>
        </w:tc>
        <w:tc>
          <w:tcPr>
            <w:tcW w:w="2121" w:type="pct"/>
          </w:tcPr>
          <w:p w14:paraId="31A26576" w14:textId="77777777" w:rsidR="002B31EF" w:rsidRPr="009C66E6" w:rsidRDefault="002B31EF" w:rsidP="00F7010D">
            <w:pPr>
              <w:jc w:val="both"/>
              <w:rPr>
                <w:rFonts w:asciiTheme="majorHAnsi" w:hAnsiTheme="majorHAnsi"/>
                <w:i/>
                <w:iCs/>
                <w:sz w:val="22"/>
                <w:szCs w:val="22"/>
              </w:rPr>
            </w:pPr>
            <w:r w:rsidRPr="009C66E6">
              <w:rPr>
                <w:rFonts w:asciiTheme="majorHAnsi" w:hAnsiTheme="majorHAnsi"/>
                <w:i/>
                <w:iCs/>
                <w:sz w:val="22"/>
                <w:szCs w:val="22"/>
              </w:rPr>
              <w:t>Plusvalía comprada</w:t>
            </w:r>
          </w:p>
        </w:tc>
      </w:tr>
      <w:tr w:rsidR="002B31EF" w:rsidRPr="009C66E6" w14:paraId="1EDAD10A" w14:textId="77777777" w:rsidTr="00F7010D">
        <w:trPr>
          <w:trHeight w:val="212"/>
        </w:trPr>
        <w:tc>
          <w:tcPr>
            <w:tcW w:w="2879" w:type="pct"/>
            <w:vAlign w:val="center"/>
          </w:tcPr>
          <w:p w14:paraId="32AD4704" w14:textId="77777777" w:rsidR="002B31EF" w:rsidRPr="009C66E6" w:rsidRDefault="002B31EF" w:rsidP="00F7010D">
            <w:pPr>
              <w:tabs>
                <w:tab w:val="left" w:pos="2662"/>
              </w:tabs>
              <w:jc w:val="both"/>
              <w:rPr>
                <w:rFonts w:asciiTheme="majorHAnsi" w:hAnsiTheme="majorHAnsi"/>
                <w:i/>
                <w:iCs/>
                <w:sz w:val="22"/>
                <w:szCs w:val="22"/>
              </w:rPr>
            </w:pPr>
            <w:r w:rsidRPr="009C66E6">
              <w:rPr>
                <w:rFonts w:asciiTheme="majorHAnsi" w:hAnsiTheme="majorHAnsi"/>
                <w:i/>
                <w:iCs/>
                <w:sz w:val="22"/>
                <w:szCs w:val="22"/>
              </w:rPr>
              <w:t>3.010.050.010</w:t>
            </w:r>
          </w:p>
        </w:tc>
        <w:tc>
          <w:tcPr>
            <w:tcW w:w="2121" w:type="pct"/>
          </w:tcPr>
          <w:p w14:paraId="3C8A408A" w14:textId="77777777" w:rsidR="002B31EF" w:rsidRPr="009C66E6" w:rsidRDefault="002B31EF" w:rsidP="00F7010D">
            <w:pPr>
              <w:jc w:val="both"/>
              <w:rPr>
                <w:rFonts w:asciiTheme="majorHAnsi" w:hAnsiTheme="majorHAnsi"/>
                <w:i/>
                <w:iCs/>
                <w:sz w:val="22"/>
                <w:szCs w:val="22"/>
              </w:rPr>
            </w:pPr>
            <w:r w:rsidRPr="009C66E6">
              <w:rPr>
                <w:rFonts w:asciiTheme="majorHAnsi" w:hAnsiTheme="majorHAnsi"/>
                <w:i/>
                <w:iCs/>
                <w:sz w:val="22"/>
                <w:szCs w:val="22"/>
              </w:rPr>
              <w:t>Acciones en Tesorería - Capital ordinario-</w:t>
            </w:r>
          </w:p>
        </w:tc>
      </w:tr>
      <w:tr w:rsidR="002B31EF" w:rsidRPr="009C66E6" w14:paraId="69FA93FF" w14:textId="77777777" w:rsidTr="00F7010D">
        <w:trPr>
          <w:trHeight w:val="456"/>
        </w:trPr>
        <w:tc>
          <w:tcPr>
            <w:tcW w:w="2879" w:type="pct"/>
            <w:vAlign w:val="center"/>
          </w:tcPr>
          <w:p w14:paraId="4B923D7B" w14:textId="77777777" w:rsidR="002B31EF" w:rsidRPr="009C66E6" w:rsidRDefault="002B31EF" w:rsidP="00F7010D">
            <w:pPr>
              <w:jc w:val="both"/>
              <w:rPr>
                <w:rFonts w:asciiTheme="majorHAnsi" w:hAnsiTheme="majorHAnsi"/>
                <w:i/>
                <w:iCs/>
                <w:sz w:val="22"/>
                <w:szCs w:val="22"/>
              </w:rPr>
            </w:pPr>
            <w:r w:rsidRPr="009C66E6">
              <w:rPr>
                <w:rFonts w:asciiTheme="majorHAnsi" w:hAnsiTheme="majorHAnsi"/>
                <w:i/>
                <w:iCs/>
                <w:sz w:val="22"/>
                <w:szCs w:val="22"/>
              </w:rPr>
              <w:t>3.010.050.</w:t>
            </w:r>
            <w:proofErr w:type="gramStart"/>
            <w:r w:rsidRPr="009C66E6">
              <w:rPr>
                <w:rFonts w:asciiTheme="majorHAnsi" w:hAnsiTheme="majorHAnsi"/>
                <w:i/>
                <w:iCs/>
                <w:sz w:val="22"/>
                <w:szCs w:val="22"/>
              </w:rPr>
              <w:t>020.</w:t>
            </w:r>
            <w:r w:rsidRPr="009C66E6">
              <w:rPr>
                <w:rFonts w:asciiTheme="majorHAnsi" w:hAnsiTheme="majorHAnsi" w:cs="Arial"/>
                <w:i/>
                <w:iCs/>
                <w:sz w:val="22"/>
                <w:szCs w:val="22"/>
              </w:rPr>
              <w:t>M</w:t>
            </w:r>
            <w:r w:rsidRPr="009C66E6">
              <w:rPr>
                <w:rFonts w:asciiTheme="majorHAnsi" w:hAnsiTheme="majorHAnsi"/>
                <w:i/>
                <w:iCs/>
                <w:sz w:val="22"/>
                <w:szCs w:val="22"/>
              </w:rPr>
              <w:t>.</w:t>
            </w:r>
            <w:proofErr w:type="gramEnd"/>
            <w:r w:rsidRPr="009C66E6">
              <w:rPr>
                <w:rFonts w:asciiTheme="majorHAnsi" w:hAnsiTheme="majorHAnsi"/>
                <w:i/>
                <w:iCs/>
                <w:sz w:val="22"/>
                <w:szCs w:val="22"/>
              </w:rPr>
              <w:t>020</w:t>
            </w:r>
          </w:p>
        </w:tc>
        <w:tc>
          <w:tcPr>
            <w:tcW w:w="2121" w:type="pct"/>
          </w:tcPr>
          <w:p w14:paraId="444D7126" w14:textId="77777777" w:rsidR="002B31EF" w:rsidRPr="009C66E6" w:rsidRDefault="002B31EF" w:rsidP="00F7010D">
            <w:pPr>
              <w:tabs>
                <w:tab w:val="left" w:pos="3047"/>
              </w:tabs>
              <w:jc w:val="both"/>
              <w:rPr>
                <w:rFonts w:asciiTheme="majorHAnsi" w:hAnsiTheme="majorHAnsi"/>
                <w:i/>
                <w:iCs/>
                <w:sz w:val="22"/>
                <w:szCs w:val="22"/>
              </w:rPr>
            </w:pPr>
            <w:r w:rsidRPr="009C66E6">
              <w:rPr>
                <w:rFonts w:asciiTheme="majorHAnsi" w:hAnsiTheme="majorHAnsi"/>
                <w:i/>
                <w:iCs/>
                <w:sz w:val="22"/>
                <w:szCs w:val="22"/>
              </w:rPr>
              <w:t>Acciones en Tesorería -Capital pagado preferente con dividendo no acumulativo-</w:t>
            </w:r>
          </w:p>
        </w:tc>
      </w:tr>
      <w:tr w:rsidR="002B31EF" w:rsidRPr="009C66E6" w14:paraId="6ED6B240" w14:textId="77777777" w:rsidTr="00F7010D">
        <w:trPr>
          <w:trHeight w:val="669"/>
        </w:trPr>
        <w:tc>
          <w:tcPr>
            <w:tcW w:w="2879" w:type="pct"/>
            <w:vAlign w:val="center"/>
          </w:tcPr>
          <w:p w14:paraId="4D0C8BA2" w14:textId="77777777" w:rsidR="002B31EF" w:rsidRPr="009C66E6" w:rsidRDefault="002B31EF" w:rsidP="00F7010D">
            <w:pPr>
              <w:jc w:val="both"/>
              <w:rPr>
                <w:rFonts w:asciiTheme="majorHAnsi" w:hAnsiTheme="majorHAnsi"/>
                <w:i/>
                <w:iCs/>
                <w:sz w:val="22"/>
                <w:szCs w:val="22"/>
              </w:rPr>
            </w:pPr>
            <w:r w:rsidRPr="009C66E6">
              <w:rPr>
                <w:rFonts w:asciiTheme="majorHAnsi" w:hAnsiTheme="majorHAnsi"/>
                <w:i/>
                <w:iCs/>
                <w:sz w:val="22"/>
                <w:szCs w:val="22"/>
              </w:rPr>
              <w:t>IA302002000000</w:t>
            </w:r>
          </w:p>
        </w:tc>
        <w:tc>
          <w:tcPr>
            <w:tcW w:w="2121" w:type="pct"/>
          </w:tcPr>
          <w:p w14:paraId="75559233" w14:textId="77777777" w:rsidR="002B31EF" w:rsidRPr="009C66E6" w:rsidRDefault="002B31EF" w:rsidP="00F7010D">
            <w:pPr>
              <w:jc w:val="both"/>
              <w:rPr>
                <w:rFonts w:asciiTheme="majorHAnsi" w:hAnsiTheme="majorHAnsi"/>
                <w:i/>
                <w:iCs/>
                <w:sz w:val="22"/>
                <w:szCs w:val="22"/>
              </w:rPr>
            </w:pPr>
            <w:r w:rsidRPr="009C66E6">
              <w:rPr>
                <w:rFonts w:asciiTheme="majorHAnsi" w:hAnsiTheme="majorHAnsi"/>
                <w:i/>
                <w:iCs/>
                <w:sz w:val="22"/>
                <w:szCs w:val="22"/>
              </w:rPr>
              <w:t>El valor en libros de las acciones de la misma entidad recibidas en garantía de operaciones crediticias.</w:t>
            </w:r>
          </w:p>
        </w:tc>
      </w:tr>
      <w:tr w:rsidR="002B31EF" w:rsidRPr="009C66E6" w14:paraId="78942A6E" w14:textId="77777777" w:rsidTr="00F7010D">
        <w:trPr>
          <w:trHeight w:val="1137"/>
        </w:trPr>
        <w:tc>
          <w:tcPr>
            <w:tcW w:w="2879" w:type="pct"/>
            <w:vAlign w:val="center"/>
          </w:tcPr>
          <w:p w14:paraId="3D8127AD" w14:textId="77777777" w:rsidR="002B31EF" w:rsidRPr="009C66E6" w:rsidRDefault="002B31EF" w:rsidP="00F7010D">
            <w:pPr>
              <w:jc w:val="both"/>
              <w:rPr>
                <w:rFonts w:asciiTheme="majorHAnsi" w:hAnsiTheme="majorHAnsi"/>
                <w:i/>
                <w:iCs/>
                <w:sz w:val="22"/>
                <w:szCs w:val="22"/>
              </w:rPr>
            </w:pPr>
            <w:r w:rsidRPr="009C66E6">
              <w:rPr>
                <w:rFonts w:asciiTheme="majorHAnsi" w:hAnsiTheme="majorHAnsi"/>
                <w:i/>
                <w:iCs/>
                <w:sz w:val="22"/>
                <w:szCs w:val="22"/>
              </w:rPr>
              <w:t>IA306000000000</w:t>
            </w:r>
          </w:p>
        </w:tc>
        <w:tc>
          <w:tcPr>
            <w:tcW w:w="2121" w:type="pct"/>
          </w:tcPr>
          <w:p w14:paraId="1EDBFD61" w14:textId="77777777" w:rsidR="002B31EF" w:rsidRPr="009C66E6" w:rsidRDefault="002B31EF" w:rsidP="00F7010D">
            <w:pPr>
              <w:jc w:val="both"/>
              <w:rPr>
                <w:rFonts w:asciiTheme="majorHAnsi" w:hAnsiTheme="majorHAnsi"/>
                <w:i/>
                <w:iCs/>
                <w:sz w:val="22"/>
                <w:szCs w:val="22"/>
              </w:rPr>
            </w:pPr>
            <w:r w:rsidRPr="009C66E6">
              <w:rPr>
                <w:rFonts w:asciiTheme="majorHAnsi" w:hAnsiTheme="majorHAnsi"/>
                <w:i/>
                <w:iCs/>
                <w:sz w:val="22"/>
                <w:szCs w:val="22"/>
              </w:rPr>
              <w:t xml:space="preserve">Monto máximo </w:t>
            </w:r>
            <w:proofErr w:type="gramStart"/>
            <w:r w:rsidRPr="009C66E6">
              <w:rPr>
                <w:rFonts w:asciiTheme="majorHAnsi" w:hAnsiTheme="majorHAnsi"/>
                <w:i/>
                <w:iCs/>
                <w:sz w:val="22"/>
                <w:szCs w:val="22"/>
              </w:rPr>
              <w:t>que</w:t>
            </w:r>
            <w:proofErr w:type="gramEnd"/>
            <w:r w:rsidRPr="009C66E6">
              <w:rPr>
                <w:rFonts w:asciiTheme="majorHAnsi" w:hAnsiTheme="majorHAnsi"/>
                <w:i/>
                <w:iCs/>
                <w:sz w:val="22"/>
                <w:szCs w:val="22"/>
              </w:rPr>
              <w:t xml:space="preserve"> según estatutos, puede destinarse para cubrir el retiro de los aportes hechos por parte de los asociados, para el caso de cooperativas de seguros, al concluir el ejercicio económico</w:t>
            </w:r>
          </w:p>
        </w:tc>
      </w:tr>
      <w:tr w:rsidR="002B31EF" w:rsidRPr="009C66E6" w14:paraId="68288CD1" w14:textId="77777777" w:rsidTr="00F7010D">
        <w:trPr>
          <w:trHeight w:val="684"/>
        </w:trPr>
        <w:tc>
          <w:tcPr>
            <w:tcW w:w="2879" w:type="pct"/>
            <w:vAlign w:val="center"/>
          </w:tcPr>
          <w:p w14:paraId="672CC701" w14:textId="77777777" w:rsidR="002B31EF" w:rsidRPr="009C66E6" w:rsidRDefault="002B31EF" w:rsidP="00F7010D">
            <w:pPr>
              <w:jc w:val="both"/>
              <w:rPr>
                <w:rFonts w:asciiTheme="majorHAnsi" w:hAnsiTheme="majorHAnsi"/>
                <w:i/>
                <w:iCs/>
                <w:sz w:val="22"/>
                <w:szCs w:val="22"/>
              </w:rPr>
            </w:pPr>
            <w:r w:rsidRPr="009C66E6">
              <w:rPr>
                <w:rFonts w:asciiTheme="majorHAnsi" w:hAnsiTheme="majorHAnsi"/>
                <w:i/>
                <w:iCs/>
                <w:sz w:val="22"/>
                <w:szCs w:val="22"/>
              </w:rPr>
              <w:t>IA301000000001</w:t>
            </w:r>
          </w:p>
        </w:tc>
        <w:tc>
          <w:tcPr>
            <w:tcW w:w="2121" w:type="pct"/>
          </w:tcPr>
          <w:p w14:paraId="3BDB53BF" w14:textId="77777777" w:rsidR="002B31EF" w:rsidRPr="009C66E6" w:rsidRDefault="002B31EF" w:rsidP="00F7010D">
            <w:pPr>
              <w:jc w:val="both"/>
              <w:rPr>
                <w:rFonts w:asciiTheme="majorHAnsi" w:hAnsiTheme="majorHAnsi"/>
                <w:i/>
                <w:iCs/>
                <w:sz w:val="22"/>
                <w:szCs w:val="22"/>
              </w:rPr>
            </w:pPr>
            <w:r w:rsidRPr="009C66E6">
              <w:rPr>
                <w:rFonts w:asciiTheme="majorHAnsi" w:hAnsiTheme="majorHAnsi"/>
                <w:i/>
                <w:iCs/>
                <w:sz w:val="22"/>
                <w:szCs w:val="22"/>
              </w:rPr>
              <w:t>Capital adicional extraordinario requerido por el supervisor debido a riesgos no contemplados en el régimen de solvencia</w:t>
            </w:r>
          </w:p>
        </w:tc>
      </w:tr>
    </w:tbl>
    <w:p w14:paraId="76AF243C" w14:textId="77777777" w:rsidR="002B31EF" w:rsidRPr="009C66E6" w:rsidRDefault="002B31EF" w:rsidP="002B31EF">
      <w:pPr>
        <w:pStyle w:val="Prrafodelista"/>
        <w:spacing w:line="240" w:lineRule="auto"/>
        <w:ind w:left="0"/>
        <w:jc w:val="both"/>
        <w:rPr>
          <w:rFonts w:asciiTheme="majorHAnsi" w:hAnsiTheme="majorHAnsi"/>
        </w:rPr>
      </w:pPr>
      <w:r w:rsidRPr="009C66E6">
        <w:rPr>
          <w:rFonts w:asciiTheme="majorHAnsi" w:hAnsiTheme="majorHAnsi"/>
          <w:vertAlign w:val="superscript"/>
        </w:rPr>
        <w:t xml:space="preserve">1 </w:t>
      </w:r>
      <w:proofErr w:type="gramStart"/>
      <w:r w:rsidRPr="009C66E6">
        <w:rPr>
          <w:rFonts w:asciiTheme="majorHAnsi" w:hAnsiTheme="majorHAnsi"/>
        </w:rPr>
        <w:t>El</w:t>
      </w:r>
      <w:proofErr w:type="gramEnd"/>
      <w:r w:rsidRPr="009C66E6">
        <w:rPr>
          <w:rFonts w:asciiTheme="majorHAnsi" w:hAnsiTheme="majorHAnsi"/>
        </w:rPr>
        <w:t xml:space="preserve"> saldo de estas partidas debe considerarse en términos brutos.</w:t>
      </w:r>
    </w:p>
    <w:p w14:paraId="380E0ABB" w14:textId="77777777" w:rsidR="002B31EF" w:rsidRPr="0018293F" w:rsidRDefault="002B31EF" w:rsidP="002B31EF">
      <w:pPr>
        <w:pStyle w:val="Prrafodelista"/>
        <w:widowControl w:val="0"/>
        <w:spacing w:line="240" w:lineRule="auto"/>
        <w:ind w:left="0"/>
        <w:jc w:val="center"/>
        <w:rPr>
          <w:rFonts w:asciiTheme="majorHAnsi" w:hAnsiTheme="majorHAnsi"/>
          <w:b/>
          <w:i/>
          <w:iCs/>
          <w:sz w:val="24"/>
          <w:szCs w:val="24"/>
        </w:rPr>
      </w:pPr>
    </w:p>
    <w:p w14:paraId="0DBE885F" w14:textId="77777777" w:rsidR="002B31EF" w:rsidRPr="0018293F" w:rsidRDefault="002B31EF" w:rsidP="002B31EF">
      <w:pPr>
        <w:pStyle w:val="Prrafodelista"/>
        <w:widowControl w:val="0"/>
        <w:spacing w:line="240" w:lineRule="auto"/>
        <w:ind w:left="0"/>
        <w:jc w:val="center"/>
        <w:rPr>
          <w:rFonts w:asciiTheme="majorHAnsi" w:hAnsiTheme="majorHAnsi"/>
          <w:b/>
          <w:i/>
          <w:iCs/>
          <w:sz w:val="24"/>
          <w:szCs w:val="24"/>
        </w:rPr>
      </w:pPr>
      <w:r w:rsidRPr="0018293F">
        <w:rPr>
          <w:rFonts w:asciiTheme="majorHAnsi" w:hAnsiTheme="majorHAnsi"/>
          <w:b/>
          <w:i/>
          <w:iCs/>
          <w:sz w:val="24"/>
          <w:szCs w:val="24"/>
        </w:rPr>
        <w:lastRenderedPageBreak/>
        <w:t>CAPITAL SECUNDARIO</w:t>
      </w:r>
      <w:r w:rsidRPr="0018293F">
        <w:rPr>
          <w:rFonts w:asciiTheme="majorHAnsi" w:hAnsiTheme="majorHAnsi"/>
          <w:b/>
          <w:i/>
          <w:iCs/>
          <w:sz w:val="24"/>
          <w:szCs w:val="24"/>
          <w:vertAlign w:val="superscript"/>
        </w:rPr>
        <w:t>2</w:t>
      </w:r>
    </w:p>
    <w:p w14:paraId="61824F38" w14:textId="77777777" w:rsidR="002B31EF" w:rsidRPr="0018293F" w:rsidRDefault="002B31EF" w:rsidP="002B31EF">
      <w:pPr>
        <w:pStyle w:val="Prrafodelista"/>
        <w:widowControl w:val="0"/>
        <w:spacing w:line="240" w:lineRule="auto"/>
        <w:ind w:left="0"/>
        <w:jc w:val="both"/>
        <w:rPr>
          <w:rFonts w:asciiTheme="majorHAnsi" w:hAnsiTheme="majorHAnsi"/>
          <w:b/>
          <w:i/>
          <w:iCs/>
          <w:sz w:val="24"/>
          <w:szCs w:val="24"/>
        </w:rPr>
      </w:pPr>
    </w:p>
    <w:p w14:paraId="5F2605B6" w14:textId="77777777" w:rsidR="002B31EF" w:rsidRPr="0018293F" w:rsidRDefault="002B31EF" w:rsidP="002B31EF">
      <w:pPr>
        <w:pStyle w:val="Prrafodelista"/>
        <w:widowControl w:val="0"/>
        <w:spacing w:line="240" w:lineRule="auto"/>
        <w:ind w:left="0"/>
        <w:jc w:val="both"/>
        <w:rPr>
          <w:rFonts w:asciiTheme="majorHAnsi" w:hAnsiTheme="majorHAnsi"/>
          <w:b/>
          <w:i/>
          <w:iCs/>
          <w:sz w:val="24"/>
          <w:szCs w:val="24"/>
        </w:rPr>
      </w:pPr>
      <w:r w:rsidRPr="0018293F">
        <w:rPr>
          <w:rFonts w:asciiTheme="majorHAnsi" w:hAnsiTheme="majorHAnsi"/>
          <w:b/>
          <w:i/>
          <w:iCs/>
          <w:sz w:val="24"/>
          <w:szCs w:val="24"/>
        </w:rPr>
        <w:t>Partidas que suman: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8"/>
        <w:gridCol w:w="3972"/>
      </w:tblGrid>
      <w:tr w:rsidR="002B31EF" w:rsidRPr="009C66E6" w14:paraId="5BC28113" w14:textId="77777777" w:rsidTr="00F7010D">
        <w:trPr>
          <w:cantSplit/>
          <w:trHeight w:val="472"/>
          <w:tblHeader/>
        </w:trPr>
        <w:tc>
          <w:tcPr>
            <w:tcW w:w="2876" w:type="pct"/>
            <w:shd w:val="clear" w:color="auto" w:fill="BFBFBF" w:themeFill="background1" w:themeFillShade="BF"/>
            <w:vAlign w:val="center"/>
          </w:tcPr>
          <w:p w14:paraId="50B6064F" w14:textId="77777777" w:rsidR="002B31EF" w:rsidRPr="009C66E6" w:rsidRDefault="002B31EF" w:rsidP="00F7010D">
            <w:pPr>
              <w:jc w:val="both"/>
              <w:rPr>
                <w:rFonts w:asciiTheme="majorHAnsi" w:hAnsiTheme="majorHAnsi" w:cs="Arial"/>
                <w:b/>
                <w:i/>
                <w:iCs/>
                <w:sz w:val="22"/>
                <w:szCs w:val="22"/>
              </w:rPr>
            </w:pPr>
            <w:r w:rsidRPr="009C66E6">
              <w:rPr>
                <w:rFonts w:asciiTheme="majorHAnsi" w:hAnsiTheme="majorHAnsi" w:cs="Arial"/>
                <w:b/>
                <w:i/>
                <w:iCs/>
                <w:sz w:val="22"/>
                <w:szCs w:val="22"/>
              </w:rPr>
              <w:t>Número de Cuenta</w:t>
            </w:r>
          </w:p>
        </w:tc>
        <w:tc>
          <w:tcPr>
            <w:tcW w:w="2124" w:type="pct"/>
            <w:shd w:val="clear" w:color="auto" w:fill="BFBFBF" w:themeFill="background1" w:themeFillShade="BF"/>
            <w:vAlign w:val="center"/>
          </w:tcPr>
          <w:p w14:paraId="721CF3D1" w14:textId="77777777" w:rsidR="002B31EF" w:rsidRPr="009C66E6" w:rsidRDefault="002B31EF" w:rsidP="00F7010D">
            <w:pPr>
              <w:jc w:val="both"/>
              <w:rPr>
                <w:rFonts w:asciiTheme="majorHAnsi" w:hAnsiTheme="majorHAnsi" w:cs="Arial"/>
                <w:b/>
                <w:i/>
                <w:iCs/>
                <w:sz w:val="22"/>
                <w:szCs w:val="22"/>
              </w:rPr>
            </w:pPr>
            <w:r w:rsidRPr="009C66E6">
              <w:rPr>
                <w:rFonts w:asciiTheme="majorHAnsi" w:hAnsiTheme="majorHAnsi" w:cs="Arial"/>
                <w:b/>
                <w:i/>
                <w:iCs/>
                <w:sz w:val="22"/>
                <w:szCs w:val="22"/>
              </w:rPr>
              <w:t>Descripción</w:t>
            </w:r>
          </w:p>
        </w:tc>
      </w:tr>
      <w:tr w:rsidR="002B31EF" w:rsidRPr="009C66E6" w14:paraId="24AB43F1" w14:textId="77777777" w:rsidTr="00F7010D">
        <w:trPr>
          <w:cantSplit/>
          <w:trHeight w:val="230"/>
        </w:trPr>
        <w:tc>
          <w:tcPr>
            <w:tcW w:w="2876" w:type="pct"/>
            <w:vAlign w:val="center"/>
          </w:tcPr>
          <w:p w14:paraId="4FDEA253"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3.010.010.</w:t>
            </w:r>
            <w:proofErr w:type="gramStart"/>
            <w:r w:rsidRPr="009C66E6">
              <w:rPr>
                <w:rFonts w:asciiTheme="majorHAnsi" w:hAnsiTheme="majorHAnsi" w:cs="Arial"/>
                <w:i/>
                <w:iCs/>
                <w:sz w:val="22"/>
                <w:szCs w:val="22"/>
              </w:rPr>
              <w:t>020.M.</w:t>
            </w:r>
            <w:proofErr w:type="gramEnd"/>
            <w:r w:rsidRPr="009C66E6">
              <w:rPr>
                <w:rFonts w:asciiTheme="majorHAnsi" w:hAnsiTheme="majorHAnsi" w:cs="Arial"/>
                <w:i/>
                <w:iCs/>
                <w:sz w:val="22"/>
                <w:szCs w:val="22"/>
              </w:rPr>
              <w:t>010</w:t>
            </w:r>
          </w:p>
        </w:tc>
        <w:tc>
          <w:tcPr>
            <w:tcW w:w="2124" w:type="pct"/>
          </w:tcPr>
          <w:p w14:paraId="2B061DA0"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Capital preferente con dividendo acumulativo</w:t>
            </w:r>
          </w:p>
        </w:tc>
      </w:tr>
      <w:tr w:rsidR="002B31EF" w:rsidRPr="009C66E6" w14:paraId="542B60B3" w14:textId="77777777" w:rsidTr="00F7010D">
        <w:trPr>
          <w:cantSplit/>
          <w:trHeight w:val="246"/>
        </w:trPr>
        <w:tc>
          <w:tcPr>
            <w:tcW w:w="2876" w:type="pct"/>
            <w:vAlign w:val="center"/>
          </w:tcPr>
          <w:p w14:paraId="595A2C99" w14:textId="77777777" w:rsidR="002B31EF" w:rsidRPr="009C66E6" w:rsidRDefault="002B31EF" w:rsidP="00F7010D">
            <w:pPr>
              <w:tabs>
                <w:tab w:val="left" w:pos="2662"/>
              </w:tabs>
              <w:jc w:val="both"/>
              <w:rPr>
                <w:rFonts w:asciiTheme="majorHAnsi" w:hAnsiTheme="majorHAnsi" w:cs="Arial"/>
                <w:i/>
                <w:iCs/>
                <w:sz w:val="22"/>
                <w:szCs w:val="22"/>
              </w:rPr>
            </w:pPr>
            <w:r w:rsidRPr="009C66E6">
              <w:rPr>
                <w:rFonts w:asciiTheme="majorHAnsi" w:hAnsiTheme="majorHAnsi" w:cs="Arial"/>
                <w:i/>
                <w:iCs/>
                <w:sz w:val="22"/>
                <w:szCs w:val="22"/>
              </w:rPr>
              <w:t>3.020.020</w:t>
            </w:r>
          </w:p>
        </w:tc>
        <w:tc>
          <w:tcPr>
            <w:tcW w:w="2124" w:type="pct"/>
          </w:tcPr>
          <w:p w14:paraId="736DBE53" w14:textId="77777777" w:rsidR="002B31EF" w:rsidRPr="009C66E6" w:rsidRDefault="002B31EF" w:rsidP="00F7010D">
            <w:pPr>
              <w:tabs>
                <w:tab w:val="left" w:pos="1507"/>
              </w:tabs>
              <w:jc w:val="both"/>
              <w:rPr>
                <w:rFonts w:asciiTheme="majorHAnsi" w:hAnsiTheme="majorHAnsi" w:cs="Arial"/>
                <w:i/>
                <w:iCs/>
                <w:sz w:val="22"/>
                <w:szCs w:val="22"/>
              </w:rPr>
            </w:pPr>
            <w:r w:rsidRPr="009C66E6">
              <w:rPr>
                <w:rFonts w:asciiTheme="majorHAnsi" w:hAnsiTheme="majorHAnsi" w:cs="Arial"/>
                <w:i/>
                <w:iCs/>
                <w:sz w:val="22"/>
                <w:szCs w:val="22"/>
              </w:rPr>
              <w:t>Aportes para incrementos de capital</w:t>
            </w:r>
          </w:p>
        </w:tc>
      </w:tr>
      <w:tr w:rsidR="002B31EF" w:rsidRPr="009C66E6" w14:paraId="63E4EC8F" w14:textId="77777777" w:rsidTr="00F7010D">
        <w:trPr>
          <w:cantSplit/>
          <w:trHeight w:val="535"/>
        </w:trPr>
        <w:tc>
          <w:tcPr>
            <w:tcW w:w="2876" w:type="pct"/>
            <w:vAlign w:val="center"/>
          </w:tcPr>
          <w:p w14:paraId="1F299842"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3.020.030</w:t>
            </w:r>
          </w:p>
        </w:tc>
        <w:tc>
          <w:tcPr>
            <w:tcW w:w="2124" w:type="pct"/>
          </w:tcPr>
          <w:p w14:paraId="19C2DEAA" w14:textId="77777777" w:rsidR="002B31EF" w:rsidRPr="009C66E6" w:rsidRDefault="002B31EF" w:rsidP="00F7010D">
            <w:pPr>
              <w:tabs>
                <w:tab w:val="left" w:pos="3047"/>
              </w:tabs>
              <w:jc w:val="both"/>
              <w:rPr>
                <w:rFonts w:asciiTheme="majorHAnsi" w:hAnsiTheme="majorHAnsi" w:cs="Arial"/>
                <w:i/>
                <w:iCs/>
                <w:sz w:val="22"/>
                <w:szCs w:val="22"/>
              </w:rPr>
            </w:pPr>
            <w:r w:rsidRPr="009C66E6">
              <w:rPr>
                <w:rFonts w:asciiTheme="majorHAnsi" w:hAnsiTheme="majorHAnsi" w:cs="Arial"/>
                <w:i/>
                <w:iCs/>
                <w:sz w:val="22"/>
                <w:szCs w:val="22"/>
              </w:rPr>
              <w:t>Donaciones y otras contribuciones no capitalizables</w:t>
            </w:r>
          </w:p>
        </w:tc>
      </w:tr>
      <w:tr w:rsidR="002B31EF" w:rsidRPr="009C66E6" w14:paraId="53E2204E" w14:textId="77777777" w:rsidTr="00F7010D">
        <w:trPr>
          <w:cantSplit/>
          <w:trHeight w:val="1180"/>
        </w:trPr>
        <w:tc>
          <w:tcPr>
            <w:tcW w:w="2876" w:type="pct"/>
            <w:vAlign w:val="center"/>
          </w:tcPr>
          <w:p w14:paraId="60540AC1"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IA306000000000</w:t>
            </w:r>
          </w:p>
        </w:tc>
        <w:tc>
          <w:tcPr>
            <w:tcW w:w="2124" w:type="pct"/>
          </w:tcPr>
          <w:p w14:paraId="132D8208"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 xml:space="preserve">Monto máximo </w:t>
            </w:r>
            <w:proofErr w:type="gramStart"/>
            <w:r w:rsidRPr="009C66E6">
              <w:rPr>
                <w:rFonts w:asciiTheme="majorHAnsi" w:hAnsiTheme="majorHAnsi" w:cs="Arial"/>
                <w:i/>
                <w:iCs/>
                <w:sz w:val="22"/>
                <w:szCs w:val="22"/>
              </w:rPr>
              <w:t>que</w:t>
            </w:r>
            <w:proofErr w:type="gramEnd"/>
            <w:r w:rsidRPr="009C66E6">
              <w:rPr>
                <w:rFonts w:asciiTheme="majorHAnsi" w:hAnsiTheme="majorHAnsi" w:cs="Arial"/>
                <w:i/>
                <w:iCs/>
                <w:sz w:val="22"/>
                <w:szCs w:val="22"/>
              </w:rPr>
              <w:t xml:space="preserve"> según estatutos, puede destinarse para cubrir el retiro de los aportes hechos por parte de los asociados, para el caso de cooperativas de seguros, al concluir el ejercicio económico.</w:t>
            </w:r>
          </w:p>
        </w:tc>
      </w:tr>
      <w:tr w:rsidR="002B31EF" w:rsidRPr="009C66E6" w14:paraId="685E1D4F" w14:textId="77777777" w:rsidTr="00F7010D">
        <w:trPr>
          <w:cantSplit/>
          <w:trHeight w:val="1158"/>
        </w:trPr>
        <w:tc>
          <w:tcPr>
            <w:tcW w:w="2876" w:type="pct"/>
            <w:vAlign w:val="center"/>
          </w:tcPr>
          <w:p w14:paraId="24FE4168"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IA304000000001</w:t>
            </w:r>
          </w:p>
        </w:tc>
        <w:tc>
          <w:tcPr>
            <w:tcW w:w="2124" w:type="pct"/>
          </w:tcPr>
          <w:p w14:paraId="491FE9EE"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Reservas patrimoniales voluntarias constituidas con el fin específico de cubrir cualquier pérdida de la entidad y que mediante acuerdo del máximo órgano directivo se declaran no redimibles</w:t>
            </w:r>
          </w:p>
        </w:tc>
      </w:tr>
      <w:tr w:rsidR="002B31EF" w:rsidRPr="009C66E6" w14:paraId="070D11BD" w14:textId="77777777" w:rsidTr="00F7010D">
        <w:trPr>
          <w:cantSplit/>
          <w:trHeight w:val="749"/>
        </w:trPr>
        <w:tc>
          <w:tcPr>
            <w:tcW w:w="2876" w:type="pct"/>
            <w:vAlign w:val="center"/>
          </w:tcPr>
          <w:p w14:paraId="7D975555"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IA399900000001</w:t>
            </w:r>
          </w:p>
        </w:tc>
        <w:tc>
          <w:tcPr>
            <w:tcW w:w="2124" w:type="pct"/>
          </w:tcPr>
          <w:p w14:paraId="31B1A4D3"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Instrumentos de deuda perpetuos (deben cumplir las condiciones indicadas en literal l) del artículo 7 del Reglamento</w:t>
            </w:r>
          </w:p>
        </w:tc>
      </w:tr>
      <w:tr w:rsidR="002B31EF" w:rsidRPr="009C66E6" w14:paraId="45E8D841" w14:textId="77777777" w:rsidTr="00F7010D">
        <w:trPr>
          <w:cantSplit/>
          <w:trHeight w:val="1031"/>
        </w:trPr>
        <w:tc>
          <w:tcPr>
            <w:tcW w:w="2876" w:type="pct"/>
            <w:vAlign w:val="center"/>
          </w:tcPr>
          <w:p w14:paraId="1B6E4665" w14:textId="77777777" w:rsidR="002B31EF" w:rsidRPr="009C66E6" w:rsidRDefault="002B31EF" w:rsidP="00F7010D">
            <w:pPr>
              <w:tabs>
                <w:tab w:val="left" w:pos="2629"/>
              </w:tabs>
              <w:jc w:val="both"/>
              <w:rPr>
                <w:rFonts w:asciiTheme="majorHAnsi" w:hAnsiTheme="majorHAnsi" w:cs="Arial"/>
                <w:i/>
                <w:iCs/>
                <w:sz w:val="22"/>
                <w:szCs w:val="22"/>
              </w:rPr>
            </w:pPr>
            <w:r w:rsidRPr="009C66E6">
              <w:rPr>
                <w:rFonts w:asciiTheme="majorHAnsi" w:hAnsiTheme="majorHAnsi" w:cs="Arial"/>
                <w:i/>
                <w:iCs/>
                <w:sz w:val="22"/>
                <w:szCs w:val="22"/>
              </w:rPr>
              <w:t>IA399900000002</w:t>
            </w:r>
          </w:p>
        </w:tc>
        <w:tc>
          <w:tcPr>
            <w:tcW w:w="2124" w:type="pct"/>
          </w:tcPr>
          <w:p w14:paraId="708F5626" w14:textId="77777777" w:rsidR="002B31EF" w:rsidRPr="009C66E6" w:rsidRDefault="002B31EF" w:rsidP="00F7010D">
            <w:pPr>
              <w:tabs>
                <w:tab w:val="left" w:pos="1407"/>
              </w:tabs>
              <w:jc w:val="both"/>
              <w:rPr>
                <w:rFonts w:asciiTheme="majorHAnsi" w:hAnsiTheme="majorHAnsi" w:cs="Arial"/>
                <w:i/>
                <w:iCs/>
                <w:sz w:val="22"/>
                <w:szCs w:val="22"/>
              </w:rPr>
            </w:pPr>
            <w:r w:rsidRPr="009C66E6">
              <w:rPr>
                <w:rFonts w:asciiTheme="majorHAnsi" w:hAnsiTheme="majorHAnsi" w:cs="Arial"/>
                <w:i/>
                <w:iCs/>
                <w:sz w:val="22"/>
                <w:szCs w:val="22"/>
              </w:rPr>
              <w:t>Instrumentos de capital o con cláusula de amortización anticipada a opción del tenedor (deben cumplir las condiciones indicadas en literal m) del artículo 7 del Reglamento</w:t>
            </w:r>
          </w:p>
        </w:tc>
      </w:tr>
      <w:tr w:rsidR="002B31EF" w:rsidRPr="009C66E6" w14:paraId="5FEEFF24" w14:textId="77777777" w:rsidTr="00F7010D">
        <w:trPr>
          <w:cantSplit/>
          <w:trHeight w:val="333"/>
        </w:trPr>
        <w:tc>
          <w:tcPr>
            <w:tcW w:w="2876" w:type="pct"/>
            <w:vAlign w:val="center"/>
          </w:tcPr>
          <w:p w14:paraId="10BD178C" w14:textId="77777777" w:rsidR="002B31EF" w:rsidRPr="009C66E6" w:rsidRDefault="002B31EF" w:rsidP="00F7010D">
            <w:pPr>
              <w:widowControl w:val="0"/>
              <w:jc w:val="both"/>
              <w:rPr>
                <w:rFonts w:asciiTheme="majorHAnsi" w:hAnsiTheme="majorHAnsi" w:cs="Arial"/>
                <w:i/>
                <w:iCs/>
                <w:sz w:val="22"/>
                <w:szCs w:val="22"/>
              </w:rPr>
            </w:pPr>
            <w:r w:rsidRPr="009C66E6">
              <w:rPr>
                <w:rFonts w:asciiTheme="majorHAnsi" w:hAnsiTheme="majorHAnsi" w:cs="Arial"/>
                <w:i/>
                <w:iCs/>
                <w:sz w:val="22"/>
                <w:szCs w:val="22"/>
              </w:rPr>
              <w:t>3.030.010.</w:t>
            </w:r>
            <w:proofErr w:type="gramStart"/>
            <w:r w:rsidRPr="009C66E6">
              <w:rPr>
                <w:rFonts w:asciiTheme="majorHAnsi" w:hAnsiTheme="majorHAnsi" w:cs="Arial"/>
                <w:i/>
                <w:iCs/>
                <w:sz w:val="22"/>
                <w:szCs w:val="22"/>
              </w:rPr>
              <w:t>010.M.</w:t>
            </w:r>
            <w:proofErr w:type="gramEnd"/>
            <w:r w:rsidRPr="009C66E6">
              <w:rPr>
                <w:rFonts w:asciiTheme="majorHAnsi" w:hAnsiTheme="majorHAnsi" w:cs="Arial"/>
                <w:i/>
                <w:iCs/>
                <w:sz w:val="22"/>
                <w:szCs w:val="22"/>
              </w:rPr>
              <w:t>010</w:t>
            </w:r>
            <w:r w:rsidRPr="009C66E6">
              <w:rPr>
                <w:rFonts w:asciiTheme="majorHAnsi" w:hAnsiTheme="majorHAnsi" w:cs="Arial"/>
                <w:i/>
                <w:iCs/>
                <w:sz w:val="22"/>
                <w:szCs w:val="22"/>
                <w:vertAlign w:val="superscript"/>
              </w:rPr>
              <w:t>3</w:t>
            </w:r>
          </w:p>
        </w:tc>
        <w:tc>
          <w:tcPr>
            <w:tcW w:w="2124" w:type="pct"/>
          </w:tcPr>
          <w:p w14:paraId="413D18D8"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Superávit por revaluación de terrenos</w:t>
            </w:r>
          </w:p>
        </w:tc>
      </w:tr>
      <w:tr w:rsidR="002B31EF" w:rsidRPr="009C66E6" w14:paraId="33B8AD5E" w14:textId="77777777" w:rsidTr="00F7010D">
        <w:trPr>
          <w:cantSplit/>
          <w:trHeight w:val="346"/>
        </w:trPr>
        <w:tc>
          <w:tcPr>
            <w:tcW w:w="2876" w:type="pct"/>
            <w:vAlign w:val="center"/>
          </w:tcPr>
          <w:p w14:paraId="6EBEFEC3" w14:textId="77777777" w:rsidR="002B31EF" w:rsidRPr="009C66E6" w:rsidRDefault="002B31EF" w:rsidP="00F7010D">
            <w:pPr>
              <w:widowControl w:val="0"/>
              <w:jc w:val="both"/>
              <w:rPr>
                <w:rFonts w:asciiTheme="majorHAnsi" w:hAnsiTheme="majorHAnsi" w:cs="Arial"/>
                <w:i/>
                <w:iCs/>
                <w:sz w:val="22"/>
                <w:szCs w:val="22"/>
              </w:rPr>
            </w:pPr>
            <w:r w:rsidRPr="009C66E6">
              <w:rPr>
                <w:rFonts w:asciiTheme="majorHAnsi" w:hAnsiTheme="majorHAnsi" w:cs="Arial"/>
                <w:i/>
                <w:iCs/>
                <w:sz w:val="22"/>
                <w:szCs w:val="22"/>
              </w:rPr>
              <w:t>3.030.010.</w:t>
            </w:r>
            <w:proofErr w:type="gramStart"/>
            <w:r w:rsidRPr="009C66E6">
              <w:rPr>
                <w:rFonts w:asciiTheme="majorHAnsi" w:hAnsiTheme="majorHAnsi" w:cs="Arial"/>
                <w:i/>
                <w:iCs/>
                <w:sz w:val="22"/>
                <w:szCs w:val="22"/>
              </w:rPr>
              <w:t>010.M.</w:t>
            </w:r>
            <w:proofErr w:type="gramEnd"/>
            <w:r w:rsidRPr="009C66E6">
              <w:rPr>
                <w:rFonts w:asciiTheme="majorHAnsi" w:hAnsiTheme="majorHAnsi" w:cs="Arial"/>
                <w:i/>
                <w:iCs/>
                <w:sz w:val="22"/>
                <w:szCs w:val="22"/>
              </w:rPr>
              <w:t>020</w:t>
            </w:r>
          </w:p>
        </w:tc>
        <w:tc>
          <w:tcPr>
            <w:tcW w:w="2124" w:type="pct"/>
          </w:tcPr>
          <w:p w14:paraId="30407441"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Superávit por revaluación de edificios e instalaciones</w:t>
            </w:r>
          </w:p>
        </w:tc>
      </w:tr>
      <w:tr w:rsidR="002B31EF" w:rsidRPr="009C66E6" w14:paraId="2FCC9EBF" w14:textId="77777777" w:rsidTr="00F7010D">
        <w:trPr>
          <w:cantSplit/>
          <w:trHeight w:val="346"/>
        </w:trPr>
        <w:tc>
          <w:tcPr>
            <w:tcW w:w="2876" w:type="pct"/>
          </w:tcPr>
          <w:p w14:paraId="4EDFBB20" w14:textId="77777777" w:rsidR="002B31EF" w:rsidRPr="009C66E6" w:rsidRDefault="002B31EF" w:rsidP="00F7010D">
            <w:pPr>
              <w:widowControl w:val="0"/>
              <w:jc w:val="both"/>
              <w:rPr>
                <w:rFonts w:asciiTheme="majorHAnsi" w:hAnsiTheme="majorHAnsi" w:cs="Arial"/>
                <w:i/>
                <w:iCs/>
                <w:sz w:val="22"/>
                <w:szCs w:val="22"/>
              </w:rPr>
            </w:pPr>
            <w:r w:rsidRPr="009C66E6">
              <w:rPr>
                <w:rFonts w:asciiTheme="majorHAnsi" w:hAnsiTheme="majorHAnsi" w:cs="Arial"/>
                <w:i/>
                <w:iCs/>
                <w:sz w:val="22"/>
                <w:szCs w:val="22"/>
              </w:rPr>
              <w:t>3.030.020</w:t>
            </w:r>
          </w:p>
        </w:tc>
        <w:tc>
          <w:tcPr>
            <w:tcW w:w="2124" w:type="pct"/>
          </w:tcPr>
          <w:p w14:paraId="781A9B81"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Ajustes por valuación de participaciones en otras empresas</w:t>
            </w:r>
          </w:p>
        </w:tc>
      </w:tr>
      <w:tr w:rsidR="002B31EF" w:rsidRPr="009C66E6" w14:paraId="41327989" w14:textId="77777777" w:rsidTr="00F7010D">
        <w:trPr>
          <w:cantSplit/>
          <w:trHeight w:val="234"/>
        </w:trPr>
        <w:tc>
          <w:tcPr>
            <w:tcW w:w="2876" w:type="pct"/>
          </w:tcPr>
          <w:p w14:paraId="57F2DB07" w14:textId="77777777" w:rsidR="002B31EF" w:rsidRPr="009C66E6" w:rsidRDefault="002B31EF" w:rsidP="00F7010D">
            <w:pPr>
              <w:widowControl w:val="0"/>
              <w:jc w:val="both"/>
              <w:rPr>
                <w:rFonts w:asciiTheme="majorHAnsi" w:hAnsiTheme="majorHAnsi" w:cs="Arial"/>
                <w:i/>
                <w:iCs/>
                <w:sz w:val="22"/>
                <w:szCs w:val="22"/>
              </w:rPr>
            </w:pPr>
            <w:r w:rsidRPr="009C66E6">
              <w:rPr>
                <w:rFonts w:asciiTheme="majorHAnsi" w:hAnsiTheme="majorHAnsi" w:cs="Arial"/>
                <w:i/>
                <w:iCs/>
                <w:sz w:val="22"/>
                <w:szCs w:val="22"/>
              </w:rPr>
              <w:t>3.050</w:t>
            </w:r>
          </w:p>
        </w:tc>
        <w:tc>
          <w:tcPr>
            <w:tcW w:w="2124" w:type="pct"/>
          </w:tcPr>
          <w:p w14:paraId="1AC98CFD"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Resultado</w:t>
            </w:r>
            <w:r>
              <w:rPr>
                <w:rFonts w:asciiTheme="majorHAnsi" w:hAnsiTheme="majorHAnsi" w:cs="Arial"/>
                <w:i/>
                <w:iCs/>
                <w:sz w:val="22"/>
                <w:szCs w:val="22"/>
              </w:rPr>
              <w:t>s</w:t>
            </w:r>
            <w:r w:rsidRPr="009C66E6">
              <w:rPr>
                <w:rFonts w:asciiTheme="majorHAnsi" w:hAnsiTheme="majorHAnsi" w:cs="Arial"/>
                <w:i/>
                <w:iCs/>
                <w:sz w:val="22"/>
                <w:szCs w:val="22"/>
              </w:rPr>
              <w:t xml:space="preserve"> acumulados de ejercicios anteriores</w:t>
            </w:r>
          </w:p>
        </w:tc>
      </w:tr>
      <w:tr w:rsidR="002B31EF" w:rsidRPr="009C66E6" w14:paraId="423092F1" w14:textId="77777777" w:rsidTr="00F7010D">
        <w:trPr>
          <w:cantSplit/>
          <w:trHeight w:val="253"/>
        </w:trPr>
        <w:tc>
          <w:tcPr>
            <w:tcW w:w="2876" w:type="pct"/>
          </w:tcPr>
          <w:p w14:paraId="486D5C61" w14:textId="77777777" w:rsidR="002B31EF" w:rsidRPr="009C66E6" w:rsidRDefault="002B31EF" w:rsidP="00F7010D">
            <w:pPr>
              <w:widowControl w:val="0"/>
              <w:jc w:val="both"/>
              <w:rPr>
                <w:rFonts w:asciiTheme="majorHAnsi" w:hAnsiTheme="majorHAnsi" w:cs="Arial"/>
                <w:i/>
                <w:iCs/>
                <w:sz w:val="22"/>
                <w:szCs w:val="22"/>
              </w:rPr>
            </w:pPr>
            <w:r w:rsidRPr="009C66E6">
              <w:rPr>
                <w:rFonts w:asciiTheme="majorHAnsi" w:hAnsiTheme="majorHAnsi" w:cs="Arial"/>
                <w:i/>
                <w:iCs/>
                <w:sz w:val="22"/>
                <w:szCs w:val="22"/>
              </w:rPr>
              <w:t>5</w:t>
            </w:r>
          </w:p>
        </w:tc>
        <w:tc>
          <w:tcPr>
            <w:tcW w:w="2124" w:type="pct"/>
          </w:tcPr>
          <w:p w14:paraId="267DC663"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Ingresos</w:t>
            </w:r>
          </w:p>
        </w:tc>
      </w:tr>
    </w:tbl>
    <w:p w14:paraId="5C81EC42" w14:textId="77777777" w:rsidR="002B31EF" w:rsidRDefault="002B31EF" w:rsidP="002B31EF">
      <w:pPr>
        <w:spacing w:after="200" w:line="276" w:lineRule="auto"/>
        <w:rPr>
          <w:rFonts w:asciiTheme="majorHAnsi" w:eastAsiaTheme="minorHAnsi" w:hAnsiTheme="majorHAnsi" w:cstheme="minorBidi"/>
          <w:b/>
          <w:i/>
          <w:iCs/>
          <w:lang w:val="es-CR" w:eastAsia="en-US"/>
        </w:rPr>
      </w:pPr>
      <w:r>
        <w:rPr>
          <w:rFonts w:asciiTheme="majorHAnsi" w:hAnsiTheme="majorHAnsi"/>
          <w:b/>
          <w:i/>
          <w:iCs/>
        </w:rPr>
        <w:br w:type="page"/>
      </w:r>
    </w:p>
    <w:p w14:paraId="7F518F77" w14:textId="77777777" w:rsidR="002B31EF" w:rsidRPr="0018293F" w:rsidRDefault="002B31EF" w:rsidP="002B31EF">
      <w:pPr>
        <w:pStyle w:val="Prrafodelista"/>
        <w:widowControl w:val="0"/>
        <w:spacing w:line="240" w:lineRule="auto"/>
        <w:ind w:left="0"/>
        <w:jc w:val="both"/>
        <w:rPr>
          <w:rFonts w:asciiTheme="majorHAnsi" w:hAnsiTheme="majorHAnsi"/>
          <w:b/>
          <w:i/>
          <w:iCs/>
          <w:sz w:val="24"/>
          <w:szCs w:val="24"/>
        </w:rPr>
      </w:pPr>
      <w:r w:rsidRPr="0018293F">
        <w:rPr>
          <w:rFonts w:asciiTheme="majorHAnsi" w:hAnsiTheme="majorHAnsi"/>
          <w:b/>
          <w:i/>
          <w:iCs/>
          <w:sz w:val="24"/>
          <w:szCs w:val="24"/>
        </w:rPr>
        <w:lastRenderedPageBreak/>
        <w:t>Partidas que restan: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1"/>
        <w:gridCol w:w="3759"/>
      </w:tblGrid>
      <w:tr w:rsidR="002B31EF" w:rsidRPr="009C66E6" w14:paraId="665C4F3A" w14:textId="77777777" w:rsidTr="00F7010D">
        <w:trPr>
          <w:trHeight w:val="525"/>
          <w:tblHeader/>
        </w:trPr>
        <w:tc>
          <w:tcPr>
            <w:tcW w:w="2990" w:type="pct"/>
            <w:shd w:val="clear" w:color="auto" w:fill="BFBFBF" w:themeFill="background1" w:themeFillShade="BF"/>
            <w:vAlign w:val="center"/>
          </w:tcPr>
          <w:p w14:paraId="76F9D338" w14:textId="77777777" w:rsidR="002B31EF" w:rsidRPr="009C66E6" w:rsidRDefault="002B31EF" w:rsidP="00F7010D">
            <w:pPr>
              <w:jc w:val="both"/>
              <w:rPr>
                <w:rFonts w:asciiTheme="majorHAnsi" w:hAnsiTheme="majorHAnsi" w:cs="Arial"/>
                <w:b/>
                <w:i/>
                <w:iCs/>
                <w:sz w:val="22"/>
                <w:szCs w:val="22"/>
              </w:rPr>
            </w:pPr>
            <w:r w:rsidRPr="009C66E6">
              <w:rPr>
                <w:rFonts w:asciiTheme="majorHAnsi" w:hAnsiTheme="majorHAnsi" w:cs="Arial"/>
                <w:b/>
                <w:i/>
                <w:iCs/>
                <w:sz w:val="22"/>
                <w:szCs w:val="22"/>
              </w:rPr>
              <w:t>Número de Cuenta</w:t>
            </w:r>
          </w:p>
        </w:tc>
        <w:tc>
          <w:tcPr>
            <w:tcW w:w="2010" w:type="pct"/>
            <w:shd w:val="clear" w:color="auto" w:fill="BFBFBF" w:themeFill="background1" w:themeFillShade="BF"/>
            <w:vAlign w:val="center"/>
          </w:tcPr>
          <w:p w14:paraId="69290972" w14:textId="77777777" w:rsidR="002B31EF" w:rsidRPr="009C66E6" w:rsidRDefault="002B31EF" w:rsidP="00F7010D">
            <w:pPr>
              <w:jc w:val="both"/>
              <w:rPr>
                <w:rFonts w:asciiTheme="majorHAnsi" w:hAnsiTheme="majorHAnsi" w:cs="Arial"/>
                <w:b/>
                <w:i/>
                <w:iCs/>
                <w:sz w:val="22"/>
                <w:szCs w:val="22"/>
              </w:rPr>
            </w:pPr>
            <w:r w:rsidRPr="009C66E6">
              <w:rPr>
                <w:rFonts w:asciiTheme="majorHAnsi" w:hAnsiTheme="majorHAnsi" w:cs="Arial"/>
                <w:b/>
                <w:i/>
                <w:iCs/>
                <w:sz w:val="22"/>
                <w:szCs w:val="22"/>
              </w:rPr>
              <w:t>Descripción</w:t>
            </w:r>
          </w:p>
        </w:tc>
      </w:tr>
      <w:tr w:rsidR="002B31EF" w:rsidRPr="009C66E6" w14:paraId="1FB0D1F1" w14:textId="77777777" w:rsidTr="00F7010D">
        <w:trPr>
          <w:trHeight w:val="374"/>
        </w:trPr>
        <w:tc>
          <w:tcPr>
            <w:tcW w:w="2990" w:type="pct"/>
            <w:vAlign w:val="center"/>
          </w:tcPr>
          <w:p w14:paraId="7E5844B9"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3.010.050.</w:t>
            </w:r>
            <w:proofErr w:type="gramStart"/>
            <w:r w:rsidRPr="009C66E6">
              <w:rPr>
                <w:rFonts w:asciiTheme="majorHAnsi" w:hAnsiTheme="majorHAnsi" w:cs="Arial"/>
                <w:i/>
                <w:iCs/>
                <w:sz w:val="22"/>
                <w:szCs w:val="22"/>
              </w:rPr>
              <w:t>020.M.</w:t>
            </w:r>
            <w:proofErr w:type="gramEnd"/>
            <w:r w:rsidRPr="009C66E6">
              <w:rPr>
                <w:rFonts w:asciiTheme="majorHAnsi" w:hAnsiTheme="majorHAnsi" w:cs="Arial"/>
                <w:i/>
                <w:iCs/>
                <w:sz w:val="22"/>
                <w:szCs w:val="22"/>
              </w:rPr>
              <w:t>010</w:t>
            </w:r>
          </w:p>
        </w:tc>
        <w:tc>
          <w:tcPr>
            <w:tcW w:w="2010" w:type="pct"/>
          </w:tcPr>
          <w:p w14:paraId="1B51798D"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Acciones en Tesorería -Capital preferente con dividendo acumulativo-</w:t>
            </w:r>
          </w:p>
        </w:tc>
      </w:tr>
      <w:tr w:rsidR="002B31EF" w:rsidRPr="009C66E6" w14:paraId="1F887A67" w14:textId="77777777" w:rsidTr="00F7010D">
        <w:trPr>
          <w:trHeight w:val="637"/>
        </w:trPr>
        <w:tc>
          <w:tcPr>
            <w:tcW w:w="2990" w:type="pct"/>
            <w:vAlign w:val="center"/>
          </w:tcPr>
          <w:p w14:paraId="5D72DB79" w14:textId="77777777" w:rsidR="002B31EF" w:rsidRPr="009C66E6" w:rsidRDefault="002B31EF" w:rsidP="00F7010D">
            <w:pPr>
              <w:tabs>
                <w:tab w:val="left" w:pos="2662"/>
              </w:tabs>
              <w:jc w:val="both"/>
              <w:rPr>
                <w:rFonts w:asciiTheme="majorHAnsi" w:hAnsiTheme="majorHAnsi" w:cs="Arial"/>
                <w:i/>
                <w:iCs/>
                <w:sz w:val="22"/>
                <w:szCs w:val="22"/>
              </w:rPr>
            </w:pPr>
            <w:r w:rsidRPr="009C66E6">
              <w:rPr>
                <w:rFonts w:asciiTheme="majorHAnsi" w:hAnsiTheme="majorHAnsi" w:cs="Arial"/>
                <w:i/>
                <w:iCs/>
                <w:sz w:val="22"/>
                <w:szCs w:val="22"/>
              </w:rPr>
              <w:t>3.030.010.020</w:t>
            </w:r>
          </w:p>
        </w:tc>
        <w:tc>
          <w:tcPr>
            <w:tcW w:w="2010" w:type="pct"/>
          </w:tcPr>
          <w:p w14:paraId="1A5A9164"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Ajuste por deterioro y por</w:t>
            </w:r>
            <w:r w:rsidRPr="009C66E6">
              <w:rPr>
                <w:rFonts w:asciiTheme="majorHAnsi" w:hAnsiTheme="majorHAnsi" w:cs="Arial"/>
                <w:i/>
                <w:iCs/>
                <w:strike/>
                <w:sz w:val="22"/>
                <w:szCs w:val="22"/>
              </w:rPr>
              <w:t xml:space="preserve"> </w:t>
            </w:r>
            <w:r w:rsidRPr="009C66E6">
              <w:rPr>
                <w:rFonts w:asciiTheme="majorHAnsi" w:hAnsiTheme="majorHAnsi" w:cs="Arial"/>
                <w:i/>
                <w:iCs/>
                <w:sz w:val="22"/>
                <w:szCs w:val="22"/>
              </w:rPr>
              <w:t>valuación de las inversiones</w:t>
            </w:r>
            <w:r w:rsidRPr="009C66E6">
              <w:rPr>
                <w:rFonts w:asciiTheme="majorHAnsi" w:hAnsiTheme="majorHAnsi" w:cs="Arial"/>
                <w:i/>
                <w:iCs/>
                <w:strike/>
                <w:sz w:val="22"/>
                <w:szCs w:val="22"/>
              </w:rPr>
              <w:t xml:space="preserve"> </w:t>
            </w:r>
            <w:r w:rsidRPr="009C66E6">
              <w:rPr>
                <w:rFonts w:asciiTheme="majorHAnsi" w:hAnsiTheme="majorHAnsi" w:cs="Arial"/>
                <w:i/>
                <w:iCs/>
                <w:sz w:val="22"/>
                <w:szCs w:val="22"/>
              </w:rPr>
              <w:t xml:space="preserve">a valor razonable con cambios en otro resultado integral -cuando el saldo es deudor- </w:t>
            </w:r>
          </w:p>
        </w:tc>
      </w:tr>
      <w:tr w:rsidR="002B31EF" w:rsidRPr="009C66E6" w14:paraId="46EB43A1" w14:textId="77777777" w:rsidTr="00F7010D">
        <w:trPr>
          <w:trHeight w:val="627"/>
        </w:trPr>
        <w:tc>
          <w:tcPr>
            <w:tcW w:w="2990" w:type="pct"/>
            <w:vAlign w:val="center"/>
          </w:tcPr>
          <w:p w14:paraId="51CC896C"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3.030.010.030</w:t>
            </w:r>
          </w:p>
        </w:tc>
        <w:tc>
          <w:tcPr>
            <w:tcW w:w="2010" w:type="pct"/>
          </w:tcPr>
          <w:p w14:paraId="2EC0E36E" w14:textId="77777777" w:rsidR="002B31EF" w:rsidRPr="009C66E6" w:rsidRDefault="002B31EF" w:rsidP="00F7010D">
            <w:pPr>
              <w:tabs>
                <w:tab w:val="left" w:pos="3047"/>
              </w:tabs>
              <w:jc w:val="both"/>
              <w:rPr>
                <w:rFonts w:asciiTheme="majorHAnsi" w:hAnsiTheme="majorHAnsi" w:cs="Arial"/>
                <w:i/>
                <w:iCs/>
                <w:sz w:val="22"/>
                <w:szCs w:val="22"/>
              </w:rPr>
            </w:pPr>
            <w:r w:rsidRPr="009C66E6">
              <w:rPr>
                <w:rFonts w:asciiTheme="majorHAnsi" w:hAnsiTheme="majorHAnsi" w:cs="Arial"/>
                <w:i/>
                <w:iCs/>
                <w:sz w:val="22"/>
                <w:szCs w:val="22"/>
              </w:rPr>
              <w:t>Ajuste por deterioro y por</w:t>
            </w:r>
            <w:r w:rsidRPr="009C66E6">
              <w:rPr>
                <w:rFonts w:asciiTheme="majorHAnsi" w:hAnsiTheme="majorHAnsi" w:cs="Arial"/>
                <w:i/>
                <w:iCs/>
                <w:strike/>
                <w:sz w:val="22"/>
                <w:szCs w:val="22"/>
              </w:rPr>
              <w:t xml:space="preserve"> </w:t>
            </w:r>
            <w:r w:rsidRPr="009C66E6">
              <w:rPr>
                <w:rFonts w:asciiTheme="majorHAnsi" w:hAnsiTheme="majorHAnsi" w:cs="Arial"/>
                <w:i/>
                <w:iCs/>
                <w:sz w:val="22"/>
                <w:szCs w:val="22"/>
              </w:rPr>
              <w:t>valuación de las inversiones</w:t>
            </w:r>
            <w:r w:rsidRPr="009C66E6">
              <w:rPr>
                <w:rFonts w:asciiTheme="majorHAnsi" w:hAnsiTheme="majorHAnsi" w:cs="Arial"/>
                <w:i/>
                <w:iCs/>
                <w:strike/>
                <w:sz w:val="22"/>
                <w:szCs w:val="22"/>
              </w:rPr>
              <w:t xml:space="preserve"> </w:t>
            </w:r>
            <w:r w:rsidRPr="009C66E6">
              <w:rPr>
                <w:rFonts w:asciiTheme="majorHAnsi" w:hAnsiTheme="majorHAnsi" w:cs="Arial"/>
                <w:i/>
                <w:iCs/>
                <w:sz w:val="22"/>
                <w:szCs w:val="22"/>
              </w:rPr>
              <w:t>en respaldo reserva de liquidez -cuando el saldo es deudor-</w:t>
            </w:r>
          </w:p>
          <w:p w14:paraId="38E1BBB8" w14:textId="77777777" w:rsidR="002B31EF" w:rsidRPr="009C66E6" w:rsidRDefault="002B31EF" w:rsidP="00F7010D">
            <w:pPr>
              <w:tabs>
                <w:tab w:val="left" w:pos="3047"/>
              </w:tabs>
              <w:jc w:val="both"/>
              <w:rPr>
                <w:rFonts w:asciiTheme="majorHAnsi" w:hAnsiTheme="majorHAnsi" w:cs="Arial"/>
                <w:i/>
                <w:iCs/>
                <w:sz w:val="22"/>
                <w:szCs w:val="22"/>
              </w:rPr>
            </w:pPr>
          </w:p>
        </w:tc>
      </w:tr>
      <w:tr w:rsidR="002B31EF" w:rsidRPr="009C66E6" w14:paraId="3AF32CEE" w14:textId="77777777" w:rsidTr="00F7010D">
        <w:trPr>
          <w:trHeight w:val="627"/>
        </w:trPr>
        <w:tc>
          <w:tcPr>
            <w:tcW w:w="2990" w:type="pct"/>
            <w:vAlign w:val="center"/>
          </w:tcPr>
          <w:p w14:paraId="4A8E63C2"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3.030.010.040</w:t>
            </w:r>
          </w:p>
        </w:tc>
        <w:tc>
          <w:tcPr>
            <w:tcW w:w="2010" w:type="pct"/>
          </w:tcPr>
          <w:p w14:paraId="5395F55F" w14:textId="77777777" w:rsidR="002B31EF" w:rsidRPr="009C66E6" w:rsidRDefault="002B31EF" w:rsidP="00F7010D">
            <w:pPr>
              <w:tabs>
                <w:tab w:val="left" w:pos="1222"/>
              </w:tabs>
              <w:jc w:val="both"/>
              <w:rPr>
                <w:rFonts w:asciiTheme="majorHAnsi" w:hAnsiTheme="majorHAnsi" w:cs="Arial"/>
                <w:i/>
                <w:iCs/>
                <w:sz w:val="22"/>
                <w:szCs w:val="22"/>
              </w:rPr>
            </w:pPr>
            <w:r w:rsidRPr="009C66E6">
              <w:rPr>
                <w:rFonts w:asciiTheme="majorHAnsi" w:hAnsiTheme="majorHAnsi" w:cs="Arial"/>
                <w:i/>
                <w:iCs/>
                <w:sz w:val="22"/>
                <w:szCs w:val="22"/>
              </w:rPr>
              <w:t>Ajuste por deterioro y valuación de instrumentos financieros restringidos -cuando el saldo es deudor-</w:t>
            </w:r>
          </w:p>
        </w:tc>
      </w:tr>
      <w:tr w:rsidR="002B31EF" w:rsidRPr="009C66E6" w14:paraId="14333AC2" w14:textId="77777777" w:rsidTr="00F7010D">
        <w:trPr>
          <w:trHeight w:val="759"/>
        </w:trPr>
        <w:tc>
          <w:tcPr>
            <w:tcW w:w="2990" w:type="pct"/>
            <w:vAlign w:val="center"/>
          </w:tcPr>
          <w:p w14:paraId="1E0F8420"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3.030.010.050</w:t>
            </w:r>
          </w:p>
        </w:tc>
        <w:tc>
          <w:tcPr>
            <w:tcW w:w="2010" w:type="pct"/>
          </w:tcPr>
          <w:p w14:paraId="544C750C"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Ajuste por deterioro y valuación de instrumentos financieros en cesación de pagos, morosos y en litigio -cuando el saldo es deudor-</w:t>
            </w:r>
          </w:p>
        </w:tc>
      </w:tr>
      <w:tr w:rsidR="002B31EF" w:rsidRPr="009C66E6" w14:paraId="41A39C85" w14:textId="77777777" w:rsidTr="00F7010D">
        <w:trPr>
          <w:trHeight w:val="495"/>
        </w:trPr>
        <w:tc>
          <w:tcPr>
            <w:tcW w:w="2990" w:type="pct"/>
            <w:vAlign w:val="center"/>
          </w:tcPr>
          <w:p w14:paraId="0C61DF73"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3.030.010.070</w:t>
            </w:r>
          </w:p>
        </w:tc>
        <w:tc>
          <w:tcPr>
            <w:tcW w:w="2010" w:type="pct"/>
          </w:tcPr>
          <w:p w14:paraId="21C5F062"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Ajustes por valoración de instrumentos derivados -cuando el saldo es deudor-</w:t>
            </w:r>
          </w:p>
        </w:tc>
      </w:tr>
      <w:tr w:rsidR="002B31EF" w:rsidRPr="009C66E6" w14:paraId="3252348A" w14:textId="77777777" w:rsidTr="00F7010D">
        <w:trPr>
          <w:trHeight w:val="261"/>
        </w:trPr>
        <w:tc>
          <w:tcPr>
            <w:tcW w:w="2990" w:type="pct"/>
            <w:vAlign w:val="center"/>
          </w:tcPr>
          <w:p w14:paraId="3CB867A5"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3.030.010.080</w:t>
            </w:r>
          </w:p>
        </w:tc>
        <w:tc>
          <w:tcPr>
            <w:tcW w:w="2010" w:type="pct"/>
          </w:tcPr>
          <w:p w14:paraId="096CE9CE" w14:textId="77777777" w:rsidR="002B31EF" w:rsidRPr="009C66E6" w:rsidRDefault="002B31EF" w:rsidP="00F7010D">
            <w:pPr>
              <w:tabs>
                <w:tab w:val="left" w:pos="1139"/>
              </w:tabs>
              <w:jc w:val="both"/>
              <w:rPr>
                <w:rFonts w:asciiTheme="majorHAnsi" w:hAnsiTheme="majorHAnsi" w:cs="Arial"/>
                <w:i/>
                <w:iCs/>
                <w:sz w:val="22"/>
                <w:szCs w:val="22"/>
              </w:rPr>
            </w:pPr>
            <w:r w:rsidRPr="009C66E6">
              <w:rPr>
                <w:rFonts w:asciiTheme="majorHAnsi" w:hAnsiTheme="majorHAnsi" w:cs="Arial"/>
                <w:i/>
                <w:iCs/>
                <w:sz w:val="22"/>
                <w:szCs w:val="22"/>
              </w:rPr>
              <w:t>Ajuste por valoración de obligaciones de entregar títulos en reportos y préstamos de valores -cuando el saldo es deudor-</w:t>
            </w:r>
          </w:p>
        </w:tc>
      </w:tr>
      <w:tr w:rsidR="002B31EF" w:rsidRPr="009C66E6" w14:paraId="69E738A8" w14:textId="77777777" w:rsidTr="00F7010D">
        <w:trPr>
          <w:trHeight w:val="121"/>
        </w:trPr>
        <w:tc>
          <w:tcPr>
            <w:tcW w:w="2990" w:type="pct"/>
            <w:vAlign w:val="center"/>
          </w:tcPr>
          <w:p w14:paraId="16B66E86"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4</w:t>
            </w:r>
          </w:p>
        </w:tc>
        <w:tc>
          <w:tcPr>
            <w:tcW w:w="2010" w:type="pct"/>
          </w:tcPr>
          <w:p w14:paraId="6FBABCBB"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Gastos</w:t>
            </w:r>
          </w:p>
        </w:tc>
      </w:tr>
    </w:tbl>
    <w:p w14:paraId="6675866E" w14:textId="77777777" w:rsidR="002B31EF" w:rsidRPr="0018293F" w:rsidRDefault="002B31EF" w:rsidP="002B31EF">
      <w:pPr>
        <w:pStyle w:val="Prrafodelista"/>
        <w:widowControl w:val="0"/>
        <w:spacing w:line="240" w:lineRule="auto"/>
        <w:ind w:left="0"/>
        <w:jc w:val="both"/>
        <w:rPr>
          <w:rFonts w:asciiTheme="majorHAnsi" w:hAnsiTheme="majorHAnsi"/>
          <w:b/>
          <w:i/>
          <w:iCs/>
          <w:sz w:val="24"/>
          <w:szCs w:val="24"/>
        </w:rPr>
      </w:pPr>
    </w:p>
    <w:p w14:paraId="45B31E66" w14:textId="77777777" w:rsidR="002B31EF" w:rsidRPr="0018293F" w:rsidRDefault="002B31EF" w:rsidP="002B31EF">
      <w:pPr>
        <w:pStyle w:val="Prrafodelista"/>
        <w:spacing w:line="240" w:lineRule="auto"/>
        <w:ind w:left="0"/>
        <w:jc w:val="both"/>
        <w:rPr>
          <w:rFonts w:asciiTheme="majorHAnsi" w:hAnsiTheme="majorHAnsi"/>
          <w:bCs/>
          <w:i/>
          <w:sz w:val="24"/>
          <w:szCs w:val="24"/>
        </w:rPr>
      </w:pPr>
      <w:r w:rsidRPr="0018293F">
        <w:rPr>
          <w:rFonts w:asciiTheme="majorHAnsi" w:hAnsiTheme="majorHAnsi"/>
          <w:bCs/>
          <w:i/>
          <w:sz w:val="24"/>
          <w:szCs w:val="24"/>
          <w:vertAlign w:val="superscript"/>
        </w:rPr>
        <w:t>2</w:t>
      </w:r>
      <w:r w:rsidRPr="0018293F">
        <w:rPr>
          <w:rFonts w:asciiTheme="majorHAnsi" w:hAnsiTheme="majorHAnsi"/>
          <w:bCs/>
          <w:i/>
          <w:sz w:val="24"/>
          <w:szCs w:val="24"/>
        </w:rPr>
        <w:t xml:space="preserve"> </w:t>
      </w:r>
      <w:proofErr w:type="gramStart"/>
      <w:r w:rsidRPr="0018293F">
        <w:rPr>
          <w:rFonts w:asciiTheme="majorHAnsi" w:hAnsiTheme="majorHAnsi"/>
          <w:bCs/>
          <w:i/>
          <w:sz w:val="24"/>
          <w:szCs w:val="24"/>
        </w:rPr>
        <w:t>Máximo</w:t>
      </w:r>
      <w:proofErr w:type="gramEnd"/>
      <w:r w:rsidRPr="0018293F">
        <w:rPr>
          <w:rFonts w:asciiTheme="majorHAnsi" w:hAnsiTheme="majorHAnsi"/>
          <w:bCs/>
          <w:i/>
          <w:sz w:val="24"/>
          <w:szCs w:val="24"/>
        </w:rPr>
        <w:t xml:space="preserve"> 100% del capital primario</w:t>
      </w:r>
    </w:p>
    <w:p w14:paraId="03A2133D" w14:textId="77777777" w:rsidR="002B31EF" w:rsidRPr="0018293F" w:rsidRDefault="002B31EF" w:rsidP="002B31EF">
      <w:pPr>
        <w:pStyle w:val="Prrafodelista"/>
        <w:spacing w:line="240" w:lineRule="auto"/>
        <w:ind w:left="0"/>
        <w:jc w:val="both"/>
        <w:rPr>
          <w:rFonts w:asciiTheme="majorHAnsi" w:hAnsiTheme="majorHAnsi"/>
          <w:bCs/>
          <w:i/>
          <w:sz w:val="24"/>
          <w:szCs w:val="24"/>
        </w:rPr>
      </w:pPr>
      <w:r w:rsidRPr="0018293F">
        <w:rPr>
          <w:rFonts w:asciiTheme="majorHAnsi" w:hAnsiTheme="majorHAnsi"/>
          <w:bCs/>
          <w:i/>
          <w:sz w:val="24"/>
          <w:szCs w:val="24"/>
          <w:vertAlign w:val="superscript"/>
        </w:rPr>
        <w:t>3</w:t>
      </w:r>
      <w:r w:rsidRPr="0018293F">
        <w:rPr>
          <w:rFonts w:asciiTheme="majorHAnsi" w:hAnsiTheme="majorHAnsi"/>
          <w:bCs/>
          <w:i/>
          <w:sz w:val="24"/>
          <w:szCs w:val="24"/>
        </w:rPr>
        <w:t xml:space="preserve"> </w:t>
      </w:r>
      <w:proofErr w:type="gramStart"/>
      <w:r w:rsidRPr="0018293F">
        <w:rPr>
          <w:rFonts w:asciiTheme="majorHAnsi" w:hAnsiTheme="majorHAnsi"/>
          <w:bCs/>
          <w:i/>
          <w:sz w:val="24"/>
          <w:szCs w:val="24"/>
        </w:rPr>
        <w:t>Hasta</w:t>
      </w:r>
      <w:proofErr w:type="gramEnd"/>
      <w:r w:rsidRPr="0018293F">
        <w:rPr>
          <w:rFonts w:asciiTheme="majorHAnsi" w:hAnsiTheme="majorHAnsi"/>
          <w:bCs/>
          <w:i/>
          <w:sz w:val="24"/>
          <w:szCs w:val="24"/>
        </w:rPr>
        <w:t xml:space="preserve"> un 75% del monto registrado.</w:t>
      </w:r>
    </w:p>
    <w:p w14:paraId="7BC8B903" w14:textId="77777777" w:rsidR="002B31EF" w:rsidRPr="0018293F" w:rsidRDefault="002B31EF" w:rsidP="002B31EF">
      <w:pPr>
        <w:pStyle w:val="Prrafodelista"/>
        <w:spacing w:line="240" w:lineRule="auto"/>
        <w:ind w:left="0"/>
        <w:jc w:val="both"/>
        <w:rPr>
          <w:rFonts w:asciiTheme="majorHAnsi" w:hAnsiTheme="majorHAnsi"/>
          <w:bCs/>
          <w:i/>
          <w:sz w:val="24"/>
          <w:szCs w:val="24"/>
        </w:rPr>
      </w:pPr>
    </w:p>
    <w:p w14:paraId="5E6EAE96" w14:textId="77777777" w:rsidR="002B31EF" w:rsidRPr="0018293F" w:rsidRDefault="002B31EF" w:rsidP="002B31EF">
      <w:pPr>
        <w:widowControl w:val="0"/>
        <w:jc w:val="both"/>
        <w:rPr>
          <w:rFonts w:asciiTheme="majorHAnsi" w:hAnsiTheme="majorHAnsi"/>
          <w:b/>
          <w:i/>
          <w:iCs/>
        </w:rPr>
      </w:pPr>
      <w:r w:rsidRPr="0018293F">
        <w:rPr>
          <w:rFonts w:asciiTheme="majorHAnsi" w:hAnsiTheme="majorHAnsi"/>
          <w:b/>
          <w:i/>
          <w:iCs/>
        </w:rPr>
        <w:t>DEDUCCIONES DEL CAPITAL PRIMARIO MÁS EL CAPITAL SECUNDARIO</w:t>
      </w:r>
    </w:p>
    <w:p w14:paraId="572C8C21" w14:textId="77777777" w:rsidR="002B31EF" w:rsidRPr="0018293F" w:rsidRDefault="002B31EF" w:rsidP="002B31EF">
      <w:pPr>
        <w:widowControl w:val="0"/>
        <w:jc w:val="both"/>
        <w:rPr>
          <w:rFonts w:asciiTheme="majorHAnsi" w:hAnsiTheme="majorHAnsi"/>
          <w:b/>
          <w:i/>
          <w:iCs/>
        </w:rPr>
      </w:pPr>
    </w:p>
    <w:p w14:paraId="6308AD72" w14:textId="77777777" w:rsidR="002B31EF" w:rsidRPr="0018293F" w:rsidRDefault="002B31EF" w:rsidP="002B31EF">
      <w:pPr>
        <w:widowControl w:val="0"/>
        <w:jc w:val="both"/>
        <w:rPr>
          <w:rFonts w:asciiTheme="majorHAnsi" w:hAnsiTheme="majorHAnsi"/>
          <w:b/>
          <w:i/>
          <w:iCs/>
        </w:rPr>
      </w:pPr>
      <w:r w:rsidRPr="0018293F">
        <w:rPr>
          <w:rFonts w:asciiTheme="majorHAnsi" w:hAnsiTheme="majorHAnsi"/>
          <w:b/>
          <w:i/>
          <w:iCs/>
        </w:rPr>
        <w:t>Partidas que suman: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4196"/>
      </w:tblGrid>
      <w:tr w:rsidR="002B31EF" w:rsidRPr="009C66E6" w14:paraId="438DA1F3" w14:textId="77777777" w:rsidTr="00F7010D">
        <w:trPr>
          <w:cantSplit/>
          <w:trHeight w:val="17"/>
          <w:tblHeader/>
          <w:jc w:val="center"/>
        </w:trPr>
        <w:tc>
          <w:tcPr>
            <w:tcW w:w="275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F2D7FD" w14:textId="77777777" w:rsidR="002B31EF" w:rsidRPr="009C66E6" w:rsidRDefault="002B31EF" w:rsidP="00F7010D">
            <w:pPr>
              <w:jc w:val="both"/>
              <w:rPr>
                <w:rFonts w:asciiTheme="majorHAnsi" w:hAnsiTheme="majorHAnsi" w:cs="Arial"/>
                <w:b/>
                <w:i/>
                <w:iCs/>
                <w:sz w:val="22"/>
                <w:szCs w:val="22"/>
              </w:rPr>
            </w:pPr>
            <w:r w:rsidRPr="009C66E6">
              <w:rPr>
                <w:rFonts w:asciiTheme="majorHAnsi" w:hAnsiTheme="majorHAnsi" w:cs="Arial"/>
                <w:b/>
                <w:i/>
                <w:iCs/>
                <w:sz w:val="22"/>
                <w:szCs w:val="22"/>
              </w:rPr>
              <w:t>Número de Cuenta</w:t>
            </w:r>
          </w:p>
        </w:tc>
        <w:tc>
          <w:tcPr>
            <w:tcW w:w="224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54DC21" w14:textId="77777777" w:rsidR="002B31EF" w:rsidRPr="009C66E6" w:rsidRDefault="002B31EF" w:rsidP="00F7010D">
            <w:pPr>
              <w:jc w:val="both"/>
              <w:rPr>
                <w:rFonts w:asciiTheme="majorHAnsi" w:hAnsiTheme="majorHAnsi" w:cs="Arial"/>
                <w:b/>
                <w:i/>
                <w:iCs/>
                <w:sz w:val="22"/>
                <w:szCs w:val="22"/>
              </w:rPr>
            </w:pPr>
            <w:r w:rsidRPr="009C66E6">
              <w:rPr>
                <w:rFonts w:asciiTheme="majorHAnsi" w:hAnsiTheme="majorHAnsi" w:cs="Arial"/>
                <w:b/>
                <w:i/>
                <w:iCs/>
                <w:sz w:val="22"/>
                <w:szCs w:val="22"/>
              </w:rPr>
              <w:t>Descripción</w:t>
            </w:r>
          </w:p>
        </w:tc>
      </w:tr>
      <w:tr w:rsidR="002B31EF" w:rsidRPr="009C66E6" w14:paraId="103FF789"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2B8AB774"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1.010.060</w:t>
            </w:r>
          </w:p>
        </w:tc>
        <w:tc>
          <w:tcPr>
            <w:tcW w:w="2244" w:type="pct"/>
            <w:tcBorders>
              <w:top w:val="single" w:sz="4" w:space="0" w:color="auto"/>
              <w:left w:val="single" w:sz="4" w:space="0" w:color="auto"/>
              <w:bottom w:val="single" w:sz="4" w:space="0" w:color="auto"/>
              <w:right w:val="single" w:sz="4" w:space="0" w:color="auto"/>
            </w:tcBorders>
            <w:hideMark/>
          </w:tcPr>
          <w:p w14:paraId="03AC9E42"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Disponibilidades restringidas</w:t>
            </w:r>
          </w:p>
        </w:tc>
      </w:tr>
      <w:tr w:rsidR="002B31EF" w:rsidRPr="009C66E6" w14:paraId="777F0ED8"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01080709" w14:textId="77777777" w:rsidR="002B31EF" w:rsidRPr="009C66E6" w:rsidRDefault="002B31EF" w:rsidP="00F7010D">
            <w:pPr>
              <w:tabs>
                <w:tab w:val="left" w:pos="2662"/>
              </w:tabs>
              <w:jc w:val="both"/>
              <w:rPr>
                <w:rFonts w:asciiTheme="majorHAnsi" w:hAnsiTheme="majorHAnsi" w:cs="Arial"/>
                <w:i/>
                <w:iCs/>
                <w:sz w:val="22"/>
                <w:szCs w:val="22"/>
              </w:rPr>
            </w:pPr>
            <w:r w:rsidRPr="009C66E6">
              <w:rPr>
                <w:rFonts w:asciiTheme="majorHAnsi" w:hAnsiTheme="majorHAnsi" w:cs="Arial"/>
                <w:i/>
                <w:iCs/>
                <w:sz w:val="22"/>
                <w:szCs w:val="22"/>
              </w:rPr>
              <w:t>1.010.080.</w:t>
            </w:r>
            <w:proofErr w:type="gramStart"/>
            <w:r w:rsidRPr="009C66E6">
              <w:rPr>
                <w:rFonts w:asciiTheme="majorHAnsi" w:hAnsiTheme="majorHAnsi" w:cs="Arial"/>
                <w:i/>
                <w:iCs/>
                <w:sz w:val="22"/>
                <w:szCs w:val="22"/>
              </w:rPr>
              <w:t>080.M.</w:t>
            </w:r>
            <w:proofErr w:type="gramEnd"/>
            <w:r w:rsidRPr="009C66E6">
              <w:rPr>
                <w:rFonts w:asciiTheme="majorHAnsi" w:hAnsiTheme="majorHAnsi" w:cs="Arial"/>
                <w:i/>
                <w:iCs/>
                <w:sz w:val="22"/>
                <w:szCs w:val="22"/>
              </w:rPr>
              <w:t>050</w:t>
            </w:r>
          </w:p>
        </w:tc>
        <w:tc>
          <w:tcPr>
            <w:tcW w:w="2244" w:type="pct"/>
            <w:tcBorders>
              <w:top w:val="single" w:sz="4" w:space="0" w:color="auto"/>
              <w:left w:val="single" w:sz="4" w:space="0" w:color="auto"/>
              <w:bottom w:val="single" w:sz="4" w:space="0" w:color="auto"/>
              <w:right w:val="single" w:sz="4" w:space="0" w:color="auto"/>
            </w:tcBorders>
            <w:hideMark/>
          </w:tcPr>
          <w:p w14:paraId="2C028397"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Disponibilidades restringidas</w:t>
            </w:r>
          </w:p>
        </w:tc>
      </w:tr>
      <w:tr w:rsidR="002B31EF" w:rsidRPr="009C66E6" w14:paraId="0117AA87"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60697BC0"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1.020.020.050</w:t>
            </w:r>
          </w:p>
        </w:tc>
        <w:tc>
          <w:tcPr>
            <w:tcW w:w="2244" w:type="pct"/>
            <w:tcBorders>
              <w:top w:val="single" w:sz="4" w:space="0" w:color="auto"/>
              <w:left w:val="single" w:sz="4" w:space="0" w:color="auto"/>
              <w:bottom w:val="single" w:sz="4" w:space="0" w:color="auto"/>
              <w:right w:val="single" w:sz="4" w:space="0" w:color="auto"/>
            </w:tcBorders>
            <w:hideMark/>
          </w:tcPr>
          <w:p w14:paraId="49BD5FF9" w14:textId="77777777" w:rsidR="002B31EF" w:rsidRPr="009C66E6" w:rsidRDefault="002B31EF" w:rsidP="00F7010D">
            <w:pPr>
              <w:tabs>
                <w:tab w:val="left" w:pos="3047"/>
              </w:tabs>
              <w:jc w:val="both"/>
              <w:rPr>
                <w:rFonts w:asciiTheme="majorHAnsi" w:hAnsiTheme="majorHAnsi" w:cs="Arial"/>
                <w:i/>
                <w:iCs/>
                <w:sz w:val="22"/>
                <w:szCs w:val="22"/>
              </w:rPr>
            </w:pPr>
            <w:r w:rsidRPr="009C66E6">
              <w:rPr>
                <w:rFonts w:asciiTheme="majorHAnsi" w:hAnsiTheme="majorHAnsi" w:cs="Arial"/>
                <w:i/>
                <w:iCs/>
                <w:sz w:val="22"/>
                <w:szCs w:val="22"/>
              </w:rPr>
              <w:t>Instrumentos financieros en partes relacionadas del país –Recursos propios-</w:t>
            </w:r>
          </w:p>
        </w:tc>
      </w:tr>
      <w:tr w:rsidR="002B31EF" w:rsidRPr="009C66E6" w14:paraId="46A37214"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03F5B312" w14:textId="77777777" w:rsidR="002B31EF" w:rsidRPr="009C66E6" w:rsidRDefault="002B31EF" w:rsidP="00F7010D">
            <w:pPr>
              <w:ind w:right="30"/>
              <w:jc w:val="both"/>
              <w:rPr>
                <w:rFonts w:asciiTheme="majorHAnsi" w:hAnsiTheme="majorHAnsi" w:cs="Arial"/>
                <w:i/>
                <w:iCs/>
                <w:sz w:val="22"/>
                <w:szCs w:val="22"/>
              </w:rPr>
            </w:pPr>
            <w:r w:rsidRPr="009C66E6">
              <w:rPr>
                <w:rFonts w:asciiTheme="majorHAnsi" w:hAnsiTheme="majorHAnsi" w:cs="Arial"/>
                <w:i/>
                <w:iCs/>
                <w:sz w:val="22"/>
                <w:szCs w:val="22"/>
              </w:rPr>
              <w:lastRenderedPageBreak/>
              <w:t>1.020.020.100</w:t>
            </w:r>
          </w:p>
        </w:tc>
        <w:tc>
          <w:tcPr>
            <w:tcW w:w="2244" w:type="pct"/>
            <w:tcBorders>
              <w:top w:val="single" w:sz="4" w:space="0" w:color="auto"/>
              <w:left w:val="single" w:sz="4" w:space="0" w:color="auto"/>
              <w:bottom w:val="single" w:sz="4" w:space="0" w:color="auto"/>
              <w:right w:val="single" w:sz="4" w:space="0" w:color="auto"/>
            </w:tcBorders>
            <w:hideMark/>
          </w:tcPr>
          <w:p w14:paraId="03E36B99" w14:textId="77777777" w:rsidR="002B31EF" w:rsidRPr="009C66E6" w:rsidRDefault="002B31EF" w:rsidP="00F7010D">
            <w:pPr>
              <w:tabs>
                <w:tab w:val="left" w:pos="1222"/>
              </w:tabs>
              <w:jc w:val="both"/>
              <w:rPr>
                <w:rFonts w:asciiTheme="majorHAnsi" w:hAnsiTheme="majorHAnsi" w:cs="Arial"/>
                <w:i/>
                <w:iCs/>
                <w:sz w:val="22"/>
                <w:szCs w:val="22"/>
              </w:rPr>
            </w:pPr>
            <w:r w:rsidRPr="009C66E6">
              <w:rPr>
                <w:rFonts w:asciiTheme="majorHAnsi" w:hAnsiTheme="majorHAnsi" w:cs="Arial"/>
                <w:i/>
                <w:iCs/>
                <w:sz w:val="22"/>
                <w:szCs w:val="22"/>
              </w:rPr>
              <w:t>Instrumentos financieros en partes relacionadas del exterior –Recursos propios-</w:t>
            </w:r>
          </w:p>
        </w:tc>
      </w:tr>
      <w:tr w:rsidR="002B31EF" w:rsidRPr="009C66E6" w14:paraId="247A6F0F"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075C4B41"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1.020.020.640</w:t>
            </w:r>
          </w:p>
        </w:tc>
        <w:tc>
          <w:tcPr>
            <w:tcW w:w="2244" w:type="pct"/>
            <w:tcBorders>
              <w:top w:val="single" w:sz="4" w:space="0" w:color="auto"/>
              <w:left w:val="single" w:sz="4" w:space="0" w:color="auto"/>
              <w:bottom w:val="single" w:sz="4" w:space="0" w:color="auto"/>
              <w:right w:val="single" w:sz="4" w:space="0" w:color="auto"/>
            </w:tcBorders>
            <w:hideMark/>
          </w:tcPr>
          <w:p w14:paraId="7ABFA06D"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Instrumentos financieros en partes relacionadas del país – Respaldo reservas, pasivos por contratos de seguro y requerimientos de capital-</w:t>
            </w:r>
          </w:p>
        </w:tc>
      </w:tr>
      <w:tr w:rsidR="002B31EF" w:rsidRPr="009C66E6" w14:paraId="3202E83F"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080356DD"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1.020.020.690</w:t>
            </w:r>
          </w:p>
        </w:tc>
        <w:tc>
          <w:tcPr>
            <w:tcW w:w="2244" w:type="pct"/>
            <w:tcBorders>
              <w:top w:val="single" w:sz="4" w:space="0" w:color="auto"/>
              <w:left w:val="single" w:sz="4" w:space="0" w:color="auto"/>
              <w:bottom w:val="single" w:sz="4" w:space="0" w:color="auto"/>
              <w:right w:val="single" w:sz="4" w:space="0" w:color="auto"/>
            </w:tcBorders>
            <w:hideMark/>
          </w:tcPr>
          <w:p w14:paraId="0328098C"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Instrumentos financieros en partes relacionadas del exterior –Respaldo reservas, pasivos por contratos de seguro y requerimientos de capital</w:t>
            </w:r>
          </w:p>
        </w:tc>
      </w:tr>
      <w:tr w:rsidR="002B31EF" w:rsidRPr="009C66E6" w14:paraId="518D4691"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34948F0F"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1.020.050.190</w:t>
            </w:r>
          </w:p>
        </w:tc>
        <w:tc>
          <w:tcPr>
            <w:tcW w:w="2244" w:type="pct"/>
            <w:tcBorders>
              <w:top w:val="single" w:sz="4" w:space="0" w:color="auto"/>
              <w:left w:val="single" w:sz="4" w:space="0" w:color="auto"/>
              <w:bottom w:val="single" w:sz="4" w:space="0" w:color="auto"/>
              <w:right w:val="single" w:sz="4" w:space="0" w:color="auto"/>
            </w:tcBorders>
            <w:hideMark/>
          </w:tcPr>
          <w:p w14:paraId="4240F895" w14:textId="77777777" w:rsidR="002B31EF" w:rsidRPr="009C66E6" w:rsidRDefault="002B31EF" w:rsidP="00F7010D">
            <w:pPr>
              <w:tabs>
                <w:tab w:val="left" w:pos="1139"/>
              </w:tabs>
              <w:jc w:val="both"/>
              <w:rPr>
                <w:rFonts w:asciiTheme="majorHAnsi" w:hAnsiTheme="majorHAnsi" w:cs="Arial"/>
                <w:i/>
                <w:iCs/>
                <w:sz w:val="22"/>
                <w:szCs w:val="22"/>
              </w:rPr>
            </w:pPr>
            <w:r w:rsidRPr="009C66E6">
              <w:rPr>
                <w:rFonts w:asciiTheme="majorHAnsi" w:hAnsiTheme="majorHAnsi" w:cs="Arial"/>
                <w:i/>
                <w:iCs/>
                <w:sz w:val="22"/>
                <w:szCs w:val="22"/>
              </w:rPr>
              <w:t>Instrumentos financieros restringidos por operaciones de reporto</w:t>
            </w:r>
          </w:p>
        </w:tc>
      </w:tr>
      <w:tr w:rsidR="002B31EF" w:rsidRPr="009C66E6" w14:paraId="3263DB11"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33D90BBB"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1.020.050.200</w:t>
            </w:r>
          </w:p>
        </w:tc>
        <w:tc>
          <w:tcPr>
            <w:tcW w:w="2244" w:type="pct"/>
            <w:tcBorders>
              <w:top w:val="single" w:sz="4" w:space="0" w:color="auto"/>
              <w:left w:val="single" w:sz="4" w:space="0" w:color="auto"/>
              <w:bottom w:val="single" w:sz="4" w:space="0" w:color="auto"/>
              <w:right w:val="single" w:sz="4" w:space="0" w:color="auto"/>
            </w:tcBorders>
            <w:hideMark/>
          </w:tcPr>
          <w:p w14:paraId="28A3E3B8"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Instrumentos financieros restringidos por operaciones de reportos tripartitos</w:t>
            </w:r>
          </w:p>
        </w:tc>
      </w:tr>
      <w:tr w:rsidR="002B31EF" w:rsidRPr="009C66E6" w14:paraId="3DF65EB3"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3BD7F11E"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1.020.050.210</w:t>
            </w:r>
          </w:p>
        </w:tc>
        <w:tc>
          <w:tcPr>
            <w:tcW w:w="2244" w:type="pct"/>
            <w:tcBorders>
              <w:top w:val="single" w:sz="4" w:space="0" w:color="auto"/>
              <w:left w:val="single" w:sz="4" w:space="0" w:color="auto"/>
              <w:bottom w:val="single" w:sz="4" w:space="0" w:color="auto"/>
              <w:right w:val="single" w:sz="4" w:space="0" w:color="auto"/>
            </w:tcBorders>
            <w:hideMark/>
          </w:tcPr>
          <w:p w14:paraId="6649F2D9"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Instrumentos financieros restringidos por llamadas a margen de reportos tripartitos</w:t>
            </w:r>
          </w:p>
        </w:tc>
      </w:tr>
      <w:tr w:rsidR="002B31EF" w:rsidRPr="009C66E6" w14:paraId="342B2293"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2F9BDA23"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1.020.050.220</w:t>
            </w:r>
          </w:p>
        </w:tc>
        <w:tc>
          <w:tcPr>
            <w:tcW w:w="2244" w:type="pct"/>
            <w:tcBorders>
              <w:top w:val="single" w:sz="4" w:space="0" w:color="auto"/>
              <w:left w:val="single" w:sz="4" w:space="0" w:color="auto"/>
              <w:bottom w:val="single" w:sz="4" w:space="0" w:color="auto"/>
              <w:right w:val="single" w:sz="4" w:space="0" w:color="auto"/>
            </w:tcBorders>
            <w:hideMark/>
          </w:tcPr>
          <w:p w14:paraId="090C33C8"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Instrumentos financieros restringidos por operaciones a plazo</w:t>
            </w:r>
          </w:p>
        </w:tc>
      </w:tr>
      <w:tr w:rsidR="002B31EF" w:rsidRPr="009C66E6" w14:paraId="7F1C8E73"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hideMark/>
          </w:tcPr>
          <w:p w14:paraId="75DA2D9A"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1.020.050.230</w:t>
            </w:r>
          </w:p>
        </w:tc>
        <w:tc>
          <w:tcPr>
            <w:tcW w:w="2244" w:type="pct"/>
            <w:tcBorders>
              <w:top w:val="single" w:sz="4" w:space="0" w:color="auto"/>
              <w:left w:val="single" w:sz="4" w:space="0" w:color="auto"/>
              <w:bottom w:val="single" w:sz="4" w:space="0" w:color="auto"/>
              <w:right w:val="single" w:sz="4" w:space="0" w:color="auto"/>
            </w:tcBorders>
            <w:hideMark/>
          </w:tcPr>
          <w:p w14:paraId="4E1462BB"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Instrumentos financieros restringidos por llamadas a margen de operaciones a plazo</w:t>
            </w:r>
          </w:p>
        </w:tc>
      </w:tr>
      <w:tr w:rsidR="002B31EF" w:rsidRPr="009C66E6" w14:paraId="455C842C"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0591CEE9"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1.020.050.240</w:t>
            </w:r>
          </w:p>
        </w:tc>
        <w:tc>
          <w:tcPr>
            <w:tcW w:w="2244" w:type="pct"/>
            <w:tcBorders>
              <w:top w:val="single" w:sz="4" w:space="0" w:color="auto"/>
              <w:left w:val="single" w:sz="4" w:space="0" w:color="auto"/>
              <w:bottom w:val="single" w:sz="4" w:space="0" w:color="auto"/>
              <w:right w:val="single" w:sz="4" w:space="0" w:color="auto"/>
            </w:tcBorders>
            <w:hideMark/>
          </w:tcPr>
          <w:p w14:paraId="45BB814F"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Instrumentos financieros restringidos por préstamo de valores</w:t>
            </w:r>
          </w:p>
        </w:tc>
      </w:tr>
      <w:tr w:rsidR="002B31EF" w:rsidRPr="009C66E6" w14:paraId="040AA5F4"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094768F9"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1.020.050.260</w:t>
            </w:r>
          </w:p>
        </w:tc>
        <w:tc>
          <w:tcPr>
            <w:tcW w:w="2244" w:type="pct"/>
            <w:tcBorders>
              <w:top w:val="single" w:sz="4" w:space="0" w:color="auto"/>
              <w:left w:val="single" w:sz="4" w:space="0" w:color="auto"/>
              <w:bottom w:val="single" w:sz="4" w:space="0" w:color="auto"/>
              <w:right w:val="single" w:sz="4" w:space="0" w:color="auto"/>
            </w:tcBorders>
            <w:hideMark/>
          </w:tcPr>
          <w:p w14:paraId="1392DBE5" w14:textId="77777777" w:rsidR="002B31EF" w:rsidRPr="009C66E6" w:rsidRDefault="002B31EF" w:rsidP="00F7010D">
            <w:pPr>
              <w:tabs>
                <w:tab w:val="left" w:pos="1105"/>
              </w:tabs>
              <w:jc w:val="both"/>
              <w:rPr>
                <w:rFonts w:asciiTheme="majorHAnsi" w:hAnsiTheme="majorHAnsi" w:cs="Arial"/>
                <w:i/>
                <w:iCs/>
                <w:sz w:val="22"/>
                <w:szCs w:val="22"/>
              </w:rPr>
            </w:pPr>
            <w:r w:rsidRPr="009C66E6">
              <w:rPr>
                <w:rFonts w:asciiTheme="majorHAnsi" w:hAnsiTheme="majorHAnsi" w:cs="Arial"/>
                <w:i/>
                <w:iCs/>
                <w:sz w:val="22"/>
                <w:szCs w:val="22"/>
              </w:rPr>
              <w:t>Instrumentos financieros restringidos por el Fondo Garantía de la Bolsa Nacional de Valores</w:t>
            </w:r>
          </w:p>
        </w:tc>
      </w:tr>
      <w:tr w:rsidR="002B31EF" w:rsidRPr="009C66E6" w14:paraId="0C6D276B"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278D393D"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1.020.050.270</w:t>
            </w:r>
          </w:p>
        </w:tc>
        <w:tc>
          <w:tcPr>
            <w:tcW w:w="2244" w:type="pct"/>
            <w:tcBorders>
              <w:top w:val="single" w:sz="4" w:space="0" w:color="auto"/>
              <w:left w:val="single" w:sz="4" w:space="0" w:color="auto"/>
              <w:bottom w:val="single" w:sz="4" w:space="0" w:color="auto"/>
              <w:right w:val="single" w:sz="4" w:space="0" w:color="auto"/>
            </w:tcBorders>
            <w:hideMark/>
          </w:tcPr>
          <w:p w14:paraId="6FD9AA74"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Instrumentos financieros restringidos por operaciones de crédito</w:t>
            </w:r>
          </w:p>
        </w:tc>
      </w:tr>
      <w:tr w:rsidR="002B31EF" w:rsidRPr="009C66E6" w14:paraId="747489A1"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528DF056"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1.020.050.280</w:t>
            </w:r>
          </w:p>
        </w:tc>
        <w:tc>
          <w:tcPr>
            <w:tcW w:w="2244" w:type="pct"/>
            <w:tcBorders>
              <w:top w:val="single" w:sz="4" w:space="0" w:color="auto"/>
              <w:left w:val="single" w:sz="4" w:space="0" w:color="auto"/>
              <w:bottom w:val="single" w:sz="4" w:space="0" w:color="auto"/>
              <w:right w:val="single" w:sz="4" w:space="0" w:color="auto"/>
            </w:tcBorders>
            <w:hideMark/>
          </w:tcPr>
          <w:p w14:paraId="2A4A037D"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Instrumentos financieros restringidos por requerimientos judiciales</w:t>
            </w:r>
          </w:p>
        </w:tc>
      </w:tr>
      <w:tr w:rsidR="002B31EF" w:rsidRPr="009C66E6" w14:paraId="480DDB2C"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35D0E0AC"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1.020.050.290</w:t>
            </w:r>
          </w:p>
        </w:tc>
        <w:tc>
          <w:tcPr>
            <w:tcW w:w="2244" w:type="pct"/>
            <w:tcBorders>
              <w:top w:val="single" w:sz="4" w:space="0" w:color="auto"/>
              <w:left w:val="single" w:sz="4" w:space="0" w:color="auto"/>
              <w:bottom w:val="single" w:sz="4" w:space="0" w:color="auto"/>
              <w:right w:val="single" w:sz="4" w:space="0" w:color="auto"/>
            </w:tcBorders>
            <w:hideMark/>
          </w:tcPr>
          <w:p w14:paraId="2947F1A4" w14:textId="77777777" w:rsidR="002B31EF" w:rsidRPr="009C66E6" w:rsidRDefault="002B31EF" w:rsidP="00F7010D">
            <w:pPr>
              <w:tabs>
                <w:tab w:val="left" w:pos="1641"/>
              </w:tabs>
              <w:jc w:val="both"/>
              <w:rPr>
                <w:rFonts w:asciiTheme="majorHAnsi" w:hAnsiTheme="majorHAnsi" w:cs="Arial"/>
                <w:i/>
                <w:iCs/>
                <w:sz w:val="22"/>
                <w:szCs w:val="22"/>
              </w:rPr>
            </w:pPr>
            <w:r w:rsidRPr="009C66E6">
              <w:rPr>
                <w:rFonts w:asciiTheme="majorHAnsi" w:hAnsiTheme="majorHAnsi" w:cs="Arial"/>
                <w:i/>
                <w:iCs/>
                <w:sz w:val="22"/>
                <w:szCs w:val="22"/>
              </w:rPr>
              <w:t>Instrumentos financieros restringidos por operaciones de Mercado Interbancario</w:t>
            </w:r>
          </w:p>
        </w:tc>
      </w:tr>
      <w:tr w:rsidR="002B31EF" w:rsidRPr="009C66E6" w14:paraId="34F91323"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569E0279"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1.020.050.300</w:t>
            </w:r>
          </w:p>
        </w:tc>
        <w:tc>
          <w:tcPr>
            <w:tcW w:w="2244" w:type="pct"/>
            <w:tcBorders>
              <w:top w:val="single" w:sz="4" w:space="0" w:color="auto"/>
              <w:left w:val="single" w:sz="4" w:space="0" w:color="auto"/>
              <w:bottom w:val="single" w:sz="4" w:space="0" w:color="auto"/>
              <w:right w:val="single" w:sz="4" w:space="0" w:color="auto"/>
            </w:tcBorders>
            <w:hideMark/>
          </w:tcPr>
          <w:p w14:paraId="06D1AD7C"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Instrumentos financieros restringidos por operaciones de Mercado de Liquidez</w:t>
            </w:r>
          </w:p>
        </w:tc>
      </w:tr>
      <w:tr w:rsidR="002B31EF" w:rsidRPr="009C66E6" w14:paraId="71716C49"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525FFC2E"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1.020.050.310</w:t>
            </w:r>
          </w:p>
        </w:tc>
        <w:tc>
          <w:tcPr>
            <w:tcW w:w="2244" w:type="pct"/>
            <w:tcBorders>
              <w:top w:val="single" w:sz="4" w:space="0" w:color="auto"/>
              <w:left w:val="single" w:sz="4" w:space="0" w:color="auto"/>
              <w:bottom w:val="single" w:sz="4" w:space="0" w:color="auto"/>
              <w:right w:val="single" w:sz="4" w:space="0" w:color="auto"/>
            </w:tcBorders>
            <w:hideMark/>
          </w:tcPr>
          <w:p w14:paraId="475A6214" w14:textId="77777777" w:rsidR="002B31EF" w:rsidRPr="009C66E6" w:rsidRDefault="002B31EF" w:rsidP="00F7010D">
            <w:pPr>
              <w:tabs>
                <w:tab w:val="left" w:pos="1356"/>
              </w:tabs>
              <w:jc w:val="both"/>
              <w:rPr>
                <w:rFonts w:asciiTheme="majorHAnsi" w:hAnsiTheme="majorHAnsi" w:cs="Arial"/>
                <w:i/>
                <w:iCs/>
                <w:sz w:val="22"/>
                <w:szCs w:val="22"/>
              </w:rPr>
            </w:pPr>
            <w:r w:rsidRPr="009C66E6">
              <w:rPr>
                <w:rFonts w:asciiTheme="majorHAnsi" w:hAnsiTheme="majorHAnsi" w:cs="Arial"/>
                <w:i/>
                <w:iCs/>
                <w:sz w:val="22"/>
                <w:szCs w:val="22"/>
              </w:rPr>
              <w:t>Instrumentos financieros restringidos por operaciones de corresponsalía</w:t>
            </w:r>
          </w:p>
        </w:tc>
      </w:tr>
      <w:tr w:rsidR="002B31EF" w:rsidRPr="009C66E6" w14:paraId="2674F08C"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27541040"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1.020.050.320</w:t>
            </w:r>
          </w:p>
        </w:tc>
        <w:tc>
          <w:tcPr>
            <w:tcW w:w="2244" w:type="pct"/>
            <w:tcBorders>
              <w:top w:val="single" w:sz="4" w:space="0" w:color="auto"/>
              <w:left w:val="single" w:sz="4" w:space="0" w:color="auto"/>
              <w:bottom w:val="single" w:sz="4" w:space="0" w:color="auto"/>
              <w:right w:val="single" w:sz="4" w:space="0" w:color="auto"/>
            </w:tcBorders>
            <w:hideMark/>
          </w:tcPr>
          <w:p w14:paraId="5F003819"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Instrumentos financieros restringidos por otros conceptos</w:t>
            </w:r>
          </w:p>
        </w:tc>
      </w:tr>
      <w:tr w:rsidR="002B31EF" w:rsidRPr="009C66E6" w14:paraId="04B4BF33"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6F3D000D"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1.020.050.330</w:t>
            </w:r>
          </w:p>
        </w:tc>
        <w:tc>
          <w:tcPr>
            <w:tcW w:w="2244" w:type="pct"/>
            <w:tcBorders>
              <w:top w:val="single" w:sz="4" w:space="0" w:color="auto"/>
              <w:left w:val="single" w:sz="4" w:space="0" w:color="auto"/>
              <w:bottom w:val="single" w:sz="4" w:space="0" w:color="auto"/>
              <w:right w:val="single" w:sz="4" w:space="0" w:color="auto"/>
            </w:tcBorders>
            <w:hideMark/>
          </w:tcPr>
          <w:p w14:paraId="1237E0B8"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Instrumentos financieros restringidos por operaciones diferidas de Liquidez</w:t>
            </w:r>
          </w:p>
        </w:tc>
      </w:tr>
      <w:tr w:rsidR="002B31EF" w:rsidRPr="009C66E6" w14:paraId="44328E85"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2517BE87"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lastRenderedPageBreak/>
              <w:t>1.020.080.</w:t>
            </w:r>
            <w:proofErr w:type="gramStart"/>
            <w:r w:rsidRPr="009C66E6">
              <w:rPr>
                <w:rFonts w:asciiTheme="majorHAnsi" w:hAnsiTheme="majorHAnsi" w:cs="Arial"/>
                <w:i/>
                <w:iCs/>
                <w:sz w:val="22"/>
                <w:szCs w:val="22"/>
              </w:rPr>
              <w:t>080.M.</w:t>
            </w:r>
            <w:proofErr w:type="gramEnd"/>
            <w:r w:rsidRPr="009C66E6">
              <w:rPr>
                <w:rFonts w:asciiTheme="majorHAnsi" w:hAnsiTheme="majorHAnsi" w:cs="Arial"/>
                <w:i/>
                <w:iCs/>
                <w:sz w:val="22"/>
                <w:szCs w:val="22"/>
              </w:rPr>
              <w:t>050</w:t>
            </w:r>
          </w:p>
        </w:tc>
        <w:tc>
          <w:tcPr>
            <w:tcW w:w="2244" w:type="pct"/>
            <w:tcBorders>
              <w:top w:val="single" w:sz="4" w:space="0" w:color="auto"/>
              <w:left w:val="single" w:sz="4" w:space="0" w:color="auto"/>
              <w:bottom w:val="single" w:sz="4" w:space="0" w:color="auto"/>
              <w:right w:val="single" w:sz="4" w:space="0" w:color="auto"/>
            </w:tcBorders>
            <w:hideMark/>
          </w:tcPr>
          <w:p w14:paraId="1AF500F6"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Productos por cobrar por inversiones en instrumentos financieros vencidos y restringidos</w:t>
            </w:r>
          </w:p>
        </w:tc>
      </w:tr>
      <w:tr w:rsidR="002B31EF" w:rsidRPr="009C66E6" w14:paraId="481D1988"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62926426"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1.030.010.</w:t>
            </w:r>
            <w:proofErr w:type="gramStart"/>
            <w:r w:rsidRPr="009C66E6">
              <w:rPr>
                <w:rFonts w:asciiTheme="majorHAnsi" w:hAnsiTheme="majorHAnsi" w:cs="Arial"/>
                <w:i/>
                <w:iCs/>
                <w:sz w:val="22"/>
                <w:szCs w:val="22"/>
              </w:rPr>
              <w:t>310.M.</w:t>
            </w:r>
            <w:proofErr w:type="gramEnd"/>
            <w:r w:rsidRPr="009C66E6">
              <w:rPr>
                <w:rFonts w:asciiTheme="majorHAnsi" w:hAnsiTheme="majorHAnsi" w:cs="Arial"/>
                <w:i/>
                <w:iCs/>
                <w:sz w:val="22"/>
                <w:szCs w:val="22"/>
              </w:rPr>
              <w:t>100</w:t>
            </w:r>
          </w:p>
        </w:tc>
        <w:tc>
          <w:tcPr>
            <w:tcW w:w="2244" w:type="pct"/>
            <w:tcBorders>
              <w:top w:val="single" w:sz="4" w:space="0" w:color="auto"/>
              <w:left w:val="single" w:sz="4" w:space="0" w:color="auto"/>
              <w:bottom w:val="single" w:sz="4" w:space="0" w:color="auto"/>
              <w:right w:val="single" w:sz="4" w:space="0" w:color="auto"/>
            </w:tcBorders>
            <w:hideMark/>
          </w:tcPr>
          <w:p w14:paraId="2518EBDC"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Partes Relacionadas – Personas Físicas</w:t>
            </w:r>
          </w:p>
        </w:tc>
      </w:tr>
      <w:tr w:rsidR="002B31EF" w:rsidRPr="009C66E6" w14:paraId="6327688D"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1F69629B"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1.030.010.</w:t>
            </w:r>
            <w:proofErr w:type="gramStart"/>
            <w:r w:rsidRPr="009C66E6">
              <w:rPr>
                <w:rFonts w:asciiTheme="majorHAnsi" w:hAnsiTheme="majorHAnsi" w:cs="Arial"/>
                <w:i/>
                <w:iCs/>
                <w:sz w:val="22"/>
                <w:szCs w:val="22"/>
              </w:rPr>
              <w:t>330.M.</w:t>
            </w:r>
            <w:proofErr w:type="gramEnd"/>
            <w:r w:rsidRPr="009C66E6">
              <w:rPr>
                <w:rFonts w:asciiTheme="majorHAnsi" w:hAnsiTheme="majorHAnsi" w:cs="Arial"/>
                <w:i/>
                <w:iCs/>
                <w:sz w:val="22"/>
                <w:szCs w:val="22"/>
              </w:rPr>
              <w:t>100</w:t>
            </w:r>
          </w:p>
        </w:tc>
        <w:tc>
          <w:tcPr>
            <w:tcW w:w="2244" w:type="pct"/>
            <w:tcBorders>
              <w:top w:val="single" w:sz="4" w:space="0" w:color="auto"/>
              <w:left w:val="single" w:sz="4" w:space="0" w:color="auto"/>
              <w:bottom w:val="single" w:sz="4" w:space="0" w:color="auto"/>
              <w:right w:val="single" w:sz="4" w:space="0" w:color="auto"/>
            </w:tcBorders>
            <w:hideMark/>
          </w:tcPr>
          <w:p w14:paraId="28F892E0"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Partes Relacionadas – Empresarial</w:t>
            </w:r>
          </w:p>
        </w:tc>
      </w:tr>
      <w:tr w:rsidR="002B31EF" w:rsidRPr="009C66E6" w14:paraId="1C798B69"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79E2C681"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1.030.010.</w:t>
            </w:r>
            <w:proofErr w:type="gramStart"/>
            <w:r w:rsidRPr="009C66E6">
              <w:rPr>
                <w:rFonts w:asciiTheme="majorHAnsi" w:hAnsiTheme="majorHAnsi" w:cs="Arial"/>
                <w:i/>
                <w:iCs/>
                <w:sz w:val="22"/>
                <w:szCs w:val="22"/>
              </w:rPr>
              <w:t>340.M.</w:t>
            </w:r>
            <w:proofErr w:type="gramEnd"/>
            <w:r w:rsidRPr="009C66E6">
              <w:rPr>
                <w:rFonts w:asciiTheme="majorHAnsi" w:hAnsiTheme="majorHAnsi" w:cs="Arial"/>
                <w:i/>
                <w:iCs/>
                <w:sz w:val="22"/>
                <w:szCs w:val="22"/>
              </w:rPr>
              <w:t>100</w:t>
            </w:r>
          </w:p>
        </w:tc>
        <w:tc>
          <w:tcPr>
            <w:tcW w:w="2244" w:type="pct"/>
            <w:tcBorders>
              <w:top w:val="single" w:sz="4" w:space="0" w:color="auto"/>
              <w:left w:val="single" w:sz="4" w:space="0" w:color="auto"/>
              <w:bottom w:val="single" w:sz="4" w:space="0" w:color="auto"/>
              <w:right w:val="single" w:sz="4" w:space="0" w:color="auto"/>
            </w:tcBorders>
            <w:hideMark/>
          </w:tcPr>
          <w:p w14:paraId="0BE6488A"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Partes Relacionadas – Corporativo</w:t>
            </w:r>
          </w:p>
        </w:tc>
      </w:tr>
      <w:tr w:rsidR="002B31EF" w:rsidRPr="009C66E6" w14:paraId="62CA5096"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7DE5F43D"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1.030.010.</w:t>
            </w:r>
            <w:proofErr w:type="gramStart"/>
            <w:r w:rsidRPr="009C66E6">
              <w:rPr>
                <w:rFonts w:asciiTheme="majorHAnsi" w:hAnsiTheme="majorHAnsi" w:cs="Arial"/>
                <w:i/>
                <w:iCs/>
                <w:sz w:val="22"/>
                <w:szCs w:val="22"/>
              </w:rPr>
              <w:t>360.M.</w:t>
            </w:r>
            <w:proofErr w:type="gramEnd"/>
            <w:r w:rsidRPr="009C66E6">
              <w:rPr>
                <w:rFonts w:asciiTheme="majorHAnsi" w:hAnsiTheme="majorHAnsi" w:cs="Arial"/>
                <w:i/>
                <w:iCs/>
                <w:sz w:val="22"/>
                <w:szCs w:val="22"/>
              </w:rPr>
              <w:t>100</w:t>
            </w:r>
          </w:p>
        </w:tc>
        <w:tc>
          <w:tcPr>
            <w:tcW w:w="2244" w:type="pct"/>
            <w:tcBorders>
              <w:top w:val="single" w:sz="4" w:space="0" w:color="auto"/>
              <w:left w:val="single" w:sz="4" w:space="0" w:color="auto"/>
              <w:bottom w:val="single" w:sz="4" w:space="0" w:color="auto"/>
              <w:right w:val="single" w:sz="4" w:space="0" w:color="auto"/>
            </w:tcBorders>
            <w:hideMark/>
          </w:tcPr>
          <w:p w14:paraId="79D7B1BB"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Partes Relacionadas – Sector Financiero</w:t>
            </w:r>
          </w:p>
        </w:tc>
      </w:tr>
      <w:tr w:rsidR="002B31EF" w:rsidRPr="009C66E6" w14:paraId="7D10F647"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06827BDD"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1.030.020.</w:t>
            </w:r>
            <w:proofErr w:type="gramStart"/>
            <w:r w:rsidRPr="009C66E6">
              <w:rPr>
                <w:rFonts w:asciiTheme="majorHAnsi" w:hAnsiTheme="majorHAnsi" w:cs="Arial"/>
                <w:i/>
                <w:iCs/>
                <w:sz w:val="22"/>
                <w:szCs w:val="22"/>
              </w:rPr>
              <w:t>310.M.</w:t>
            </w:r>
            <w:proofErr w:type="gramEnd"/>
            <w:r w:rsidRPr="009C66E6">
              <w:rPr>
                <w:rFonts w:asciiTheme="majorHAnsi" w:hAnsiTheme="majorHAnsi" w:cs="Arial"/>
                <w:i/>
                <w:iCs/>
                <w:sz w:val="22"/>
                <w:szCs w:val="22"/>
              </w:rPr>
              <w:t>100</w:t>
            </w:r>
          </w:p>
        </w:tc>
        <w:tc>
          <w:tcPr>
            <w:tcW w:w="2244" w:type="pct"/>
            <w:tcBorders>
              <w:top w:val="single" w:sz="4" w:space="0" w:color="auto"/>
              <w:left w:val="single" w:sz="4" w:space="0" w:color="auto"/>
              <w:bottom w:val="single" w:sz="4" w:space="0" w:color="auto"/>
              <w:right w:val="single" w:sz="4" w:space="0" w:color="auto"/>
            </w:tcBorders>
            <w:hideMark/>
          </w:tcPr>
          <w:p w14:paraId="56D679F1"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Partes Relacionadas – Personas Físicas</w:t>
            </w:r>
          </w:p>
        </w:tc>
      </w:tr>
      <w:tr w:rsidR="002B31EF" w:rsidRPr="009C66E6" w14:paraId="39FB140F"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0EC4F8EF"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1.030.020.</w:t>
            </w:r>
            <w:proofErr w:type="gramStart"/>
            <w:r w:rsidRPr="009C66E6">
              <w:rPr>
                <w:rFonts w:asciiTheme="majorHAnsi" w:hAnsiTheme="majorHAnsi" w:cs="Arial"/>
                <w:i/>
                <w:iCs/>
                <w:sz w:val="22"/>
                <w:szCs w:val="22"/>
              </w:rPr>
              <w:t>330.M.</w:t>
            </w:r>
            <w:proofErr w:type="gramEnd"/>
            <w:r w:rsidRPr="009C66E6">
              <w:rPr>
                <w:rFonts w:asciiTheme="majorHAnsi" w:hAnsiTheme="majorHAnsi" w:cs="Arial"/>
                <w:i/>
                <w:iCs/>
                <w:sz w:val="22"/>
                <w:szCs w:val="22"/>
              </w:rPr>
              <w:t>100</w:t>
            </w:r>
          </w:p>
        </w:tc>
        <w:tc>
          <w:tcPr>
            <w:tcW w:w="2244" w:type="pct"/>
            <w:tcBorders>
              <w:top w:val="single" w:sz="4" w:space="0" w:color="auto"/>
              <w:left w:val="single" w:sz="4" w:space="0" w:color="auto"/>
              <w:bottom w:val="single" w:sz="4" w:space="0" w:color="auto"/>
              <w:right w:val="single" w:sz="4" w:space="0" w:color="auto"/>
            </w:tcBorders>
            <w:hideMark/>
          </w:tcPr>
          <w:p w14:paraId="358E951C"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Partes Relacionadas – Empresarial</w:t>
            </w:r>
          </w:p>
        </w:tc>
      </w:tr>
      <w:tr w:rsidR="002B31EF" w:rsidRPr="009C66E6" w14:paraId="26742124"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703D68D3"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1.030.020.</w:t>
            </w:r>
            <w:proofErr w:type="gramStart"/>
            <w:r w:rsidRPr="009C66E6">
              <w:rPr>
                <w:rFonts w:asciiTheme="majorHAnsi" w:hAnsiTheme="majorHAnsi" w:cs="Arial"/>
                <w:i/>
                <w:iCs/>
                <w:sz w:val="22"/>
                <w:szCs w:val="22"/>
              </w:rPr>
              <w:t>340.M.</w:t>
            </w:r>
            <w:proofErr w:type="gramEnd"/>
            <w:r w:rsidRPr="009C66E6">
              <w:rPr>
                <w:rFonts w:asciiTheme="majorHAnsi" w:hAnsiTheme="majorHAnsi" w:cs="Arial"/>
                <w:i/>
                <w:iCs/>
                <w:sz w:val="22"/>
                <w:szCs w:val="22"/>
              </w:rPr>
              <w:t>100</w:t>
            </w:r>
          </w:p>
        </w:tc>
        <w:tc>
          <w:tcPr>
            <w:tcW w:w="2244" w:type="pct"/>
            <w:tcBorders>
              <w:top w:val="single" w:sz="4" w:space="0" w:color="auto"/>
              <w:left w:val="single" w:sz="4" w:space="0" w:color="auto"/>
              <w:bottom w:val="single" w:sz="4" w:space="0" w:color="auto"/>
              <w:right w:val="single" w:sz="4" w:space="0" w:color="auto"/>
            </w:tcBorders>
            <w:hideMark/>
          </w:tcPr>
          <w:p w14:paraId="7EEB5DA3"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Partes Relacionadas – Corporativo</w:t>
            </w:r>
          </w:p>
        </w:tc>
      </w:tr>
      <w:tr w:rsidR="002B31EF" w:rsidRPr="009C66E6" w14:paraId="04C45400"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50281D59"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1.030.020.</w:t>
            </w:r>
            <w:proofErr w:type="gramStart"/>
            <w:r w:rsidRPr="009C66E6">
              <w:rPr>
                <w:rFonts w:asciiTheme="majorHAnsi" w:hAnsiTheme="majorHAnsi" w:cs="Arial"/>
                <w:i/>
                <w:iCs/>
                <w:sz w:val="22"/>
                <w:szCs w:val="22"/>
              </w:rPr>
              <w:t>360.M.</w:t>
            </w:r>
            <w:proofErr w:type="gramEnd"/>
            <w:r w:rsidRPr="009C66E6">
              <w:rPr>
                <w:rFonts w:asciiTheme="majorHAnsi" w:hAnsiTheme="majorHAnsi" w:cs="Arial"/>
                <w:i/>
                <w:iCs/>
                <w:sz w:val="22"/>
                <w:szCs w:val="22"/>
              </w:rPr>
              <w:t>100</w:t>
            </w:r>
          </w:p>
        </w:tc>
        <w:tc>
          <w:tcPr>
            <w:tcW w:w="2244" w:type="pct"/>
            <w:tcBorders>
              <w:top w:val="single" w:sz="4" w:space="0" w:color="auto"/>
              <w:left w:val="single" w:sz="4" w:space="0" w:color="auto"/>
              <w:bottom w:val="single" w:sz="4" w:space="0" w:color="auto"/>
              <w:right w:val="single" w:sz="4" w:space="0" w:color="auto"/>
            </w:tcBorders>
            <w:hideMark/>
          </w:tcPr>
          <w:p w14:paraId="2DFAACCF"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Partes Relacionadas – Sector Financiero</w:t>
            </w:r>
          </w:p>
        </w:tc>
      </w:tr>
      <w:tr w:rsidR="002B31EF" w:rsidRPr="009C66E6" w14:paraId="205B5FD0"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7AD72C75"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1.030.030.</w:t>
            </w:r>
            <w:proofErr w:type="gramStart"/>
            <w:r w:rsidRPr="009C66E6">
              <w:rPr>
                <w:rFonts w:asciiTheme="majorHAnsi" w:hAnsiTheme="majorHAnsi" w:cs="Arial"/>
                <w:i/>
                <w:iCs/>
                <w:sz w:val="22"/>
                <w:szCs w:val="22"/>
              </w:rPr>
              <w:t>310.M.</w:t>
            </w:r>
            <w:proofErr w:type="gramEnd"/>
            <w:r w:rsidRPr="009C66E6">
              <w:rPr>
                <w:rFonts w:asciiTheme="majorHAnsi" w:hAnsiTheme="majorHAnsi" w:cs="Arial"/>
                <w:i/>
                <w:iCs/>
                <w:sz w:val="22"/>
                <w:szCs w:val="22"/>
              </w:rPr>
              <w:t>100</w:t>
            </w:r>
          </w:p>
        </w:tc>
        <w:tc>
          <w:tcPr>
            <w:tcW w:w="2244" w:type="pct"/>
            <w:tcBorders>
              <w:top w:val="single" w:sz="4" w:space="0" w:color="auto"/>
              <w:left w:val="single" w:sz="4" w:space="0" w:color="auto"/>
              <w:bottom w:val="single" w:sz="4" w:space="0" w:color="auto"/>
              <w:right w:val="single" w:sz="4" w:space="0" w:color="auto"/>
            </w:tcBorders>
            <w:hideMark/>
          </w:tcPr>
          <w:p w14:paraId="2BD18801"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Partes Relacionadas – Personas Físicas</w:t>
            </w:r>
          </w:p>
        </w:tc>
      </w:tr>
      <w:tr w:rsidR="002B31EF" w:rsidRPr="009C66E6" w14:paraId="42D7CDFB"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6C77730B"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1.030.030.</w:t>
            </w:r>
            <w:proofErr w:type="gramStart"/>
            <w:r w:rsidRPr="009C66E6">
              <w:rPr>
                <w:rFonts w:asciiTheme="majorHAnsi" w:hAnsiTheme="majorHAnsi" w:cs="Arial"/>
                <w:i/>
                <w:iCs/>
                <w:sz w:val="22"/>
                <w:szCs w:val="22"/>
              </w:rPr>
              <w:t>330.M.</w:t>
            </w:r>
            <w:proofErr w:type="gramEnd"/>
            <w:r w:rsidRPr="009C66E6">
              <w:rPr>
                <w:rFonts w:asciiTheme="majorHAnsi" w:hAnsiTheme="majorHAnsi" w:cs="Arial"/>
                <w:i/>
                <w:iCs/>
                <w:sz w:val="22"/>
                <w:szCs w:val="22"/>
              </w:rPr>
              <w:t>100</w:t>
            </w:r>
          </w:p>
        </w:tc>
        <w:tc>
          <w:tcPr>
            <w:tcW w:w="2244" w:type="pct"/>
            <w:tcBorders>
              <w:top w:val="single" w:sz="4" w:space="0" w:color="auto"/>
              <w:left w:val="single" w:sz="4" w:space="0" w:color="auto"/>
              <w:bottom w:val="single" w:sz="4" w:space="0" w:color="auto"/>
              <w:right w:val="single" w:sz="4" w:space="0" w:color="auto"/>
            </w:tcBorders>
            <w:hideMark/>
          </w:tcPr>
          <w:p w14:paraId="3D856DF3"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Partes Relacionadas – Empresarial</w:t>
            </w:r>
          </w:p>
        </w:tc>
      </w:tr>
      <w:tr w:rsidR="002B31EF" w:rsidRPr="009C66E6" w14:paraId="56A6B44D"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6C05F3B1"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1.030.030.</w:t>
            </w:r>
            <w:proofErr w:type="gramStart"/>
            <w:r w:rsidRPr="009C66E6">
              <w:rPr>
                <w:rFonts w:asciiTheme="majorHAnsi" w:hAnsiTheme="majorHAnsi" w:cs="Arial"/>
                <w:i/>
                <w:iCs/>
                <w:sz w:val="22"/>
                <w:szCs w:val="22"/>
              </w:rPr>
              <w:t>340.M.</w:t>
            </w:r>
            <w:proofErr w:type="gramEnd"/>
            <w:r w:rsidRPr="009C66E6">
              <w:rPr>
                <w:rFonts w:asciiTheme="majorHAnsi" w:hAnsiTheme="majorHAnsi" w:cs="Arial"/>
                <w:i/>
                <w:iCs/>
                <w:sz w:val="22"/>
                <w:szCs w:val="22"/>
              </w:rPr>
              <w:t>100</w:t>
            </w:r>
          </w:p>
        </w:tc>
        <w:tc>
          <w:tcPr>
            <w:tcW w:w="2244" w:type="pct"/>
            <w:tcBorders>
              <w:top w:val="single" w:sz="4" w:space="0" w:color="auto"/>
              <w:left w:val="single" w:sz="4" w:space="0" w:color="auto"/>
              <w:bottom w:val="single" w:sz="4" w:space="0" w:color="auto"/>
              <w:right w:val="single" w:sz="4" w:space="0" w:color="auto"/>
            </w:tcBorders>
            <w:hideMark/>
          </w:tcPr>
          <w:p w14:paraId="3B62C184"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Partes Relacionadas – Corporativo</w:t>
            </w:r>
          </w:p>
        </w:tc>
      </w:tr>
      <w:tr w:rsidR="002B31EF" w:rsidRPr="009C66E6" w14:paraId="4412B12E"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545FD586"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1.030.030.</w:t>
            </w:r>
            <w:proofErr w:type="gramStart"/>
            <w:r w:rsidRPr="009C66E6">
              <w:rPr>
                <w:rFonts w:asciiTheme="majorHAnsi" w:hAnsiTheme="majorHAnsi" w:cs="Arial"/>
                <w:i/>
                <w:iCs/>
                <w:sz w:val="22"/>
                <w:szCs w:val="22"/>
              </w:rPr>
              <w:t>360.M.</w:t>
            </w:r>
            <w:proofErr w:type="gramEnd"/>
            <w:r w:rsidRPr="009C66E6">
              <w:rPr>
                <w:rFonts w:asciiTheme="majorHAnsi" w:hAnsiTheme="majorHAnsi" w:cs="Arial"/>
                <w:i/>
                <w:iCs/>
                <w:sz w:val="22"/>
                <w:szCs w:val="22"/>
              </w:rPr>
              <w:t>100</w:t>
            </w:r>
          </w:p>
        </w:tc>
        <w:tc>
          <w:tcPr>
            <w:tcW w:w="2244" w:type="pct"/>
            <w:tcBorders>
              <w:top w:val="single" w:sz="4" w:space="0" w:color="auto"/>
              <w:left w:val="single" w:sz="4" w:space="0" w:color="auto"/>
              <w:bottom w:val="single" w:sz="4" w:space="0" w:color="auto"/>
              <w:right w:val="single" w:sz="4" w:space="0" w:color="auto"/>
            </w:tcBorders>
            <w:hideMark/>
          </w:tcPr>
          <w:p w14:paraId="7B8F5090"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Partes Relacionadas – Sector Financiero</w:t>
            </w:r>
          </w:p>
        </w:tc>
      </w:tr>
      <w:tr w:rsidR="002B31EF" w:rsidRPr="009C66E6" w14:paraId="313E8472"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1C23F7C5"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1.030.040</w:t>
            </w:r>
          </w:p>
        </w:tc>
        <w:tc>
          <w:tcPr>
            <w:tcW w:w="2244" w:type="pct"/>
            <w:tcBorders>
              <w:top w:val="single" w:sz="4" w:space="0" w:color="auto"/>
              <w:left w:val="single" w:sz="4" w:space="0" w:color="auto"/>
              <w:bottom w:val="single" w:sz="4" w:space="0" w:color="auto"/>
              <w:right w:val="single" w:sz="4" w:space="0" w:color="auto"/>
            </w:tcBorders>
            <w:hideMark/>
          </w:tcPr>
          <w:p w14:paraId="2AE5140A"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Créditos restringidos</w:t>
            </w:r>
          </w:p>
        </w:tc>
      </w:tr>
      <w:tr w:rsidR="002B31EF" w:rsidRPr="009C66E6" w14:paraId="6097333D"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466BE7D3"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1.030.080.</w:t>
            </w:r>
            <w:proofErr w:type="gramStart"/>
            <w:r w:rsidRPr="009C66E6">
              <w:rPr>
                <w:rFonts w:asciiTheme="majorHAnsi" w:hAnsiTheme="majorHAnsi" w:cs="Arial"/>
                <w:i/>
                <w:iCs/>
                <w:sz w:val="22"/>
                <w:szCs w:val="22"/>
              </w:rPr>
              <w:t>310.M.</w:t>
            </w:r>
            <w:proofErr w:type="gramEnd"/>
            <w:r w:rsidRPr="009C66E6">
              <w:rPr>
                <w:rFonts w:asciiTheme="majorHAnsi" w:hAnsiTheme="majorHAnsi" w:cs="Arial"/>
                <w:i/>
                <w:iCs/>
                <w:sz w:val="22"/>
                <w:szCs w:val="22"/>
              </w:rPr>
              <w:t>100</w:t>
            </w:r>
          </w:p>
        </w:tc>
        <w:tc>
          <w:tcPr>
            <w:tcW w:w="2244" w:type="pct"/>
            <w:tcBorders>
              <w:top w:val="single" w:sz="4" w:space="0" w:color="auto"/>
              <w:left w:val="single" w:sz="4" w:space="0" w:color="auto"/>
              <w:bottom w:val="single" w:sz="4" w:space="0" w:color="auto"/>
              <w:right w:val="single" w:sz="4" w:space="0" w:color="auto"/>
            </w:tcBorders>
            <w:hideMark/>
          </w:tcPr>
          <w:p w14:paraId="34A95E66"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Productos por cobrar asociados a Partes relacionadas – Personas Físicas</w:t>
            </w:r>
          </w:p>
        </w:tc>
      </w:tr>
      <w:tr w:rsidR="002B31EF" w:rsidRPr="009C66E6" w14:paraId="01AD057A"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2395903E"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1.030.080.</w:t>
            </w:r>
            <w:proofErr w:type="gramStart"/>
            <w:r w:rsidRPr="009C66E6">
              <w:rPr>
                <w:rFonts w:asciiTheme="majorHAnsi" w:hAnsiTheme="majorHAnsi" w:cs="Arial"/>
                <w:i/>
                <w:iCs/>
                <w:sz w:val="22"/>
                <w:szCs w:val="22"/>
              </w:rPr>
              <w:t>340.M.</w:t>
            </w:r>
            <w:proofErr w:type="gramEnd"/>
            <w:r w:rsidRPr="009C66E6">
              <w:rPr>
                <w:rFonts w:asciiTheme="majorHAnsi" w:hAnsiTheme="majorHAnsi" w:cs="Arial"/>
                <w:i/>
                <w:iCs/>
                <w:sz w:val="22"/>
                <w:szCs w:val="22"/>
              </w:rPr>
              <w:t>100</w:t>
            </w:r>
          </w:p>
        </w:tc>
        <w:tc>
          <w:tcPr>
            <w:tcW w:w="2244" w:type="pct"/>
            <w:tcBorders>
              <w:top w:val="single" w:sz="4" w:space="0" w:color="auto"/>
              <w:left w:val="single" w:sz="4" w:space="0" w:color="auto"/>
              <w:bottom w:val="single" w:sz="4" w:space="0" w:color="auto"/>
              <w:right w:val="single" w:sz="4" w:space="0" w:color="auto"/>
            </w:tcBorders>
            <w:hideMark/>
          </w:tcPr>
          <w:p w14:paraId="3BCB4F46"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Productos por cobrar asociados a Partes relacionadas – Empresarial</w:t>
            </w:r>
          </w:p>
        </w:tc>
      </w:tr>
      <w:tr w:rsidR="002B31EF" w:rsidRPr="009C66E6" w14:paraId="6E5F60F9"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65B7D303"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1.030.080.</w:t>
            </w:r>
            <w:proofErr w:type="gramStart"/>
            <w:r w:rsidRPr="009C66E6">
              <w:rPr>
                <w:rFonts w:asciiTheme="majorHAnsi" w:hAnsiTheme="majorHAnsi" w:cs="Arial"/>
                <w:i/>
                <w:iCs/>
                <w:sz w:val="22"/>
                <w:szCs w:val="22"/>
              </w:rPr>
              <w:t>350.M.</w:t>
            </w:r>
            <w:proofErr w:type="gramEnd"/>
            <w:r w:rsidRPr="009C66E6">
              <w:rPr>
                <w:rFonts w:asciiTheme="majorHAnsi" w:hAnsiTheme="majorHAnsi" w:cs="Arial"/>
                <w:i/>
                <w:iCs/>
                <w:sz w:val="22"/>
                <w:szCs w:val="22"/>
              </w:rPr>
              <w:t>100</w:t>
            </w:r>
          </w:p>
        </w:tc>
        <w:tc>
          <w:tcPr>
            <w:tcW w:w="2244" w:type="pct"/>
            <w:tcBorders>
              <w:top w:val="single" w:sz="4" w:space="0" w:color="auto"/>
              <w:left w:val="single" w:sz="4" w:space="0" w:color="auto"/>
              <w:bottom w:val="single" w:sz="4" w:space="0" w:color="auto"/>
              <w:right w:val="single" w:sz="4" w:space="0" w:color="auto"/>
            </w:tcBorders>
            <w:hideMark/>
          </w:tcPr>
          <w:p w14:paraId="5827150C"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Productos por cobrar asociados a Partes relacionadas – Corporativo</w:t>
            </w:r>
          </w:p>
        </w:tc>
      </w:tr>
      <w:tr w:rsidR="002B31EF" w:rsidRPr="009C66E6" w14:paraId="6F43FD16"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5C1814B6"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1.030.080.</w:t>
            </w:r>
            <w:proofErr w:type="gramStart"/>
            <w:r w:rsidRPr="009C66E6">
              <w:rPr>
                <w:rFonts w:asciiTheme="majorHAnsi" w:hAnsiTheme="majorHAnsi" w:cs="Arial"/>
                <w:i/>
                <w:iCs/>
                <w:sz w:val="22"/>
                <w:szCs w:val="22"/>
              </w:rPr>
              <w:t>370.M.</w:t>
            </w:r>
            <w:proofErr w:type="gramEnd"/>
            <w:r w:rsidRPr="009C66E6">
              <w:rPr>
                <w:rFonts w:asciiTheme="majorHAnsi" w:hAnsiTheme="majorHAnsi" w:cs="Arial"/>
                <w:i/>
                <w:iCs/>
                <w:sz w:val="22"/>
                <w:szCs w:val="22"/>
              </w:rPr>
              <w:t>100</w:t>
            </w:r>
          </w:p>
        </w:tc>
        <w:tc>
          <w:tcPr>
            <w:tcW w:w="2244" w:type="pct"/>
            <w:tcBorders>
              <w:top w:val="single" w:sz="4" w:space="0" w:color="auto"/>
              <w:left w:val="single" w:sz="4" w:space="0" w:color="auto"/>
              <w:bottom w:val="single" w:sz="4" w:space="0" w:color="auto"/>
              <w:right w:val="single" w:sz="4" w:space="0" w:color="auto"/>
            </w:tcBorders>
            <w:hideMark/>
          </w:tcPr>
          <w:p w14:paraId="22DF6575"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Productos por cobrar asociados a Partes relacionadas – Sector Financiero</w:t>
            </w:r>
          </w:p>
        </w:tc>
      </w:tr>
      <w:tr w:rsidR="002B31EF" w:rsidRPr="009C66E6" w14:paraId="6FA02FF7"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1E512F0E"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1.040.060.010</w:t>
            </w:r>
          </w:p>
        </w:tc>
        <w:tc>
          <w:tcPr>
            <w:tcW w:w="2244" w:type="pct"/>
            <w:tcBorders>
              <w:top w:val="single" w:sz="4" w:space="0" w:color="auto"/>
              <w:left w:val="single" w:sz="4" w:space="0" w:color="auto"/>
              <w:bottom w:val="single" w:sz="4" w:space="0" w:color="auto"/>
              <w:right w:val="single" w:sz="4" w:space="0" w:color="auto"/>
            </w:tcBorders>
            <w:hideMark/>
          </w:tcPr>
          <w:p w14:paraId="2B86DB84"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Cuentas por cobrar por operaciones con partes relacionadas</w:t>
            </w:r>
          </w:p>
        </w:tc>
      </w:tr>
      <w:tr w:rsidR="002B31EF" w:rsidRPr="009C66E6" w14:paraId="41793548"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6F5D0ED7"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1.040.090.030</w:t>
            </w:r>
          </w:p>
        </w:tc>
        <w:tc>
          <w:tcPr>
            <w:tcW w:w="2244" w:type="pct"/>
            <w:tcBorders>
              <w:top w:val="single" w:sz="4" w:space="0" w:color="auto"/>
              <w:left w:val="single" w:sz="4" w:space="0" w:color="auto"/>
              <w:bottom w:val="single" w:sz="4" w:space="0" w:color="auto"/>
              <w:right w:val="single" w:sz="4" w:space="0" w:color="auto"/>
            </w:tcBorders>
            <w:hideMark/>
          </w:tcPr>
          <w:p w14:paraId="600F2E89"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Productos por cobrar con partes relacionadas</w:t>
            </w:r>
          </w:p>
        </w:tc>
      </w:tr>
      <w:tr w:rsidR="002B31EF" w:rsidRPr="009C66E6" w14:paraId="179CA1F2"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61FDDA21"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1.090.010</w:t>
            </w:r>
          </w:p>
        </w:tc>
        <w:tc>
          <w:tcPr>
            <w:tcW w:w="2244" w:type="pct"/>
            <w:tcBorders>
              <w:top w:val="single" w:sz="4" w:space="0" w:color="auto"/>
              <w:left w:val="single" w:sz="4" w:space="0" w:color="auto"/>
              <w:bottom w:val="single" w:sz="4" w:space="0" w:color="auto"/>
              <w:right w:val="single" w:sz="4" w:space="0" w:color="auto"/>
            </w:tcBorders>
            <w:hideMark/>
          </w:tcPr>
          <w:p w14:paraId="62A60F0F"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Gastos pagados por anticipado</w:t>
            </w:r>
          </w:p>
        </w:tc>
      </w:tr>
      <w:tr w:rsidR="002B31EF" w:rsidRPr="009C66E6" w14:paraId="6BFA53CB"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6EFD7F2D"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1.090.060</w:t>
            </w:r>
          </w:p>
        </w:tc>
        <w:tc>
          <w:tcPr>
            <w:tcW w:w="2244" w:type="pct"/>
            <w:tcBorders>
              <w:top w:val="single" w:sz="4" w:space="0" w:color="auto"/>
              <w:left w:val="single" w:sz="4" w:space="0" w:color="auto"/>
              <w:bottom w:val="single" w:sz="4" w:space="0" w:color="auto"/>
              <w:right w:val="single" w:sz="4" w:space="0" w:color="auto"/>
            </w:tcBorders>
            <w:hideMark/>
          </w:tcPr>
          <w:p w14:paraId="0E04DF61"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Activos Intangibles</w:t>
            </w:r>
          </w:p>
        </w:tc>
      </w:tr>
      <w:tr w:rsidR="002B31EF" w:rsidRPr="009C66E6" w14:paraId="7F962854"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7D6D7E7D"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1.090.070</w:t>
            </w:r>
          </w:p>
        </w:tc>
        <w:tc>
          <w:tcPr>
            <w:tcW w:w="2244" w:type="pct"/>
            <w:tcBorders>
              <w:top w:val="single" w:sz="4" w:space="0" w:color="auto"/>
              <w:left w:val="single" w:sz="4" w:space="0" w:color="auto"/>
              <w:bottom w:val="single" w:sz="4" w:space="0" w:color="auto"/>
              <w:right w:val="single" w:sz="4" w:space="0" w:color="auto"/>
            </w:tcBorders>
            <w:hideMark/>
          </w:tcPr>
          <w:p w14:paraId="6C9A8967"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Otros activos restringidos</w:t>
            </w:r>
          </w:p>
        </w:tc>
      </w:tr>
      <w:tr w:rsidR="002B31EF" w:rsidRPr="009C66E6" w14:paraId="51AB6336"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3E961EB8"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1.110</w:t>
            </w:r>
          </w:p>
        </w:tc>
        <w:tc>
          <w:tcPr>
            <w:tcW w:w="2244" w:type="pct"/>
            <w:tcBorders>
              <w:top w:val="single" w:sz="4" w:space="0" w:color="auto"/>
              <w:left w:val="single" w:sz="4" w:space="0" w:color="auto"/>
              <w:bottom w:val="single" w:sz="4" w:space="0" w:color="auto"/>
              <w:right w:val="single" w:sz="4" w:space="0" w:color="auto"/>
            </w:tcBorders>
            <w:hideMark/>
          </w:tcPr>
          <w:p w14:paraId="20254A98"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Participación en el capital de otras empresas</w:t>
            </w:r>
          </w:p>
        </w:tc>
      </w:tr>
      <w:tr w:rsidR="002B31EF" w:rsidRPr="009C66E6" w14:paraId="2C965CB8"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3709FF16"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IA103000000003</w:t>
            </w:r>
          </w:p>
        </w:tc>
        <w:tc>
          <w:tcPr>
            <w:tcW w:w="2244" w:type="pct"/>
            <w:tcBorders>
              <w:top w:val="single" w:sz="4" w:space="0" w:color="auto"/>
              <w:left w:val="single" w:sz="4" w:space="0" w:color="auto"/>
              <w:bottom w:val="single" w:sz="4" w:space="0" w:color="auto"/>
              <w:right w:val="single" w:sz="4" w:space="0" w:color="auto"/>
            </w:tcBorders>
            <w:hideMark/>
          </w:tcPr>
          <w:p w14:paraId="158BBB1F"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Créditos e inversiones en fideicomisos u otras comisiones de confianza estructurados o administrados por empresas del mismo grupo financiero</w:t>
            </w:r>
          </w:p>
        </w:tc>
      </w:tr>
      <w:tr w:rsidR="002B31EF" w:rsidRPr="009C66E6" w14:paraId="35670311"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hideMark/>
          </w:tcPr>
          <w:p w14:paraId="1F6FCB20"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IA104007000001</w:t>
            </w:r>
          </w:p>
        </w:tc>
        <w:tc>
          <w:tcPr>
            <w:tcW w:w="2244" w:type="pct"/>
            <w:tcBorders>
              <w:top w:val="single" w:sz="4" w:space="0" w:color="auto"/>
              <w:left w:val="single" w:sz="4" w:space="0" w:color="auto"/>
              <w:bottom w:val="single" w:sz="4" w:space="0" w:color="auto"/>
              <w:right w:val="single" w:sz="4" w:space="0" w:color="auto"/>
            </w:tcBorders>
            <w:hideMark/>
          </w:tcPr>
          <w:p w14:paraId="1ED03AA8"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Saldo neto de activos y pasivos derivados del pago y recaudación del Impuesto al Valor Agregado, cuando el monto de los activos es mayor al pasivo.</w:t>
            </w:r>
          </w:p>
        </w:tc>
      </w:tr>
      <w:tr w:rsidR="002B31EF" w:rsidRPr="009C66E6" w14:paraId="20ACC4F4" w14:textId="77777777" w:rsidTr="00F7010D">
        <w:trPr>
          <w:cantSplit/>
          <w:trHeight w:val="17"/>
          <w:jc w:val="center"/>
        </w:trPr>
        <w:tc>
          <w:tcPr>
            <w:tcW w:w="2756" w:type="pct"/>
            <w:tcBorders>
              <w:top w:val="single" w:sz="4" w:space="0" w:color="auto"/>
              <w:left w:val="single" w:sz="4" w:space="0" w:color="auto"/>
              <w:bottom w:val="single" w:sz="4" w:space="0" w:color="auto"/>
              <w:right w:val="single" w:sz="4" w:space="0" w:color="auto"/>
            </w:tcBorders>
            <w:vAlign w:val="center"/>
          </w:tcPr>
          <w:p w14:paraId="4BED7A51"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lastRenderedPageBreak/>
              <w:t>IA104007000002</w:t>
            </w:r>
          </w:p>
        </w:tc>
        <w:tc>
          <w:tcPr>
            <w:tcW w:w="2244" w:type="pct"/>
            <w:tcBorders>
              <w:top w:val="single" w:sz="4" w:space="0" w:color="auto"/>
              <w:left w:val="single" w:sz="4" w:space="0" w:color="auto"/>
              <w:bottom w:val="single" w:sz="4" w:space="0" w:color="auto"/>
              <w:right w:val="single" w:sz="4" w:space="0" w:color="auto"/>
            </w:tcBorders>
          </w:tcPr>
          <w:p w14:paraId="707A58C7" w14:textId="77777777" w:rsidR="002B31EF" w:rsidRPr="009C66E6" w:rsidRDefault="002B31EF" w:rsidP="00F7010D">
            <w:pPr>
              <w:tabs>
                <w:tab w:val="left" w:pos="1256"/>
              </w:tabs>
              <w:jc w:val="both"/>
              <w:rPr>
                <w:rFonts w:asciiTheme="majorHAnsi" w:hAnsiTheme="majorHAnsi" w:cs="Arial"/>
                <w:i/>
                <w:iCs/>
                <w:sz w:val="22"/>
                <w:szCs w:val="22"/>
              </w:rPr>
            </w:pPr>
            <w:r w:rsidRPr="009C66E6">
              <w:rPr>
                <w:rFonts w:asciiTheme="majorHAnsi" w:hAnsiTheme="majorHAnsi" w:cs="Arial"/>
                <w:i/>
                <w:iCs/>
                <w:sz w:val="22"/>
                <w:szCs w:val="22"/>
              </w:rPr>
              <w:t>Saldo neto del Impuesto sobre la renta diferido, cuando el monto del activo es mayor al pasivo.</w:t>
            </w:r>
          </w:p>
        </w:tc>
      </w:tr>
    </w:tbl>
    <w:p w14:paraId="1F0C8575" w14:textId="77777777" w:rsidR="002B31EF" w:rsidRPr="0018293F" w:rsidRDefault="002B31EF" w:rsidP="002B31EF">
      <w:pPr>
        <w:widowControl w:val="0"/>
        <w:jc w:val="both"/>
        <w:rPr>
          <w:rFonts w:asciiTheme="majorHAnsi" w:hAnsiTheme="majorHAnsi"/>
          <w:b/>
          <w:i/>
          <w:iCs/>
        </w:rPr>
      </w:pPr>
    </w:p>
    <w:p w14:paraId="3E68918D" w14:textId="77777777" w:rsidR="002B31EF" w:rsidRPr="0018293F" w:rsidRDefault="002B31EF" w:rsidP="002B31EF">
      <w:pPr>
        <w:widowControl w:val="0"/>
        <w:jc w:val="both"/>
        <w:rPr>
          <w:rFonts w:asciiTheme="majorHAnsi" w:hAnsiTheme="majorHAnsi"/>
          <w:b/>
          <w:i/>
          <w:iCs/>
        </w:rPr>
      </w:pPr>
      <w:r w:rsidRPr="0018293F">
        <w:rPr>
          <w:rFonts w:asciiTheme="majorHAnsi" w:hAnsiTheme="majorHAnsi"/>
          <w:b/>
          <w:i/>
          <w:iCs/>
        </w:rPr>
        <w:t>Partidas que restan</w:t>
      </w:r>
      <w:r w:rsidRPr="0018293F">
        <w:rPr>
          <w:rFonts w:asciiTheme="majorHAnsi" w:hAnsiTheme="majorHAnsi"/>
          <w:b/>
          <w:i/>
          <w:iCs/>
          <w:vertAlign w:val="superscript"/>
        </w:rPr>
        <w:t>4</w:t>
      </w:r>
      <w:r w:rsidRPr="0018293F">
        <w:rPr>
          <w:rFonts w:asciiTheme="majorHAnsi" w:hAnsiTheme="majorHAnsi"/>
          <w:b/>
          <w:i/>
          <w:i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4529"/>
      </w:tblGrid>
      <w:tr w:rsidR="002B31EF" w:rsidRPr="009C66E6" w14:paraId="7C6C30DE" w14:textId="77777777" w:rsidTr="00F7010D">
        <w:trPr>
          <w:trHeight w:val="471"/>
        </w:trPr>
        <w:tc>
          <w:tcPr>
            <w:tcW w:w="2578" w:type="pct"/>
            <w:shd w:val="clear" w:color="auto" w:fill="BFBFBF" w:themeFill="background1" w:themeFillShade="BF"/>
            <w:vAlign w:val="center"/>
          </w:tcPr>
          <w:p w14:paraId="4CA4A2F7" w14:textId="77777777" w:rsidR="002B31EF" w:rsidRPr="009C66E6" w:rsidRDefault="002B31EF" w:rsidP="00F7010D">
            <w:pPr>
              <w:jc w:val="both"/>
              <w:rPr>
                <w:rFonts w:asciiTheme="majorHAnsi" w:hAnsiTheme="majorHAnsi" w:cs="Arial"/>
                <w:b/>
                <w:i/>
                <w:iCs/>
                <w:sz w:val="22"/>
                <w:szCs w:val="22"/>
              </w:rPr>
            </w:pPr>
            <w:r w:rsidRPr="009C66E6">
              <w:rPr>
                <w:rFonts w:asciiTheme="majorHAnsi" w:hAnsiTheme="majorHAnsi" w:cs="Arial"/>
                <w:b/>
                <w:i/>
                <w:iCs/>
                <w:sz w:val="22"/>
                <w:szCs w:val="22"/>
              </w:rPr>
              <w:t>Número de Cuenta</w:t>
            </w:r>
          </w:p>
        </w:tc>
        <w:tc>
          <w:tcPr>
            <w:tcW w:w="2422" w:type="pct"/>
            <w:shd w:val="clear" w:color="auto" w:fill="BFBFBF" w:themeFill="background1" w:themeFillShade="BF"/>
            <w:vAlign w:val="center"/>
          </w:tcPr>
          <w:p w14:paraId="630CC847" w14:textId="77777777" w:rsidR="002B31EF" w:rsidRPr="009C66E6" w:rsidRDefault="002B31EF" w:rsidP="00F7010D">
            <w:pPr>
              <w:jc w:val="both"/>
              <w:rPr>
                <w:rFonts w:asciiTheme="majorHAnsi" w:hAnsiTheme="majorHAnsi" w:cs="Arial"/>
                <w:b/>
                <w:i/>
                <w:iCs/>
                <w:sz w:val="22"/>
                <w:szCs w:val="22"/>
              </w:rPr>
            </w:pPr>
            <w:r w:rsidRPr="009C66E6">
              <w:rPr>
                <w:rFonts w:asciiTheme="majorHAnsi" w:hAnsiTheme="majorHAnsi" w:cs="Arial"/>
                <w:b/>
                <w:i/>
                <w:iCs/>
                <w:sz w:val="22"/>
                <w:szCs w:val="22"/>
              </w:rPr>
              <w:t>Descripción</w:t>
            </w:r>
          </w:p>
        </w:tc>
      </w:tr>
      <w:tr w:rsidR="002B31EF" w:rsidRPr="009C66E6" w14:paraId="4CED862E" w14:textId="77777777" w:rsidTr="00F7010D">
        <w:trPr>
          <w:trHeight w:val="492"/>
        </w:trPr>
        <w:tc>
          <w:tcPr>
            <w:tcW w:w="2578" w:type="pct"/>
            <w:vAlign w:val="center"/>
          </w:tcPr>
          <w:p w14:paraId="5D9BB61F"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1.020.090.050</w:t>
            </w:r>
          </w:p>
        </w:tc>
        <w:tc>
          <w:tcPr>
            <w:tcW w:w="2422" w:type="pct"/>
          </w:tcPr>
          <w:p w14:paraId="39A6BEAB"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Estimación por inversiones en instrumentos financieros vencidos y restringidos</w:t>
            </w:r>
          </w:p>
        </w:tc>
      </w:tr>
      <w:tr w:rsidR="002B31EF" w:rsidRPr="009C66E6" w14:paraId="7448EC3B" w14:textId="77777777" w:rsidTr="00F7010D">
        <w:trPr>
          <w:trHeight w:val="638"/>
        </w:trPr>
        <w:tc>
          <w:tcPr>
            <w:tcW w:w="2578" w:type="pct"/>
            <w:vAlign w:val="center"/>
          </w:tcPr>
          <w:p w14:paraId="4F41674E" w14:textId="77777777" w:rsidR="002B31EF" w:rsidRPr="009C66E6" w:rsidRDefault="002B31EF" w:rsidP="00F7010D">
            <w:pPr>
              <w:tabs>
                <w:tab w:val="left" w:pos="2662"/>
              </w:tabs>
              <w:jc w:val="both"/>
              <w:rPr>
                <w:rFonts w:asciiTheme="majorHAnsi" w:hAnsiTheme="majorHAnsi" w:cs="Arial"/>
                <w:i/>
                <w:iCs/>
                <w:sz w:val="22"/>
                <w:szCs w:val="22"/>
              </w:rPr>
            </w:pPr>
            <w:r w:rsidRPr="009C66E6">
              <w:rPr>
                <w:rFonts w:asciiTheme="majorHAnsi" w:hAnsiTheme="majorHAnsi" w:cs="Arial"/>
                <w:i/>
                <w:iCs/>
                <w:sz w:val="22"/>
                <w:szCs w:val="22"/>
              </w:rPr>
              <w:t>1.040.100.050</w:t>
            </w:r>
          </w:p>
        </w:tc>
        <w:tc>
          <w:tcPr>
            <w:tcW w:w="2422" w:type="pct"/>
          </w:tcPr>
          <w:p w14:paraId="1B24F7F3"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Estimación por deterioro por operaciones con partes relacionadas</w:t>
            </w:r>
          </w:p>
        </w:tc>
      </w:tr>
      <w:tr w:rsidR="002B31EF" w:rsidRPr="009C66E6" w14:paraId="118A73D5" w14:textId="77777777" w:rsidTr="00F7010D">
        <w:trPr>
          <w:trHeight w:val="163"/>
        </w:trPr>
        <w:tc>
          <w:tcPr>
            <w:tcW w:w="2578" w:type="pct"/>
            <w:vAlign w:val="center"/>
          </w:tcPr>
          <w:p w14:paraId="2C9B9429"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1.090.060.020</w:t>
            </w:r>
          </w:p>
        </w:tc>
        <w:tc>
          <w:tcPr>
            <w:tcW w:w="2422" w:type="pct"/>
          </w:tcPr>
          <w:p w14:paraId="678FC521" w14:textId="77777777" w:rsidR="002B31EF" w:rsidRPr="009C66E6" w:rsidRDefault="002B31EF" w:rsidP="00F7010D">
            <w:pPr>
              <w:tabs>
                <w:tab w:val="left" w:pos="1306"/>
              </w:tabs>
              <w:jc w:val="both"/>
              <w:rPr>
                <w:rFonts w:asciiTheme="majorHAnsi" w:hAnsiTheme="majorHAnsi" w:cs="Arial"/>
                <w:i/>
                <w:iCs/>
                <w:sz w:val="22"/>
                <w:szCs w:val="22"/>
              </w:rPr>
            </w:pPr>
            <w:r w:rsidRPr="009C66E6">
              <w:rPr>
                <w:rFonts w:asciiTheme="majorHAnsi" w:hAnsiTheme="majorHAnsi" w:cs="Arial"/>
                <w:i/>
                <w:iCs/>
                <w:sz w:val="22"/>
                <w:szCs w:val="22"/>
              </w:rPr>
              <w:t>Plusvalía comprada</w:t>
            </w:r>
          </w:p>
        </w:tc>
      </w:tr>
      <w:tr w:rsidR="002B31EF" w:rsidRPr="009C66E6" w14:paraId="2DA6D9FE" w14:textId="77777777" w:rsidTr="00F7010D">
        <w:trPr>
          <w:trHeight w:val="448"/>
        </w:trPr>
        <w:tc>
          <w:tcPr>
            <w:tcW w:w="2578" w:type="pct"/>
            <w:vAlign w:val="center"/>
          </w:tcPr>
          <w:p w14:paraId="078A7AFD"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IA103000000001</w:t>
            </w:r>
          </w:p>
        </w:tc>
        <w:tc>
          <w:tcPr>
            <w:tcW w:w="2422" w:type="pct"/>
          </w:tcPr>
          <w:p w14:paraId="669CEFC2" w14:textId="77777777" w:rsidR="002B31EF" w:rsidRPr="009C66E6" w:rsidRDefault="002B31EF" w:rsidP="00F7010D">
            <w:pPr>
              <w:tabs>
                <w:tab w:val="left" w:pos="1289"/>
              </w:tabs>
              <w:jc w:val="both"/>
              <w:rPr>
                <w:rFonts w:asciiTheme="majorHAnsi" w:hAnsiTheme="majorHAnsi" w:cs="Arial"/>
                <w:i/>
                <w:iCs/>
                <w:sz w:val="22"/>
                <w:szCs w:val="22"/>
              </w:rPr>
            </w:pPr>
            <w:r w:rsidRPr="009C66E6">
              <w:rPr>
                <w:rFonts w:asciiTheme="majorHAnsi" w:hAnsiTheme="majorHAnsi" w:cs="Arial"/>
                <w:i/>
                <w:iCs/>
                <w:sz w:val="22"/>
                <w:szCs w:val="22"/>
              </w:rPr>
              <w:t>Estimación por deterioro de operaciones de crédito con partes relacionadas</w:t>
            </w:r>
          </w:p>
        </w:tc>
      </w:tr>
      <w:tr w:rsidR="002B31EF" w:rsidRPr="009C66E6" w14:paraId="11C8C872" w14:textId="77777777" w:rsidTr="00F7010D">
        <w:trPr>
          <w:trHeight w:val="494"/>
        </w:trPr>
        <w:tc>
          <w:tcPr>
            <w:tcW w:w="2578" w:type="pct"/>
            <w:vAlign w:val="center"/>
          </w:tcPr>
          <w:p w14:paraId="7505AA0E"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IA103000000002</w:t>
            </w:r>
          </w:p>
        </w:tc>
        <w:tc>
          <w:tcPr>
            <w:tcW w:w="2422" w:type="pct"/>
          </w:tcPr>
          <w:p w14:paraId="7559D18B"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Estimación por deterioro de créditos restringidos</w:t>
            </w:r>
          </w:p>
        </w:tc>
      </w:tr>
      <w:tr w:rsidR="002B31EF" w:rsidRPr="009C66E6" w14:paraId="2810783D" w14:textId="77777777" w:rsidTr="00F7010D">
        <w:trPr>
          <w:trHeight w:val="717"/>
        </w:trPr>
        <w:tc>
          <w:tcPr>
            <w:tcW w:w="2578" w:type="pct"/>
            <w:vAlign w:val="center"/>
          </w:tcPr>
          <w:p w14:paraId="5EBE7622" w14:textId="77777777" w:rsidR="002B31EF" w:rsidRPr="009C66E6" w:rsidRDefault="002B31EF" w:rsidP="00F7010D">
            <w:pPr>
              <w:jc w:val="both"/>
              <w:rPr>
                <w:rFonts w:asciiTheme="majorHAnsi" w:hAnsiTheme="majorHAnsi" w:cs="Arial"/>
                <w:i/>
                <w:iCs/>
                <w:sz w:val="22"/>
                <w:szCs w:val="22"/>
              </w:rPr>
            </w:pPr>
            <w:r w:rsidRPr="009C66E6">
              <w:rPr>
                <w:rFonts w:asciiTheme="majorHAnsi" w:hAnsiTheme="majorHAnsi" w:cs="Arial"/>
                <w:i/>
                <w:iCs/>
                <w:sz w:val="22"/>
                <w:szCs w:val="22"/>
              </w:rPr>
              <w:t>IA104000000001</w:t>
            </w:r>
          </w:p>
        </w:tc>
        <w:tc>
          <w:tcPr>
            <w:tcW w:w="2422" w:type="pct"/>
          </w:tcPr>
          <w:p w14:paraId="4BC6E372" w14:textId="77777777" w:rsidR="002B31EF" w:rsidRPr="009C66E6" w:rsidRDefault="002B31EF" w:rsidP="00F7010D">
            <w:pPr>
              <w:tabs>
                <w:tab w:val="left" w:pos="1139"/>
              </w:tabs>
              <w:jc w:val="both"/>
              <w:rPr>
                <w:rFonts w:asciiTheme="majorHAnsi" w:hAnsiTheme="majorHAnsi" w:cs="Arial"/>
                <w:i/>
                <w:iCs/>
                <w:sz w:val="22"/>
                <w:szCs w:val="22"/>
              </w:rPr>
            </w:pPr>
            <w:r w:rsidRPr="009C66E6">
              <w:rPr>
                <w:rFonts w:asciiTheme="majorHAnsi" w:hAnsiTheme="majorHAnsi" w:cs="Arial"/>
                <w:i/>
                <w:iCs/>
                <w:sz w:val="22"/>
                <w:szCs w:val="22"/>
              </w:rPr>
              <w:t>Cuentas por cobrar a empleados producto de la venta de contratos de seguros neto de la correspondiente estimación</w:t>
            </w:r>
          </w:p>
        </w:tc>
      </w:tr>
    </w:tbl>
    <w:p w14:paraId="1AE17E40" w14:textId="77777777" w:rsidR="002B31EF" w:rsidRPr="0018293F" w:rsidRDefault="002B31EF" w:rsidP="002B31EF">
      <w:pPr>
        <w:pStyle w:val="Descripcin"/>
        <w:spacing w:after="0"/>
        <w:jc w:val="both"/>
        <w:rPr>
          <w:rFonts w:asciiTheme="majorHAnsi" w:hAnsiTheme="majorHAnsi"/>
          <w:i/>
          <w:color w:val="auto"/>
          <w:sz w:val="24"/>
          <w:szCs w:val="24"/>
        </w:rPr>
      </w:pPr>
    </w:p>
    <w:p w14:paraId="57B518AB" w14:textId="77777777" w:rsidR="002B31EF" w:rsidRPr="0018293F" w:rsidRDefault="002B31EF" w:rsidP="002B31EF">
      <w:pPr>
        <w:rPr>
          <w:rFonts w:asciiTheme="majorHAnsi" w:hAnsiTheme="majorHAnsi"/>
        </w:rPr>
      </w:pPr>
      <w:r w:rsidRPr="0018293F">
        <w:rPr>
          <w:rFonts w:asciiTheme="majorHAnsi" w:hAnsiTheme="majorHAnsi"/>
          <w:vertAlign w:val="superscript"/>
        </w:rPr>
        <w:t>4</w:t>
      </w:r>
      <w:r w:rsidRPr="0018293F">
        <w:rPr>
          <w:rFonts w:asciiTheme="majorHAnsi" w:hAnsiTheme="majorHAnsi"/>
        </w:rPr>
        <w:t xml:space="preserve"> </w:t>
      </w:r>
      <w:proofErr w:type="gramStart"/>
      <w:r w:rsidRPr="0018293F">
        <w:rPr>
          <w:rFonts w:asciiTheme="majorHAnsi" w:hAnsiTheme="majorHAnsi"/>
        </w:rPr>
        <w:t>El</w:t>
      </w:r>
      <w:proofErr w:type="gramEnd"/>
      <w:r w:rsidRPr="0018293F">
        <w:rPr>
          <w:rFonts w:asciiTheme="majorHAnsi" w:hAnsiTheme="majorHAnsi"/>
        </w:rPr>
        <w:t xml:space="preserve"> saldo de estas partidas debe considerarse en términos brutos.</w:t>
      </w:r>
    </w:p>
    <w:p w14:paraId="59803388" w14:textId="77777777" w:rsidR="002B31EF" w:rsidRPr="0018293F" w:rsidRDefault="002B31EF" w:rsidP="002B31EF">
      <w:pPr>
        <w:rPr>
          <w:rFonts w:asciiTheme="majorHAnsi" w:hAnsiTheme="majorHAnsi"/>
        </w:rPr>
      </w:pPr>
    </w:p>
    <w:p w14:paraId="2645D953" w14:textId="77777777" w:rsidR="002B31EF" w:rsidRPr="0018293F" w:rsidRDefault="002B31EF" w:rsidP="002B31EF">
      <w:pPr>
        <w:jc w:val="both"/>
        <w:rPr>
          <w:rFonts w:asciiTheme="majorHAnsi" w:hAnsiTheme="majorHAnsi"/>
          <w:bCs/>
          <w:i/>
          <w:iCs/>
        </w:rPr>
      </w:pPr>
      <w:r w:rsidRPr="0018293F">
        <w:rPr>
          <w:rFonts w:asciiTheme="majorHAnsi" w:hAnsiTheme="majorHAnsi"/>
          <w:bCs/>
          <w:i/>
          <w:iCs/>
        </w:rPr>
        <w:t>“</w:t>
      </w:r>
      <w:r w:rsidRPr="0018293F">
        <w:rPr>
          <w:rFonts w:asciiTheme="majorHAnsi" w:hAnsiTheme="majorHAnsi"/>
          <w:b/>
          <w:i/>
          <w:iCs/>
        </w:rPr>
        <w:t>Artículo 17: Requerimiento de capital por riesgo de descalce de plazos</w:t>
      </w:r>
    </w:p>
    <w:p w14:paraId="60AF14B9" w14:textId="77777777" w:rsidR="002B31EF" w:rsidRPr="0018293F" w:rsidRDefault="002B31EF" w:rsidP="002B31EF">
      <w:pPr>
        <w:jc w:val="both"/>
        <w:rPr>
          <w:rFonts w:asciiTheme="majorHAnsi" w:hAnsiTheme="majorHAnsi"/>
          <w:bCs/>
          <w:i/>
          <w:iCs/>
        </w:rPr>
      </w:pPr>
    </w:p>
    <w:p w14:paraId="37BAF9AA" w14:textId="77777777" w:rsidR="002B31EF" w:rsidRPr="0018293F" w:rsidRDefault="002B31EF" w:rsidP="002B31EF">
      <w:pPr>
        <w:jc w:val="both"/>
        <w:rPr>
          <w:rFonts w:asciiTheme="majorHAnsi" w:hAnsiTheme="majorHAnsi"/>
          <w:bCs/>
          <w:i/>
        </w:rPr>
      </w:pPr>
      <w:r w:rsidRPr="0018293F">
        <w:rPr>
          <w:rFonts w:asciiTheme="majorHAnsi" w:hAnsiTheme="majorHAnsi"/>
          <w:bCs/>
          <w:i/>
        </w:rPr>
        <w:t>El requerimiento de capital por descalce de plazos se calcula, sobre la base de activos y pasivos elegibles según lo dispuesto en los siguientes artículos. Se exceptúan los componentes de inversión de los contratos de inversión con componentes de participación discrecional.</w:t>
      </w:r>
    </w:p>
    <w:p w14:paraId="1B08BD49" w14:textId="77777777" w:rsidR="002B31EF" w:rsidRPr="0018293F" w:rsidRDefault="002B31EF" w:rsidP="002B31EF">
      <w:pPr>
        <w:jc w:val="both"/>
        <w:rPr>
          <w:rFonts w:asciiTheme="majorHAnsi" w:hAnsiTheme="majorHAnsi"/>
          <w:bCs/>
          <w:i/>
        </w:rPr>
      </w:pPr>
    </w:p>
    <w:p w14:paraId="39525AC8" w14:textId="77777777" w:rsidR="002B31EF" w:rsidRPr="0018293F" w:rsidRDefault="002B31EF" w:rsidP="002B31EF">
      <w:pPr>
        <w:jc w:val="both"/>
        <w:rPr>
          <w:rFonts w:asciiTheme="majorHAnsi" w:hAnsiTheme="majorHAnsi"/>
          <w:b/>
          <w:i/>
          <w:strike/>
        </w:rPr>
      </w:pPr>
      <w:r w:rsidRPr="0018293F">
        <w:rPr>
          <w:rFonts w:asciiTheme="majorHAnsi" w:hAnsiTheme="majorHAnsi"/>
          <w:bCs/>
          <w:i/>
        </w:rPr>
        <w:t>En cuanto a los seguros con componentes de participación directa, si el componente de inversión es distinto (separable), se deberá considerar, para efectos de este requerimiento, el componente de seguros. En caso de que el componente de inversión no sea distinto (no separable), se deberá de considerar el contrato en su totalidad para este requerimiento.</w:t>
      </w:r>
      <w:r w:rsidRPr="0018293F">
        <w:rPr>
          <w:rFonts w:asciiTheme="majorHAnsi" w:hAnsiTheme="majorHAnsi"/>
          <w:b/>
          <w:i/>
        </w:rPr>
        <w:t>”</w:t>
      </w:r>
    </w:p>
    <w:p w14:paraId="27718C84" w14:textId="77777777" w:rsidR="002B31EF" w:rsidRPr="0018293F" w:rsidRDefault="002B31EF" w:rsidP="002B31EF">
      <w:pPr>
        <w:jc w:val="both"/>
        <w:rPr>
          <w:rFonts w:asciiTheme="majorHAnsi" w:hAnsiTheme="majorHAnsi"/>
          <w:bCs/>
          <w:i/>
          <w:iCs/>
        </w:rPr>
      </w:pPr>
    </w:p>
    <w:p w14:paraId="4A285FF8" w14:textId="77777777" w:rsidR="002B31EF" w:rsidRDefault="002B31EF" w:rsidP="002B31EF">
      <w:pPr>
        <w:spacing w:after="200" w:line="276" w:lineRule="auto"/>
        <w:rPr>
          <w:rFonts w:asciiTheme="majorHAnsi" w:hAnsiTheme="majorHAnsi"/>
          <w:bCs/>
          <w:i/>
          <w:iCs/>
        </w:rPr>
      </w:pPr>
      <w:r>
        <w:rPr>
          <w:rFonts w:asciiTheme="majorHAnsi" w:hAnsiTheme="majorHAnsi"/>
          <w:bCs/>
          <w:i/>
          <w:iCs/>
        </w:rPr>
        <w:br w:type="page"/>
      </w:r>
    </w:p>
    <w:p w14:paraId="09F699E5" w14:textId="77777777" w:rsidR="002B31EF" w:rsidRPr="0018293F" w:rsidRDefault="002B31EF" w:rsidP="002B31EF">
      <w:pPr>
        <w:jc w:val="both"/>
        <w:rPr>
          <w:rFonts w:asciiTheme="majorHAnsi" w:hAnsiTheme="majorHAnsi"/>
          <w:bCs/>
          <w:i/>
          <w:iCs/>
        </w:rPr>
      </w:pPr>
      <w:r w:rsidRPr="0018293F">
        <w:rPr>
          <w:rFonts w:asciiTheme="majorHAnsi" w:hAnsiTheme="majorHAnsi"/>
          <w:bCs/>
          <w:i/>
          <w:iCs/>
        </w:rPr>
        <w:lastRenderedPageBreak/>
        <w:t>“</w:t>
      </w:r>
      <w:r w:rsidRPr="0018293F">
        <w:rPr>
          <w:rFonts w:asciiTheme="majorHAnsi" w:hAnsiTheme="majorHAnsi"/>
          <w:b/>
          <w:i/>
          <w:iCs/>
        </w:rPr>
        <w:t>Artículo 20: Flujo de pasivos de seguros elegibles</w:t>
      </w:r>
    </w:p>
    <w:p w14:paraId="547A8FC7" w14:textId="77777777" w:rsidR="002B31EF" w:rsidRPr="0018293F" w:rsidRDefault="002B31EF" w:rsidP="002B31EF">
      <w:pPr>
        <w:jc w:val="both"/>
        <w:rPr>
          <w:rFonts w:asciiTheme="majorHAnsi" w:hAnsiTheme="majorHAnsi"/>
          <w:bCs/>
          <w:i/>
          <w:iCs/>
        </w:rPr>
      </w:pPr>
    </w:p>
    <w:p w14:paraId="7CEA97DC" w14:textId="77777777" w:rsidR="002B31EF" w:rsidRPr="0018293F" w:rsidRDefault="002B31EF" w:rsidP="002B31EF">
      <w:pPr>
        <w:jc w:val="both"/>
        <w:rPr>
          <w:rFonts w:asciiTheme="majorHAnsi" w:hAnsiTheme="majorHAnsi"/>
          <w:bCs/>
          <w:i/>
          <w:iCs/>
        </w:rPr>
      </w:pPr>
      <w:r w:rsidRPr="0018293F">
        <w:rPr>
          <w:rFonts w:asciiTheme="majorHAnsi" w:hAnsiTheme="majorHAnsi"/>
          <w:bCs/>
          <w:i/>
          <w:iCs/>
        </w:rPr>
        <w:t>Para cada tramo K, debe calcularse el flujo total a pagar de los pasivos de seguros con vigencia mayor a un año.</w:t>
      </w:r>
    </w:p>
    <w:p w14:paraId="4ED0D991" w14:textId="77777777" w:rsidR="002B31EF" w:rsidRPr="0018293F" w:rsidRDefault="002B31EF" w:rsidP="002B31EF">
      <w:pPr>
        <w:jc w:val="both"/>
        <w:rPr>
          <w:rFonts w:asciiTheme="majorHAnsi" w:hAnsiTheme="majorHAnsi"/>
          <w:bCs/>
          <w:i/>
          <w:iCs/>
        </w:rPr>
      </w:pPr>
    </w:p>
    <w:p w14:paraId="3D377940" w14:textId="77777777" w:rsidR="002B31EF" w:rsidRPr="0018293F" w:rsidRDefault="002B31EF" w:rsidP="002B31EF">
      <w:pPr>
        <w:jc w:val="both"/>
        <w:rPr>
          <w:rFonts w:asciiTheme="majorHAnsi" w:hAnsiTheme="majorHAnsi"/>
          <w:bCs/>
          <w:i/>
          <w:iCs/>
        </w:rPr>
      </w:pPr>
      <w:r w:rsidRPr="0018293F">
        <w:rPr>
          <w:rFonts w:asciiTheme="majorHAnsi" w:hAnsiTheme="majorHAnsi"/>
          <w:bCs/>
          <w:i/>
          <w:iCs/>
        </w:rPr>
        <w:t>Los flujos correspondientes a cada contrato de seguro o de reaseguro aceptado, corresponden a los flujos utilizados para determinar el pasivo por la cobertura restante sin aplicar el descuento.</w:t>
      </w:r>
    </w:p>
    <w:p w14:paraId="14336378" w14:textId="77777777" w:rsidR="002B31EF" w:rsidRPr="0018293F" w:rsidRDefault="002B31EF" w:rsidP="002B31EF">
      <w:pPr>
        <w:jc w:val="both"/>
        <w:rPr>
          <w:rFonts w:asciiTheme="majorHAnsi" w:hAnsiTheme="majorHAnsi"/>
          <w:bCs/>
          <w:i/>
          <w:iCs/>
        </w:rPr>
      </w:pPr>
    </w:p>
    <w:p w14:paraId="127BB68F" w14:textId="77777777" w:rsidR="002B31EF" w:rsidRPr="0018293F" w:rsidRDefault="002B31EF" w:rsidP="002B31EF">
      <w:pPr>
        <w:jc w:val="both"/>
        <w:rPr>
          <w:rFonts w:asciiTheme="majorHAnsi" w:hAnsiTheme="majorHAnsi"/>
          <w:bCs/>
          <w:i/>
          <w:iCs/>
        </w:rPr>
      </w:pPr>
    </w:p>
    <w:p w14:paraId="2F1735C3" w14:textId="77777777" w:rsidR="002B31EF" w:rsidRPr="0018293F" w:rsidRDefault="002B31EF" w:rsidP="002B31EF">
      <w:pPr>
        <w:jc w:val="both"/>
        <w:rPr>
          <w:rFonts w:asciiTheme="majorHAnsi" w:hAnsiTheme="majorHAnsi"/>
          <w:bCs/>
          <w:i/>
          <w:iCs/>
        </w:rPr>
      </w:pPr>
      <w:r w:rsidRPr="0018293F">
        <w:rPr>
          <w:rFonts w:asciiTheme="majorHAnsi" w:hAnsiTheme="majorHAnsi"/>
          <w:bCs/>
          <w:i/>
          <w:iCs/>
        </w:rPr>
        <w:t xml:space="preserve">El monto total de los flujos a pagar en el tramo "K" (Bk), se agregará de la misma forma que para </w:t>
      </w:r>
      <w:proofErr w:type="spellStart"/>
      <w:r w:rsidRPr="0018293F">
        <w:rPr>
          <w:rFonts w:asciiTheme="majorHAnsi" w:hAnsiTheme="majorHAnsi"/>
          <w:bCs/>
          <w:i/>
          <w:iCs/>
        </w:rPr>
        <w:t>Ak</w:t>
      </w:r>
      <w:proofErr w:type="spellEnd"/>
      <w:r w:rsidRPr="0018293F">
        <w:rPr>
          <w:rFonts w:asciiTheme="majorHAnsi" w:hAnsiTheme="majorHAnsi"/>
          <w:bCs/>
          <w:i/>
          <w:iCs/>
        </w:rPr>
        <w:t xml:space="preserve">, </w:t>
      </w:r>
      <w:proofErr w:type="gramStart"/>
      <w:r w:rsidRPr="0018293F">
        <w:rPr>
          <w:rFonts w:asciiTheme="majorHAnsi" w:hAnsiTheme="majorHAnsi"/>
          <w:bCs/>
          <w:i/>
          <w:iCs/>
        </w:rPr>
        <w:t>de acuerdo a</w:t>
      </w:r>
      <w:proofErr w:type="gramEnd"/>
      <w:r w:rsidRPr="0018293F">
        <w:rPr>
          <w:rFonts w:asciiTheme="majorHAnsi" w:hAnsiTheme="majorHAnsi"/>
          <w:bCs/>
          <w:i/>
          <w:iCs/>
        </w:rPr>
        <w:t xml:space="preserve"> la siguiente fórmula:</w:t>
      </w:r>
    </w:p>
    <w:p w14:paraId="28763AF4" w14:textId="77777777" w:rsidR="002B31EF" w:rsidRPr="0018293F" w:rsidRDefault="008247C0" w:rsidP="002B31EF">
      <w:pPr>
        <w:jc w:val="both"/>
        <w:rPr>
          <w:rFonts w:asciiTheme="majorHAnsi" w:hAnsiTheme="majorHAnsi"/>
          <w:bCs/>
          <w:i/>
          <w:iCs/>
        </w:rPr>
      </w:pPr>
      <m:oMathPara>
        <m:oMath>
          <m:sSub>
            <m:sSubPr>
              <m:ctrlPr>
                <w:rPr>
                  <w:rFonts w:ascii="Cambria Math" w:hAnsi="Cambria Math"/>
                  <w:bCs/>
                  <w:i/>
                  <w:iCs/>
                </w:rPr>
              </m:ctrlPr>
            </m:sSubPr>
            <m:e>
              <m:r>
                <w:rPr>
                  <w:rFonts w:ascii="Cambria Math" w:hAnsi="Cambria Math"/>
                </w:rPr>
                <m:t>B</m:t>
              </m:r>
            </m:e>
            <m:sub>
              <m:r>
                <w:rPr>
                  <w:rFonts w:ascii="Cambria Math" w:hAnsi="Cambria Math"/>
                </w:rPr>
                <m:t>k</m:t>
              </m:r>
            </m:sub>
          </m:sSub>
          <m:r>
            <w:rPr>
              <w:rFonts w:ascii="Cambria Math" w:hAnsi="Cambria Math"/>
            </w:rPr>
            <m:t xml:space="preserve">=max </m:t>
          </m:r>
          <m:d>
            <m:dPr>
              <m:ctrlPr>
                <w:rPr>
                  <w:rFonts w:ascii="Cambria Math" w:hAnsi="Cambria Math"/>
                  <w:bCs/>
                  <w:i/>
                  <w:iCs/>
                </w:rPr>
              </m:ctrlPr>
            </m:dPr>
            <m:e>
              <m:nary>
                <m:naryPr>
                  <m:chr m:val="∑"/>
                  <m:limLoc m:val="undOvr"/>
                  <m:supHide m:val="1"/>
                  <m:ctrlPr>
                    <w:rPr>
                      <w:rFonts w:ascii="Cambria Math" w:hAnsi="Cambria Math"/>
                      <w:bCs/>
                      <w:i/>
                      <w:iCs/>
                    </w:rPr>
                  </m:ctrlPr>
                </m:naryPr>
                <m:sub>
                  <m:r>
                    <w:rPr>
                      <w:rFonts w:ascii="Cambria Math" w:hAnsi="Cambria Math"/>
                    </w:rPr>
                    <m:t>Todo i en Tramo K</m:t>
                  </m:r>
                </m:sub>
                <m:sup/>
                <m:e>
                  <m:d>
                    <m:dPr>
                      <m:ctrlPr>
                        <w:rPr>
                          <w:rFonts w:ascii="Cambria Math" w:hAnsi="Cambria Math"/>
                          <w:bCs/>
                          <w:i/>
                          <w:iCs/>
                        </w:rPr>
                      </m:ctrlPr>
                    </m:dPr>
                    <m:e>
                      <m:nary>
                        <m:naryPr>
                          <m:chr m:val="∑"/>
                          <m:limLoc m:val="undOvr"/>
                          <m:supHide m:val="1"/>
                          <m:ctrlPr>
                            <w:rPr>
                              <w:rFonts w:ascii="Cambria Math" w:hAnsi="Cambria Math"/>
                              <w:bCs/>
                              <w:i/>
                              <w:iCs/>
                            </w:rPr>
                          </m:ctrlPr>
                        </m:naryPr>
                        <m:sub>
                          <m:r>
                            <w:rPr>
                              <w:rFonts w:ascii="Cambria Math" w:hAnsi="Cambria Math"/>
                            </w:rPr>
                            <m:t>Todo j</m:t>
                          </m:r>
                        </m:sub>
                        <m:sup/>
                        <m:e>
                          <m:sSub>
                            <m:sSubPr>
                              <m:ctrlPr>
                                <w:rPr>
                                  <w:rFonts w:ascii="Cambria Math" w:hAnsi="Cambria Math"/>
                                  <w:bCs/>
                                  <w:i/>
                                  <w:iCs/>
                                </w:rPr>
                              </m:ctrlPr>
                            </m:sSubPr>
                            <m:e>
                              <m:r>
                                <w:rPr>
                                  <w:rFonts w:ascii="Cambria Math" w:hAnsi="Cambria Math"/>
                                </w:rPr>
                                <m:t>FPP</m:t>
                              </m:r>
                            </m:e>
                            <m:sub>
                              <m:r>
                                <w:rPr>
                                  <w:rFonts w:ascii="Cambria Math" w:hAnsi="Cambria Math"/>
                                </w:rPr>
                                <m:t xml:space="preserve">ji </m:t>
                              </m:r>
                            </m:sub>
                          </m:sSub>
                          <m:r>
                            <w:rPr>
                              <w:rFonts w:ascii="Cambria Math" w:hAnsi="Cambria Math"/>
                            </w:rPr>
                            <m:t xml:space="preserve"> </m:t>
                          </m:r>
                        </m:e>
                      </m:nary>
                    </m:e>
                  </m:d>
                  <m:r>
                    <w:rPr>
                      <w:rFonts w:ascii="Cambria Math" w:hAnsi="Cambria Math"/>
                    </w:rPr>
                    <m:t>-</m:t>
                  </m:r>
                  <m:sSub>
                    <m:sSubPr>
                      <m:ctrlPr>
                        <w:rPr>
                          <w:rFonts w:ascii="Cambria Math" w:hAnsi="Cambria Math"/>
                          <w:bCs/>
                          <w:i/>
                          <w:iCs/>
                        </w:rPr>
                      </m:ctrlPr>
                    </m:sSubPr>
                    <m:e>
                      <m:r>
                        <w:rPr>
                          <w:rFonts w:ascii="Cambria Math" w:hAnsi="Cambria Math"/>
                        </w:rPr>
                        <m:t>FAR</m:t>
                      </m:r>
                    </m:e>
                    <m:sub>
                      <m:r>
                        <w:rPr>
                          <w:rFonts w:ascii="Cambria Math" w:hAnsi="Cambria Math"/>
                        </w:rPr>
                        <m:t>k</m:t>
                      </m:r>
                    </m:sub>
                  </m:sSub>
                  <m:r>
                    <w:rPr>
                      <w:rFonts w:ascii="Cambria Math" w:hAnsi="Cambria Math"/>
                    </w:rPr>
                    <m:t xml:space="preserve">, 0 </m:t>
                  </m:r>
                </m:e>
              </m:nary>
            </m:e>
          </m:d>
        </m:oMath>
      </m:oMathPara>
    </w:p>
    <w:p w14:paraId="5AC0768F" w14:textId="77777777" w:rsidR="002B31EF" w:rsidRPr="0018293F" w:rsidRDefault="002B31EF" w:rsidP="002B31EF">
      <w:pPr>
        <w:jc w:val="both"/>
        <w:rPr>
          <w:rFonts w:asciiTheme="majorHAnsi" w:hAnsiTheme="majorHAnsi"/>
          <w:bCs/>
          <w:i/>
          <w:iCs/>
        </w:rPr>
      </w:pPr>
    </w:p>
    <w:p w14:paraId="24913693" w14:textId="77777777" w:rsidR="002B31EF" w:rsidRPr="0018293F" w:rsidRDefault="002B31EF" w:rsidP="002B31EF">
      <w:pPr>
        <w:jc w:val="both"/>
        <w:rPr>
          <w:rFonts w:asciiTheme="majorHAnsi" w:hAnsiTheme="majorHAnsi"/>
          <w:bCs/>
          <w:i/>
          <w:iCs/>
        </w:rPr>
      </w:pPr>
      <w:r w:rsidRPr="0018293F">
        <w:rPr>
          <w:rFonts w:asciiTheme="majorHAnsi" w:hAnsiTheme="majorHAnsi"/>
          <w:bCs/>
          <w:i/>
          <w:iCs/>
        </w:rPr>
        <w:t>Donde:</w:t>
      </w:r>
    </w:p>
    <w:p w14:paraId="71E76B15" w14:textId="77777777" w:rsidR="002B31EF" w:rsidRPr="0018293F" w:rsidRDefault="008247C0" w:rsidP="002B31EF">
      <w:pPr>
        <w:jc w:val="both"/>
        <w:rPr>
          <w:rFonts w:asciiTheme="majorHAnsi" w:hAnsiTheme="majorHAnsi"/>
          <w:bCs/>
          <w:i/>
          <w:iCs/>
        </w:rPr>
      </w:pPr>
      <m:oMath>
        <m:sSub>
          <m:sSubPr>
            <m:ctrlPr>
              <w:rPr>
                <w:rFonts w:ascii="Cambria Math" w:hAnsi="Cambria Math"/>
                <w:bCs/>
                <w:i/>
                <w:iCs/>
              </w:rPr>
            </m:ctrlPr>
          </m:sSubPr>
          <m:e>
            <m:r>
              <w:rPr>
                <w:rFonts w:ascii="Cambria Math" w:hAnsi="Cambria Math"/>
              </w:rPr>
              <m:t>B</m:t>
            </m:r>
          </m:e>
          <m:sub>
            <m:r>
              <w:rPr>
                <w:rFonts w:ascii="Cambria Math" w:hAnsi="Cambria Math"/>
              </w:rPr>
              <m:t>k</m:t>
            </m:r>
          </m:sub>
        </m:sSub>
      </m:oMath>
      <w:r w:rsidR="002B31EF" w:rsidRPr="0018293F">
        <w:rPr>
          <w:rFonts w:asciiTheme="majorHAnsi" w:hAnsiTheme="majorHAnsi"/>
          <w:bCs/>
          <w:i/>
          <w:iCs/>
        </w:rPr>
        <w:t xml:space="preserve"> = Monto total de flujos por pagar, en el tramo k, agregados de la misma forma que Ak y sin aplicar tasas de descuento.</w:t>
      </w:r>
    </w:p>
    <w:p w14:paraId="560401FC" w14:textId="77777777" w:rsidR="002B31EF" w:rsidRPr="0018293F" w:rsidRDefault="008247C0" w:rsidP="002B31EF">
      <w:pPr>
        <w:jc w:val="both"/>
        <w:rPr>
          <w:rFonts w:asciiTheme="majorHAnsi" w:hAnsiTheme="majorHAnsi"/>
          <w:bCs/>
          <w:i/>
          <w:iCs/>
        </w:rPr>
      </w:pPr>
      <m:oMath>
        <m:sSub>
          <m:sSubPr>
            <m:ctrlPr>
              <w:rPr>
                <w:rFonts w:ascii="Cambria Math" w:hAnsi="Cambria Math"/>
                <w:bCs/>
                <w:i/>
                <w:iCs/>
              </w:rPr>
            </m:ctrlPr>
          </m:sSubPr>
          <m:e>
            <m:r>
              <w:rPr>
                <w:rFonts w:ascii="Cambria Math" w:hAnsi="Cambria Math"/>
              </w:rPr>
              <m:t>FPP</m:t>
            </m:r>
          </m:e>
          <m:sub>
            <m:r>
              <w:rPr>
                <w:rFonts w:ascii="Cambria Math" w:hAnsi="Cambria Math"/>
              </w:rPr>
              <m:t>ji</m:t>
            </m:r>
          </m:sub>
        </m:sSub>
        <m:r>
          <w:rPr>
            <w:rFonts w:ascii="Cambria Math" w:hAnsi="Cambria Math"/>
          </w:rPr>
          <m:t xml:space="preserve"> </m:t>
        </m:r>
      </m:oMath>
      <w:r w:rsidR="002B31EF" w:rsidRPr="0018293F">
        <w:rPr>
          <w:rFonts w:asciiTheme="majorHAnsi" w:hAnsiTheme="majorHAnsi"/>
          <w:bCs/>
          <w:i/>
          <w:iCs/>
        </w:rPr>
        <w:t>=</w:t>
      </w:r>
      <w:r w:rsidR="002B31EF" w:rsidRPr="0018293F">
        <w:rPr>
          <w:rFonts w:asciiTheme="majorHAnsi" w:hAnsiTheme="majorHAnsi"/>
          <w:bCs/>
          <w:i/>
          <w:iCs/>
        </w:rPr>
        <w:tab/>
        <w:t>Flujo de pasivos de la póliza j durante el periodo i.</w:t>
      </w:r>
    </w:p>
    <w:p w14:paraId="72CCF60A" w14:textId="77777777" w:rsidR="002B31EF" w:rsidRPr="0018293F" w:rsidRDefault="008247C0" w:rsidP="002B31EF">
      <w:pPr>
        <w:jc w:val="both"/>
        <w:rPr>
          <w:rFonts w:asciiTheme="majorHAnsi" w:hAnsiTheme="majorHAnsi"/>
          <w:bCs/>
          <w:i/>
          <w:iCs/>
        </w:rPr>
      </w:pPr>
      <m:oMath>
        <m:sSub>
          <m:sSubPr>
            <m:ctrlPr>
              <w:rPr>
                <w:rFonts w:ascii="Cambria Math" w:hAnsi="Cambria Math"/>
                <w:bCs/>
                <w:i/>
                <w:iCs/>
              </w:rPr>
            </m:ctrlPr>
          </m:sSubPr>
          <m:e>
            <m:r>
              <w:rPr>
                <w:rFonts w:ascii="Cambria Math" w:hAnsi="Cambria Math"/>
              </w:rPr>
              <m:t>FAR</m:t>
            </m:r>
          </m:e>
          <m:sub>
            <m:r>
              <w:rPr>
                <w:rFonts w:ascii="Cambria Math" w:hAnsi="Cambria Math"/>
              </w:rPr>
              <m:t>i</m:t>
            </m:r>
          </m:sub>
        </m:sSub>
        <m:r>
          <w:rPr>
            <w:rFonts w:ascii="Cambria Math" w:hAnsi="Cambria Math"/>
          </w:rPr>
          <m:t xml:space="preserve"> </m:t>
        </m:r>
      </m:oMath>
      <w:r w:rsidR="002B31EF" w:rsidRPr="0018293F">
        <w:rPr>
          <w:rFonts w:asciiTheme="majorHAnsi" w:hAnsiTheme="majorHAnsi"/>
          <w:bCs/>
          <w:i/>
          <w:iCs/>
        </w:rPr>
        <w:t>=</w:t>
      </w:r>
      <w:r w:rsidR="002B31EF" w:rsidRPr="0018293F">
        <w:rPr>
          <w:rFonts w:asciiTheme="majorHAnsi" w:hAnsiTheme="majorHAnsi"/>
          <w:bCs/>
          <w:i/>
          <w:iCs/>
        </w:rPr>
        <w:tab/>
        <w:t>Flujo de activos de reaseguro durante el periodo i.</w:t>
      </w:r>
    </w:p>
    <w:p w14:paraId="3C07C123" w14:textId="77777777" w:rsidR="002B31EF" w:rsidRPr="0018293F" w:rsidRDefault="002B31EF" w:rsidP="002B31EF">
      <w:pPr>
        <w:jc w:val="both"/>
        <w:rPr>
          <w:rFonts w:asciiTheme="majorHAnsi" w:hAnsiTheme="majorHAnsi"/>
          <w:bCs/>
          <w:i/>
          <w:iCs/>
        </w:rPr>
      </w:pPr>
    </w:p>
    <w:p w14:paraId="10893DF3" w14:textId="77777777" w:rsidR="002B31EF" w:rsidRPr="0018293F" w:rsidRDefault="002B31EF" w:rsidP="002B31EF">
      <w:pPr>
        <w:pStyle w:val="Descripcin"/>
        <w:spacing w:after="0"/>
        <w:jc w:val="both"/>
        <w:rPr>
          <w:rFonts w:asciiTheme="majorHAnsi" w:hAnsiTheme="majorHAnsi"/>
          <w:i/>
          <w:iCs/>
          <w:color w:val="auto"/>
          <w:sz w:val="24"/>
          <w:szCs w:val="24"/>
        </w:rPr>
      </w:pPr>
      <w:r w:rsidRPr="0018293F">
        <w:rPr>
          <w:rFonts w:asciiTheme="majorHAnsi" w:hAnsiTheme="majorHAnsi"/>
          <w:b w:val="0"/>
          <w:bCs w:val="0"/>
          <w:i/>
          <w:iCs/>
          <w:color w:val="auto"/>
          <w:sz w:val="24"/>
          <w:szCs w:val="24"/>
        </w:rPr>
        <w:t xml:space="preserve">Los pasivos correspondientes a reaseguro mantenido </w:t>
      </w:r>
      <w:r w:rsidRPr="0018293F">
        <w:rPr>
          <w:rFonts w:asciiTheme="majorHAnsi" w:hAnsiTheme="majorHAnsi"/>
          <w:i/>
          <w:iCs/>
          <w:color w:val="auto"/>
          <w:sz w:val="24"/>
          <w:szCs w:val="24"/>
        </w:rPr>
        <w:t>y reaseguro aceptado</w:t>
      </w:r>
      <w:r w:rsidRPr="0018293F">
        <w:rPr>
          <w:rFonts w:asciiTheme="majorHAnsi" w:hAnsiTheme="majorHAnsi"/>
          <w:b w:val="0"/>
          <w:bCs w:val="0"/>
          <w:i/>
          <w:iCs/>
          <w:color w:val="auto"/>
          <w:sz w:val="24"/>
          <w:szCs w:val="24"/>
        </w:rPr>
        <w:t xml:space="preserve"> deben incluirse en esta clasificación</w:t>
      </w:r>
      <w:r w:rsidRPr="0018293F">
        <w:rPr>
          <w:rFonts w:asciiTheme="majorHAnsi" w:hAnsiTheme="majorHAnsi"/>
          <w:i/>
          <w:iCs/>
          <w:color w:val="auto"/>
          <w:sz w:val="24"/>
          <w:szCs w:val="24"/>
        </w:rPr>
        <w:t>.”</w:t>
      </w:r>
    </w:p>
    <w:p w14:paraId="7C1A4BC5" w14:textId="77777777" w:rsidR="002B31EF" w:rsidRPr="0018293F" w:rsidRDefault="002B31EF" w:rsidP="002B31EF"/>
    <w:p w14:paraId="17D9C320" w14:textId="77777777" w:rsidR="002B31EF" w:rsidRPr="0018293F" w:rsidRDefault="002B31EF" w:rsidP="002B31EF">
      <w:pPr>
        <w:jc w:val="both"/>
        <w:rPr>
          <w:rFonts w:asciiTheme="majorHAnsi" w:hAnsiTheme="majorHAnsi"/>
          <w:b/>
          <w:i/>
          <w:iCs/>
        </w:rPr>
      </w:pPr>
      <w:r w:rsidRPr="0018293F">
        <w:rPr>
          <w:rFonts w:asciiTheme="majorHAnsi" w:hAnsiTheme="majorHAnsi"/>
          <w:b/>
          <w:i/>
          <w:iCs/>
        </w:rPr>
        <w:t>“Artículo 21: Flujo de pasivos financieros elegibles</w:t>
      </w:r>
    </w:p>
    <w:p w14:paraId="181F4E29" w14:textId="77777777" w:rsidR="002B31EF" w:rsidRPr="0018293F" w:rsidRDefault="002B31EF" w:rsidP="002B31EF">
      <w:pPr>
        <w:jc w:val="both"/>
        <w:rPr>
          <w:rFonts w:asciiTheme="majorHAnsi" w:hAnsiTheme="majorHAnsi"/>
          <w:i/>
          <w:iCs/>
        </w:rPr>
      </w:pPr>
    </w:p>
    <w:p w14:paraId="040642D4" w14:textId="77777777" w:rsidR="002B31EF" w:rsidRPr="0018293F" w:rsidRDefault="002B31EF" w:rsidP="002B31EF">
      <w:pPr>
        <w:jc w:val="both"/>
        <w:rPr>
          <w:rFonts w:asciiTheme="majorHAnsi" w:hAnsiTheme="majorHAnsi"/>
          <w:i/>
          <w:iCs/>
        </w:rPr>
      </w:pPr>
      <w:r w:rsidRPr="0018293F">
        <w:rPr>
          <w:rFonts w:asciiTheme="majorHAnsi" w:hAnsiTheme="majorHAnsi"/>
          <w:i/>
          <w:iCs/>
        </w:rPr>
        <w:t>Para cada tramo K, debe calcularse el flujo total a pagar por pasivos financieros contratados, agregados en colones.</w:t>
      </w:r>
    </w:p>
    <w:p w14:paraId="7F3E80E0" w14:textId="77777777" w:rsidR="002B31EF" w:rsidRPr="0018293F" w:rsidRDefault="002B31EF" w:rsidP="002B31EF">
      <w:pPr>
        <w:jc w:val="both"/>
        <w:rPr>
          <w:rFonts w:asciiTheme="majorHAnsi" w:hAnsiTheme="majorHAnsi"/>
          <w:i/>
          <w:iCs/>
        </w:rPr>
      </w:pPr>
    </w:p>
    <w:p w14:paraId="1BE3049E" w14:textId="77777777" w:rsidR="002B31EF" w:rsidRPr="0018293F" w:rsidRDefault="002B31EF" w:rsidP="002B31EF">
      <w:pPr>
        <w:jc w:val="both"/>
        <w:rPr>
          <w:rFonts w:asciiTheme="majorHAnsi" w:hAnsiTheme="majorHAnsi"/>
          <w:i/>
          <w:iCs/>
        </w:rPr>
      </w:pPr>
      <w:r w:rsidRPr="0018293F">
        <w:rPr>
          <w:rFonts w:asciiTheme="majorHAnsi" w:hAnsiTheme="majorHAnsi"/>
          <w:i/>
          <w:iCs/>
        </w:rPr>
        <w:t>El flujo de los pasivos financieros en el tramo k se determina mediante la siguiente fórmula:</w:t>
      </w:r>
    </w:p>
    <w:p w14:paraId="6F34E2F5" w14:textId="77777777" w:rsidR="002B31EF" w:rsidRPr="0018293F" w:rsidRDefault="002B31EF" w:rsidP="002B31EF">
      <w:pPr>
        <w:jc w:val="both"/>
        <w:rPr>
          <w:rFonts w:asciiTheme="majorHAnsi" w:hAnsiTheme="majorHAnsi"/>
          <w:i/>
          <w:iCs/>
        </w:rPr>
      </w:pPr>
    </w:p>
    <w:p w14:paraId="5AF3CEBB" w14:textId="77777777" w:rsidR="002B31EF" w:rsidRPr="0018293F" w:rsidRDefault="008247C0" w:rsidP="002B31EF">
      <w:pPr>
        <w:jc w:val="both"/>
        <w:rPr>
          <w:rFonts w:asciiTheme="majorHAnsi" w:hAnsiTheme="majorHAnsi"/>
          <w:i/>
          <w:iCs/>
        </w:rPr>
      </w:pPr>
      <m:oMathPara>
        <m:oMath>
          <m:sSub>
            <m:sSubPr>
              <m:ctrlPr>
                <w:rPr>
                  <w:rFonts w:ascii="Cambria Math" w:hAnsi="Cambria Math"/>
                  <w:i/>
                  <w:iCs/>
                </w:rPr>
              </m:ctrlPr>
            </m:sSubPr>
            <m:e>
              <m:r>
                <w:rPr>
                  <w:rFonts w:ascii="Cambria Math" w:hAnsi="Cambria Math"/>
                </w:rPr>
                <m:t>C</m:t>
              </m:r>
            </m:e>
            <m:sub>
              <m:r>
                <w:rPr>
                  <w:rFonts w:ascii="Cambria Math" w:hAnsi="Cambria Math"/>
                </w:rPr>
                <m:t>k</m:t>
              </m:r>
            </m:sub>
          </m:sSub>
          <m:r>
            <w:rPr>
              <w:rFonts w:ascii="Cambria Math" w:hAnsi="Cambria Math"/>
            </w:rPr>
            <m:t xml:space="preserve">= </m:t>
          </m:r>
          <m:nary>
            <m:naryPr>
              <m:chr m:val="∑"/>
              <m:limLoc m:val="undOvr"/>
              <m:supHide m:val="1"/>
              <m:ctrlPr>
                <w:rPr>
                  <w:rFonts w:ascii="Cambria Math" w:hAnsi="Cambria Math"/>
                  <w:i/>
                  <w:iCs/>
                </w:rPr>
              </m:ctrlPr>
            </m:naryPr>
            <m:sub>
              <m:r>
                <w:rPr>
                  <w:rFonts w:ascii="Cambria Math" w:hAnsi="Cambria Math"/>
                </w:rPr>
                <m:t>Todo i en Tramo K</m:t>
              </m:r>
            </m:sub>
            <m:sup/>
            <m:e>
              <m:d>
                <m:dPr>
                  <m:ctrlPr>
                    <w:rPr>
                      <w:rFonts w:ascii="Cambria Math" w:hAnsi="Cambria Math"/>
                      <w:i/>
                      <w:iCs/>
                    </w:rPr>
                  </m:ctrlPr>
                </m:dPr>
                <m:e>
                  <m:nary>
                    <m:naryPr>
                      <m:chr m:val="∑"/>
                      <m:limLoc m:val="undOvr"/>
                      <m:supHide m:val="1"/>
                      <m:ctrlPr>
                        <w:rPr>
                          <w:rFonts w:ascii="Cambria Math" w:hAnsi="Cambria Math"/>
                          <w:i/>
                          <w:iCs/>
                        </w:rPr>
                      </m:ctrlPr>
                    </m:naryPr>
                    <m:sub>
                      <m:r>
                        <w:rPr>
                          <w:rFonts w:ascii="Cambria Math" w:hAnsi="Cambria Math"/>
                        </w:rPr>
                        <m:t>Todo j</m:t>
                      </m:r>
                    </m:sub>
                    <m:sup/>
                    <m:e>
                      <m:sSub>
                        <m:sSubPr>
                          <m:ctrlPr>
                            <w:rPr>
                              <w:rFonts w:ascii="Cambria Math" w:hAnsi="Cambria Math"/>
                              <w:i/>
                              <w:iCs/>
                            </w:rPr>
                          </m:ctrlPr>
                        </m:sSubPr>
                        <m:e>
                          <m:r>
                            <w:rPr>
                              <w:rFonts w:ascii="Cambria Math" w:hAnsi="Cambria Math"/>
                            </w:rPr>
                            <m:t>FPF</m:t>
                          </m:r>
                        </m:e>
                        <m:sub>
                          <m:r>
                            <w:rPr>
                              <w:rFonts w:ascii="Cambria Math" w:hAnsi="Cambria Math"/>
                            </w:rPr>
                            <m:t>ji</m:t>
                          </m:r>
                        </m:sub>
                      </m:sSub>
                    </m:e>
                  </m:nary>
                </m:e>
              </m:d>
            </m:e>
          </m:nary>
        </m:oMath>
      </m:oMathPara>
    </w:p>
    <w:p w14:paraId="564ED458" w14:textId="77777777" w:rsidR="002B31EF" w:rsidRPr="0018293F" w:rsidRDefault="002B31EF" w:rsidP="002B31EF">
      <w:pPr>
        <w:jc w:val="both"/>
        <w:rPr>
          <w:rFonts w:asciiTheme="majorHAnsi" w:hAnsiTheme="majorHAnsi"/>
          <w:i/>
          <w:iCs/>
        </w:rPr>
      </w:pPr>
    </w:p>
    <w:p w14:paraId="293509D7" w14:textId="77777777" w:rsidR="002B31EF" w:rsidRPr="0018293F" w:rsidRDefault="002B31EF" w:rsidP="002B31EF">
      <w:pPr>
        <w:jc w:val="both"/>
        <w:rPr>
          <w:rFonts w:asciiTheme="majorHAnsi" w:hAnsiTheme="majorHAnsi"/>
          <w:i/>
          <w:iCs/>
        </w:rPr>
      </w:pPr>
      <w:r w:rsidRPr="0018293F">
        <w:rPr>
          <w:rFonts w:asciiTheme="majorHAnsi" w:hAnsiTheme="majorHAnsi"/>
          <w:i/>
          <w:iCs/>
        </w:rPr>
        <w:t>Donde:</w:t>
      </w:r>
    </w:p>
    <w:p w14:paraId="72C736B9" w14:textId="77777777" w:rsidR="002B31EF" w:rsidRPr="0018293F" w:rsidRDefault="008247C0" w:rsidP="002B31EF">
      <w:pPr>
        <w:jc w:val="both"/>
        <w:rPr>
          <w:rFonts w:asciiTheme="majorHAnsi" w:hAnsiTheme="majorHAnsi"/>
          <w:i/>
          <w:iCs/>
        </w:rPr>
      </w:pPr>
      <m:oMath>
        <m:sSub>
          <m:sSubPr>
            <m:ctrlPr>
              <w:rPr>
                <w:rFonts w:ascii="Cambria Math" w:hAnsi="Cambria Math"/>
                <w:i/>
                <w:iCs/>
              </w:rPr>
            </m:ctrlPr>
          </m:sSubPr>
          <m:e>
            <m:r>
              <w:rPr>
                <w:rFonts w:ascii="Cambria Math" w:hAnsi="Cambria Math"/>
              </w:rPr>
              <m:t>C</m:t>
            </m:r>
          </m:e>
          <m:sub>
            <m:r>
              <w:rPr>
                <w:rFonts w:ascii="Cambria Math" w:hAnsi="Cambria Math"/>
              </w:rPr>
              <m:t>k</m:t>
            </m:r>
          </m:sub>
        </m:sSub>
      </m:oMath>
      <w:r w:rsidR="002B31EF" w:rsidRPr="0018293F">
        <w:rPr>
          <w:rFonts w:asciiTheme="majorHAnsi" w:hAnsiTheme="majorHAnsi"/>
          <w:i/>
          <w:iCs/>
        </w:rPr>
        <w:t xml:space="preserve"> = monto total de los flujos de pasivos financieros a pagar en el tramo "K", agregados en la misma moneda homogénea empleada para Ak y sin aplicar tasas de descuento. </w:t>
      </w:r>
    </w:p>
    <w:p w14:paraId="5F8B4B32" w14:textId="77777777" w:rsidR="002B31EF" w:rsidRPr="0018293F" w:rsidRDefault="008247C0" w:rsidP="002B31EF">
      <w:pPr>
        <w:jc w:val="both"/>
        <w:rPr>
          <w:rFonts w:asciiTheme="majorHAnsi" w:eastAsiaTheme="minorEastAsia" w:hAnsiTheme="majorHAnsi"/>
          <w:i/>
        </w:rPr>
      </w:pPr>
      <m:oMath>
        <m:sSub>
          <m:sSubPr>
            <m:ctrlPr>
              <w:rPr>
                <w:rFonts w:ascii="Cambria Math" w:eastAsiaTheme="minorEastAsia" w:hAnsi="Cambria Math"/>
                <w:i/>
              </w:rPr>
            </m:ctrlPr>
          </m:sSubPr>
          <m:e>
            <m:r>
              <w:rPr>
                <w:rFonts w:ascii="Cambria Math" w:eastAsiaTheme="minorEastAsia" w:hAnsi="Cambria Math"/>
              </w:rPr>
              <m:t>FPF</m:t>
            </m:r>
          </m:e>
          <m:sub>
            <m:r>
              <w:rPr>
                <w:rFonts w:ascii="Cambria Math" w:eastAsiaTheme="minorEastAsia" w:hAnsi="Cambria Math"/>
              </w:rPr>
              <m:t>ji</m:t>
            </m:r>
          </m:sub>
        </m:sSub>
      </m:oMath>
      <w:r w:rsidR="002B31EF" w:rsidRPr="0018293F">
        <w:rPr>
          <w:rFonts w:asciiTheme="majorHAnsi" w:eastAsiaTheme="minorEastAsia" w:hAnsiTheme="majorHAnsi"/>
          <w:i/>
        </w:rPr>
        <w:t xml:space="preserve"> = flujo del pasivo financiero j durante el periodo i”</w:t>
      </w:r>
    </w:p>
    <w:p w14:paraId="7DD09DE5" w14:textId="77777777" w:rsidR="002B31EF" w:rsidRPr="0018293F" w:rsidRDefault="002B31EF" w:rsidP="002B31EF">
      <w:pPr>
        <w:jc w:val="both"/>
        <w:rPr>
          <w:rFonts w:asciiTheme="majorHAnsi" w:hAnsiTheme="majorHAnsi"/>
          <w:i/>
          <w:strike/>
          <w:u w:val="single"/>
        </w:rPr>
      </w:pPr>
    </w:p>
    <w:p w14:paraId="47464723" w14:textId="77777777" w:rsidR="002B31EF" w:rsidRPr="0018293F" w:rsidRDefault="002B31EF" w:rsidP="002B31EF">
      <w:pPr>
        <w:jc w:val="both"/>
        <w:rPr>
          <w:rFonts w:asciiTheme="majorHAnsi" w:hAnsiTheme="majorHAnsi"/>
          <w:b/>
          <w:i/>
          <w:iCs/>
        </w:rPr>
      </w:pPr>
      <w:r w:rsidRPr="0018293F">
        <w:rPr>
          <w:rFonts w:asciiTheme="majorHAnsi" w:hAnsiTheme="majorHAnsi"/>
          <w:b/>
          <w:i/>
          <w:iCs/>
        </w:rPr>
        <w:t>“Artículo 22: Índice de calce de plazos</w:t>
      </w:r>
    </w:p>
    <w:p w14:paraId="6E23E7BF" w14:textId="77777777" w:rsidR="002B31EF" w:rsidRPr="0018293F" w:rsidRDefault="002B31EF" w:rsidP="002B31EF">
      <w:pPr>
        <w:jc w:val="both"/>
        <w:rPr>
          <w:rFonts w:asciiTheme="majorHAnsi" w:hAnsiTheme="majorHAnsi"/>
          <w:i/>
          <w:iCs/>
        </w:rPr>
      </w:pPr>
    </w:p>
    <w:p w14:paraId="727E8903" w14:textId="77777777" w:rsidR="002B31EF" w:rsidRPr="0018293F" w:rsidRDefault="002B31EF" w:rsidP="002B31EF">
      <w:pPr>
        <w:jc w:val="both"/>
        <w:rPr>
          <w:rFonts w:asciiTheme="majorHAnsi" w:hAnsiTheme="majorHAnsi"/>
          <w:i/>
          <w:iCs/>
        </w:rPr>
      </w:pPr>
      <w:r w:rsidRPr="0018293F">
        <w:rPr>
          <w:rFonts w:asciiTheme="majorHAnsi" w:hAnsiTheme="majorHAnsi"/>
          <w:i/>
          <w:iCs/>
        </w:rPr>
        <w:t>Mensualmente, el último día hábil de cada mes, se obtendrá el siguiente indicador de la situación de calce de activos y pasivos de la entidad, se obtendrá para cada tramo el índice de cobertura de pasivos de seguros (</w:t>
      </w:r>
      <w:proofErr w:type="spellStart"/>
      <w:r w:rsidRPr="0018293F">
        <w:rPr>
          <w:rFonts w:asciiTheme="majorHAnsi" w:hAnsiTheme="majorHAnsi"/>
          <w:i/>
          <w:iCs/>
        </w:rPr>
        <w:t>CPk</w:t>
      </w:r>
      <w:proofErr w:type="spellEnd"/>
      <w:r w:rsidRPr="0018293F">
        <w:rPr>
          <w:rFonts w:asciiTheme="majorHAnsi" w:hAnsiTheme="majorHAnsi"/>
          <w:i/>
          <w:iCs/>
        </w:rPr>
        <w:t>), de acuerdo con la siguiente fórmula:</w:t>
      </w:r>
    </w:p>
    <w:p w14:paraId="7B5B3764" w14:textId="77777777" w:rsidR="002B31EF" w:rsidRPr="0018293F" w:rsidRDefault="002B31EF" w:rsidP="002B31EF">
      <w:pPr>
        <w:jc w:val="both"/>
        <w:rPr>
          <w:rFonts w:asciiTheme="majorHAnsi" w:hAnsiTheme="majorHAnsi"/>
          <w:i/>
          <w:iCs/>
        </w:rPr>
      </w:pPr>
    </w:p>
    <w:p w14:paraId="7568E88B" w14:textId="77777777" w:rsidR="002B31EF" w:rsidRPr="0018293F" w:rsidRDefault="008247C0" w:rsidP="002B31EF">
      <w:pPr>
        <w:jc w:val="both"/>
        <w:rPr>
          <w:rFonts w:asciiTheme="majorHAnsi" w:hAnsiTheme="majorHAnsi"/>
          <w:i/>
          <w:iCs/>
        </w:rPr>
      </w:pPr>
      <m:oMathPara>
        <m:oMath>
          <m:sSub>
            <m:sSubPr>
              <m:ctrlPr>
                <w:rPr>
                  <w:rFonts w:ascii="Cambria Math" w:hAnsi="Cambria Math"/>
                  <w:i/>
                  <w:iCs/>
                </w:rPr>
              </m:ctrlPr>
            </m:sSubPr>
            <m:e>
              <m:r>
                <w:rPr>
                  <w:rFonts w:ascii="Cambria Math" w:hAnsi="Cambria Math"/>
                </w:rPr>
                <m:t>CP</m:t>
              </m:r>
            </m:e>
            <m:sub>
              <m:r>
                <w:rPr>
                  <w:rFonts w:ascii="Cambria Math" w:hAnsi="Cambria Math"/>
                </w:rPr>
                <m:t>k</m:t>
              </m:r>
            </m:sub>
          </m:sSub>
          <m:r>
            <w:rPr>
              <w:rFonts w:ascii="Cambria Math" w:hAnsi="Cambria Math"/>
            </w:rPr>
            <m:t>=</m:t>
          </m:r>
          <m:f>
            <m:fPr>
              <m:ctrlPr>
                <w:rPr>
                  <w:rFonts w:ascii="Cambria Math" w:hAnsi="Cambria Math"/>
                  <w:i/>
                  <w:iCs/>
                </w:rPr>
              </m:ctrlPr>
            </m:fPr>
            <m:num>
              <m:r>
                <w:rPr>
                  <w:rFonts w:ascii="Cambria Math" w:hAnsi="Cambria Math"/>
                </w:rPr>
                <m:t>Ak</m:t>
              </m:r>
            </m:num>
            <m:den>
              <m:sSub>
                <m:sSubPr>
                  <m:ctrlPr>
                    <w:rPr>
                      <w:rFonts w:ascii="Cambria Math" w:hAnsi="Cambria Math"/>
                      <w:i/>
                      <w:iCs/>
                    </w:rPr>
                  </m:ctrlPr>
                </m:sSubPr>
                <m:e>
                  <m:sSub>
                    <m:sSubPr>
                      <m:ctrlPr>
                        <w:rPr>
                          <w:rFonts w:ascii="Cambria Math" w:hAnsi="Cambria Math"/>
                          <w:i/>
                          <w:iCs/>
                        </w:rPr>
                      </m:ctrlPr>
                    </m:sSubPr>
                    <m:e>
                      <m:r>
                        <w:rPr>
                          <w:rFonts w:ascii="Cambria Math" w:hAnsi="Cambria Math"/>
                        </w:rPr>
                        <m:t>B</m:t>
                      </m:r>
                    </m:e>
                    <m:sub>
                      <m:r>
                        <w:rPr>
                          <w:rFonts w:ascii="Cambria Math" w:hAnsi="Cambria Math"/>
                        </w:rPr>
                        <m:t>k</m:t>
                      </m:r>
                    </m:sub>
                  </m:sSub>
                  <m:r>
                    <w:rPr>
                      <w:rFonts w:ascii="Cambria Math" w:hAnsi="Cambria Math"/>
                    </w:rPr>
                    <m:t>+</m:t>
                  </m:r>
                  <m:sSub>
                    <m:sSubPr>
                      <m:ctrlPr>
                        <w:rPr>
                          <w:rFonts w:ascii="Cambria Math" w:hAnsi="Cambria Math"/>
                          <w:i/>
                          <w:iCs/>
                        </w:rPr>
                      </m:ctrlPr>
                    </m:sSubPr>
                    <m:e>
                      <m:r>
                        <w:rPr>
                          <w:rFonts w:ascii="Cambria Math" w:hAnsi="Cambria Math"/>
                        </w:rPr>
                        <m:t>C</m:t>
                      </m:r>
                    </m:e>
                    <m:sub>
                      <m:r>
                        <w:rPr>
                          <w:rFonts w:ascii="Cambria Math" w:hAnsi="Cambria Math"/>
                        </w:rPr>
                        <m:t>k</m:t>
                      </m:r>
                    </m:sub>
                  </m:sSub>
                  <m:r>
                    <w:rPr>
                      <w:rFonts w:ascii="Cambria Math" w:hAnsi="Cambria Math"/>
                    </w:rPr>
                    <m:t xml:space="preserve"> </m:t>
                  </m:r>
                </m:e>
                <m:sub/>
              </m:sSub>
            </m:den>
          </m:f>
        </m:oMath>
      </m:oMathPara>
    </w:p>
    <w:p w14:paraId="54AE0804" w14:textId="77777777" w:rsidR="002B31EF" w:rsidRPr="0018293F" w:rsidRDefault="002B31EF" w:rsidP="002B31EF">
      <w:pPr>
        <w:jc w:val="both"/>
        <w:rPr>
          <w:rFonts w:asciiTheme="majorHAnsi" w:hAnsiTheme="majorHAnsi"/>
          <w:i/>
          <w:iCs/>
        </w:rPr>
      </w:pPr>
    </w:p>
    <w:p w14:paraId="33767478" w14:textId="77777777" w:rsidR="002B31EF" w:rsidRPr="0018293F" w:rsidRDefault="008247C0" w:rsidP="002B31EF">
      <w:pPr>
        <w:jc w:val="both"/>
        <w:rPr>
          <w:rFonts w:asciiTheme="majorHAnsi" w:eastAsiaTheme="minorEastAsia" w:hAnsiTheme="majorHAnsi"/>
          <w:i/>
        </w:rPr>
      </w:pPr>
      <m:oMath>
        <m:sSub>
          <m:sSubPr>
            <m:ctrlPr>
              <w:rPr>
                <w:rFonts w:ascii="Cambria Math" w:eastAsiaTheme="minorEastAsia" w:hAnsi="Cambria Math"/>
                <w:i/>
              </w:rPr>
            </m:ctrlPr>
          </m:sSubPr>
          <m:e>
            <m:r>
              <w:rPr>
                <w:rFonts w:ascii="Cambria Math" w:eastAsiaTheme="minorEastAsia" w:hAnsi="Cambria Math"/>
              </w:rPr>
              <m:t>CP</m:t>
            </m:r>
          </m:e>
          <m:sub>
            <m:r>
              <w:rPr>
                <w:rFonts w:ascii="Cambria Math" w:eastAsiaTheme="minorEastAsia" w:hAnsi="Cambria Math"/>
              </w:rPr>
              <m:t>k</m:t>
            </m:r>
          </m:sub>
        </m:sSub>
      </m:oMath>
      <w:r w:rsidR="002B31EF" w:rsidRPr="0018293F">
        <w:rPr>
          <w:rFonts w:asciiTheme="majorHAnsi" w:eastAsiaTheme="minorEastAsia" w:hAnsiTheme="majorHAnsi"/>
          <w:i/>
        </w:rPr>
        <w:t xml:space="preserve"> mide la fracción de los pasivos del tramo K que está cubierta por activos elegibles, a la fecha de cálculo.”</w:t>
      </w:r>
    </w:p>
    <w:p w14:paraId="625EF276" w14:textId="77777777" w:rsidR="002B31EF" w:rsidRPr="0018293F" w:rsidRDefault="002B31EF" w:rsidP="002B31EF">
      <w:pPr>
        <w:jc w:val="both"/>
        <w:rPr>
          <w:rFonts w:asciiTheme="majorHAnsi" w:hAnsiTheme="majorHAnsi"/>
          <w:b/>
          <w:i/>
          <w:strike/>
        </w:rPr>
      </w:pPr>
    </w:p>
    <w:p w14:paraId="6F889505" w14:textId="77777777" w:rsidR="002B31EF" w:rsidRPr="0018293F" w:rsidRDefault="002B31EF" w:rsidP="002B31EF">
      <w:pPr>
        <w:jc w:val="both"/>
        <w:rPr>
          <w:rFonts w:asciiTheme="majorHAnsi" w:hAnsiTheme="majorHAnsi"/>
          <w:bCs/>
          <w:i/>
          <w:iCs/>
        </w:rPr>
      </w:pPr>
      <w:r w:rsidRPr="0018293F">
        <w:rPr>
          <w:rFonts w:asciiTheme="majorHAnsi" w:hAnsiTheme="majorHAnsi"/>
          <w:bCs/>
          <w:i/>
          <w:iCs/>
        </w:rPr>
        <w:t>“</w:t>
      </w:r>
      <w:r w:rsidRPr="0018293F">
        <w:rPr>
          <w:rFonts w:asciiTheme="majorHAnsi" w:hAnsiTheme="majorHAnsi"/>
          <w:b/>
          <w:i/>
          <w:iCs/>
        </w:rPr>
        <w:t>Artículo 23: Requerimiento de capital por riesgo de descalce de plazos</w:t>
      </w:r>
    </w:p>
    <w:p w14:paraId="65C9E031" w14:textId="77777777" w:rsidR="002B31EF" w:rsidRPr="0018293F" w:rsidRDefault="002B31EF" w:rsidP="002B31EF">
      <w:pPr>
        <w:jc w:val="both"/>
        <w:rPr>
          <w:rFonts w:asciiTheme="majorHAnsi" w:hAnsiTheme="majorHAnsi"/>
          <w:bCs/>
          <w:i/>
          <w:iCs/>
        </w:rPr>
      </w:pPr>
    </w:p>
    <w:p w14:paraId="0CAAAFEA" w14:textId="77777777" w:rsidR="002B31EF" w:rsidRPr="0018293F" w:rsidRDefault="002B31EF" w:rsidP="002B31EF">
      <w:pPr>
        <w:jc w:val="both"/>
        <w:rPr>
          <w:rFonts w:asciiTheme="majorHAnsi" w:hAnsiTheme="majorHAnsi"/>
          <w:bCs/>
          <w:i/>
          <w:iCs/>
        </w:rPr>
      </w:pPr>
      <w:r w:rsidRPr="0018293F">
        <w:rPr>
          <w:rFonts w:asciiTheme="majorHAnsi" w:hAnsiTheme="majorHAnsi"/>
          <w:bCs/>
          <w:i/>
          <w:iCs/>
        </w:rPr>
        <w:t>Para determinar el requerimiento de capital por descalce de plazos se debe proceder de la siguiente manera:</w:t>
      </w:r>
    </w:p>
    <w:p w14:paraId="0B2B5E02" w14:textId="77777777" w:rsidR="002B31EF" w:rsidRPr="0018293F" w:rsidRDefault="002B31EF" w:rsidP="002B31EF">
      <w:pPr>
        <w:jc w:val="both"/>
        <w:rPr>
          <w:rFonts w:asciiTheme="majorHAnsi" w:hAnsiTheme="majorHAnsi"/>
          <w:bCs/>
          <w:i/>
          <w:iCs/>
        </w:rPr>
      </w:pPr>
    </w:p>
    <w:p w14:paraId="19C21678" w14:textId="77777777" w:rsidR="002B31EF" w:rsidRPr="0018293F" w:rsidRDefault="002B31EF" w:rsidP="002B31EF">
      <w:pPr>
        <w:jc w:val="both"/>
        <w:rPr>
          <w:rFonts w:asciiTheme="majorHAnsi" w:hAnsiTheme="majorHAnsi"/>
          <w:bCs/>
          <w:i/>
          <w:iCs/>
        </w:rPr>
      </w:pPr>
    </w:p>
    <w:p w14:paraId="45E4C5B9" w14:textId="77777777" w:rsidR="002B31EF" w:rsidRPr="0018293F" w:rsidRDefault="002B31EF" w:rsidP="002B31EF">
      <w:pPr>
        <w:numPr>
          <w:ilvl w:val="0"/>
          <w:numId w:val="6"/>
        </w:numPr>
        <w:jc w:val="both"/>
        <w:rPr>
          <w:rFonts w:asciiTheme="majorHAnsi" w:hAnsiTheme="majorHAnsi"/>
          <w:bCs/>
          <w:i/>
          <w:iCs/>
        </w:rPr>
      </w:pPr>
      <w:r w:rsidRPr="0018293F">
        <w:rPr>
          <w:rFonts w:asciiTheme="majorHAnsi" w:hAnsiTheme="majorHAnsi"/>
          <w:bCs/>
          <w:i/>
          <w:iCs/>
        </w:rPr>
        <w:t xml:space="preserve">Si </w:t>
      </w:r>
      <m:oMath>
        <m:sSub>
          <m:sSubPr>
            <m:ctrlPr>
              <w:rPr>
                <w:rFonts w:ascii="Cambria Math" w:hAnsi="Cambria Math"/>
                <w:bCs/>
                <w:i/>
                <w:iCs/>
              </w:rPr>
            </m:ctrlPr>
          </m:sSubPr>
          <m:e>
            <m:r>
              <w:rPr>
                <w:rFonts w:ascii="Cambria Math" w:hAnsi="Cambria Math"/>
              </w:rPr>
              <m:t>CP</m:t>
            </m:r>
          </m:e>
          <m:sub>
            <m:r>
              <w:rPr>
                <w:rFonts w:ascii="Cambria Math" w:hAnsi="Cambria Math"/>
              </w:rPr>
              <m:t>k</m:t>
            </m:r>
          </m:sub>
        </m:sSub>
      </m:oMath>
      <w:r w:rsidRPr="0018293F">
        <w:rPr>
          <w:rFonts w:asciiTheme="majorHAnsi" w:hAnsiTheme="majorHAnsi"/>
          <w:bCs/>
          <w:i/>
          <w:iCs/>
        </w:rPr>
        <w:t xml:space="preserve"> es mayor o igual que uno, para todos los tramos k significa que hay calce de activos y pasivos y por lo tanto no se requiere de capital para cubrir el riesgo de descalce.</w:t>
      </w:r>
    </w:p>
    <w:p w14:paraId="748212A9" w14:textId="77777777" w:rsidR="002B31EF" w:rsidRPr="0018293F" w:rsidRDefault="002B31EF" w:rsidP="002B31EF">
      <w:pPr>
        <w:numPr>
          <w:ilvl w:val="0"/>
          <w:numId w:val="6"/>
        </w:numPr>
        <w:jc w:val="both"/>
        <w:rPr>
          <w:rFonts w:asciiTheme="majorHAnsi" w:hAnsiTheme="majorHAnsi"/>
          <w:bCs/>
          <w:i/>
          <w:iCs/>
        </w:rPr>
      </w:pPr>
      <w:r w:rsidRPr="0018293F">
        <w:rPr>
          <w:rFonts w:asciiTheme="majorHAnsi" w:hAnsiTheme="majorHAnsi"/>
          <w:bCs/>
          <w:i/>
          <w:iCs/>
        </w:rPr>
        <w:t xml:space="preserve">Si </w:t>
      </w:r>
      <m:oMath>
        <m:sSub>
          <m:sSubPr>
            <m:ctrlPr>
              <w:rPr>
                <w:rFonts w:ascii="Cambria Math" w:hAnsi="Cambria Math"/>
                <w:bCs/>
                <w:i/>
                <w:iCs/>
              </w:rPr>
            </m:ctrlPr>
          </m:sSubPr>
          <m:e>
            <m:r>
              <w:rPr>
                <w:rFonts w:ascii="Cambria Math" w:hAnsi="Cambria Math"/>
              </w:rPr>
              <m:t>CP</m:t>
            </m:r>
          </m:e>
          <m:sub>
            <m:r>
              <w:rPr>
                <w:rFonts w:ascii="Cambria Math" w:hAnsi="Cambria Math"/>
              </w:rPr>
              <m:t>k</m:t>
            </m:r>
          </m:sub>
        </m:sSub>
        <m:r>
          <w:rPr>
            <w:rFonts w:ascii="Cambria Math" w:hAnsi="Cambria Math"/>
          </w:rPr>
          <m:t xml:space="preserve"> </m:t>
        </m:r>
      </m:oMath>
      <w:r w:rsidRPr="0018293F">
        <w:rPr>
          <w:rFonts w:asciiTheme="majorHAnsi" w:hAnsiTheme="majorHAnsi"/>
          <w:bCs/>
          <w:i/>
          <w:iCs/>
        </w:rPr>
        <w:t xml:space="preserve">es menor que uno en al menos un tramo k, significa que hay descalce de plazos y por tanto se debe estimar el requerimiento de capital para cubrir el riesgo de descalce. Para ello, se debe proceder de la siguiente manera: </w:t>
      </w:r>
    </w:p>
    <w:p w14:paraId="3D12D009" w14:textId="77777777" w:rsidR="002B31EF" w:rsidRPr="0018293F" w:rsidRDefault="002B31EF" w:rsidP="002B31EF">
      <w:pPr>
        <w:jc w:val="both"/>
        <w:rPr>
          <w:rFonts w:asciiTheme="majorHAnsi" w:hAnsiTheme="majorHAnsi"/>
          <w:bCs/>
          <w:i/>
          <w:iCs/>
        </w:rPr>
      </w:pPr>
    </w:p>
    <w:p w14:paraId="15C3BFD1" w14:textId="77777777" w:rsidR="002B31EF" w:rsidRPr="0018293F" w:rsidRDefault="002B31EF" w:rsidP="002B31EF">
      <w:pPr>
        <w:jc w:val="both"/>
        <w:rPr>
          <w:rFonts w:asciiTheme="majorHAnsi" w:hAnsiTheme="majorHAnsi"/>
          <w:bCs/>
          <w:i/>
          <w:iCs/>
        </w:rPr>
      </w:pPr>
    </w:p>
    <w:p w14:paraId="11A2608A" w14:textId="77777777" w:rsidR="002B31EF" w:rsidRPr="0018293F" w:rsidRDefault="002B31EF" w:rsidP="002B31EF">
      <w:pPr>
        <w:pStyle w:val="Prrafodelista"/>
        <w:numPr>
          <w:ilvl w:val="0"/>
          <w:numId w:val="25"/>
        </w:numPr>
        <w:spacing w:after="0" w:line="240" w:lineRule="auto"/>
        <w:ind w:left="791" w:hanging="425"/>
        <w:jc w:val="both"/>
        <w:rPr>
          <w:rFonts w:asciiTheme="majorHAnsi" w:hAnsiTheme="majorHAnsi"/>
          <w:bCs/>
          <w:i/>
          <w:iCs/>
          <w:sz w:val="24"/>
          <w:szCs w:val="24"/>
        </w:rPr>
      </w:pPr>
      <w:r w:rsidRPr="0018293F">
        <w:rPr>
          <w:rFonts w:asciiTheme="majorHAnsi" w:hAnsiTheme="majorHAnsi"/>
          <w:bCs/>
          <w:i/>
          <w:iCs/>
          <w:sz w:val="24"/>
          <w:szCs w:val="24"/>
        </w:rPr>
        <w:t>La provisión ajustada por descalce de plazos corresponde a la sumatoria del valor presente de cada póliza “j” según la siguiente expresión:</w:t>
      </w:r>
    </w:p>
    <w:p w14:paraId="1D5E36AC" w14:textId="77777777" w:rsidR="002B31EF" w:rsidRPr="0018293F" w:rsidRDefault="002B31EF" w:rsidP="002B31EF">
      <w:pPr>
        <w:jc w:val="both"/>
        <w:rPr>
          <w:rFonts w:asciiTheme="majorHAnsi" w:hAnsiTheme="majorHAnsi"/>
          <w:bCs/>
          <w:i/>
          <w:iCs/>
        </w:rPr>
      </w:pPr>
    </w:p>
    <w:p w14:paraId="4264223A" w14:textId="77777777" w:rsidR="002B31EF" w:rsidRPr="0018293F" w:rsidRDefault="008247C0" w:rsidP="002B31EF">
      <w:pPr>
        <w:jc w:val="both"/>
        <w:rPr>
          <w:rFonts w:asciiTheme="majorHAnsi" w:hAnsiTheme="majorHAnsi"/>
          <w:bCs/>
          <w:i/>
          <w:iCs/>
        </w:rPr>
      </w:pPr>
      <m:oMathPara>
        <m:oMath>
          <m:sSub>
            <m:sSubPr>
              <m:ctrlPr>
                <w:rPr>
                  <w:rFonts w:ascii="Cambria Math" w:hAnsi="Cambria Math"/>
                  <w:bCs/>
                  <w:i/>
                  <w:iCs/>
                </w:rPr>
              </m:ctrlPr>
            </m:sSubPr>
            <m:e>
              <m:r>
                <w:rPr>
                  <w:rFonts w:ascii="Cambria Math" w:hAnsi="Cambria Math"/>
                </w:rPr>
                <m:t>VPP</m:t>
              </m:r>
            </m:e>
            <m:sub>
              <m:r>
                <w:rPr>
                  <w:rFonts w:ascii="Cambria Math" w:hAnsi="Cambria Math"/>
                </w:rPr>
                <m:t>j</m:t>
              </m:r>
            </m:sub>
          </m:sSub>
          <m:r>
            <w:rPr>
              <w:rFonts w:ascii="Cambria Math" w:hAnsi="Cambria Math"/>
            </w:rPr>
            <m:t>=</m:t>
          </m:r>
          <m:nary>
            <m:naryPr>
              <m:chr m:val="∑"/>
              <m:limLoc m:val="undOvr"/>
              <m:ctrlPr>
                <w:rPr>
                  <w:rFonts w:ascii="Cambria Math" w:hAnsi="Cambria Math"/>
                  <w:bCs/>
                  <w:i/>
                  <w:iCs/>
                </w:rPr>
              </m:ctrlPr>
            </m:naryPr>
            <m:sub>
              <m:r>
                <w:rPr>
                  <w:rFonts w:ascii="Cambria Math" w:hAnsi="Cambria Math"/>
                </w:rPr>
                <m:t>Tramo k=1</m:t>
              </m:r>
            </m:sub>
            <m:sup>
              <m:r>
                <w:rPr>
                  <w:rFonts w:ascii="Cambria Math" w:hAnsi="Cambria Math"/>
                </w:rPr>
                <m:t>Tramo k=10</m:t>
              </m:r>
            </m:sup>
            <m:e>
              <m:r>
                <w:rPr>
                  <w:rFonts w:ascii="Cambria Math" w:hAnsi="Cambria Math"/>
                </w:rPr>
                <m:t>×</m:t>
              </m:r>
            </m:e>
          </m:nary>
          <m:r>
            <w:rPr>
              <w:rFonts w:ascii="Cambria Math" w:hAnsi="Cambria Math"/>
            </w:rPr>
            <m:t xml:space="preserve"> </m:t>
          </m:r>
          <m:nary>
            <m:naryPr>
              <m:chr m:val="∑"/>
              <m:limLoc m:val="undOvr"/>
              <m:supHide m:val="1"/>
              <m:ctrlPr>
                <w:rPr>
                  <w:rFonts w:ascii="Cambria Math" w:hAnsi="Cambria Math"/>
                  <w:bCs/>
                  <w:i/>
                  <w:iCs/>
                </w:rPr>
              </m:ctrlPr>
            </m:naryPr>
            <m:sub>
              <m:r>
                <w:rPr>
                  <w:rFonts w:ascii="Cambria Math" w:hAnsi="Cambria Math"/>
                </w:rPr>
                <m:t>Todo i en el Tramo k</m:t>
              </m:r>
            </m:sub>
            <m:sup/>
            <m:e>
              <m:sSub>
                <m:sSubPr>
                  <m:ctrlPr>
                    <w:rPr>
                      <w:rFonts w:ascii="Cambria Math" w:hAnsi="Cambria Math"/>
                      <w:bCs/>
                      <w:i/>
                      <w:iCs/>
                    </w:rPr>
                  </m:ctrlPr>
                </m:sSubPr>
                <m:e>
                  <m:r>
                    <w:rPr>
                      <w:rFonts w:ascii="Cambria Math" w:hAnsi="Cambria Math"/>
                    </w:rPr>
                    <m:t>FP</m:t>
                  </m:r>
                </m:e>
                <m:sub>
                  <m:r>
                    <w:rPr>
                      <w:rFonts w:ascii="Cambria Math" w:hAnsi="Cambria Math"/>
                    </w:rPr>
                    <m:t>ji</m:t>
                  </m:r>
                </m:sub>
              </m:sSub>
            </m:e>
          </m:nary>
          <m:r>
            <w:rPr>
              <w:rFonts w:ascii="Cambria Math" w:hAnsi="Cambria Math"/>
            </w:rPr>
            <m:t xml:space="preserve">× </m:t>
          </m:r>
          <m:d>
            <m:dPr>
              <m:begChr m:val="["/>
              <m:endChr m:val="]"/>
              <m:ctrlPr>
                <w:rPr>
                  <w:rFonts w:ascii="Cambria Math" w:hAnsi="Cambria Math"/>
                  <w:bCs/>
                  <w:i/>
                  <w:iCs/>
                </w:rPr>
              </m:ctrlPr>
            </m:dPr>
            <m:e>
              <m:sSup>
                <m:sSupPr>
                  <m:ctrlPr>
                    <w:rPr>
                      <w:rFonts w:ascii="Cambria Math" w:hAnsi="Cambria Math"/>
                      <w:bCs/>
                      <w:i/>
                      <w:iCs/>
                    </w:rPr>
                  </m:ctrlPr>
                </m:sSupPr>
                <m:e>
                  <m:d>
                    <m:dPr>
                      <m:ctrlPr>
                        <w:rPr>
                          <w:rFonts w:ascii="Cambria Math" w:hAnsi="Cambria Math"/>
                          <w:bCs/>
                          <w:i/>
                          <w:iCs/>
                        </w:rPr>
                      </m:ctrlPr>
                    </m:dPr>
                    <m:e>
                      <m:r>
                        <w:rPr>
                          <w:rFonts w:ascii="Cambria Math" w:hAnsi="Cambria Math"/>
                        </w:rPr>
                        <m:t>1+</m:t>
                      </m:r>
                      <m:sSub>
                        <m:sSubPr>
                          <m:ctrlPr>
                            <w:rPr>
                              <w:rFonts w:ascii="Cambria Math" w:hAnsi="Cambria Math"/>
                              <w:bCs/>
                              <w:i/>
                              <w:iCs/>
                            </w:rPr>
                          </m:ctrlPr>
                        </m:sSubPr>
                        <m:e>
                          <m:d>
                            <m:dPr>
                              <m:ctrlPr>
                                <w:rPr>
                                  <w:rFonts w:ascii="Cambria Math" w:hAnsi="Cambria Math"/>
                                  <w:bCs/>
                                  <w:i/>
                                  <w:iCs/>
                                </w:rPr>
                              </m:ctrlPr>
                            </m:dPr>
                            <m:e>
                              <m:sSub>
                                <m:sSubPr>
                                  <m:ctrlPr>
                                    <w:rPr>
                                      <w:rFonts w:ascii="Cambria Math" w:hAnsi="Cambria Math"/>
                                      <w:bCs/>
                                      <w:i/>
                                      <w:iCs/>
                                    </w:rPr>
                                  </m:ctrlPr>
                                </m:sSubPr>
                                <m:e>
                                  <m:r>
                                    <w:rPr>
                                      <w:rFonts w:ascii="Cambria Math" w:hAnsi="Cambria Math"/>
                                    </w:rPr>
                                    <m:t>TT</m:t>
                                  </m:r>
                                </m:e>
                                <m:sub>
                                  <m:r>
                                    <w:rPr>
                                      <w:rFonts w:ascii="Cambria Math" w:hAnsi="Cambria Math"/>
                                    </w:rPr>
                                    <m:t>i</m:t>
                                  </m:r>
                                </m:sub>
                              </m:sSub>
                              <m:r>
                                <w:rPr>
                                  <w:rFonts w:ascii="Cambria Math" w:hAnsi="Cambria Math"/>
                                </w:rPr>
                                <m:t>*60%</m:t>
                              </m:r>
                            </m:e>
                          </m:d>
                        </m:e>
                        <m:sub>
                          <m:r>
                            <w:rPr>
                              <w:rFonts w:ascii="Cambria Math" w:hAnsi="Cambria Math"/>
                            </w:rPr>
                            <m:t>j</m:t>
                          </m:r>
                        </m:sub>
                      </m:sSub>
                    </m:e>
                  </m:d>
                </m:e>
                <m:sup>
                  <m:r>
                    <w:rPr>
                      <w:rFonts w:ascii="Cambria Math" w:hAnsi="Cambria Math"/>
                    </w:rPr>
                    <m:t>-i</m:t>
                  </m:r>
                </m:sup>
              </m:sSup>
              <m:r>
                <w:rPr>
                  <w:rFonts w:ascii="Cambria Math" w:hAnsi="Cambria Math"/>
                </w:rPr>
                <m:t>×</m:t>
              </m:r>
              <m:sSub>
                <m:sSubPr>
                  <m:ctrlPr>
                    <w:rPr>
                      <w:rFonts w:ascii="Cambria Math" w:hAnsi="Cambria Math"/>
                      <w:bCs/>
                      <w:i/>
                      <w:iCs/>
                    </w:rPr>
                  </m:ctrlPr>
                </m:sSubPr>
                <m:e>
                  <m:r>
                    <w:rPr>
                      <w:rFonts w:ascii="Cambria Math" w:hAnsi="Cambria Math"/>
                    </w:rPr>
                    <m:t>CP</m:t>
                  </m:r>
                </m:e>
                <m:sub>
                  <m:r>
                    <w:rPr>
                      <w:rFonts w:ascii="Cambria Math" w:hAnsi="Cambria Math"/>
                    </w:rPr>
                    <m:t>k,j</m:t>
                  </m:r>
                </m:sub>
              </m:sSub>
              <m:r>
                <w:rPr>
                  <w:rFonts w:ascii="Cambria Math" w:hAnsi="Cambria Math"/>
                </w:rPr>
                <m:t>+</m:t>
              </m:r>
              <m:sSup>
                <m:sSupPr>
                  <m:ctrlPr>
                    <w:rPr>
                      <w:rFonts w:ascii="Cambria Math" w:hAnsi="Cambria Math"/>
                      <w:bCs/>
                      <w:i/>
                      <w:iCs/>
                    </w:rPr>
                  </m:ctrlPr>
                </m:sSupPr>
                <m:e>
                  <m:r>
                    <w:rPr>
                      <w:rFonts w:ascii="Cambria Math" w:hAnsi="Cambria Math"/>
                    </w:rPr>
                    <m:t>(1+</m:t>
                  </m:r>
                  <m:sSub>
                    <m:sSubPr>
                      <m:ctrlPr>
                        <w:rPr>
                          <w:rFonts w:ascii="Cambria Math" w:hAnsi="Cambria Math"/>
                          <w:bCs/>
                          <w:i/>
                          <w:iCs/>
                        </w:rPr>
                      </m:ctrlPr>
                    </m:sSubPr>
                    <m:e>
                      <m:r>
                        <w:rPr>
                          <w:rFonts w:ascii="Cambria Math" w:hAnsi="Cambria Math"/>
                        </w:rPr>
                        <m:t>TT</m:t>
                      </m:r>
                    </m:e>
                    <m:sub>
                      <m:r>
                        <w:rPr>
                          <w:rFonts w:ascii="Cambria Math" w:hAnsi="Cambria Math"/>
                        </w:rPr>
                        <m:t>i</m:t>
                      </m:r>
                    </m:sub>
                  </m:sSub>
                  <m:r>
                    <w:rPr>
                      <w:rFonts w:ascii="Cambria Math" w:hAnsi="Cambria Math"/>
                    </w:rPr>
                    <m:t>*40%)</m:t>
                  </m:r>
                </m:e>
                <m:sup>
                  <m:r>
                    <w:rPr>
                      <w:rFonts w:ascii="Cambria Math" w:hAnsi="Cambria Math"/>
                    </w:rPr>
                    <m:t>-i</m:t>
                  </m:r>
                </m:sup>
              </m:sSup>
              <m:r>
                <w:rPr>
                  <w:rFonts w:ascii="Cambria Math" w:hAnsi="Cambria Math"/>
                </w:rPr>
                <m:t>×</m:t>
              </m:r>
              <m:d>
                <m:dPr>
                  <m:ctrlPr>
                    <w:rPr>
                      <w:rFonts w:ascii="Cambria Math" w:hAnsi="Cambria Math"/>
                      <w:bCs/>
                      <w:i/>
                      <w:iCs/>
                    </w:rPr>
                  </m:ctrlPr>
                </m:dPr>
                <m:e>
                  <m:r>
                    <w:rPr>
                      <w:rFonts w:ascii="Cambria Math" w:hAnsi="Cambria Math"/>
                    </w:rPr>
                    <m:t>1-</m:t>
                  </m:r>
                  <m:sSub>
                    <m:sSubPr>
                      <m:ctrlPr>
                        <w:rPr>
                          <w:rFonts w:ascii="Cambria Math" w:hAnsi="Cambria Math"/>
                          <w:bCs/>
                          <w:i/>
                          <w:iCs/>
                        </w:rPr>
                      </m:ctrlPr>
                    </m:sSubPr>
                    <m:e>
                      <m:r>
                        <w:rPr>
                          <w:rFonts w:ascii="Cambria Math" w:hAnsi="Cambria Math"/>
                        </w:rPr>
                        <m:t>CP</m:t>
                      </m:r>
                    </m:e>
                    <m:sub>
                      <m:r>
                        <w:rPr>
                          <w:rFonts w:ascii="Cambria Math" w:hAnsi="Cambria Math"/>
                        </w:rPr>
                        <m:t>k,j</m:t>
                      </m:r>
                    </m:sub>
                  </m:sSub>
                </m:e>
              </m:d>
            </m:e>
          </m:d>
        </m:oMath>
      </m:oMathPara>
    </w:p>
    <w:p w14:paraId="1681D853" w14:textId="77777777" w:rsidR="002B31EF" w:rsidRPr="0018293F" w:rsidRDefault="002B31EF" w:rsidP="002B31EF">
      <w:pPr>
        <w:jc w:val="both"/>
        <w:rPr>
          <w:rFonts w:asciiTheme="majorHAnsi" w:hAnsiTheme="majorHAnsi"/>
          <w:bCs/>
          <w:i/>
          <w:iCs/>
        </w:rPr>
      </w:pPr>
    </w:p>
    <w:p w14:paraId="0E54A60C" w14:textId="77777777" w:rsidR="002B31EF" w:rsidRPr="0018293F" w:rsidRDefault="002B31EF" w:rsidP="002B31EF">
      <w:pPr>
        <w:jc w:val="both"/>
        <w:rPr>
          <w:rFonts w:asciiTheme="majorHAnsi" w:hAnsiTheme="majorHAnsi"/>
          <w:bCs/>
          <w:i/>
          <w:iCs/>
        </w:rPr>
      </w:pPr>
    </w:p>
    <w:p w14:paraId="6072CF2F" w14:textId="77777777" w:rsidR="002B31EF" w:rsidRPr="0018293F" w:rsidRDefault="002B31EF" w:rsidP="002B31EF">
      <w:pPr>
        <w:jc w:val="both"/>
        <w:rPr>
          <w:rFonts w:asciiTheme="majorHAnsi" w:hAnsiTheme="majorHAnsi"/>
          <w:bCs/>
          <w:i/>
          <w:iCs/>
        </w:rPr>
      </w:pPr>
      <w:r w:rsidRPr="0018293F">
        <w:rPr>
          <w:rFonts w:asciiTheme="majorHAnsi" w:hAnsiTheme="majorHAnsi"/>
          <w:bCs/>
          <w:i/>
          <w:iCs/>
        </w:rPr>
        <w:lastRenderedPageBreak/>
        <w:t>Donde:</w:t>
      </w:r>
    </w:p>
    <w:p w14:paraId="2F831A16" w14:textId="77777777" w:rsidR="002B31EF" w:rsidRPr="0018293F" w:rsidRDefault="008247C0" w:rsidP="002B31EF">
      <w:pPr>
        <w:jc w:val="both"/>
        <w:rPr>
          <w:rFonts w:asciiTheme="majorHAnsi" w:hAnsiTheme="majorHAnsi"/>
          <w:bCs/>
          <w:i/>
          <w:iCs/>
        </w:rPr>
      </w:pPr>
      <m:oMath>
        <m:sSub>
          <m:sSubPr>
            <m:ctrlPr>
              <w:rPr>
                <w:rFonts w:ascii="Cambria Math" w:hAnsi="Cambria Math"/>
                <w:bCs/>
                <w:i/>
                <w:iCs/>
              </w:rPr>
            </m:ctrlPr>
          </m:sSubPr>
          <m:e>
            <m:r>
              <w:rPr>
                <w:rFonts w:ascii="Cambria Math" w:hAnsi="Cambria Math"/>
              </w:rPr>
              <m:t>VPP</m:t>
            </m:r>
          </m:e>
          <m:sub>
            <m:r>
              <w:rPr>
                <w:rFonts w:ascii="Cambria Math" w:hAnsi="Cambria Math"/>
              </w:rPr>
              <m:t>j</m:t>
            </m:r>
          </m:sub>
        </m:sSub>
      </m:oMath>
      <w:r w:rsidR="002B31EF" w:rsidRPr="0018293F">
        <w:rPr>
          <w:rFonts w:asciiTheme="majorHAnsi" w:hAnsiTheme="majorHAnsi"/>
          <w:bCs/>
          <w:i/>
          <w:iCs/>
        </w:rPr>
        <w:t xml:space="preserve"> = valor presente de la póliza j</w:t>
      </w:r>
    </w:p>
    <w:p w14:paraId="538C99EE" w14:textId="77777777" w:rsidR="002B31EF" w:rsidRPr="0018293F" w:rsidRDefault="008247C0" w:rsidP="002B31EF">
      <w:pPr>
        <w:jc w:val="both"/>
        <w:rPr>
          <w:rFonts w:asciiTheme="majorHAnsi" w:hAnsiTheme="majorHAnsi"/>
          <w:bCs/>
          <w:i/>
          <w:iCs/>
        </w:rPr>
      </w:pPr>
      <m:oMath>
        <m:sSub>
          <m:sSubPr>
            <m:ctrlPr>
              <w:rPr>
                <w:rFonts w:ascii="Cambria Math" w:hAnsi="Cambria Math"/>
                <w:bCs/>
                <w:i/>
                <w:iCs/>
              </w:rPr>
            </m:ctrlPr>
          </m:sSubPr>
          <m:e>
            <m:r>
              <w:rPr>
                <w:rFonts w:ascii="Cambria Math" w:hAnsi="Cambria Math"/>
              </w:rPr>
              <m:t>FP</m:t>
            </m:r>
          </m:e>
          <m:sub>
            <m:r>
              <w:rPr>
                <w:rFonts w:ascii="Cambria Math" w:hAnsi="Cambria Math"/>
              </w:rPr>
              <m:t>ji</m:t>
            </m:r>
          </m:sub>
        </m:sSub>
      </m:oMath>
      <w:r w:rsidR="002B31EF" w:rsidRPr="0018293F">
        <w:rPr>
          <w:rFonts w:asciiTheme="majorHAnsi" w:hAnsiTheme="majorHAnsi"/>
          <w:bCs/>
          <w:i/>
          <w:iCs/>
        </w:rPr>
        <w:t xml:space="preserve"> = flujo de la póliza j en el período i</w:t>
      </w:r>
    </w:p>
    <w:p w14:paraId="53FA146E" w14:textId="77777777" w:rsidR="002B31EF" w:rsidRPr="0018293F" w:rsidRDefault="008247C0" w:rsidP="002B31EF">
      <w:pPr>
        <w:jc w:val="both"/>
        <w:rPr>
          <w:rFonts w:asciiTheme="majorHAnsi" w:hAnsiTheme="majorHAnsi"/>
          <w:bCs/>
          <w:i/>
          <w:iCs/>
        </w:rPr>
      </w:pPr>
      <m:oMath>
        <m:sSub>
          <m:sSubPr>
            <m:ctrlPr>
              <w:rPr>
                <w:rFonts w:ascii="Cambria Math" w:hAnsi="Cambria Math"/>
                <w:bCs/>
                <w:i/>
                <w:iCs/>
              </w:rPr>
            </m:ctrlPr>
          </m:sSubPr>
          <m:e>
            <m:r>
              <w:rPr>
                <w:rFonts w:ascii="Cambria Math" w:hAnsi="Cambria Math"/>
              </w:rPr>
              <m:t>CP</m:t>
            </m:r>
          </m:e>
          <m:sub>
            <m:r>
              <w:rPr>
                <w:rFonts w:ascii="Cambria Math" w:hAnsi="Cambria Math"/>
              </w:rPr>
              <m:t>k,j</m:t>
            </m:r>
          </m:sub>
        </m:sSub>
      </m:oMath>
      <w:proofErr w:type="gramStart"/>
      <w:r w:rsidR="002B31EF" w:rsidRPr="0018293F">
        <w:rPr>
          <w:rFonts w:asciiTheme="majorHAnsi" w:hAnsiTheme="majorHAnsi"/>
          <w:bCs/>
          <w:i/>
          <w:iCs/>
        </w:rPr>
        <w:t>,=</w:t>
      </w:r>
      <w:proofErr w:type="gramEnd"/>
      <w:r w:rsidR="002B31EF" w:rsidRPr="0018293F">
        <w:rPr>
          <w:rFonts w:asciiTheme="majorHAnsi" w:hAnsiTheme="majorHAnsi"/>
          <w:bCs/>
          <w:i/>
          <w:iCs/>
        </w:rPr>
        <w:t xml:space="preserve"> índice de cobertura de pasivos, en el tramo k.</w:t>
      </w:r>
    </w:p>
    <w:p w14:paraId="3BEE990D" w14:textId="77777777" w:rsidR="002B31EF" w:rsidRPr="0018293F" w:rsidRDefault="008247C0" w:rsidP="002B31EF">
      <w:pPr>
        <w:jc w:val="both"/>
        <w:rPr>
          <w:rFonts w:asciiTheme="majorHAnsi" w:hAnsiTheme="majorHAnsi"/>
          <w:bCs/>
          <w:i/>
          <w:iCs/>
        </w:rPr>
      </w:pPr>
      <m:oMath>
        <m:sSub>
          <m:sSubPr>
            <m:ctrlPr>
              <w:rPr>
                <w:rFonts w:ascii="Cambria Math" w:hAnsi="Cambria Math"/>
                <w:bCs/>
                <w:i/>
                <w:iCs/>
                <w:vertAlign w:val="subscript"/>
              </w:rPr>
            </m:ctrlPr>
          </m:sSubPr>
          <m:e>
            <m:r>
              <w:rPr>
                <w:rFonts w:ascii="Cambria Math" w:hAnsi="Cambria Math"/>
                <w:vertAlign w:val="subscript"/>
              </w:rPr>
              <m:t>TT</m:t>
            </m:r>
          </m:e>
          <m:sub>
            <m:r>
              <w:rPr>
                <w:rFonts w:ascii="Cambria Math" w:hAnsi="Cambria Math"/>
                <w:vertAlign w:val="subscript"/>
              </w:rPr>
              <m:t>i</m:t>
            </m:r>
          </m:sub>
        </m:sSub>
      </m:oMath>
      <w:r w:rsidR="002B31EF" w:rsidRPr="0018293F">
        <w:rPr>
          <w:rFonts w:asciiTheme="majorHAnsi" w:hAnsiTheme="majorHAnsi"/>
          <w:bCs/>
          <w:i/>
          <w:iCs/>
          <w:vertAlign w:val="subscript"/>
        </w:rPr>
        <w:t>j</w:t>
      </w:r>
      <w:r w:rsidR="002B31EF" w:rsidRPr="0018293F">
        <w:rPr>
          <w:rFonts w:asciiTheme="majorHAnsi" w:hAnsiTheme="majorHAnsi"/>
          <w:bCs/>
          <w:i/>
          <w:iCs/>
        </w:rPr>
        <w:t xml:space="preserve"> = Tasa de descuento utilizada para determinar el pasivo por la cobertura remanente en el período i,</w:t>
      </w:r>
    </w:p>
    <w:p w14:paraId="4B726070" w14:textId="77777777" w:rsidR="002B31EF" w:rsidRPr="0018293F" w:rsidRDefault="002B31EF" w:rsidP="002B31EF">
      <w:pPr>
        <w:jc w:val="both"/>
        <w:rPr>
          <w:rFonts w:asciiTheme="majorHAnsi" w:hAnsiTheme="majorHAnsi"/>
          <w:bCs/>
          <w:i/>
          <w:iCs/>
        </w:rPr>
      </w:pPr>
    </w:p>
    <w:p w14:paraId="7DEA84EC" w14:textId="77777777" w:rsidR="002B31EF" w:rsidRPr="0018293F" w:rsidRDefault="002B31EF" w:rsidP="002B31EF">
      <w:pPr>
        <w:pStyle w:val="Prrafodelista"/>
        <w:numPr>
          <w:ilvl w:val="0"/>
          <w:numId w:val="25"/>
        </w:numPr>
        <w:spacing w:after="0" w:line="240" w:lineRule="auto"/>
        <w:ind w:left="791" w:hanging="425"/>
        <w:jc w:val="both"/>
        <w:rPr>
          <w:rFonts w:asciiTheme="majorHAnsi" w:hAnsiTheme="majorHAnsi"/>
          <w:bCs/>
          <w:i/>
          <w:iCs/>
          <w:sz w:val="24"/>
          <w:szCs w:val="24"/>
        </w:rPr>
      </w:pPr>
      <w:r w:rsidRPr="0018293F">
        <w:rPr>
          <w:rFonts w:asciiTheme="majorHAnsi" w:hAnsiTheme="majorHAnsi"/>
          <w:bCs/>
          <w:i/>
          <w:iCs/>
          <w:sz w:val="24"/>
          <w:szCs w:val="24"/>
        </w:rPr>
        <w:t>El Requerimiento de capital por Riesgo de descalce de plazos corresponde a la diferencia entre el pasivo por la cobertura restante y el valor presente de la provisión ajustada por descalce (</w:t>
      </w:r>
      <m:oMath>
        <m:sSub>
          <m:sSubPr>
            <m:ctrlPr>
              <w:rPr>
                <w:rFonts w:ascii="Cambria Math" w:hAnsi="Cambria Math"/>
                <w:i/>
                <w:sz w:val="24"/>
                <w:szCs w:val="24"/>
              </w:rPr>
            </m:ctrlPr>
          </m:sSubPr>
          <m:e>
            <m:r>
              <w:rPr>
                <w:rFonts w:ascii="Cambria Math" w:hAnsi="Cambria Math"/>
                <w:sz w:val="24"/>
                <w:szCs w:val="24"/>
              </w:rPr>
              <m:t>VPP</m:t>
            </m:r>
          </m:e>
          <m:sub>
            <m:r>
              <w:rPr>
                <w:rFonts w:ascii="Cambria Math" w:hAnsi="Cambria Math"/>
                <w:sz w:val="24"/>
                <w:szCs w:val="24"/>
              </w:rPr>
              <m:t>j</m:t>
            </m:r>
          </m:sub>
        </m:sSub>
      </m:oMath>
      <w:r w:rsidRPr="0018293F">
        <w:rPr>
          <w:rFonts w:asciiTheme="majorHAnsi" w:hAnsiTheme="majorHAnsi"/>
          <w:bCs/>
          <w:i/>
          <w:iCs/>
          <w:sz w:val="24"/>
          <w:szCs w:val="24"/>
        </w:rPr>
        <w:t>)</w:t>
      </w:r>
    </w:p>
    <w:p w14:paraId="28FA4294" w14:textId="77777777" w:rsidR="002B31EF" w:rsidRPr="0018293F" w:rsidRDefault="002B31EF" w:rsidP="002B31EF">
      <w:pPr>
        <w:pStyle w:val="Prrafodelista"/>
        <w:spacing w:line="240" w:lineRule="auto"/>
        <w:jc w:val="both"/>
        <w:rPr>
          <w:rFonts w:asciiTheme="majorHAnsi" w:hAnsiTheme="majorHAnsi"/>
          <w:bCs/>
          <w:i/>
          <w:iCs/>
          <w:sz w:val="24"/>
          <w:szCs w:val="24"/>
        </w:rPr>
      </w:pPr>
    </w:p>
    <w:p w14:paraId="23D8F086" w14:textId="77777777" w:rsidR="002B31EF" w:rsidRPr="0018293F" w:rsidRDefault="002B31EF" w:rsidP="002B31EF">
      <w:pPr>
        <w:jc w:val="both"/>
        <w:rPr>
          <w:rFonts w:asciiTheme="majorHAnsi" w:hAnsiTheme="majorHAnsi"/>
          <w:bCs/>
          <w:i/>
          <w:iCs/>
        </w:rPr>
      </w:pPr>
    </w:p>
    <w:p w14:paraId="54900677" w14:textId="77777777" w:rsidR="002B31EF" w:rsidRPr="0018293F" w:rsidRDefault="002B31EF" w:rsidP="002B31EF">
      <w:pPr>
        <w:pStyle w:val="Prrafodelista"/>
        <w:spacing w:line="240" w:lineRule="auto"/>
        <w:jc w:val="both"/>
        <w:rPr>
          <w:rFonts w:asciiTheme="majorHAnsi" w:hAnsiTheme="majorHAnsi"/>
          <w:bCs/>
          <w:i/>
          <w:iCs/>
          <w:sz w:val="24"/>
          <w:szCs w:val="24"/>
        </w:rPr>
      </w:pPr>
      <m:oMathPara>
        <m:oMath>
          <m:r>
            <w:rPr>
              <w:rFonts w:ascii="Cambria Math" w:hAnsi="Cambria Math"/>
              <w:sz w:val="24"/>
              <w:szCs w:val="24"/>
            </w:rPr>
            <m:t>RCDP=</m:t>
          </m:r>
          <m:nary>
            <m:naryPr>
              <m:chr m:val="∑"/>
              <m:limLoc m:val="undOvr"/>
              <m:supHide m:val="1"/>
              <m:ctrlPr>
                <w:rPr>
                  <w:rFonts w:ascii="Cambria Math" w:hAnsi="Cambria Math"/>
                  <w:bCs/>
                  <w:i/>
                  <w:iCs/>
                  <w:sz w:val="24"/>
                  <w:szCs w:val="24"/>
                </w:rPr>
              </m:ctrlPr>
            </m:naryPr>
            <m:sub>
              <m:r>
                <w:rPr>
                  <w:rFonts w:ascii="Cambria Math" w:hAnsi="Cambria Math"/>
                  <w:sz w:val="24"/>
                  <w:szCs w:val="24"/>
                </w:rPr>
                <m:t>j</m:t>
              </m:r>
            </m:sub>
            <m:sup/>
            <m:e>
              <m:r>
                <m:rPr>
                  <m:sty m:val="p"/>
                </m:rPr>
                <w:rPr>
                  <w:rFonts w:ascii="Cambria Math" w:hAnsi="Cambria Math"/>
                  <w:sz w:val="24"/>
                  <w:szCs w:val="24"/>
                </w:rPr>
                <m:t>max⁡</m:t>
              </m:r>
              <m:r>
                <w:rPr>
                  <w:rFonts w:ascii="Cambria Math" w:hAnsi="Cambria Math"/>
                  <w:sz w:val="24"/>
                  <w:szCs w:val="24"/>
                </w:rPr>
                <m:t>(</m:t>
              </m:r>
              <m:sSub>
                <m:sSubPr>
                  <m:ctrlPr>
                    <w:rPr>
                      <w:rFonts w:ascii="Cambria Math" w:hAnsi="Cambria Math"/>
                      <w:bCs/>
                      <w:i/>
                      <w:iCs/>
                      <w:sz w:val="24"/>
                      <w:szCs w:val="24"/>
                    </w:rPr>
                  </m:ctrlPr>
                </m:sSubPr>
                <m:e>
                  <m:r>
                    <w:rPr>
                      <w:rFonts w:ascii="Cambria Math" w:hAnsi="Cambria Math"/>
                      <w:sz w:val="24"/>
                      <w:szCs w:val="24"/>
                    </w:rPr>
                    <m:t>VPP</m:t>
                  </m:r>
                </m:e>
                <m:sub>
                  <m:r>
                    <w:rPr>
                      <w:rFonts w:ascii="Cambria Math" w:hAnsi="Cambria Math"/>
                      <w:sz w:val="24"/>
                      <w:szCs w:val="24"/>
                    </w:rPr>
                    <m:t>j</m:t>
                  </m:r>
                </m:sub>
              </m:sSub>
              <m:r>
                <w:rPr>
                  <w:rFonts w:ascii="Cambria Math" w:hAnsi="Cambria Math"/>
                  <w:sz w:val="24"/>
                  <w:szCs w:val="24"/>
                </w:rPr>
                <m:t>-</m:t>
              </m:r>
              <m:sSub>
                <m:sSubPr>
                  <m:ctrlPr>
                    <w:rPr>
                      <w:rFonts w:ascii="Cambria Math" w:hAnsi="Cambria Math"/>
                      <w:bCs/>
                      <w:i/>
                      <w:iCs/>
                      <w:sz w:val="24"/>
                      <w:szCs w:val="24"/>
                    </w:rPr>
                  </m:ctrlPr>
                </m:sSubPr>
                <m:e>
                  <m:r>
                    <w:rPr>
                      <w:rFonts w:ascii="Cambria Math" w:hAnsi="Cambria Math"/>
                      <w:sz w:val="24"/>
                      <w:szCs w:val="24"/>
                    </w:rPr>
                    <m:t>PCR</m:t>
                  </m:r>
                </m:e>
                <m:sub>
                  <m:r>
                    <w:rPr>
                      <w:rFonts w:ascii="Cambria Math" w:hAnsi="Cambria Math"/>
                      <w:sz w:val="24"/>
                      <w:szCs w:val="24"/>
                    </w:rPr>
                    <m:t>j</m:t>
                  </m:r>
                </m:sub>
              </m:sSub>
              <m:r>
                <w:rPr>
                  <w:rFonts w:ascii="Cambria Math" w:hAnsi="Cambria Math"/>
                  <w:sz w:val="24"/>
                  <w:szCs w:val="24"/>
                </w:rPr>
                <m:t>,0)</m:t>
              </m:r>
            </m:e>
          </m:nary>
        </m:oMath>
      </m:oMathPara>
    </w:p>
    <w:p w14:paraId="3454EF81" w14:textId="77777777" w:rsidR="002B31EF" w:rsidRPr="0018293F" w:rsidRDefault="002B31EF" w:rsidP="002B31EF">
      <w:pPr>
        <w:pStyle w:val="Prrafodelista"/>
        <w:spacing w:line="240" w:lineRule="auto"/>
        <w:jc w:val="both"/>
        <w:rPr>
          <w:rFonts w:asciiTheme="majorHAnsi" w:hAnsiTheme="majorHAnsi"/>
          <w:bCs/>
          <w:i/>
          <w:iCs/>
          <w:sz w:val="24"/>
          <w:szCs w:val="24"/>
        </w:rPr>
      </w:pPr>
    </w:p>
    <w:p w14:paraId="3974ED66" w14:textId="77777777" w:rsidR="002B31EF" w:rsidRPr="0018293F" w:rsidRDefault="002B31EF" w:rsidP="002B31EF">
      <w:pPr>
        <w:pStyle w:val="Prrafodelista"/>
        <w:spacing w:line="240" w:lineRule="auto"/>
        <w:jc w:val="both"/>
        <w:rPr>
          <w:rFonts w:asciiTheme="majorHAnsi" w:hAnsiTheme="majorHAnsi"/>
          <w:bCs/>
          <w:i/>
          <w:iCs/>
          <w:sz w:val="24"/>
          <w:szCs w:val="24"/>
        </w:rPr>
      </w:pPr>
      <w:r w:rsidRPr="0018293F">
        <w:rPr>
          <w:rFonts w:asciiTheme="majorHAnsi" w:hAnsiTheme="majorHAnsi"/>
          <w:bCs/>
          <w:i/>
          <w:iCs/>
          <w:sz w:val="24"/>
          <w:szCs w:val="24"/>
        </w:rPr>
        <w:t xml:space="preserve">Donde: </w:t>
      </w:r>
    </w:p>
    <w:p w14:paraId="55C42B1C" w14:textId="77777777" w:rsidR="002B31EF" w:rsidRPr="0018293F" w:rsidRDefault="002B31EF" w:rsidP="002B31EF">
      <w:pPr>
        <w:pStyle w:val="Prrafodelista"/>
        <w:spacing w:line="240" w:lineRule="auto"/>
        <w:jc w:val="both"/>
        <w:rPr>
          <w:rFonts w:asciiTheme="majorHAnsi" w:hAnsiTheme="majorHAnsi"/>
          <w:bCs/>
          <w:i/>
          <w:iCs/>
          <w:sz w:val="24"/>
          <w:szCs w:val="24"/>
        </w:rPr>
      </w:pPr>
      <w:r w:rsidRPr="0018293F">
        <w:rPr>
          <w:rFonts w:asciiTheme="majorHAnsi" w:hAnsiTheme="majorHAnsi"/>
          <w:bCs/>
          <w:i/>
          <w:iCs/>
          <w:sz w:val="24"/>
          <w:szCs w:val="24"/>
        </w:rPr>
        <w:t>RCDP= Requerimiento de capital por descalce de plazos.</w:t>
      </w:r>
    </w:p>
    <w:p w14:paraId="61B6AED5" w14:textId="77777777" w:rsidR="002B31EF" w:rsidRPr="0018293F" w:rsidRDefault="008247C0" w:rsidP="002B31EF">
      <w:pPr>
        <w:pStyle w:val="Prrafodelista"/>
        <w:spacing w:line="240" w:lineRule="auto"/>
        <w:jc w:val="both"/>
        <w:rPr>
          <w:rFonts w:asciiTheme="majorHAnsi" w:hAnsiTheme="majorHAnsi"/>
          <w:bCs/>
          <w:i/>
          <w:iCs/>
          <w:sz w:val="24"/>
          <w:szCs w:val="24"/>
        </w:rPr>
      </w:pPr>
      <m:oMath>
        <m:sSub>
          <m:sSubPr>
            <m:ctrlPr>
              <w:rPr>
                <w:rFonts w:ascii="Cambria Math" w:hAnsi="Cambria Math"/>
                <w:bCs/>
                <w:i/>
                <w:iCs/>
                <w:sz w:val="24"/>
                <w:szCs w:val="24"/>
              </w:rPr>
            </m:ctrlPr>
          </m:sSubPr>
          <m:e>
            <m:r>
              <w:rPr>
                <w:rFonts w:ascii="Cambria Math" w:hAnsi="Cambria Math"/>
                <w:sz w:val="24"/>
                <w:szCs w:val="24"/>
              </w:rPr>
              <m:t>VPP</m:t>
            </m:r>
          </m:e>
          <m:sub>
            <m:r>
              <w:rPr>
                <w:rFonts w:ascii="Cambria Math" w:hAnsi="Cambria Math"/>
                <w:sz w:val="24"/>
                <w:szCs w:val="24"/>
              </w:rPr>
              <m:t>j</m:t>
            </m:r>
          </m:sub>
        </m:sSub>
      </m:oMath>
      <w:r w:rsidR="002B31EF" w:rsidRPr="0018293F">
        <w:rPr>
          <w:rFonts w:asciiTheme="majorHAnsi" w:hAnsiTheme="majorHAnsi"/>
          <w:bCs/>
          <w:i/>
          <w:iCs/>
          <w:sz w:val="24"/>
          <w:szCs w:val="24"/>
        </w:rPr>
        <w:t>=</w:t>
      </w:r>
      <w:r w:rsidR="002B31EF">
        <w:rPr>
          <w:rFonts w:asciiTheme="majorHAnsi" w:hAnsiTheme="majorHAnsi"/>
          <w:bCs/>
          <w:i/>
          <w:iCs/>
          <w:sz w:val="24"/>
          <w:szCs w:val="24"/>
        </w:rPr>
        <w:t xml:space="preserve"> </w:t>
      </w:r>
      <w:r w:rsidR="002B31EF" w:rsidRPr="0018293F">
        <w:rPr>
          <w:rFonts w:asciiTheme="majorHAnsi" w:hAnsiTheme="majorHAnsi"/>
          <w:bCs/>
          <w:i/>
          <w:iCs/>
          <w:sz w:val="24"/>
          <w:szCs w:val="24"/>
        </w:rPr>
        <w:t>Valor presente de la póliza j</w:t>
      </w:r>
    </w:p>
    <w:p w14:paraId="385DFD2B" w14:textId="77777777" w:rsidR="002B31EF" w:rsidRPr="0018293F" w:rsidRDefault="008247C0" w:rsidP="002B31EF">
      <w:pPr>
        <w:pStyle w:val="Prrafodelista"/>
        <w:spacing w:line="240" w:lineRule="auto"/>
        <w:jc w:val="both"/>
        <w:rPr>
          <w:rFonts w:asciiTheme="majorHAnsi" w:hAnsiTheme="majorHAnsi"/>
          <w:bCs/>
          <w:i/>
          <w:iCs/>
          <w:sz w:val="24"/>
          <w:szCs w:val="24"/>
        </w:rPr>
      </w:pPr>
      <m:oMath>
        <m:sSub>
          <m:sSubPr>
            <m:ctrlPr>
              <w:rPr>
                <w:rFonts w:ascii="Cambria Math" w:hAnsi="Cambria Math"/>
                <w:bCs/>
                <w:i/>
                <w:iCs/>
                <w:sz w:val="24"/>
                <w:szCs w:val="24"/>
              </w:rPr>
            </m:ctrlPr>
          </m:sSubPr>
          <m:e>
            <m:r>
              <w:rPr>
                <w:rFonts w:ascii="Cambria Math" w:hAnsi="Cambria Math"/>
                <w:sz w:val="24"/>
                <w:szCs w:val="24"/>
              </w:rPr>
              <m:t>PCR</m:t>
            </m:r>
          </m:e>
          <m:sub>
            <m:r>
              <w:rPr>
                <w:rFonts w:ascii="Cambria Math" w:hAnsi="Cambria Math"/>
                <w:sz w:val="24"/>
                <w:szCs w:val="24"/>
              </w:rPr>
              <m:t>j</m:t>
            </m:r>
          </m:sub>
        </m:sSub>
      </m:oMath>
      <w:r w:rsidR="002B31EF" w:rsidRPr="0018293F">
        <w:rPr>
          <w:rFonts w:asciiTheme="majorHAnsi" w:hAnsiTheme="majorHAnsi"/>
          <w:bCs/>
          <w:i/>
          <w:iCs/>
          <w:sz w:val="24"/>
          <w:szCs w:val="24"/>
        </w:rPr>
        <w:t>= Pasivo por la cobertura restante de la póliza j.</w:t>
      </w:r>
    </w:p>
    <w:p w14:paraId="08C621A8" w14:textId="77777777" w:rsidR="002B31EF" w:rsidRPr="0018293F" w:rsidRDefault="002B31EF" w:rsidP="002B31EF">
      <w:pPr>
        <w:jc w:val="both"/>
        <w:rPr>
          <w:rFonts w:asciiTheme="majorHAnsi" w:hAnsiTheme="majorHAnsi"/>
          <w:b/>
          <w:i/>
          <w:strike/>
        </w:rPr>
      </w:pPr>
    </w:p>
    <w:p w14:paraId="3405E500" w14:textId="77777777" w:rsidR="002B31EF" w:rsidRPr="0018293F" w:rsidRDefault="002B31EF" w:rsidP="002B31EF">
      <w:pPr>
        <w:jc w:val="both"/>
        <w:rPr>
          <w:rFonts w:asciiTheme="majorHAnsi" w:hAnsiTheme="majorHAnsi"/>
          <w:b/>
        </w:rPr>
      </w:pPr>
      <w:r w:rsidRPr="0018293F">
        <w:rPr>
          <w:rFonts w:asciiTheme="majorHAnsi" w:hAnsiTheme="majorHAnsi"/>
          <w:b/>
        </w:rPr>
        <w:t>IV. En el artículo 24 del SGS-DES-A-029-2013, modificar el primer párrafo, el último párrafo del apartado A y el apartado C y eliminar el apartado B, para que en lo sucesivo se lea de la siguiente forma:</w:t>
      </w:r>
    </w:p>
    <w:p w14:paraId="612F08F7" w14:textId="77777777" w:rsidR="002B31EF" w:rsidRPr="0018293F" w:rsidRDefault="002B31EF" w:rsidP="002B31EF">
      <w:pPr>
        <w:jc w:val="both"/>
        <w:rPr>
          <w:rFonts w:asciiTheme="majorHAnsi" w:hAnsiTheme="majorHAnsi"/>
          <w:b/>
          <w:i/>
          <w:strike/>
        </w:rPr>
      </w:pPr>
    </w:p>
    <w:p w14:paraId="6477CF02" w14:textId="77777777" w:rsidR="002B31EF" w:rsidRPr="0018293F" w:rsidRDefault="002B31EF" w:rsidP="002B31EF">
      <w:pPr>
        <w:jc w:val="both"/>
        <w:rPr>
          <w:rFonts w:asciiTheme="majorHAnsi" w:hAnsiTheme="majorHAnsi"/>
          <w:b/>
          <w:i/>
          <w:iCs/>
        </w:rPr>
      </w:pPr>
      <w:r w:rsidRPr="0018293F">
        <w:rPr>
          <w:rFonts w:asciiTheme="majorHAnsi" w:hAnsiTheme="majorHAnsi"/>
          <w:b/>
          <w:i/>
          <w:iCs/>
        </w:rPr>
        <w:t>“Artículo 24 Tasa de interés técnica</w:t>
      </w:r>
    </w:p>
    <w:p w14:paraId="634D736A" w14:textId="77777777" w:rsidR="002B31EF" w:rsidRPr="0018293F" w:rsidRDefault="002B31EF" w:rsidP="002B31EF">
      <w:pPr>
        <w:jc w:val="both"/>
        <w:rPr>
          <w:rFonts w:asciiTheme="majorHAnsi" w:hAnsiTheme="majorHAnsi"/>
          <w:bCs/>
          <w:i/>
          <w:iCs/>
        </w:rPr>
      </w:pPr>
    </w:p>
    <w:p w14:paraId="2D5194BB" w14:textId="77777777" w:rsidR="002B31EF" w:rsidRPr="0018293F" w:rsidRDefault="002B31EF" w:rsidP="002B31EF">
      <w:pPr>
        <w:jc w:val="both"/>
        <w:rPr>
          <w:rFonts w:asciiTheme="majorHAnsi" w:hAnsiTheme="majorHAnsi"/>
          <w:bCs/>
          <w:i/>
          <w:iCs/>
        </w:rPr>
      </w:pPr>
      <w:r w:rsidRPr="0018293F">
        <w:rPr>
          <w:rFonts w:asciiTheme="majorHAnsi" w:hAnsiTheme="majorHAnsi"/>
          <w:bCs/>
          <w:i/>
          <w:iCs/>
        </w:rPr>
        <w:t>La tasa de interés técnica es el tipo de interés aplicable para el cálculo del pasivo por la cobertura restante y por reclamaciones incurridas de los seguros con beneficios de rentas vitalicias, invalidez y sobrevivencia, según lo establece el Reglamento de Solvencia.</w:t>
      </w:r>
    </w:p>
    <w:p w14:paraId="2DC3A100" w14:textId="77777777" w:rsidR="002B31EF" w:rsidRPr="0018293F" w:rsidRDefault="002B31EF" w:rsidP="002B31EF">
      <w:pPr>
        <w:jc w:val="both"/>
        <w:rPr>
          <w:rFonts w:asciiTheme="majorHAnsi" w:hAnsiTheme="majorHAnsi"/>
          <w:bCs/>
          <w:i/>
          <w:iCs/>
        </w:rPr>
      </w:pPr>
      <w:r w:rsidRPr="0018293F">
        <w:rPr>
          <w:rFonts w:asciiTheme="majorHAnsi" w:hAnsiTheme="majorHAnsi"/>
          <w:bCs/>
          <w:i/>
          <w:iCs/>
        </w:rPr>
        <w:t>…</w:t>
      </w:r>
    </w:p>
    <w:p w14:paraId="45045963" w14:textId="77777777" w:rsidR="002B31EF" w:rsidRPr="0018293F" w:rsidRDefault="002B31EF" w:rsidP="002B31EF">
      <w:pPr>
        <w:jc w:val="both"/>
        <w:rPr>
          <w:rFonts w:asciiTheme="majorHAnsi" w:hAnsiTheme="majorHAnsi"/>
          <w:bCs/>
          <w:i/>
          <w:iCs/>
        </w:rPr>
      </w:pPr>
    </w:p>
    <w:p w14:paraId="52E60361" w14:textId="77777777" w:rsidR="002B31EF" w:rsidRPr="0018293F" w:rsidRDefault="002B31EF" w:rsidP="002B31EF">
      <w:pPr>
        <w:jc w:val="both"/>
        <w:rPr>
          <w:rFonts w:asciiTheme="majorHAnsi" w:hAnsiTheme="majorHAnsi"/>
          <w:bCs/>
          <w:i/>
          <w:iCs/>
        </w:rPr>
      </w:pPr>
      <w:r w:rsidRPr="0018293F">
        <w:rPr>
          <w:rFonts w:asciiTheme="majorHAnsi" w:hAnsiTheme="majorHAnsi"/>
          <w:bCs/>
          <w:i/>
          <w:iCs/>
        </w:rPr>
        <w:t>A.-…</w:t>
      </w:r>
    </w:p>
    <w:p w14:paraId="5D1C86F7" w14:textId="77777777" w:rsidR="002B31EF" w:rsidRPr="0018293F" w:rsidRDefault="002B31EF" w:rsidP="002B31EF">
      <w:pPr>
        <w:jc w:val="both"/>
        <w:rPr>
          <w:rFonts w:asciiTheme="majorHAnsi" w:hAnsiTheme="majorHAnsi"/>
          <w:b/>
          <w:i/>
          <w:strike/>
        </w:rPr>
      </w:pPr>
    </w:p>
    <w:p w14:paraId="2A728CB2" w14:textId="77777777" w:rsidR="002B31EF" w:rsidRPr="0018293F" w:rsidRDefault="002B31EF" w:rsidP="002B31EF">
      <w:pPr>
        <w:pStyle w:val="Sangra2detindependiente"/>
        <w:spacing w:after="0" w:line="240" w:lineRule="auto"/>
        <w:ind w:left="0"/>
        <w:jc w:val="both"/>
        <w:rPr>
          <w:rFonts w:asciiTheme="majorHAnsi" w:eastAsiaTheme="minorEastAsia" w:hAnsiTheme="majorHAnsi" w:cs="Calibri"/>
          <w:i/>
        </w:rPr>
      </w:pPr>
      <w:r w:rsidRPr="0018293F">
        <w:rPr>
          <w:rFonts w:asciiTheme="majorHAnsi" w:eastAsiaTheme="minorEastAsia" w:hAnsiTheme="majorHAnsi" w:cs="Calibri"/>
          <w:i/>
        </w:rPr>
        <w:t>… La aplicación del FAV y cambios posteriores, deben ser aprobados por la Junta Directiva de la entidad antes de que se incorporen en el cálculo del</w:t>
      </w:r>
      <w:r w:rsidRPr="0018293F">
        <w:rPr>
          <w:rFonts w:asciiTheme="majorHAnsi" w:hAnsiTheme="majorHAnsi"/>
          <w:i/>
        </w:rPr>
        <w:t xml:space="preserve"> pasivo por la cobertura restante y por reclamaciones incurridas </w:t>
      </w:r>
      <w:r w:rsidRPr="0018293F">
        <w:rPr>
          <w:rFonts w:asciiTheme="majorHAnsi" w:eastAsiaTheme="minorEastAsia" w:hAnsiTheme="majorHAnsi" w:cs="Calibri"/>
          <w:i/>
        </w:rPr>
        <w:t xml:space="preserve">de los seguros de rentas vitalicias y rentas por invalidez y sobrevivencia. </w:t>
      </w:r>
    </w:p>
    <w:p w14:paraId="078C4FC6" w14:textId="77777777" w:rsidR="002B31EF" w:rsidRPr="0018293F" w:rsidRDefault="002B31EF" w:rsidP="002B31EF">
      <w:pPr>
        <w:pStyle w:val="Sangra2detindependiente"/>
        <w:spacing w:after="0" w:line="240" w:lineRule="auto"/>
        <w:ind w:left="0"/>
        <w:jc w:val="both"/>
        <w:rPr>
          <w:rFonts w:asciiTheme="majorHAnsi" w:eastAsiaTheme="minorEastAsia" w:hAnsiTheme="majorHAnsi" w:cs="Calibri"/>
          <w:i/>
        </w:rPr>
      </w:pPr>
    </w:p>
    <w:p w14:paraId="2CDD20DE" w14:textId="77777777" w:rsidR="002B31EF" w:rsidRPr="0018293F" w:rsidRDefault="002B31EF" w:rsidP="002B31EF">
      <w:pPr>
        <w:jc w:val="both"/>
        <w:rPr>
          <w:rFonts w:asciiTheme="majorHAnsi" w:eastAsiaTheme="minorEastAsia" w:hAnsiTheme="majorHAnsi" w:cs="Calibri"/>
          <w:i/>
        </w:rPr>
      </w:pPr>
      <w:r w:rsidRPr="0018293F">
        <w:rPr>
          <w:rFonts w:asciiTheme="majorHAnsi" w:eastAsiaTheme="minorEastAsia" w:hAnsiTheme="majorHAnsi" w:cs="Calibri"/>
          <w:i/>
        </w:rPr>
        <w:t>Para esto, la entidad debe realizar un informe que justifique la adopción del FAV y el valor definido, así como las actualizaciones que se realicen. Este informe debe estar a disposición de la Superintendencia General de Seguros en cualquier momento que en que ésta lo requiera.</w:t>
      </w:r>
    </w:p>
    <w:p w14:paraId="3A42B87E" w14:textId="77777777" w:rsidR="002B31EF" w:rsidRPr="0018293F" w:rsidRDefault="002B31EF" w:rsidP="002B31EF">
      <w:pPr>
        <w:jc w:val="both"/>
        <w:rPr>
          <w:rFonts w:asciiTheme="majorHAnsi" w:hAnsiTheme="majorHAnsi"/>
          <w:b/>
          <w:i/>
          <w:strike/>
        </w:rPr>
      </w:pPr>
    </w:p>
    <w:p w14:paraId="2CAC9D6E" w14:textId="77777777" w:rsidR="002B31EF" w:rsidRPr="0018293F" w:rsidRDefault="002B31EF" w:rsidP="002B31EF">
      <w:pPr>
        <w:pStyle w:val="Default"/>
        <w:jc w:val="both"/>
        <w:rPr>
          <w:rFonts w:asciiTheme="majorHAnsi" w:eastAsiaTheme="minorEastAsia" w:hAnsiTheme="majorHAnsi"/>
          <w:i/>
          <w:color w:val="auto"/>
        </w:rPr>
      </w:pPr>
      <w:r w:rsidRPr="0018293F">
        <w:rPr>
          <w:rFonts w:asciiTheme="majorHAnsi" w:eastAsiaTheme="minorEastAsia" w:hAnsiTheme="majorHAnsi"/>
          <w:i/>
          <w:color w:val="auto"/>
        </w:rPr>
        <w:t>B. -</w:t>
      </w:r>
      <w:r>
        <w:rPr>
          <w:rFonts w:asciiTheme="majorHAnsi" w:eastAsiaTheme="minorEastAsia" w:hAnsiTheme="majorHAnsi"/>
          <w:i/>
          <w:color w:val="auto"/>
        </w:rPr>
        <w:t xml:space="preserve"> </w:t>
      </w:r>
      <w:r w:rsidRPr="0018293F">
        <w:rPr>
          <w:rFonts w:asciiTheme="majorHAnsi" w:eastAsiaTheme="minorEastAsia" w:hAnsiTheme="majorHAnsi"/>
          <w:i/>
          <w:color w:val="auto"/>
        </w:rPr>
        <w:t>La curva de tipos de interés técnico para el cálculo del pasivo por la cobertura restante y por reclamaciones incurridas de los seguros en colones con beneficios de rentas vitalicias, rentas por invalidez y sobrevivencia, debe ser publicada por la Superintendencia con corte al 30 de marzo y al 30 de setiembre de cada año, dentro de los 10 días siguientes a la fecha de corte.</w:t>
      </w:r>
    </w:p>
    <w:p w14:paraId="75204EC3" w14:textId="77777777" w:rsidR="002B31EF" w:rsidRPr="0018293F" w:rsidRDefault="002B31EF" w:rsidP="002B31EF">
      <w:pPr>
        <w:pStyle w:val="Default"/>
        <w:jc w:val="both"/>
        <w:rPr>
          <w:rFonts w:asciiTheme="majorHAnsi" w:hAnsiTheme="majorHAnsi"/>
          <w:b/>
          <w:i/>
          <w:strike/>
          <w:color w:val="auto"/>
        </w:rPr>
      </w:pPr>
    </w:p>
    <w:p w14:paraId="737A8BD1" w14:textId="77777777" w:rsidR="002B31EF" w:rsidRPr="0018293F" w:rsidRDefault="002B31EF" w:rsidP="002B31EF">
      <w:pPr>
        <w:jc w:val="both"/>
        <w:rPr>
          <w:rFonts w:asciiTheme="majorHAnsi" w:hAnsiTheme="majorHAnsi"/>
          <w:b/>
        </w:rPr>
      </w:pPr>
      <w:r w:rsidRPr="0018293F">
        <w:rPr>
          <w:rFonts w:asciiTheme="majorHAnsi" w:hAnsiTheme="majorHAnsi"/>
          <w:b/>
        </w:rPr>
        <w:t>V.</w:t>
      </w:r>
      <w:r>
        <w:rPr>
          <w:rFonts w:asciiTheme="majorHAnsi" w:hAnsiTheme="majorHAnsi"/>
          <w:b/>
        </w:rPr>
        <w:t xml:space="preserve"> </w:t>
      </w:r>
      <w:r w:rsidRPr="0018293F">
        <w:rPr>
          <w:rFonts w:asciiTheme="majorHAnsi" w:hAnsiTheme="majorHAnsi"/>
          <w:b/>
        </w:rPr>
        <w:t>Modificar integralmente el Artículo 26 del SGS-DES-A-029-2013 para que se lea de la siguiente forma:</w:t>
      </w:r>
    </w:p>
    <w:p w14:paraId="3F52D03B" w14:textId="77777777" w:rsidR="002B31EF" w:rsidRPr="0018293F" w:rsidRDefault="002B31EF" w:rsidP="002B31EF">
      <w:pPr>
        <w:jc w:val="both"/>
        <w:rPr>
          <w:rFonts w:asciiTheme="majorHAnsi" w:hAnsiTheme="majorHAnsi"/>
          <w:b/>
          <w:i/>
          <w:strike/>
        </w:rPr>
      </w:pPr>
    </w:p>
    <w:p w14:paraId="670B3249" w14:textId="77777777" w:rsidR="002B31EF" w:rsidRPr="0018293F" w:rsidRDefault="002B31EF" w:rsidP="002B31EF">
      <w:pPr>
        <w:jc w:val="both"/>
        <w:rPr>
          <w:rFonts w:asciiTheme="majorHAnsi" w:hAnsiTheme="majorHAnsi"/>
          <w:bCs/>
          <w:i/>
          <w:iCs/>
        </w:rPr>
      </w:pPr>
      <w:r w:rsidRPr="0018293F">
        <w:rPr>
          <w:rFonts w:asciiTheme="majorHAnsi" w:hAnsiTheme="majorHAnsi"/>
          <w:bCs/>
          <w:i/>
          <w:iCs/>
        </w:rPr>
        <w:t>“</w:t>
      </w:r>
      <w:r w:rsidRPr="0018293F">
        <w:rPr>
          <w:rFonts w:asciiTheme="majorHAnsi" w:hAnsiTheme="majorHAnsi"/>
          <w:b/>
          <w:i/>
          <w:iCs/>
        </w:rPr>
        <w:t>Artículo 26: Respaldo documental y de la información</w:t>
      </w:r>
    </w:p>
    <w:p w14:paraId="339505F8" w14:textId="77777777" w:rsidR="002B31EF" w:rsidRPr="0018293F" w:rsidRDefault="002B31EF" w:rsidP="002B31EF">
      <w:pPr>
        <w:jc w:val="both"/>
        <w:rPr>
          <w:rFonts w:asciiTheme="majorHAnsi" w:hAnsiTheme="majorHAnsi"/>
          <w:b/>
          <w:i/>
        </w:rPr>
      </w:pPr>
      <w:r w:rsidRPr="0018293F">
        <w:rPr>
          <w:rFonts w:asciiTheme="majorHAnsi" w:eastAsiaTheme="minorEastAsia" w:hAnsiTheme="majorHAnsi"/>
          <w:bCs/>
          <w:i/>
        </w:rPr>
        <w:t>Las entidades deben mantener a disposición de la Superintendencia la información de los registros descritos en el artículo 40 del Reglamento, por un período mínimo de 10 años contado desde la fecha más reciente de las siguientes, respecto del momento de análisis: la fecha de vencimiento de la póliza, la fecha de la liquidación del siniestro o la fecha a partir de la cual la entidad no tiene ningún tipo de responsabilidad.</w:t>
      </w:r>
    </w:p>
    <w:p w14:paraId="7712C0B3" w14:textId="77777777" w:rsidR="002B31EF" w:rsidRPr="0018293F" w:rsidRDefault="002B31EF" w:rsidP="002B31EF">
      <w:pPr>
        <w:jc w:val="both"/>
        <w:rPr>
          <w:rFonts w:asciiTheme="majorHAnsi" w:hAnsiTheme="majorHAnsi"/>
          <w:b/>
          <w:i/>
        </w:rPr>
      </w:pPr>
    </w:p>
    <w:p w14:paraId="2577896A" w14:textId="77777777" w:rsidR="002B31EF" w:rsidRPr="0018293F" w:rsidRDefault="002B31EF" w:rsidP="002B31EF">
      <w:pPr>
        <w:jc w:val="both"/>
        <w:rPr>
          <w:rFonts w:asciiTheme="majorHAnsi" w:hAnsiTheme="majorHAnsi"/>
          <w:b/>
          <w:i/>
          <w:strike/>
        </w:rPr>
      </w:pPr>
      <w:r w:rsidRPr="0018293F">
        <w:rPr>
          <w:rFonts w:asciiTheme="majorHAnsi" w:hAnsiTheme="majorHAnsi"/>
          <w:i/>
          <w:iCs/>
        </w:rPr>
        <w:t>La información mínima que refiere el párrafo anterior se establece en los anexos de estos lineamientos. De forma excepcional, las entidades podrán solicitar autorización para la modificación parcial de los campos de estos registros, cuando no sea adecuada para un determinado producto por sus especiales características y así se justifique ante la Superintendencia.</w:t>
      </w:r>
    </w:p>
    <w:p w14:paraId="75DF810B" w14:textId="77777777" w:rsidR="002B31EF" w:rsidRPr="0018293F" w:rsidRDefault="002B31EF" w:rsidP="002B31EF">
      <w:pPr>
        <w:jc w:val="both"/>
        <w:rPr>
          <w:rFonts w:asciiTheme="majorHAnsi" w:hAnsiTheme="majorHAnsi"/>
          <w:b/>
          <w:bCs/>
          <w:i/>
          <w:iCs/>
        </w:rPr>
      </w:pPr>
    </w:p>
    <w:p w14:paraId="1A668586" w14:textId="77777777" w:rsidR="002B31EF" w:rsidRPr="0018293F" w:rsidRDefault="002B31EF" w:rsidP="002B31EF">
      <w:pPr>
        <w:jc w:val="both"/>
        <w:rPr>
          <w:rFonts w:asciiTheme="majorHAnsi" w:hAnsiTheme="majorHAnsi"/>
          <w:b/>
          <w:bCs/>
          <w:i/>
          <w:iCs/>
        </w:rPr>
      </w:pPr>
      <w:r w:rsidRPr="0018293F">
        <w:rPr>
          <w:rFonts w:asciiTheme="majorHAnsi" w:hAnsiTheme="majorHAnsi"/>
          <w:b/>
          <w:bCs/>
          <w:i/>
          <w:iCs/>
        </w:rPr>
        <w:t>REGISTRO DE PRODUCTOS</w:t>
      </w:r>
    </w:p>
    <w:p w14:paraId="6A1D2956" w14:textId="77777777" w:rsidR="002B31EF" w:rsidRPr="0018293F" w:rsidRDefault="002B31EF" w:rsidP="002B31EF">
      <w:pPr>
        <w:jc w:val="both"/>
        <w:rPr>
          <w:rFonts w:asciiTheme="majorHAnsi" w:hAnsiTheme="majorHAnsi"/>
          <w:b/>
          <w:bCs/>
          <w:i/>
          <w:iCs/>
        </w:rPr>
      </w:pPr>
    </w:p>
    <w:p w14:paraId="7BC7C944" w14:textId="77777777" w:rsidR="002B31EF" w:rsidRPr="0018293F" w:rsidRDefault="002B31EF" w:rsidP="002B31EF">
      <w:pPr>
        <w:jc w:val="both"/>
        <w:rPr>
          <w:rFonts w:asciiTheme="majorHAnsi" w:hAnsiTheme="majorHAnsi"/>
          <w:i/>
          <w:iCs/>
          <w:u w:val="single"/>
        </w:rPr>
      </w:pPr>
      <w:r w:rsidRPr="0018293F">
        <w:rPr>
          <w:rFonts w:asciiTheme="majorHAnsi" w:hAnsiTheme="majorHAnsi"/>
          <w:i/>
          <w:iCs/>
          <w:u w:val="single"/>
        </w:rPr>
        <w:t>SEGUROS GENERALES SEGURO DIRECTO</w:t>
      </w:r>
    </w:p>
    <w:p w14:paraId="3A812DAA" w14:textId="77777777" w:rsidR="002B31EF" w:rsidRPr="0018293F" w:rsidRDefault="002B31EF" w:rsidP="002B31EF">
      <w:pPr>
        <w:jc w:val="both"/>
        <w:rPr>
          <w:rFonts w:asciiTheme="majorHAnsi" w:hAnsiTheme="majorHAnsi"/>
          <w:i/>
          <w:iCs/>
          <w:u w:val="single"/>
        </w:rPr>
      </w:pPr>
    </w:p>
    <w:p w14:paraId="08C1A542"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Ramo</w:t>
      </w:r>
    </w:p>
    <w:p w14:paraId="07ED87EE"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Producto (nombre y/o código</w:t>
      </w:r>
    </w:p>
    <w:p w14:paraId="3E847CB8"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Número de póliza</w:t>
      </w:r>
    </w:p>
    <w:p w14:paraId="7BB16EB7"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Versión de Condiciones Generales</w:t>
      </w:r>
    </w:p>
    <w:p w14:paraId="60F15472"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Número y/o Código Nota Técnica</w:t>
      </w:r>
    </w:p>
    <w:p w14:paraId="25417DE5"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Identificación de la sede de la aseguradora relacionada con la póliza</w:t>
      </w:r>
    </w:p>
    <w:p w14:paraId="5C8783EB"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Nombre del intermediario de seguros</w:t>
      </w:r>
    </w:p>
    <w:p w14:paraId="55DCC462"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Número de identificación del intermediario de seguros</w:t>
      </w:r>
    </w:p>
    <w:p w14:paraId="1166C0AA"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lastRenderedPageBreak/>
        <w:t>Número de certificado de aseguramiento (en caso de seguros colectivos)</w:t>
      </w:r>
    </w:p>
    <w:p w14:paraId="2DFA042A"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Número de adenda</w:t>
      </w:r>
    </w:p>
    <w:p w14:paraId="6B7E80E5"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Fecha de emisión de adenda</w:t>
      </w:r>
    </w:p>
    <w:p w14:paraId="6F23AF86"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Número de anulación de póliza y/o adenda</w:t>
      </w:r>
    </w:p>
    <w:p w14:paraId="47119BE5"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Fecha de anulación de póliza y/o adenda</w:t>
      </w:r>
    </w:p>
    <w:p w14:paraId="09966F8B"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Nombre del tomador del seguro</w:t>
      </w:r>
    </w:p>
    <w:p w14:paraId="6B41E8AE"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Número de identificación del tomador del seguro</w:t>
      </w:r>
    </w:p>
    <w:p w14:paraId="5A885C76"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Nombre del asegurado</w:t>
      </w:r>
    </w:p>
    <w:p w14:paraId="3C500172"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Número de identificación del asegurado</w:t>
      </w:r>
    </w:p>
    <w:p w14:paraId="64543F70"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Nombre del beneficiario</w:t>
      </w:r>
    </w:p>
    <w:p w14:paraId="0F12A167"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Número de identificación del beneficiario</w:t>
      </w:r>
    </w:p>
    <w:p w14:paraId="58C6AD9B"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Cobertura/s contratada/s</w:t>
      </w:r>
    </w:p>
    <w:p w14:paraId="58FEEE32"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Bien asegurado</w:t>
      </w:r>
    </w:p>
    <w:p w14:paraId="4704DAAA"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Localización del bien asegurado</w:t>
      </w:r>
    </w:p>
    <w:p w14:paraId="2045982E"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Suma Asegurada</w:t>
      </w:r>
    </w:p>
    <w:p w14:paraId="28EBF02F"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 xml:space="preserve">Fecha de inicio de la póliza </w:t>
      </w:r>
    </w:p>
    <w:p w14:paraId="7E69FBE2"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Fecha de vencimiento de la póliza</w:t>
      </w:r>
    </w:p>
    <w:p w14:paraId="42F111E0"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Periodicidad del pago del recibo (anual, semestral, trimestral, etc.)</w:t>
      </w:r>
    </w:p>
    <w:p w14:paraId="3547931F"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Prima pura, entendida según uso y costumbre en la práctica actuarial</w:t>
      </w:r>
    </w:p>
    <w:p w14:paraId="15E3D073"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Prima de inventario, entendida según uso y costumbre en la práctica actuarial</w:t>
      </w:r>
    </w:p>
    <w:p w14:paraId="5FC08A7E"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Prima comercial, entendida según uso y costumbre en la práctica actuarial</w:t>
      </w:r>
    </w:p>
    <w:p w14:paraId="788DDEE2"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Recargo de seguridad (en caso de existir)</w:t>
      </w:r>
    </w:p>
    <w:p w14:paraId="75AC7F81"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Recargo para gastos de administración, entendido según uso y costumbre en la práctica actuarial</w:t>
      </w:r>
    </w:p>
    <w:p w14:paraId="75A47E5B"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Recargo para gastos de adquisición, entendido según uso y costumbre en la práctica actuarial</w:t>
      </w:r>
    </w:p>
    <w:p w14:paraId="42906B0F"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Recargo de utilidad</w:t>
      </w:r>
    </w:p>
    <w:p w14:paraId="3967FDFC"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Otros recargos incluidos en la prima comercial</w:t>
      </w:r>
    </w:p>
    <w:p w14:paraId="658776B9"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Recibo de prima</w:t>
      </w:r>
    </w:p>
    <w:p w14:paraId="18E290AB"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Gravámenes y gastos fiscales repercutibles al tomador (indicando concepto y monto)</w:t>
      </w:r>
    </w:p>
    <w:p w14:paraId="46D4B475"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Deducible y copago</w:t>
      </w:r>
    </w:p>
    <w:p w14:paraId="691BB927"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Participación en beneficios (si/no)</w:t>
      </w:r>
    </w:p>
    <w:p w14:paraId="679B0666"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En caso de existir participación en beneficios, se debe incluir en el registro el monto correspondiente y la referencia del documento interno en el que se consigna</w:t>
      </w:r>
    </w:p>
    <w:p w14:paraId="41517336" w14:textId="77777777" w:rsidR="002B31EF" w:rsidRPr="0018293F" w:rsidRDefault="002B31EF" w:rsidP="002B31EF">
      <w:pPr>
        <w:pStyle w:val="Prrafodelista"/>
        <w:numPr>
          <w:ilvl w:val="0"/>
          <w:numId w:val="8"/>
        </w:numPr>
        <w:spacing w:after="0" w:line="240" w:lineRule="auto"/>
        <w:jc w:val="both"/>
        <w:rPr>
          <w:rFonts w:asciiTheme="majorHAnsi" w:hAnsiTheme="majorHAnsi"/>
          <w:i/>
          <w:iCs/>
          <w:sz w:val="24"/>
          <w:szCs w:val="24"/>
          <w:u w:val="single"/>
        </w:rPr>
      </w:pPr>
      <w:r w:rsidRPr="0018293F">
        <w:rPr>
          <w:rFonts w:asciiTheme="majorHAnsi" w:hAnsiTheme="majorHAnsi"/>
          <w:i/>
          <w:iCs/>
          <w:sz w:val="24"/>
          <w:szCs w:val="24"/>
        </w:rPr>
        <w:t>Número de contrato de reaseguro</w:t>
      </w:r>
    </w:p>
    <w:p w14:paraId="6CBDB7A1" w14:textId="77777777" w:rsidR="002B31EF" w:rsidRPr="0018293F" w:rsidRDefault="002B31EF" w:rsidP="002B31EF">
      <w:pPr>
        <w:pStyle w:val="Prrafodelista"/>
        <w:numPr>
          <w:ilvl w:val="0"/>
          <w:numId w:val="8"/>
        </w:numPr>
        <w:spacing w:after="0" w:line="240" w:lineRule="auto"/>
        <w:jc w:val="both"/>
        <w:rPr>
          <w:rFonts w:asciiTheme="majorHAnsi" w:hAnsiTheme="majorHAnsi"/>
          <w:bCs/>
          <w:i/>
          <w:strike/>
          <w:sz w:val="24"/>
          <w:szCs w:val="24"/>
        </w:rPr>
      </w:pPr>
      <w:r w:rsidRPr="0018293F">
        <w:rPr>
          <w:rFonts w:asciiTheme="majorHAnsi" w:hAnsiTheme="majorHAnsi"/>
          <w:i/>
          <w:iCs/>
          <w:sz w:val="24"/>
          <w:szCs w:val="24"/>
        </w:rPr>
        <w:t>Tipo</w:t>
      </w:r>
      <w:r w:rsidRPr="0018293F">
        <w:rPr>
          <w:rFonts w:asciiTheme="majorHAnsi" w:hAnsiTheme="majorHAnsi"/>
          <w:b/>
          <w:bCs/>
          <w:i/>
          <w:sz w:val="24"/>
          <w:szCs w:val="24"/>
        </w:rPr>
        <w:t xml:space="preserve"> de contrato de reaseguro (obligatorio/facultativo, proporcional/no proporcional)</w:t>
      </w:r>
    </w:p>
    <w:p w14:paraId="453A9399" w14:textId="77777777" w:rsidR="002B31EF" w:rsidRPr="0018293F" w:rsidRDefault="002B31EF" w:rsidP="002B31EF">
      <w:pPr>
        <w:jc w:val="both"/>
        <w:rPr>
          <w:rFonts w:asciiTheme="majorHAnsi" w:hAnsiTheme="majorHAnsi"/>
          <w:i/>
          <w:iCs/>
          <w:u w:val="single"/>
        </w:rPr>
      </w:pPr>
    </w:p>
    <w:p w14:paraId="733D3503" w14:textId="77777777" w:rsidR="002B31EF" w:rsidRPr="0018293F" w:rsidRDefault="002B31EF" w:rsidP="002B31EF">
      <w:pPr>
        <w:jc w:val="both"/>
        <w:rPr>
          <w:rFonts w:asciiTheme="majorHAnsi" w:hAnsiTheme="majorHAnsi"/>
          <w:i/>
          <w:iCs/>
          <w:u w:val="single"/>
        </w:rPr>
      </w:pPr>
      <w:r w:rsidRPr="0018293F">
        <w:rPr>
          <w:rFonts w:asciiTheme="majorHAnsi" w:hAnsiTheme="majorHAnsi"/>
          <w:i/>
          <w:iCs/>
          <w:u w:val="single"/>
        </w:rPr>
        <w:lastRenderedPageBreak/>
        <w:t>SEGUROS PERSONALES SEGURO DIRECTO</w:t>
      </w:r>
    </w:p>
    <w:p w14:paraId="0E27AB87" w14:textId="77777777" w:rsidR="002B31EF" w:rsidRPr="0018293F" w:rsidRDefault="002B31EF" w:rsidP="002B31EF">
      <w:pPr>
        <w:jc w:val="both"/>
        <w:rPr>
          <w:rFonts w:asciiTheme="majorHAnsi" w:hAnsiTheme="majorHAnsi"/>
          <w:i/>
          <w:iCs/>
          <w:u w:val="single"/>
        </w:rPr>
      </w:pPr>
    </w:p>
    <w:p w14:paraId="22EC2233"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Ramo</w:t>
      </w:r>
    </w:p>
    <w:p w14:paraId="57E8D54B"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Producto (nombre y/o código)</w:t>
      </w:r>
    </w:p>
    <w:p w14:paraId="1A4B8520"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póliza</w:t>
      </w:r>
    </w:p>
    <w:p w14:paraId="5E3EDF29"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Versión de Condiciones Generales</w:t>
      </w:r>
    </w:p>
    <w:p w14:paraId="2D040D20"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y/o Código Nota Técnica</w:t>
      </w:r>
    </w:p>
    <w:p w14:paraId="0F784751"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Identificación de la sede de la aseguradora relacionada con la póliza</w:t>
      </w:r>
    </w:p>
    <w:p w14:paraId="145494DE"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Nombre del intermediario de seguros</w:t>
      </w:r>
    </w:p>
    <w:p w14:paraId="0BDFC319"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identificación del intermediario de seguros</w:t>
      </w:r>
    </w:p>
    <w:p w14:paraId="224C3D46"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certificado de aseguramiento (en caso de seguros colectivos)</w:t>
      </w:r>
    </w:p>
    <w:p w14:paraId="61D759D4"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adenda</w:t>
      </w:r>
    </w:p>
    <w:p w14:paraId="1D9E0B16"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emisión de adenda</w:t>
      </w:r>
    </w:p>
    <w:p w14:paraId="531C0223"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anulación de póliza y/o adenda</w:t>
      </w:r>
    </w:p>
    <w:p w14:paraId="748AECED"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anulación de póliza y/o adenda</w:t>
      </w:r>
    </w:p>
    <w:p w14:paraId="10B035BD"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Nombre del tomador del seguro</w:t>
      </w:r>
    </w:p>
    <w:p w14:paraId="530A4E07"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identificación del tomador de seguro</w:t>
      </w:r>
    </w:p>
    <w:p w14:paraId="4D604F7D"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Nombre del asegurado</w:t>
      </w:r>
    </w:p>
    <w:p w14:paraId="02D64C4D"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identificación del asegurado</w:t>
      </w:r>
    </w:p>
    <w:p w14:paraId="7239C9EF"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nacimiento del asegurado</w:t>
      </w:r>
    </w:p>
    <w:p w14:paraId="2E04DD39"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Sexo del asegurado</w:t>
      </w:r>
    </w:p>
    <w:p w14:paraId="0BA7A6CE"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Ocupación laboral del asegurado</w:t>
      </w:r>
    </w:p>
    <w:p w14:paraId="39B6F12C"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Nombre del beneficiario</w:t>
      </w:r>
    </w:p>
    <w:p w14:paraId="3A4EF1A3"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identificación del beneficiario</w:t>
      </w:r>
    </w:p>
    <w:p w14:paraId="0198CD17"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Cobertura/s contratada/s</w:t>
      </w:r>
    </w:p>
    <w:p w14:paraId="5E009AC9"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Suma Asegurada</w:t>
      </w:r>
    </w:p>
    <w:p w14:paraId="583EEA09"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inicio de la póliza</w:t>
      </w:r>
    </w:p>
    <w:p w14:paraId="00A5387C"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vencimiento de la póliza</w:t>
      </w:r>
    </w:p>
    <w:p w14:paraId="5D749F06"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Periodicidad del pago del recibo (anual, semestral, trimestral, etc.)</w:t>
      </w:r>
    </w:p>
    <w:p w14:paraId="5E0588F0"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Prima pura, entendida según uso y costumbre en la práctica actuarial</w:t>
      </w:r>
    </w:p>
    <w:p w14:paraId="156349BD"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Prima de inventario, entendida según uso y costumbre en la práctica actuarial</w:t>
      </w:r>
    </w:p>
    <w:p w14:paraId="1D109661"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Prima comercial, entendida según uso y costumbre en la práctica actuarial</w:t>
      </w:r>
    </w:p>
    <w:p w14:paraId="2065BBFD"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Recargo de seguridad (en caso de existir)</w:t>
      </w:r>
    </w:p>
    <w:p w14:paraId="79E9ADF3"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Recargo para gastos de administración, entendido según uso y costumbre en la práctica actuarial</w:t>
      </w:r>
    </w:p>
    <w:p w14:paraId="14C349B4"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Recargo para gastos de adquisición, entendido según uso y costumbre en la práctica actuarial</w:t>
      </w:r>
    </w:p>
    <w:p w14:paraId="22EF2CC6"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lastRenderedPageBreak/>
        <w:t>Recargo de Utilidad</w:t>
      </w:r>
    </w:p>
    <w:p w14:paraId="4C956C1D"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Otros recargos incluidos en la prima comercial</w:t>
      </w:r>
    </w:p>
    <w:p w14:paraId="1B61799E"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Recibo de prima</w:t>
      </w:r>
    </w:p>
    <w:p w14:paraId="05835727"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Gravámenes y gastos fiscales repercutibles al tomador (indicando concepto y monto)</w:t>
      </w:r>
    </w:p>
    <w:p w14:paraId="1AB321DA"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Tipo de interés de cálculo de la prima</w:t>
      </w:r>
    </w:p>
    <w:p w14:paraId="652661E3"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Tabla de moralidad/supervivencia/morbilidad</w:t>
      </w:r>
    </w:p>
    <w:p w14:paraId="0C863C6D"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Deducible y copago</w:t>
      </w:r>
    </w:p>
    <w:p w14:paraId="14C8D7D9"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Participación en beneficios (si/no)</w:t>
      </w:r>
    </w:p>
    <w:p w14:paraId="780D66C9"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En caso de existir participación en beneficios se debe incluir en el registro el monto correspondiente y la referencia del documento interno en el que se consigna</w:t>
      </w:r>
    </w:p>
    <w:p w14:paraId="352D2DBF" w14:textId="77777777" w:rsidR="002B31EF" w:rsidRPr="0018293F" w:rsidRDefault="002B31EF" w:rsidP="002B31EF">
      <w:pPr>
        <w:pStyle w:val="Prrafodelista"/>
        <w:numPr>
          <w:ilvl w:val="0"/>
          <w:numId w:val="9"/>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contrato de reaseguro</w:t>
      </w:r>
    </w:p>
    <w:p w14:paraId="2140D4A0" w14:textId="77777777" w:rsidR="002B31EF" w:rsidRPr="0018293F" w:rsidRDefault="002B31EF" w:rsidP="002B31EF">
      <w:pPr>
        <w:pStyle w:val="Prrafodelista"/>
        <w:numPr>
          <w:ilvl w:val="0"/>
          <w:numId w:val="9"/>
        </w:numPr>
        <w:spacing w:after="0" w:line="240" w:lineRule="auto"/>
        <w:jc w:val="both"/>
        <w:rPr>
          <w:rFonts w:asciiTheme="majorHAnsi" w:hAnsiTheme="majorHAnsi"/>
          <w:sz w:val="24"/>
          <w:szCs w:val="24"/>
        </w:rPr>
      </w:pPr>
      <w:r w:rsidRPr="0018293F">
        <w:rPr>
          <w:rFonts w:asciiTheme="majorHAnsi" w:hAnsiTheme="majorHAnsi"/>
          <w:i/>
          <w:iCs/>
          <w:sz w:val="24"/>
          <w:szCs w:val="24"/>
        </w:rPr>
        <w:t>Tipo</w:t>
      </w:r>
      <w:r w:rsidRPr="0018293F">
        <w:rPr>
          <w:rFonts w:asciiTheme="majorHAnsi" w:hAnsiTheme="majorHAnsi"/>
          <w:i/>
          <w:sz w:val="24"/>
          <w:szCs w:val="24"/>
        </w:rPr>
        <w:t xml:space="preserve"> de contrato de reaseguro (obligatorio/facultativo, proporcional/no proporcional)</w:t>
      </w:r>
    </w:p>
    <w:p w14:paraId="4F29C89A" w14:textId="77777777" w:rsidR="002B31EF" w:rsidRPr="0018293F" w:rsidRDefault="002B31EF" w:rsidP="002B31EF">
      <w:pPr>
        <w:jc w:val="both"/>
        <w:rPr>
          <w:rFonts w:asciiTheme="majorHAnsi" w:hAnsiTheme="majorHAnsi"/>
          <w:i/>
          <w:iCs/>
          <w:u w:val="single"/>
        </w:rPr>
      </w:pPr>
    </w:p>
    <w:p w14:paraId="1101AAEB" w14:textId="77777777" w:rsidR="002B31EF" w:rsidRPr="0018293F" w:rsidRDefault="002B31EF" w:rsidP="002B31EF">
      <w:pPr>
        <w:jc w:val="both"/>
        <w:rPr>
          <w:rFonts w:asciiTheme="majorHAnsi" w:hAnsiTheme="majorHAnsi"/>
          <w:i/>
          <w:iCs/>
          <w:u w:val="single"/>
        </w:rPr>
      </w:pPr>
      <w:r w:rsidRPr="0018293F">
        <w:rPr>
          <w:rFonts w:asciiTheme="majorHAnsi" w:hAnsiTheme="majorHAnsi"/>
          <w:i/>
          <w:iCs/>
          <w:u w:val="single"/>
        </w:rPr>
        <w:t>REGISTRO DE CONTRATOS REASEGURO ACEPTADO</w:t>
      </w:r>
    </w:p>
    <w:p w14:paraId="0806AD3A" w14:textId="77777777" w:rsidR="002B31EF" w:rsidRPr="0018293F" w:rsidRDefault="002B31EF" w:rsidP="002B31EF">
      <w:pPr>
        <w:jc w:val="both"/>
        <w:rPr>
          <w:rFonts w:asciiTheme="majorHAnsi" w:hAnsiTheme="majorHAnsi"/>
          <w:i/>
          <w:iCs/>
          <w:u w:val="single"/>
        </w:rPr>
      </w:pPr>
    </w:p>
    <w:p w14:paraId="033031DC"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Ramo</w:t>
      </w:r>
    </w:p>
    <w:p w14:paraId="6AF589B4"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Producto (nombre y/o código)</w:t>
      </w:r>
    </w:p>
    <w:p w14:paraId="68B0B4DA"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póliza</w:t>
      </w:r>
    </w:p>
    <w:p w14:paraId="5E1706B4"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adenda</w:t>
      </w:r>
    </w:p>
    <w:p w14:paraId="34691CBB"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emisión de adenda</w:t>
      </w:r>
    </w:p>
    <w:p w14:paraId="3F7FF6A5"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anulación de póliza y/o adenda</w:t>
      </w:r>
    </w:p>
    <w:p w14:paraId="2B25E113"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anulación de póliza y/o adenda</w:t>
      </w:r>
    </w:p>
    <w:p w14:paraId="6738542A"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Nombre de la entidad reasegurada</w:t>
      </w:r>
    </w:p>
    <w:p w14:paraId="7701CD49"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identificación de la entidad reasegurada</w:t>
      </w:r>
    </w:p>
    <w:p w14:paraId="1B2D574B"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identificación de la entidad reasegurada</w:t>
      </w:r>
    </w:p>
    <w:p w14:paraId="357A8FC5"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Nombre del intermediario de reaseguros</w:t>
      </w:r>
    </w:p>
    <w:p w14:paraId="39EA42E5"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identificación del intermediario de reaseguros</w:t>
      </w:r>
    </w:p>
    <w:p w14:paraId="6B152C39"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Comisión pagadera al intermediario de reaseguros</w:t>
      </w:r>
    </w:p>
    <w:p w14:paraId="264E692A"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Tipo de contrato de reaseguro aceptado (automático/facultativo, proporcional/no proporcional)</w:t>
      </w:r>
    </w:p>
    <w:p w14:paraId="29253DCF"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Riesgo asegurado</w:t>
      </w:r>
    </w:p>
    <w:p w14:paraId="14C107F7"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Localización del riesgo aceptado</w:t>
      </w:r>
    </w:p>
    <w:p w14:paraId="4C5B596F"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Cobertura contratada</w:t>
      </w:r>
    </w:p>
    <w:p w14:paraId="6782D4D5"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Porcentaje de aceptación del riesgo</w:t>
      </w:r>
    </w:p>
    <w:p w14:paraId="212BE398"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Suma Asegurada</w:t>
      </w:r>
    </w:p>
    <w:p w14:paraId="2BC70D7F"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inicio del reaseguro</w:t>
      </w:r>
    </w:p>
    <w:p w14:paraId="0E5D7B5C"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Fecha de vencimiento del reaseguro </w:t>
      </w:r>
    </w:p>
    <w:p w14:paraId="33523112"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Periodicidad de </w:t>
      </w:r>
      <w:proofErr w:type="spellStart"/>
      <w:r w:rsidRPr="0018293F">
        <w:rPr>
          <w:rFonts w:asciiTheme="majorHAnsi" w:hAnsiTheme="majorHAnsi"/>
          <w:i/>
          <w:iCs/>
          <w:sz w:val="24"/>
          <w:szCs w:val="24"/>
        </w:rPr>
        <w:t>borderós</w:t>
      </w:r>
      <w:proofErr w:type="spellEnd"/>
    </w:p>
    <w:p w14:paraId="73313F4D"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lastRenderedPageBreak/>
        <w:t>Periodicidad de liquidación de cuentas con la entidad reasegurada</w:t>
      </w:r>
    </w:p>
    <w:p w14:paraId="43565CEA"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Prima de reaseguro aceptado</w:t>
      </w:r>
    </w:p>
    <w:p w14:paraId="6337653B"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Comisión a favor de la entidad reasegurada</w:t>
      </w:r>
    </w:p>
    <w:p w14:paraId="5F337BAC"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Participaciones a favor de la entidad reasegurada</w:t>
      </w:r>
    </w:p>
    <w:p w14:paraId="551C5D42"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Depósitos en la entidad reasegurada</w:t>
      </w:r>
    </w:p>
    <w:p w14:paraId="3C329CC5"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Tasa de interés asociada al depósito en la entidad reasegurada</w:t>
      </w:r>
    </w:p>
    <w:p w14:paraId="7CB50BB4" w14:textId="77777777" w:rsidR="002B31EF" w:rsidRPr="0018293F" w:rsidRDefault="002B31EF" w:rsidP="002B31EF">
      <w:pPr>
        <w:pStyle w:val="Prrafodelista"/>
        <w:numPr>
          <w:ilvl w:val="0"/>
          <w:numId w:val="10"/>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contrato de reaseguro retrocedido</w:t>
      </w:r>
    </w:p>
    <w:p w14:paraId="488EE5F0" w14:textId="77777777" w:rsidR="002B31EF" w:rsidRPr="0018293F" w:rsidRDefault="002B31EF" w:rsidP="002B31EF">
      <w:pPr>
        <w:pStyle w:val="Prrafodelista"/>
        <w:numPr>
          <w:ilvl w:val="0"/>
          <w:numId w:val="10"/>
        </w:numPr>
        <w:spacing w:after="0" w:line="240" w:lineRule="auto"/>
        <w:jc w:val="both"/>
        <w:rPr>
          <w:rFonts w:asciiTheme="majorHAnsi" w:hAnsiTheme="majorHAnsi"/>
          <w:sz w:val="24"/>
          <w:szCs w:val="24"/>
        </w:rPr>
      </w:pPr>
      <w:r w:rsidRPr="0018293F">
        <w:rPr>
          <w:rFonts w:asciiTheme="majorHAnsi" w:hAnsiTheme="majorHAnsi"/>
          <w:i/>
          <w:sz w:val="24"/>
          <w:szCs w:val="24"/>
        </w:rPr>
        <w:t>Tipo de contrato de reaseguro retrocedido (obligatorio/facultativo, proporcional/no proporcional)</w:t>
      </w:r>
    </w:p>
    <w:p w14:paraId="2D17F13E" w14:textId="77777777" w:rsidR="002B31EF" w:rsidRPr="0018293F" w:rsidRDefault="002B31EF" w:rsidP="002B31EF">
      <w:pPr>
        <w:jc w:val="both"/>
        <w:rPr>
          <w:rFonts w:asciiTheme="majorHAnsi" w:hAnsiTheme="majorHAnsi"/>
          <w:i/>
          <w:iCs/>
          <w:u w:val="single"/>
        </w:rPr>
      </w:pPr>
    </w:p>
    <w:p w14:paraId="0A8EB530" w14:textId="77777777" w:rsidR="002B31EF" w:rsidRPr="0018293F" w:rsidRDefault="002B31EF" w:rsidP="002B31EF">
      <w:pPr>
        <w:jc w:val="both"/>
        <w:rPr>
          <w:rFonts w:asciiTheme="majorHAnsi" w:hAnsiTheme="majorHAnsi"/>
          <w:i/>
          <w:iCs/>
          <w:strike/>
          <w:u w:val="single"/>
        </w:rPr>
      </w:pPr>
      <w:r w:rsidRPr="0018293F">
        <w:rPr>
          <w:rFonts w:asciiTheme="majorHAnsi" w:hAnsiTheme="majorHAnsi"/>
          <w:i/>
          <w:iCs/>
          <w:u w:val="single"/>
        </w:rPr>
        <w:t>REGISTRO DE CONTRATOS DE REASEGURO MANTENIDO</w:t>
      </w:r>
    </w:p>
    <w:p w14:paraId="1FC9A7DD" w14:textId="77777777" w:rsidR="002B31EF" w:rsidRPr="0018293F" w:rsidRDefault="002B31EF" w:rsidP="002B31EF">
      <w:pPr>
        <w:jc w:val="both"/>
        <w:rPr>
          <w:rFonts w:asciiTheme="majorHAnsi" w:hAnsiTheme="majorHAnsi"/>
          <w:i/>
          <w:iCs/>
          <w:u w:val="single"/>
        </w:rPr>
      </w:pPr>
    </w:p>
    <w:p w14:paraId="16399052"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r w:rsidRPr="0018293F">
        <w:rPr>
          <w:rFonts w:asciiTheme="majorHAnsi" w:hAnsiTheme="majorHAnsi"/>
          <w:i/>
          <w:iCs/>
          <w:sz w:val="24"/>
          <w:szCs w:val="24"/>
        </w:rPr>
        <w:t>Ramo</w:t>
      </w:r>
    </w:p>
    <w:p w14:paraId="396254C2"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r w:rsidRPr="0018293F">
        <w:rPr>
          <w:rFonts w:asciiTheme="majorHAnsi" w:hAnsiTheme="majorHAnsi"/>
          <w:i/>
          <w:iCs/>
          <w:sz w:val="24"/>
          <w:szCs w:val="24"/>
        </w:rPr>
        <w:t>Producto (nombre y/o código) del seguro directo</w:t>
      </w:r>
    </w:p>
    <w:p w14:paraId="0C5A6E72"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contrato de reaseguro cedido o retrocedido</w:t>
      </w:r>
    </w:p>
    <w:p w14:paraId="044BC856"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r w:rsidRPr="0018293F">
        <w:rPr>
          <w:rFonts w:asciiTheme="majorHAnsi" w:hAnsiTheme="majorHAnsi"/>
          <w:i/>
          <w:iCs/>
          <w:sz w:val="24"/>
          <w:szCs w:val="24"/>
        </w:rPr>
        <w:t>Tipo/s de contrato de reaseguro (obligatorio/facultativo, proporcional/no proporcional)</w:t>
      </w:r>
    </w:p>
    <w:p w14:paraId="6A513234"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Razón social de la reaseguradora a la que se cede (en caso de </w:t>
      </w:r>
      <w:proofErr w:type="spellStart"/>
      <w:r w:rsidRPr="0018293F">
        <w:rPr>
          <w:rFonts w:asciiTheme="majorHAnsi" w:hAnsiTheme="majorHAnsi"/>
          <w:i/>
          <w:iCs/>
          <w:sz w:val="24"/>
          <w:szCs w:val="24"/>
        </w:rPr>
        <w:t>co-reaseguro</w:t>
      </w:r>
      <w:proofErr w:type="spellEnd"/>
      <w:r w:rsidRPr="0018293F">
        <w:rPr>
          <w:rFonts w:asciiTheme="majorHAnsi" w:hAnsiTheme="majorHAnsi"/>
          <w:i/>
          <w:iCs/>
          <w:sz w:val="24"/>
          <w:szCs w:val="24"/>
        </w:rPr>
        <w:t xml:space="preserve"> debe incluirse el nombre de la totalidad de las entidades que intervienen en la cobertura del riesgo cedido)</w:t>
      </w:r>
    </w:p>
    <w:p w14:paraId="47FFE01D"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proofErr w:type="gramStart"/>
      <w:r w:rsidRPr="0018293F">
        <w:rPr>
          <w:rFonts w:asciiTheme="majorHAnsi" w:hAnsiTheme="majorHAnsi"/>
          <w:i/>
          <w:iCs/>
          <w:sz w:val="24"/>
          <w:szCs w:val="24"/>
        </w:rPr>
        <w:t>Link</w:t>
      </w:r>
      <w:proofErr w:type="gramEnd"/>
      <w:r w:rsidRPr="0018293F">
        <w:rPr>
          <w:rFonts w:asciiTheme="majorHAnsi" w:hAnsiTheme="majorHAnsi"/>
          <w:i/>
          <w:iCs/>
          <w:sz w:val="24"/>
          <w:szCs w:val="24"/>
        </w:rPr>
        <w:t xml:space="preserve"> del sitio web de la reaseguradora</w:t>
      </w:r>
    </w:p>
    <w:p w14:paraId="3E458F9A"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Número de identificación de la entidad reaseguradora (en caso de </w:t>
      </w:r>
      <w:proofErr w:type="spellStart"/>
      <w:r w:rsidRPr="0018293F">
        <w:rPr>
          <w:rFonts w:asciiTheme="majorHAnsi" w:hAnsiTheme="majorHAnsi"/>
          <w:i/>
          <w:iCs/>
          <w:sz w:val="24"/>
          <w:szCs w:val="24"/>
        </w:rPr>
        <w:t>co-reaseguro</w:t>
      </w:r>
      <w:proofErr w:type="spellEnd"/>
      <w:r w:rsidRPr="0018293F">
        <w:rPr>
          <w:rFonts w:asciiTheme="majorHAnsi" w:hAnsiTheme="majorHAnsi"/>
          <w:i/>
          <w:iCs/>
          <w:sz w:val="24"/>
          <w:szCs w:val="24"/>
        </w:rPr>
        <w:t xml:space="preserve"> deberá incluirse el número de identificación de la totalidad de las entidades que intervengan en la cobertura del riesgo cedido)</w:t>
      </w:r>
    </w:p>
    <w:p w14:paraId="0DA2E356"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Nombre del grupo al que pertenece la entidad reaseguradora (en caso de </w:t>
      </w:r>
      <w:proofErr w:type="spellStart"/>
      <w:r w:rsidRPr="0018293F">
        <w:rPr>
          <w:rFonts w:asciiTheme="majorHAnsi" w:hAnsiTheme="majorHAnsi"/>
          <w:i/>
          <w:iCs/>
          <w:sz w:val="24"/>
          <w:szCs w:val="24"/>
        </w:rPr>
        <w:t>co-reaseguro</w:t>
      </w:r>
      <w:proofErr w:type="spellEnd"/>
      <w:r w:rsidRPr="0018293F">
        <w:rPr>
          <w:rFonts w:asciiTheme="majorHAnsi" w:hAnsiTheme="majorHAnsi"/>
          <w:i/>
          <w:iCs/>
          <w:sz w:val="24"/>
          <w:szCs w:val="24"/>
        </w:rPr>
        <w:t xml:space="preserve"> deberá incluirse el nombre del grupo al que pertenece la totalidad de las entidades que intervengan en la cobertura del riesgo cedido</w:t>
      </w:r>
    </w:p>
    <w:p w14:paraId="3CF80C4B"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Calificación de riesgo de la entidad reaseguradora (en caso de </w:t>
      </w:r>
      <w:proofErr w:type="spellStart"/>
      <w:r w:rsidRPr="0018293F">
        <w:rPr>
          <w:rFonts w:asciiTheme="majorHAnsi" w:hAnsiTheme="majorHAnsi"/>
          <w:i/>
          <w:iCs/>
          <w:sz w:val="24"/>
          <w:szCs w:val="24"/>
        </w:rPr>
        <w:t>co-reaseguro</w:t>
      </w:r>
      <w:proofErr w:type="spellEnd"/>
      <w:r w:rsidRPr="0018293F">
        <w:rPr>
          <w:rFonts w:asciiTheme="majorHAnsi" w:hAnsiTheme="majorHAnsi"/>
          <w:i/>
          <w:iCs/>
          <w:sz w:val="24"/>
          <w:szCs w:val="24"/>
        </w:rPr>
        <w:t xml:space="preserve"> debe incluirse el de la totalidad de las entidades que intervienen en la cobertura del riesgo cedido)</w:t>
      </w:r>
    </w:p>
    <w:p w14:paraId="12FC7FFA"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Nombre del intermediario de reaseguros </w:t>
      </w:r>
    </w:p>
    <w:p w14:paraId="7BC64E6B"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identificación del intermediario de reaseguros</w:t>
      </w:r>
    </w:p>
    <w:p w14:paraId="01BB4C58"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Comisión pagadera al intermediario de reaseguros </w:t>
      </w:r>
    </w:p>
    <w:p w14:paraId="096C8DFC"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r w:rsidRPr="0018293F">
        <w:rPr>
          <w:rFonts w:asciiTheme="majorHAnsi" w:hAnsiTheme="majorHAnsi"/>
          <w:i/>
          <w:iCs/>
          <w:sz w:val="24"/>
          <w:szCs w:val="24"/>
        </w:rPr>
        <w:t>Riesgo cedido</w:t>
      </w:r>
    </w:p>
    <w:p w14:paraId="248FB100"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r w:rsidRPr="0018293F">
        <w:rPr>
          <w:rFonts w:asciiTheme="majorHAnsi" w:hAnsiTheme="majorHAnsi"/>
          <w:i/>
          <w:iCs/>
          <w:sz w:val="24"/>
          <w:szCs w:val="24"/>
        </w:rPr>
        <w:t>Localización del riesgo cedido</w:t>
      </w:r>
    </w:p>
    <w:p w14:paraId="37861D2A"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inicio del contrato de reaseguro cedido o retrocedido</w:t>
      </w:r>
    </w:p>
    <w:p w14:paraId="2F19AC7D"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vencimiento del contrato de reaseguro cedido o retrocedido</w:t>
      </w:r>
    </w:p>
    <w:p w14:paraId="06FAF980"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Periodicidad de </w:t>
      </w:r>
      <w:proofErr w:type="spellStart"/>
      <w:r w:rsidRPr="0018293F">
        <w:rPr>
          <w:rFonts w:asciiTheme="majorHAnsi" w:hAnsiTheme="majorHAnsi"/>
          <w:i/>
          <w:iCs/>
          <w:sz w:val="24"/>
          <w:szCs w:val="24"/>
        </w:rPr>
        <w:t>borderós</w:t>
      </w:r>
      <w:proofErr w:type="spellEnd"/>
      <w:r w:rsidRPr="0018293F">
        <w:rPr>
          <w:rFonts w:asciiTheme="majorHAnsi" w:hAnsiTheme="majorHAnsi"/>
          <w:i/>
          <w:iCs/>
          <w:sz w:val="24"/>
          <w:szCs w:val="24"/>
        </w:rPr>
        <w:t xml:space="preserve"> </w:t>
      </w:r>
    </w:p>
    <w:p w14:paraId="65425EEB"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r w:rsidRPr="0018293F">
        <w:rPr>
          <w:rFonts w:asciiTheme="majorHAnsi" w:hAnsiTheme="majorHAnsi"/>
          <w:i/>
          <w:iCs/>
          <w:sz w:val="24"/>
          <w:szCs w:val="24"/>
        </w:rPr>
        <w:lastRenderedPageBreak/>
        <w:t>Periodicidad de liquidación de cuentas con el reasegurador</w:t>
      </w:r>
    </w:p>
    <w:p w14:paraId="3E4038C9"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Porcentaje de cesión (en caso de </w:t>
      </w:r>
      <w:proofErr w:type="spellStart"/>
      <w:r w:rsidRPr="0018293F">
        <w:rPr>
          <w:rFonts w:asciiTheme="majorHAnsi" w:hAnsiTheme="majorHAnsi"/>
          <w:i/>
          <w:iCs/>
          <w:sz w:val="24"/>
          <w:szCs w:val="24"/>
        </w:rPr>
        <w:t>co-reaseguro</w:t>
      </w:r>
      <w:proofErr w:type="spellEnd"/>
      <w:r w:rsidRPr="0018293F">
        <w:rPr>
          <w:rFonts w:asciiTheme="majorHAnsi" w:hAnsiTheme="majorHAnsi"/>
          <w:i/>
          <w:iCs/>
          <w:sz w:val="24"/>
          <w:szCs w:val="24"/>
        </w:rPr>
        <w:t xml:space="preserve"> debe incluirse el correspondiente a las diferentes entidades que intervienen en la cobertura del riesgo cedido)</w:t>
      </w:r>
    </w:p>
    <w:p w14:paraId="40CF4193"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Capas o niveles de cesión </w:t>
      </w:r>
    </w:p>
    <w:p w14:paraId="6A1373F9"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r w:rsidRPr="0018293F">
        <w:rPr>
          <w:rFonts w:asciiTheme="majorHAnsi" w:hAnsiTheme="majorHAnsi"/>
          <w:i/>
          <w:iCs/>
          <w:sz w:val="24"/>
          <w:szCs w:val="24"/>
        </w:rPr>
        <w:t>Prima de Reaseguro cedido</w:t>
      </w:r>
    </w:p>
    <w:p w14:paraId="075513EB"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r w:rsidRPr="0018293F">
        <w:rPr>
          <w:rFonts w:asciiTheme="majorHAnsi" w:hAnsiTheme="majorHAnsi"/>
          <w:i/>
          <w:iCs/>
          <w:sz w:val="24"/>
          <w:szCs w:val="24"/>
        </w:rPr>
        <w:t>Comisión de reaseguro cedido</w:t>
      </w:r>
    </w:p>
    <w:p w14:paraId="65E9C688"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r w:rsidRPr="0018293F">
        <w:rPr>
          <w:rFonts w:asciiTheme="majorHAnsi" w:hAnsiTheme="majorHAnsi"/>
          <w:i/>
          <w:iCs/>
          <w:sz w:val="24"/>
          <w:szCs w:val="24"/>
        </w:rPr>
        <w:t>Participación a favor de la entidad cedente</w:t>
      </w:r>
    </w:p>
    <w:p w14:paraId="54723708" w14:textId="77777777" w:rsidR="002B31EF" w:rsidRPr="0018293F" w:rsidRDefault="002B31EF" w:rsidP="002B31EF">
      <w:pPr>
        <w:pStyle w:val="Prrafodelista"/>
        <w:numPr>
          <w:ilvl w:val="0"/>
          <w:numId w:val="11"/>
        </w:numPr>
        <w:spacing w:after="0" w:line="240" w:lineRule="auto"/>
        <w:jc w:val="both"/>
        <w:rPr>
          <w:rFonts w:asciiTheme="majorHAnsi" w:hAnsiTheme="majorHAnsi"/>
          <w:i/>
          <w:iCs/>
          <w:sz w:val="24"/>
          <w:szCs w:val="24"/>
        </w:rPr>
      </w:pPr>
      <w:r w:rsidRPr="0018293F">
        <w:rPr>
          <w:rFonts w:asciiTheme="majorHAnsi" w:hAnsiTheme="majorHAnsi"/>
          <w:i/>
          <w:iCs/>
          <w:sz w:val="24"/>
          <w:szCs w:val="24"/>
        </w:rPr>
        <w:t>Depósitos de la entidad reaseguradora en la entidad cedente</w:t>
      </w:r>
    </w:p>
    <w:p w14:paraId="3CB60FC3" w14:textId="77777777" w:rsidR="002B31EF" w:rsidRPr="0018293F" w:rsidRDefault="002B31EF" w:rsidP="002B31EF">
      <w:pPr>
        <w:pStyle w:val="Prrafodelista"/>
        <w:numPr>
          <w:ilvl w:val="0"/>
          <w:numId w:val="11"/>
        </w:numPr>
        <w:spacing w:after="0" w:line="240" w:lineRule="auto"/>
        <w:jc w:val="both"/>
        <w:rPr>
          <w:rFonts w:asciiTheme="majorHAnsi" w:hAnsiTheme="majorHAnsi"/>
          <w:sz w:val="24"/>
          <w:szCs w:val="24"/>
        </w:rPr>
      </w:pPr>
      <w:r w:rsidRPr="0018293F">
        <w:rPr>
          <w:rFonts w:asciiTheme="majorHAnsi" w:hAnsiTheme="majorHAnsi"/>
          <w:i/>
          <w:sz w:val="24"/>
          <w:szCs w:val="24"/>
        </w:rPr>
        <w:t>Tasa de interés asociada al depósito de la entidad reaseguradora en la entidad cedente</w:t>
      </w:r>
    </w:p>
    <w:p w14:paraId="2F878E39" w14:textId="77777777" w:rsidR="002B31EF" w:rsidRPr="0018293F" w:rsidRDefault="002B31EF" w:rsidP="002B31EF">
      <w:pPr>
        <w:jc w:val="both"/>
        <w:rPr>
          <w:rFonts w:asciiTheme="majorHAnsi" w:hAnsiTheme="majorHAnsi"/>
          <w:i/>
          <w:iCs/>
          <w:u w:val="single"/>
        </w:rPr>
      </w:pPr>
    </w:p>
    <w:p w14:paraId="7E67E723" w14:textId="77777777" w:rsidR="002B31EF" w:rsidRPr="0018293F" w:rsidRDefault="002B31EF" w:rsidP="002B31EF">
      <w:pPr>
        <w:jc w:val="both"/>
        <w:rPr>
          <w:rFonts w:asciiTheme="majorHAnsi" w:hAnsiTheme="majorHAnsi"/>
          <w:i/>
          <w:iCs/>
          <w:u w:val="single"/>
        </w:rPr>
      </w:pPr>
      <w:r w:rsidRPr="0018293F">
        <w:rPr>
          <w:rFonts w:asciiTheme="majorHAnsi" w:hAnsiTheme="majorHAnsi"/>
          <w:i/>
          <w:iCs/>
          <w:u w:val="single"/>
        </w:rPr>
        <w:t xml:space="preserve">SEGUROS CON COBERTURAS POR RIESGO DE TERREMOTO Y ERUPCIÓN VOLCÁNICA </w:t>
      </w:r>
    </w:p>
    <w:p w14:paraId="731B2006" w14:textId="77777777" w:rsidR="002B31EF" w:rsidRPr="0018293F" w:rsidRDefault="002B31EF" w:rsidP="002B31EF">
      <w:pPr>
        <w:jc w:val="both"/>
        <w:rPr>
          <w:rFonts w:asciiTheme="majorHAnsi" w:hAnsiTheme="majorHAnsi"/>
          <w:i/>
          <w:iCs/>
          <w:u w:val="single"/>
        </w:rPr>
      </w:pPr>
    </w:p>
    <w:p w14:paraId="72A87F30" w14:textId="77777777" w:rsidR="002B31EF" w:rsidRPr="0018293F" w:rsidRDefault="002B31EF" w:rsidP="002B31EF">
      <w:pPr>
        <w:pStyle w:val="Prrafodelista"/>
        <w:numPr>
          <w:ilvl w:val="0"/>
          <w:numId w:val="12"/>
        </w:numPr>
        <w:spacing w:after="0" w:line="240" w:lineRule="auto"/>
        <w:ind w:left="709" w:hanging="425"/>
        <w:jc w:val="both"/>
        <w:rPr>
          <w:rFonts w:asciiTheme="majorHAnsi" w:hAnsiTheme="majorHAnsi"/>
          <w:i/>
          <w:iCs/>
          <w:sz w:val="24"/>
          <w:szCs w:val="24"/>
        </w:rPr>
      </w:pPr>
      <w:r w:rsidRPr="0018293F">
        <w:rPr>
          <w:rFonts w:asciiTheme="majorHAnsi" w:hAnsiTheme="majorHAnsi"/>
          <w:i/>
          <w:iCs/>
          <w:sz w:val="24"/>
          <w:szCs w:val="24"/>
        </w:rPr>
        <w:t>Número de póliza.</w:t>
      </w:r>
    </w:p>
    <w:p w14:paraId="45243BC3" w14:textId="77777777" w:rsidR="002B31EF" w:rsidRPr="0018293F" w:rsidRDefault="002B31EF" w:rsidP="002B31EF">
      <w:pPr>
        <w:pStyle w:val="Prrafodelista"/>
        <w:numPr>
          <w:ilvl w:val="0"/>
          <w:numId w:val="12"/>
        </w:numPr>
        <w:spacing w:after="0" w:line="240" w:lineRule="auto"/>
        <w:ind w:left="709" w:hanging="425"/>
        <w:jc w:val="both"/>
        <w:rPr>
          <w:rFonts w:asciiTheme="majorHAnsi" w:hAnsiTheme="majorHAnsi"/>
          <w:i/>
          <w:iCs/>
          <w:sz w:val="24"/>
          <w:szCs w:val="24"/>
        </w:rPr>
      </w:pPr>
      <w:r w:rsidRPr="0018293F">
        <w:rPr>
          <w:rFonts w:asciiTheme="majorHAnsi" w:hAnsiTheme="majorHAnsi"/>
          <w:i/>
          <w:iCs/>
          <w:sz w:val="24"/>
          <w:szCs w:val="24"/>
        </w:rPr>
        <w:t>Inmueble asegurado.</w:t>
      </w:r>
      <w:r>
        <w:rPr>
          <w:rFonts w:asciiTheme="majorHAnsi" w:hAnsiTheme="majorHAnsi"/>
          <w:i/>
          <w:iCs/>
          <w:sz w:val="24"/>
          <w:szCs w:val="24"/>
        </w:rPr>
        <w:t xml:space="preserve"> </w:t>
      </w:r>
      <w:r w:rsidRPr="0018293F">
        <w:rPr>
          <w:rFonts w:asciiTheme="majorHAnsi" w:hAnsiTheme="majorHAnsi"/>
          <w:i/>
          <w:iCs/>
          <w:sz w:val="24"/>
          <w:szCs w:val="24"/>
        </w:rPr>
        <w:t>Si una póliza cubre varios inmuebles, se debe indicar el código asignado por la entidad a cada inmueble (un inmueble por fila).</w:t>
      </w:r>
    </w:p>
    <w:p w14:paraId="1A159444" w14:textId="77777777" w:rsidR="002B31EF" w:rsidRPr="0018293F" w:rsidRDefault="002B31EF" w:rsidP="002B31EF">
      <w:pPr>
        <w:pStyle w:val="Prrafodelista"/>
        <w:numPr>
          <w:ilvl w:val="0"/>
          <w:numId w:val="12"/>
        </w:numPr>
        <w:spacing w:after="0" w:line="240" w:lineRule="auto"/>
        <w:ind w:left="709" w:hanging="425"/>
        <w:jc w:val="both"/>
        <w:rPr>
          <w:rFonts w:asciiTheme="majorHAnsi" w:hAnsiTheme="majorHAnsi"/>
          <w:i/>
          <w:iCs/>
          <w:sz w:val="24"/>
          <w:szCs w:val="24"/>
        </w:rPr>
      </w:pPr>
      <w:r w:rsidRPr="0018293F">
        <w:rPr>
          <w:rFonts w:asciiTheme="majorHAnsi" w:hAnsiTheme="majorHAnsi"/>
          <w:i/>
          <w:iCs/>
          <w:sz w:val="24"/>
          <w:szCs w:val="24"/>
        </w:rPr>
        <w:t>Cobertura contratada (Daños materiales, Contenidos y Pérdidas consecuenciales o de beneficios).</w:t>
      </w:r>
    </w:p>
    <w:p w14:paraId="48E5A1CF" w14:textId="77777777" w:rsidR="002B31EF" w:rsidRPr="0018293F" w:rsidRDefault="002B31EF" w:rsidP="002B31EF">
      <w:pPr>
        <w:pStyle w:val="Prrafodelista"/>
        <w:numPr>
          <w:ilvl w:val="0"/>
          <w:numId w:val="12"/>
        </w:numPr>
        <w:spacing w:after="0" w:line="240" w:lineRule="auto"/>
        <w:ind w:left="709" w:hanging="425"/>
        <w:jc w:val="both"/>
        <w:rPr>
          <w:rFonts w:asciiTheme="majorHAnsi" w:hAnsiTheme="majorHAnsi"/>
          <w:i/>
          <w:iCs/>
          <w:sz w:val="24"/>
          <w:szCs w:val="24"/>
        </w:rPr>
      </w:pPr>
      <w:r w:rsidRPr="0018293F">
        <w:rPr>
          <w:rFonts w:asciiTheme="majorHAnsi" w:hAnsiTheme="majorHAnsi"/>
          <w:i/>
          <w:iCs/>
          <w:sz w:val="24"/>
          <w:szCs w:val="24"/>
        </w:rPr>
        <w:t>Fecha de inicio de vigencia de la póliza o de la cobertura de cada inmueble, en caso de que la póliza cubra varios inmuebles.</w:t>
      </w:r>
    </w:p>
    <w:p w14:paraId="2C7D6961" w14:textId="77777777" w:rsidR="002B31EF" w:rsidRPr="0018293F" w:rsidRDefault="002B31EF" w:rsidP="002B31EF">
      <w:pPr>
        <w:pStyle w:val="Prrafodelista"/>
        <w:numPr>
          <w:ilvl w:val="0"/>
          <w:numId w:val="12"/>
        </w:numPr>
        <w:spacing w:after="0" w:line="240" w:lineRule="auto"/>
        <w:ind w:left="709" w:hanging="425"/>
        <w:jc w:val="both"/>
        <w:rPr>
          <w:rFonts w:asciiTheme="majorHAnsi" w:hAnsiTheme="majorHAnsi"/>
          <w:i/>
          <w:iCs/>
          <w:sz w:val="24"/>
          <w:szCs w:val="24"/>
        </w:rPr>
      </w:pPr>
      <w:r w:rsidRPr="0018293F">
        <w:rPr>
          <w:rFonts w:asciiTheme="majorHAnsi" w:hAnsiTheme="majorHAnsi"/>
          <w:i/>
          <w:iCs/>
          <w:sz w:val="24"/>
          <w:szCs w:val="24"/>
        </w:rPr>
        <w:t>Fecha de vencimiento de la póliza o de la cobertura de cada inmueble, en caso de que la póliza cubra varios inmuebles.</w:t>
      </w:r>
    </w:p>
    <w:p w14:paraId="62406648" w14:textId="77777777" w:rsidR="002B31EF" w:rsidRPr="0018293F" w:rsidRDefault="002B31EF" w:rsidP="002B31EF">
      <w:pPr>
        <w:pStyle w:val="Prrafodelista"/>
        <w:numPr>
          <w:ilvl w:val="0"/>
          <w:numId w:val="12"/>
        </w:numPr>
        <w:spacing w:after="0" w:line="240" w:lineRule="auto"/>
        <w:ind w:left="709" w:hanging="425"/>
        <w:jc w:val="both"/>
        <w:rPr>
          <w:rFonts w:asciiTheme="majorHAnsi" w:hAnsiTheme="majorHAnsi"/>
          <w:i/>
          <w:iCs/>
          <w:sz w:val="24"/>
          <w:szCs w:val="24"/>
        </w:rPr>
      </w:pPr>
      <w:r w:rsidRPr="0018293F">
        <w:rPr>
          <w:rFonts w:asciiTheme="majorHAnsi" w:hAnsiTheme="majorHAnsi"/>
          <w:i/>
          <w:iCs/>
          <w:sz w:val="24"/>
          <w:szCs w:val="24"/>
        </w:rPr>
        <w:t>Código de la zona en la que se ubica el bien asegurado, conforme a las zonas establecidas en el Anexo RCS-6 del Reglamento.</w:t>
      </w:r>
    </w:p>
    <w:p w14:paraId="5BA0D343" w14:textId="77777777" w:rsidR="002B31EF" w:rsidRPr="0018293F" w:rsidRDefault="002B31EF" w:rsidP="002B31EF">
      <w:pPr>
        <w:pStyle w:val="Prrafodelista"/>
        <w:numPr>
          <w:ilvl w:val="0"/>
          <w:numId w:val="12"/>
        </w:numPr>
        <w:spacing w:after="0" w:line="240" w:lineRule="auto"/>
        <w:ind w:left="709" w:hanging="425"/>
        <w:jc w:val="both"/>
        <w:rPr>
          <w:rFonts w:asciiTheme="majorHAnsi" w:hAnsiTheme="majorHAnsi"/>
          <w:i/>
          <w:iCs/>
          <w:sz w:val="24"/>
          <w:szCs w:val="24"/>
        </w:rPr>
      </w:pPr>
      <w:r w:rsidRPr="0018293F">
        <w:rPr>
          <w:rFonts w:asciiTheme="majorHAnsi" w:hAnsiTheme="majorHAnsi"/>
          <w:i/>
          <w:iCs/>
          <w:sz w:val="24"/>
          <w:szCs w:val="24"/>
        </w:rPr>
        <w:t>Código del tipo de bien, conforme a los tipos de bienes establecidos en el Anexo RCS-6 del Reglamento.</w:t>
      </w:r>
    </w:p>
    <w:p w14:paraId="43D59BE3" w14:textId="77777777" w:rsidR="002B31EF" w:rsidRPr="0018293F" w:rsidRDefault="002B31EF" w:rsidP="002B31EF">
      <w:pPr>
        <w:pStyle w:val="Prrafodelista"/>
        <w:numPr>
          <w:ilvl w:val="0"/>
          <w:numId w:val="12"/>
        </w:numPr>
        <w:spacing w:after="0" w:line="240" w:lineRule="auto"/>
        <w:ind w:left="709" w:hanging="425"/>
        <w:jc w:val="both"/>
        <w:rPr>
          <w:rFonts w:asciiTheme="majorHAnsi" w:hAnsiTheme="majorHAnsi"/>
          <w:i/>
          <w:iCs/>
          <w:sz w:val="24"/>
          <w:szCs w:val="24"/>
        </w:rPr>
      </w:pPr>
      <w:r w:rsidRPr="0018293F">
        <w:rPr>
          <w:rFonts w:asciiTheme="majorHAnsi" w:hAnsiTheme="majorHAnsi"/>
          <w:i/>
          <w:iCs/>
          <w:sz w:val="24"/>
          <w:szCs w:val="24"/>
        </w:rPr>
        <w:t>Suma asegurada de la cobertura de daños materiales.</w:t>
      </w:r>
    </w:p>
    <w:p w14:paraId="74CA388A" w14:textId="77777777" w:rsidR="002B31EF" w:rsidRPr="0018293F" w:rsidRDefault="002B31EF" w:rsidP="002B31EF">
      <w:pPr>
        <w:pStyle w:val="Prrafodelista"/>
        <w:numPr>
          <w:ilvl w:val="0"/>
          <w:numId w:val="12"/>
        </w:numPr>
        <w:spacing w:after="0" w:line="240" w:lineRule="auto"/>
        <w:ind w:left="709" w:hanging="425"/>
        <w:jc w:val="both"/>
        <w:rPr>
          <w:rFonts w:asciiTheme="majorHAnsi" w:hAnsiTheme="majorHAnsi"/>
          <w:i/>
          <w:iCs/>
          <w:sz w:val="24"/>
          <w:szCs w:val="24"/>
        </w:rPr>
      </w:pPr>
      <w:r w:rsidRPr="0018293F">
        <w:rPr>
          <w:rFonts w:asciiTheme="majorHAnsi" w:hAnsiTheme="majorHAnsi"/>
          <w:i/>
          <w:iCs/>
          <w:sz w:val="24"/>
          <w:szCs w:val="24"/>
        </w:rPr>
        <w:t>Suma asegurada de la cobertura de contenidos.</w:t>
      </w:r>
    </w:p>
    <w:p w14:paraId="0CE8079D" w14:textId="77777777" w:rsidR="002B31EF" w:rsidRPr="0018293F" w:rsidRDefault="002B31EF" w:rsidP="002B31EF">
      <w:pPr>
        <w:pStyle w:val="Prrafodelista"/>
        <w:numPr>
          <w:ilvl w:val="0"/>
          <w:numId w:val="12"/>
        </w:numPr>
        <w:spacing w:after="0" w:line="240" w:lineRule="auto"/>
        <w:ind w:left="709" w:hanging="425"/>
        <w:jc w:val="both"/>
        <w:rPr>
          <w:rFonts w:asciiTheme="majorHAnsi" w:hAnsiTheme="majorHAnsi"/>
          <w:i/>
          <w:iCs/>
          <w:sz w:val="24"/>
          <w:szCs w:val="24"/>
        </w:rPr>
      </w:pPr>
      <w:r w:rsidRPr="0018293F">
        <w:rPr>
          <w:rFonts w:asciiTheme="majorHAnsi" w:hAnsiTheme="majorHAnsi"/>
          <w:i/>
          <w:iCs/>
          <w:sz w:val="24"/>
          <w:szCs w:val="24"/>
        </w:rPr>
        <w:t>Suma asegurada de la cobertura de pérdidas consecuenciales, pérdida de beneficios o cesación de lucro.</w:t>
      </w:r>
    </w:p>
    <w:p w14:paraId="3C78C0B7" w14:textId="77777777" w:rsidR="002B31EF" w:rsidRPr="0018293F" w:rsidRDefault="002B31EF" w:rsidP="002B31EF">
      <w:pPr>
        <w:pStyle w:val="Prrafodelista"/>
        <w:numPr>
          <w:ilvl w:val="0"/>
          <w:numId w:val="12"/>
        </w:numPr>
        <w:spacing w:after="0" w:line="240" w:lineRule="auto"/>
        <w:ind w:left="709" w:hanging="425"/>
        <w:jc w:val="both"/>
        <w:rPr>
          <w:rFonts w:asciiTheme="majorHAnsi" w:hAnsiTheme="majorHAnsi"/>
          <w:i/>
          <w:iCs/>
          <w:sz w:val="24"/>
          <w:szCs w:val="24"/>
        </w:rPr>
      </w:pPr>
      <w:r w:rsidRPr="0018293F">
        <w:rPr>
          <w:rFonts w:asciiTheme="majorHAnsi" w:hAnsiTheme="majorHAnsi"/>
          <w:i/>
          <w:iCs/>
          <w:sz w:val="24"/>
          <w:szCs w:val="24"/>
        </w:rPr>
        <w:t>Costo del reaseguro no proporcional que, en su caso, esté participando en el riesgo de la póliza.</w:t>
      </w:r>
    </w:p>
    <w:p w14:paraId="7F860C89" w14:textId="77777777" w:rsidR="002B31EF" w:rsidRPr="0018293F" w:rsidRDefault="002B31EF" w:rsidP="002B31EF">
      <w:pPr>
        <w:pStyle w:val="Prrafodelista"/>
        <w:numPr>
          <w:ilvl w:val="0"/>
          <w:numId w:val="12"/>
        </w:numPr>
        <w:spacing w:after="0" w:line="240" w:lineRule="auto"/>
        <w:ind w:left="709" w:hanging="425"/>
        <w:jc w:val="both"/>
        <w:rPr>
          <w:rFonts w:asciiTheme="majorHAnsi" w:hAnsiTheme="majorHAnsi"/>
          <w:i/>
          <w:iCs/>
          <w:sz w:val="24"/>
          <w:szCs w:val="24"/>
        </w:rPr>
      </w:pPr>
      <w:r w:rsidRPr="0018293F">
        <w:rPr>
          <w:rFonts w:asciiTheme="majorHAnsi" w:hAnsiTheme="majorHAnsi"/>
          <w:i/>
          <w:iCs/>
          <w:sz w:val="24"/>
          <w:szCs w:val="24"/>
        </w:rPr>
        <w:t>Prioridad del contrato de reaseguro de exceso de pérdida XL que participa en la póliza.</w:t>
      </w:r>
    </w:p>
    <w:p w14:paraId="549BDEBA" w14:textId="77777777" w:rsidR="002B31EF" w:rsidRPr="0018293F" w:rsidRDefault="002B31EF" w:rsidP="002B31EF">
      <w:pPr>
        <w:pStyle w:val="Prrafodelista"/>
        <w:numPr>
          <w:ilvl w:val="0"/>
          <w:numId w:val="12"/>
        </w:numPr>
        <w:spacing w:after="0" w:line="240" w:lineRule="auto"/>
        <w:ind w:left="709" w:hanging="425"/>
        <w:jc w:val="both"/>
        <w:rPr>
          <w:rFonts w:asciiTheme="majorHAnsi" w:hAnsiTheme="majorHAnsi"/>
          <w:i/>
          <w:iCs/>
          <w:sz w:val="24"/>
          <w:szCs w:val="24"/>
        </w:rPr>
      </w:pPr>
      <w:r w:rsidRPr="0018293F">
        <w:rPr>
          <w:rFonts w:asciiTheme="majorHAnsi" w:hAnsiTheme="majorHAnsi"/>
          <w:i/>
          <w:iCs/>
          <w:sz w:val="24"/>
          <w:szCs w:val="24"/>
        </w:rPr>
        <w:t>Cobertura del contrato XL que participa en la póliza</w:t>
      </w:r>
    </w:p>
    <w:p w14:paraId="7ABC6241" w14:textId="77777777" w:rsidR="002B31EF" w:rsidRPr="0018293F" w:rsidRDefault="002B31EF" w:rsidP="002B31EF">
      <w:pPr>
        <w:pStyle w:val="Prrafodelista"/>
        <w:numPr>
          <w:ilvl w:val="0"/>
          <w:numId w:val="12"/>
        </w:numPr>
        <w:spacing w:after="0" w:line="240" w:lineRule="auto"/>
        <w:ind w:left="709" w:hanging="425"/>
        <w:jc w:val="both"/>
        <w:rPr>
          <w:rFonts w:asciiTheme="majorHAnsi" w:hAnsiTheme="majorHAnsi"/>
          <w:i/>
          <w:iCs/>
          <w:sz w:val="24"/>
          <w:szCs w:val="24"/>
        </w:rPr>
      </w:pPr>
      <w:r w:rsidRPr="0018293F">
        <w:rPr>
          <w:rFonts w:asciiTheme="majorHAnsi" w:hAnsiTheme="majorHAnsi"/>
          <w:i/>
          <w:iCs/>
          <w:sz w:val="24"/>
          <w:szCs w:val="24"/>
        </w:rPr>
        <w:t>Prima retenida por la entidad considerando contratos de reaseguro proporcional, correspondiente a la póliza, bien y cobertura de que se trate.</w:t>
      </w:r>
    </w:p>
    <w:p w14:paraId="28124BE7" w14:textId="77777777" w:rsidR="002B31EF" w:rsidRPr="0018293F" w:rsidRDefault="002B31EF" w:rsidP="002B31EF">
      <w:pPr>
        <w:pStyle w:val="Prrafodelista"/>
        <w:numPr>
          <w:ilvl w:val="0"/>
          <w:numId w:val="12"/>
        </w:numPr>
        <w:spacing w:after="0" w:line="240" w:lineRule="auto"/>
        <w:ind w:left="709" w:hanging="425"/>
        <w:jc w:val="both"/>
        <w:rPr>
          <w:rFonts w:asciiTheme="majorHAnsi" w:hAnsiTheme="majorHAnsi"/>
          <w:i/>
          <w:iCs/>
          <w:sz w:val="24"/>
          <w:szCs w:val="24"/>
        </w:rPr>
      </w:pPr>
      <w:r w:rsidRPr="0018293F">
        <w:rPr>
          <w:rFonts w:asciiTheme="majorHAnsi" w:hAnsiTheme="majorHAnsi"/>
          <w:i/>
          <w:iCs/>
          <w:sz w:val="24"/>
          <w:szCs w:val="24"/>
        </w:rPr>
        <w:t>Prima emitida total, correspondiente a la póliza, bien y cobertura de que se trate.</w:t>
      </w:r>
    </w:p>
    <w:p w14:paraId="60F6B329" w14:textId="77777777" w:rsidR="002B31EF" w:rsidRPr="0018293F" w:rsidRDefault="002B31EF" w:rsidP="002B31EF">
      <w:pPr>
        <w:pStyle w:val="Prrafodelista"/>
        <w:numPr>
          <w:ilvl w:val="0"/>
          <w:numId w:val="12"/>
        </w:numPr>
        <w:spacing w:after="0" w:line="240" w:lineRule="auto"/>
        <w:ind w:left="709" w:hanging="425"/>
        <w:jc w:val="both"/>
        <w:rPr>
          <w:rFonts w:asciiTheme="majorHAnsi" w:hAnsiTheme="majorHAnsi"/>
          <w:sz w:val="24"/>
          <w:szCs w:val="24"/>
        </w:rPr>
      </w:pPr>
      <w:r w:rsidRPr="0018293F">
        <w:rPr>
          <w:rFonts w:asciiTheme="majorHAnsi" w:hAnsiTheme="majorHAnsi"/>
          <w:i/>
          <w:sz w:val="24"/>
          <w:szCs w:val="24"/>
        </w:rPr>
        <w:t>Tipo de aseguramiento, de conformidad con lo establecido en el Anexo RCS-6 del Reglamento.</w:t>
      </w:r>
    </w:p>
    <w:p w14:paraId="7344085A" w14:textId="77777777" w:rsidR="002B31EF" w:rsidRPr="0018293F" w:rsidRDefault="002B31EF" w:rsidP="002B31EF">
      <w:pPr>
        <w:jc w:val="both"/>
        <w:rPr>
          <w:rFonts w:asciiTheme="majorHAnsi" w:hAnsiTheme="majorHAnsi"/>
          <w:b/>
          <w:i/>
          <w:iCs/>
        </w:rPr>
      </w:pPr>
    </w:p>
    <w:p w14:paraId="14016A72" w14:textId="77777777" w:rsidR="002B31EF" w:rsidRPr="0018293F" w:rsidRDefault="002B31EF" w:rsidP="002B31EF">
      <w:pPr>
        <w:jc w:val="both"/>
        <w:rPr>
          <w:rFonts w:asciiTheme="majorHAnsi" w:hAnsiTheme="majorHAnsi"/>
          <w:b/>
          <w:i/>
          <w:iCs/>
        </w:rPr>
      </w:pPr>
      <w:r w:rsidRPr="0018293F">
        <w:rPr>
          <w:rFonts w:asciiTheme="majorHAnsi" w:hAnsiTheme="majorHAnsi"/>
          <w:b/>
          <w:i/>
          <w:iCs/>
        </w:rPr>
        <w:t>REGISTRO DE RECLAMACIONES INCURRIDAS</w:t>
      </w:r>
    </w:p>
    <w:p w14:paraId="155D53BC" w14:textId="77777777" w:rsidR="002B31EF" w:rsidRPr="0018293F" w:rsidRDefault="002B31EF" w:rsidP="002B31EF">
      <w:pPr>
        <w:jc w:val="both"/>
        <w:rPr>
          <w:rFonts w:asciiTheme="majorHAnsi" w:hAnsiTheme="majorHAnsi"/>
          <w:bCs/>
          <w:i/>
          <w:iCs/>
          <w:u w:val="single"/>
        </w:rPr>
      </w:pPr>
    </w:p>
    <w:p w14:paraId="38620F3E" w14:textId="77777777" w:rsidR="002B31EF" w:rsidRPr="0018293F" w:rsidRDefault="002B31EF" w:rsidP="002B31EF">
      <w:pPr>
        <w:jc w:val="both"/>
        <w:rPr>
          <w:rFonts w:asciiTheme="majorHAnsi" w:hAnsiTheme="majorHAnsi"/>
          <w:bCs/>
          <w:i/>
          <w:iCs/>
          <w:u w:val="single"/>
        </w:rPr>
      </w:pPr>
      <w:r w:rsidRPr="0018293F">
        <w:rPr>
          <w:rFonts w:asciiTheme="majorHAnsi" w:hAnsiTheme="majorHAnsi"/>
          <w:bCs/>
          <w:i/>
          <w:iCs/>
          <w:u w:val="single"/>
        </w:rPr>
        <w:t>REGISTRO DE RECLAMACIONES INCURRIDAS SEGURO DIRECTO</w:t>
      </w:r>
    </w:p>
    <w:p w14:paraId="24EF7CFD" w14:textId="77777777" w:rsidR="002B31EF" w:rsidRPr="0018293F" w:rsidRDefault="002B31EF" w:rsidP="002B31EF">
      <w:pPr>
        <w:jc w:val="both"/>
        <w:rPr>
          <w:rFonts w:asciiTheme="majorHAnsi" w:hAnsiTheme="majorHAnsi"/>
          <w:bCs/>
          <w:i/>
          <w:iCs/>
          <w:u w:val="single"/>
        </w:rPr>
      </w:pPr>
    </w:p>
    <w:p w14:paraId="129AC9FC"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Ramo</w:t>
      </w:r>
    </w:p>
    <w:p w14:paraId="57437461"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Línea de seguro o grupo homogéneo</w:t>
      </w:r>
    </w:p>
    <w:p w14:paraId="51D4910B"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Producto (nombre y/o código)</w:t>
      </w:r>
    </w:p>
    <w:p w14:paraId="62CD2ABC"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Número de póliza</w:t>
      </w:r>
    </w:p>
    <w:p w14:paraId="73ED6308"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 xml:space="preserve">Número y/o código de siniestro </w:t>
      </w:r>
    </w:p>
    <w:p w14:paraId="74FD29F5"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 xml:space="preserve">Fecha de ocurrencia </w:t>
      </w:r>
    </w:p>
    <w:p w14:paraId="2F3F862E"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Fecha de declaración</w:t>
      </w:r>
    </w:p>
    <w:p w14:paraId="330B5506"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Evento/s que genera el siniestro reclamado</w:t>
      </w:r>
    </w:p>
    <w:p w14:paraId="54C99780"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Motivo del rechazo del siniestro</w:t>
      </w:r>
    </w:p>
    <w:p w14:paraId="54C5FEE9"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Valoración inicial asignada</w:t>
      </w:r>
    </w:p>
    <w:p w14:paraId="4AD122AF"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Montos pagados</w:t>
      </w:r>
    </w:p>
    <w:p w14:paraId="542C7EF2"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Fechas de los correspondientes montos pagados</w:t>
      </w:r>
    </w:p>
    <w:p w14:paraId="4A0EEEEB"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 xml:space="preserve">Montos por recobros </w:t>
      </w:r>
    </w:p>
    <w:p w14:paraId="39F08184"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Fechas de los correspondientes montos por recobros</w:t>
      </w:r>
      <w:r w:rsidRPr="0018293F">
        <w:rPr>
          <w:rStyle w:val="Refdenotaalpie"/>
          <w:rFonts w:asciiTheme="majorHAnsi" w:hAnsiTheme="majorHAnsi"/>
          <w:i/>
          <w:iCs/>
          <w:sz w:val="24"/>
          <w:szCs w:val="24"/>
        </w:rPr>
        <w:t>7</w:t>
      </w:r>
    </w:p>
    <w:p w14:paraId="5AA57E1E"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Monto de los gastos externos imputables a los siniestros</w:t>
      </w:r>
    </w:p>
    <w:p w14:paraId="19E42496"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 xml:space="preserve">Concepto de los gastos externos imputables a los siniestros </w:t>
      </w:r>
    </w:p>
    <w:p w14:paraId="605C403E"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Monto de los gastos internos imputables a los siniestros</w:t>
      </w:r>
    </w:p>
    <w:p w14:paraId="4E197BBD"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Concepto de los gastos internos imputables a los siniestros</w:t>
      </w:r>
    </w:p>
    <w:p w14:paraId="42ACED1C"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Intereses de mora</w:t>
      </w:r>
    </w:p>
    <w:p w14:paraId="7F1110C7"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Otras penalizaciones legalmente establecidas</w:t>
      </w:r>
    </w:p>
    <w:p w14:paraId="4CBD98AE"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Pasivo por reclamaciones incurridas en las diferentes fechas de cálculo</w:t>
      </w:r>
    </w:p>
    <w:p w14:paraId="209724C1"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 xml:space="preserve">Fechas de cálculo correspondientes del pasivo por reclamaciones incurridas </w:t>
      </w:r>
    </w:p>
    <w:p w14:paraId="6169B5E9"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Fecha de terminación (fecha de finalización total del pago del siniestro o en el caso que el siniestro no esté cubierto por la póliza, la fecha de su rechazo)</w:t>
      </w:r>
    </w:p>
    <w:p w14:paraId="2F749585"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Referencia del informe de liquidación del siniestro</w:t>
      </w:r>
    </w:p>
    <w:p w14:paraId="2698DC0B"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Siniestro controvertido por el asegurado (si/no)</w:t>
      </w:r>
    </w:p>
    <w:p w14:paraId="513E6BD6"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Fecha de comienzo de la controversia</w:t>
      </w:r>
    </w:p>
    <w:p w14:paraId="62BBC26A"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Fecha fin de la controversia</w:t>
      </w:r>
    </w:p>
    <w:p w14:paraId="581E35E5"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Referencia del informe sobre controversia</w:t>
      </w:r>
    </w:p>
    <w:p w14:paraId="1A0686C8"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Valoración inicial de los costos asociados a la controversia</w:t>
      </w:r>
    </w:p>
    <w:p w14:paraId="076D726A"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Costos finales asociados a la controversia</w:t>
      </w:r>
    </w:p>
    <w:p w14:paraId="0CCAF220"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Fecha de reapertura del siniestro</w:t>
      </w:r>
    </w:p>
    <w:p w14:paraId="60B77024"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Motivo de reapertura del siniestro</w:t>
      </w:r>
    </w:p>
    <w:p w14:paraId="78560FF5"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lastRenderedPageBreak/>
        <w:t>Número de contrato de reaseguro</w:t>
      </w:r>
    </w:p>
    <w:p w14:paraId="18AF2603"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Tipo de reaseguro (automático/facultativo, proporcional/no proporcional)</w:t>
      </w:r>
    </w:p>
    <w:p w14:paraId="12520C3F"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Porcentaje de cesión</w:t>
      </w:r>
    </w:p>
    <w:p w14:paraId="70AC877A"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Activo por reclamaciones incurridas del reaseguro mantenido (en las diferentes fechas de cálculo)</w:t>
      </w:r>
    </w:p>
    <w:p w14:paraId="25D6552C" w14:textId="77777777" w:rsidR="002B31EF" w:rsidRPr="0018293F" w:rsidRDefault="002B31EF" w:rsidP="002B31EF">
      <w:pPr>
        <w:pStyle w:val="Prrafodelista"/>
        <w:numPr>
          <w:ilvl w:val="0"/>
          <w:numId w:val="13"/>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Pagos realizados por el Reasegurador</w:t>
      </w:r>
    </w:p>
    <w:p w14:paraId="2A8E4A95" w14:textId="77777777" w:rsidR="002B31EF" w:rsidRPr="0018293F" w:rsidRDefault="002B31EF" w:rsidP="002B31EF">
      <w:pPr>
        <w:pStyle w:val="Prrafodelista"/>
        <w:numPr>
          <w:ilvl w:val="0"/>
          <w:numId w:val="13"/>
        </w:numPr>
        <w:spacing w:after="0" w:line="240" w:lineRule="auto"/>
        <w:jc w:val="both"/>
        <w:rPr>
          <w:rFonts w:asciiTheme="majorHAnsi" w:hAnsiTheme="majorHAnsi"/>
          <w:sz w:val="24"/>
          <w:szCs w:val="24"/>
        </w:rPr>
      </w:pPr>
      <w:r w:rsidRPr="0018293F">
        <w:rPr>
          <w:rFonts w:asciiTheme="majorHAnsi" w:hAnsiTheme="majorHAnsi"/>
          <w:bCs/>
          <w:i/>
          <w:iCs/>
          <w:sz w:val="24"/>
          <w:szCs w:val="24"/>
        </w:rPr>
        <w:t>Fechas de los correspondientes pagos realizados por el Reasegurador</w:t>
      </w:r>
    </w:p>
    <w:p w14:paraId="2FD0088D" w14:textId="77777777" w:rsidR="002B31EF" w:rsidRPr="0018293F" w:rsidRDefault="002B31EF" w:rsidP="002B31EF">
      <w:pPr>
        <w:jc w:val="both"/>
        <w:rPr>
          <w:rFonts w:asciiTheme="majorHAnsi" w:hAnsiTheme="majorHAnsi"/>
          <w:i/>
          <w:iCs/>
          <w:u w:val="single"/>
        </w:rPr>
      </w:pPr>
    </w:p>
    <w:p w14:paraId="5AE4DB91" w14:textId="77777777" w:rsidR="002B31EF" w:rsidRPr="0018293F" w:rsidRDefault="002B31EF" w:rsidP="002B31EF">
      <w:pPr>
        <w:jc w:val="both"/>
        <w:rPr>
          <w:rFonts w:asciiTheme="majorHAnsi" w:hAnsiTheme="majorHAnsi"/>
          <w:i/>
          <w:iCs/>
          <w:u w:val="single"/>
        </w:rPr>
      </w:pPr>
      <w:r w:rsidRPr="0018293F">
        <w:rPr>
          <w:rFonts w:asciiTheme="majorHAnsi" w:hAnsiTheme="majorHAnsi"/>
          <w:i/>
          <w:iCs/>
          <w:u w:val="single"/>
        </w:rPr>
        <w:t xml:space="preserve">REGISTRO DE </w:t>
      </w:r>
      <w:r w:rsidRPr="0018293F">
        <w:rPr>
          <w:rFonts w:asciiTheme="majorHAnsi" w:hAnsiTheme="majorHAnsi"/>
          <w:b/>
          <w:bCs/>
          <w:i/>
          <w:iCs/>
          <w:u w:val="single"/>
        </w:rPr>
        <w:t>RECLAMACIONES INCURRIDAS</w:t>
      </w:r>
      <w:r w:rsidRPr="0018293F">
        <w:rPr>
          <w:rFonts w:asciiTheme="majorHAnsi" w:hAnsiTheme="majorHAnsi"/>
          <w:i/>
          <w:iCs/>
          <w:u w:val="single"/>
        </w:rPr>
        <w:t xml:space="preserve"> REASEGURO ACEPTADO</w:t>
      </w:r>
    </w:p>
    <w:p w14:paraId="18C83B6B" w14:textId="77777777" w:rsidR="002B31EF" w:rsidRPr="0018293F" w:rsidRDefault="002B31EF" w:rsidP="002B31EF">
      <w:pPr>
        <w:jc w:val="both"/>
        <w:rPr>
          <w:rFonts w:asciiTheme="majorHAnsi" w:hAnsiTheme="majorHAnsi"/>
          <w:i/>
          <w:iCs/>
          <w:u w:val="single"/>
        </w:rPr>
      </w:pPr>
    </w:p>
    <w:p w14:paraId="549C475E"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Ramo</w:t>
      </w:r>
    </w:p>
    <w:p w14:paraId="0A6AD6A4"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Línea de seguro o grupo homogéneo</w:t>
      </w:r>
    </w:p>
    <w:p w14:paraId="3FB8FDDC"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Producto (nombre y/o código)</w:t>
      </w:r>
    </w:p>
    <w:p w14:paraId="36EFC82D"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póliza</w:t>
      </w:r>
    </w:p>
    <w:p w14:paraId="27DF255D"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Número y/o código de siniestro </w:t>
      </w:r>
    </w:p>
    <w:p w14:paraId="36A93169"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Fecha de ocurrencia </w:t>
      </w:r>
    </w:p>
    <w:p w14:paraId="13D94DB5"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declaración</w:t>
      </w:r>
    </w:p>
    <w:p w14:paraId="1286D3F3"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Número de </w:t>
      </w:r>
      <w:proofErr w:type="spellStart"/>
      <w:r w:rsidRPr="0018293F">
        <w:rPr>
          <w:rFonts w:asciiTheme="majorHAnsi" w:hAnsiTheme="majorHAnsi"/>
          <w:i/>
          <w:iCs/>
          <w:sz w:val="24"/>
          <w:szCs w:val="24"/>
        </w:rPr>
        <w:t>borderó</w:t>
      </w:r>
      <w:proofErr w:type="spellEnd"/>
      <w:r w:rsidRPr="0018293F">
        <w:rPr>
          <w:rFonts w:asciiTheme="majorHAnsi" w:hAnsiTheme="majorHAnsi"/>
          <w:i/>
          <w:iCs/>
          <w:sz w:val="24"/>
          <w:szCs w:val="24"/>
        </w:rPr>
        <w:t xml:space="preserve"> donde se incluyó la información del siniestro</w:t>
      </w:r>
    </w:p>
    <w:p w14:paraId="597DD7C9"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Fecha de </w:t>
      </w:r>
      <w:proofErr w:type="spellStart"/>
      <w:r w:rsidRPr="0018293F">
        <w:rPr>
          <w:rFonts w:asciiTheme="majorHAnsi" w:hAnsiTheme="majorHAnsi"/>
          <w:i/>
          <w:iCs/>
          <w:sz w:val="24"/>
          <w:szCs w:val="24"/>
        </w:rPr>
        <w:t>borderó</w:t>
      </w:r>
      <w:proofErr w:type="spellEnd"/>
      <w:r w:rsidRPr="0018293F">
        <w:rPr>
          <w:rFonts w:asciiTheme="majorHAnsi" w:hAnsiTheme="majorHAnsi"/>
          <w:i/>
          <w:iCs/>
          <w:sz w:val="24"/>
          <w:szCs w:val="24"/>
        </w:rPr>
        <w:t xml:space="preserve"> donde se incluyó la información del siniestro</w:t>
      </w:r>
    </w:p>
    <w:p w14:paraId="4BCC10F0"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Evento/s que genera el siniestro reclamado</w:t>
      </w:r>
    </w:p>
    <w:p w14:paraId="6EB295A3"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Motivo del rechazo del siniestro</w:t>
      </w:r>
    </w:p>
    <w:p w14:paraId="54236EDF"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Valoración inicial asignada</w:t>
      </w:r>
    </w:p>
    <w:p w14:paraId="6E614723"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Montos pagados</w:t>
      </w:r>
    </w:p>
    <w:p w14:paraId="24F2F9A9"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Fechas de los correspondientes montos pagados</w:t>
      </w:r>
    </w:p>
    <w:p w14:paraId="18608A42"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Montos por recobros</w:t>
      </w:r>
    </w:p>
    <w:p w14:paraId="4AA4D2DA"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Fechas de los correspondientes montos por recobros</w:t>
      </w:r>
    </w:p>
    <w:p w14:paraId="3039DCF9"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Monto de los gastos externos imputables a los siniestros </w:t>
      </w:r>
    </w:p>
    <w:p w14:paraId="36DF05E3"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Concepto de los gastos externos imputables a los siniestros</w:t>
      </w:r>
    </w:p>
    <w:p w14:paraId="24F1AF9B"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Monto de los gastos internos imputables a los siniestros</w:t>
      </w:r>
    </w:p>
    <w:p w14:paraId="66EA947D"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Concepto de los gastos internos imputables a los siniestros</w:t>
      </w:r>
    </w:p>
    <w:p w14:paraId="504F6EAE"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Pasivo por reclamaciones incurridas en las diferentes fechas de cálculo</w:t>
      </w:r>
    </w:p>
    <w:p w14:paraId="1255D8F0"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Fechas correspondientes de cálculo del pasivo por reclamaciones incurridas </w:t>
      </w:r>
    </w:p>
    <w:p w14:paraId="02702CDC"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terminación (fecha de finalización total del pago del siniestro o en el caso que el siniestro no esté cubierto por la póliza, la fecha de su rechazo)</w:t>
      </w:r>
    </w:p>
    <w:p w14:paraId="247593D8"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Referencia del informe de liquidación del siniestro</w:t>
      </w:r>
    </w:p>
    <w:p w14:paraId="4DB5877B"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Siniestro controvertido por la entidad reasegurada (si/no)</w:t>
      </w:r>
    </w:p>
    <w:p w14:paraId="481B6B80"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comienzo de la controversia</w:t>
      </w:r>
    </w:p>
    <w:p w14:paraId="5EF7E3F7"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fin de la controversia</w:t>
      </w:r>
    </w:p>
    <w:p w14:paraId="66F16C18"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lastRenderedPageBreak/>
        <w:t>Referencia del informe sobre controversia</w:t>
      </w:r>
    </w:p>
    <w:p w14:paraId="56CCCE1A"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Valoración inicial de los costos asociados a la controversia</w:t>
      </w:r>
    </w:p>
    <w:p w14:paraId="0A0B9F2E"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Costos finales asociados a la controversia</w:t>
      </w:r>
    </w:p>
    <w:p w14:paraId="7AE6521E"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reapertura del siniestro</w:t>
      </w:r>
    </w:p>
    <w:p w14:paraId="70E941C1"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Motivo de reapertura del siniestro</w:t>
      </w:r>
    </w:p>
    <w:p w14:paraId="3F8C88DE"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contrato de reaseguro retrocedido</w:t>
      </w:r>
    </w:p>
    <w:p w14:paraId="0D6B7AF4"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Tipo de reaseguro retrocedido (automático/facultativo, proporcional/no proporcional)</w:t>
      </w:r>
    </w:p>
    <w:p w14:paraId="6F588EFF"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Porcentaje de cesión</w:t>
      </w:r>
    </w:p>
    <w:p w14:paraId="3372BADB"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Activo por reclamaciones incurridas del reaseguro mantenido (en las diferentes fechas de cálculo)</w:t>
      </w:r>
    </w:p>
    <w:p w14:paraId="537744E4" w14:textId="77777777" w:rsidR="002B31EF" w:rsidRPr="0018293F" w:rsidRDefault="002B31EF" w:rsidP="002B31EF">
      <w:pPr>
        <w:pStyle w:val="Prrafodelista"/>
        <w:numPr>
          <w:ilvl w:val="0"/>
          <w:numId w:val="5"/>
        </w:numPr>
        <w:spacing w:after="0" w:line="240" w:lineRule="auto"/>
        <w:jc w:val="both"/>
        <w:rPr>
          <w:rFonts w:asciiTheme="majorHAnsi" w:hAnsiTheme="majorHAnsi"/>
          <w:i/>
          <w:iCs/>
          <w:sz w:val="24"/>
          <w:szCs w:val="24"/>
        </w:rPr>
      </w:pPr>
      <w:r w:rsidRPr="0018293F">
        <w:rPr>
          <w:rFonts w:asciiTheme="majorHAnsi" w:hAnsiTheme="majorHAnsi"/>
          <w:i/>
          <w:iCs/>
          <w:sz w:val="24"/>
          <w:szCs w:val="24"/>
        </w:rPr>
        <w:t>Pagos realizados por el Reasegurador</w:t>
      </w:r>
    </w:p>
    <w:p w14:paraId="219AB6CC" w14:textId="77777777" w:rsidR="002B31EF" w:rsidRPr="0018293F" w:rsidRDefault="002B31EF" w:rsidP="002B31EF">
      <w:pPr>
        <w:pStyle w:val="Prrafodelista"/>
        <w:numPr>
          <w:ilvl w:val="0"/>
          <w:numId w:val="5"/>
        </w:numPr>
        <w:spacing w:after="0" w:line="240" w:lineRule="auto"/>
        <w:jc w:val="both"/>
        <w:rPr>
          <w:rFonts w:asciiTheme="majorHAnsi" w:hAnsiTheme="majorHAnsi"/>
          <w:sz w:val="24"/>
          <w:szCs w:val="24"/>
        </w:rPr>
      </w:pPr>
      <w:r w:rsidRPr="0018293F">
        <w:rPr>
          <w:rFonts w:asciiTheme="majorHAnsi" w:hAnsiTheme="majorHAnsi"/>
          <w:i/>
          <w:iCs/>
          <w:sz w:val="24"/>
          <w:szCs w:val="24"/>
        </w:rPr>
        <w:t>Fechas de los correspondientes pagos realizados por el Reasegurador</w:t>
      </w:r>
    </w:p>
    <w:p w14:paraId="47636D07" w14:textId="77777777" w:rsidR="002B31EF" w:rsidRPr="0018293F" w:rsidRDefault="002B31EF" w:rsidP="002B31EF">
      <w:pPr>
        <w:jc w:val="both"/>
        <w:rPr>
          <w:rFonts w:asciiTheme="majorHAnsi" w:hAnsiTheme="majorHAnsi"/>
          <w:i/>
          <w:iCs/>
          <w:u w:val="single"/>
        </w:rPr>
      </w:pPr>
    </w:p>
    <w:p w14:paraId="4C5A72DE" w14:textId="77777777" w:rsidR="002B31EF" w:rsidRPr="0018293F" w:rsidRDefault="002B31EF" w:rsidP="002B31EF">
      <w:pPr>
        <w:jc w:val="both"/>
        <w:rPr>
          <w:rFonts w:asciiTheme="majorHAnsi" w:hAnsiTheme="majorHAnsi"/>
          <w:i/>
          <w:iCs/>
          <w:strike/>
          <w:u w:val="single"/>
        </w:rPr>
      </w:pPr>
      <w:r w:rsidRPr="0018293F">
        <w:rPr>
          <w:rFonts w:asciiTheme="majorHAnsi" w:hAnsiTheme="majorHAnsi"/>
          <w:i/>
          <w:iCs/>
          <w:u w:val="single"/>
        </w:rPr>
        <w:t xml:space="preserve">REGISTRO DE </w:t>
      </w:r>
      <w:r w:rsidRPr="0018293F">
        <w:rPr>
          <w:rFonts w:asciiTheme="majorHAnsi" w:hAnsiTheme="majorHAnsi"/>
          <w:b/>
          <w:bCs/>
          <w:i/>
          <w:iCs/>
          <w:u w:val="single"/>
        </w:rPr>
        <w:t>RECLAMACIONES INCURRIDAS</w:t>
      </w:r>
      <w:r w:rsidRPr="0018293F">
        <w:rPr>
          <w:rFonts w:asciiTheme="majorHAnsi" w:hAnsiTheme="majorHAnsi"/>
          <w:i/>
          <w:iCs/>
          <w:u w:val="single"/>
        </w:rPr>
        <w:t xml:space="preserve"> REASEGURO MANTENIDO</w:t>
      </w:r>
    </w:p>
    <w:p w14:paraId="44F599DF" w14:textId="77777777" w:rsidR="002B31EF" w:rsidRPr="0018293F" w:rsidRDefault="002B31EF" w:rsidP="002B31EF">
      <w:pPr>
        <w:jc w:val="both"/>
        <w:rPr>
          <w:rFonts w:asciiTheme="majorHAnsi" w:hAnsiTheme="majorHAnsi"/>
          <w:i/>
          <w:iCs/>
          <w:strike/>
          <w:u w:val="single"/>
        </w:rPr>
      </w:pPr>
    </w:p>
    <w:p w14:paraId="1D1CD715" w14:textId="77777777" w:rsidR="002B31EF" w:rsidRPr="0018293F" w:rsidRDefault="002B31EF" w:rsidP="002B31EF">
      <w:pPr>
        <w:pStyle w:val="Prrafodelista"/>
        <w:numPr>
          <w:ilvl w:val="0"/>
          <w:numId w:val="14"/>
        </w:numPr>
        <w:spacing w:after="0" w:line="240" w:lineRule="auto"/>
        <w:jc w:val="both"/>
        <w:rPr>
          <w:rFonts w:asciiTheme="majorHAnsi" w:hAnsiTheme="majorHAnsi"/>
          <w:i/>
          <w:iCs/>
          <w:sz w:val="24"/>
          <w:szCs w:val="24"/>
        </w:rPr>
      </w:pPr>
      <w:r w:rsidRPr="0018293F">
        <w:rPr>
          <w:rFonts w:asciiTheme="majorHAnsi" w:hAnsiTheme="majorHAnsi"/>
          <w:i/>
          <w:iCs/>
          <w:sz w:val="24"/>
          <w:szCs w:val="24"/>
        </w:rPr>
        <w:t>Ramo</w:t>
      </w:r>
    </w:p>
    <w:p w14:paraId="7673F6A6" w14:textId="77777777" w:rsidR="002B31EF" w:rsidRPr="0018293F" w:rsidRDefault="002B31EF" w:rsidP="002B31EF">
      <w:pPr>
        <w:pStyle w:val="Prrafodelista"/>
        <w:numPr>
          <w:ilvl w:val="0"/>
          <w:numId w:val="14"/>
        </w:numPr>
        <w:spacing w:after="0" w:line="240" w:lineRule="auto"/>
        <w:jc w:val="both"/>
        <w:rPr>
          <w:rFonts w:asciiTheme="majorHAnsi" w:hAnsiTheme="majorHAnsi"/>
          <w:i/>
          <w:iCs/>
          <w:sz w:val="24"/>
          <w:szCs w:val="24"/>
        </w:rPr>
      </w:pPr>
      <w:r w:rsidRPr="0018293F">
        <w:rPr>
          <w:rFonts w:asciiTheme="majorHAnsi" w:hAnsiTheme="majorHAnsi"/>
          <w:i/>
          <w:iCs/>
          <w:sz w:val="24"/>
          <w:szCs w:val="24"/>
        </w:rPr>
        <w:t>Producto (nombre y/o código) del seguro directo</w:t>
      </w:r>
    </w:p>
    <w:p w14:paraId="59CA3D15" w14:textId="77777777" w:rsidR="002B31EF" w:rsidRPr="0018293F" w:rsidRDefault="002B31EF" w:rsidP="002B31EF">
      <w:pPr>
        <w:pStyle w:val="Prrafodelista"/>
        <w:numPr>
          <w:ilvl w:val="0"/>
          <w:numId w:val="14"/>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contrato de reaseguro cedido o retrocedido</w:t>
      </w:r>
    </w:p>
    <w:p w14:paraId="3E96355B" w14:textId="77777777" w:rsidR="002B31EF" w:rsidRPr="0018293F" w:rsidRDefault="002B31EF" w:rsidP="002B31EF">
      <w:pPr>
        <w:pStyle w:val="Prrafodelista"/>
        <w:numPr>
          <w:ilvl w:val="0"/>
          <w:numId w:val="14"/>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Número y/o código de siniestro </w:t>
      </w:r>
    </w:p>
    <w:p w14:paraId="2389BF06" w14:textId="77777777" w:rsidR="002B31EF" w:rsidRPr="0018293F" w:rsidRDefault="002B31EF" w:rsidP="002B31EF">
      <w:pPr>
        <w:pStyle w:val="Prrafodelista"/>
        <w:numPr>
          <w:ilvl w:val="0"/>
          <w:numId w:val="14"/>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Fecha de ocurrencia </w:t>
      </w:r>
    </w:p>
    <w:p w14:paraId="76721049" w14:textId="77777777" w:rsidR="002B31EF" w:rsidRPr="0018293F" w:rsidRDefault="002B31EF" w:rsidP="002B31EF">
      <w:pPr>
        <w:pStyle w:val="Prrafodelista"/>
        <w:numPr>
          <w:ilvl w:val="0"/>
          <w:numId w:val="14"/>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declaración</w:t>
      </w:r>
    </w:p>
    <w:p w14:paraId="10E7A8D3" w14:textId="77777777" w:rsidR="002B31EF" w:rsidRPr="0018293F" w:rsidRDefault="002B31EF" w:rsidP="002B31EF">
      <w:pPr>
        <w:pStyle w:val="Prrafodelista"/>
        <w:numPr>
          <w:ilvl w:val="0"/>
          <w:numId w:val="14"/>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Número de </w:t>
      </w:r>
      <w:proofErr w:type="spellStart"/>
      <w:r w:rsidRPr="0018293F">
        <w:rPr>
          <w:rFonts w:asciiTheme="majorHAnsi" w:hAnsiTheme="majorHAnsi"/>
          <w:i/>
          <w:iCs/>
          <w:sz w:val="24"/>
          <w:szCs w:val="24"/>
        </w:rPr>
        <w:t>borderó</w:t>
      </w:r>
      <w:proofErr w:type="spellEnd"/>
      <w:r w:rsidRPr="0018293F">
        <w:rPr>
          <w:rFonts w:asciiTheme="majorHAnsi" w:hAnsiTheme="majorHAnsi"/>
          <w:i/>
          <w:iCs/>
          <w:sz w:val="24"/>
          <w:szCs w:val="24"/>
        </w:rPr>
        <w:t xml:space="preserve"> donde se incluyó la información del siniestro</w:t>
      </w:r>
    </w:p>
    <w:p w14:paraId="22445423" w14:textId="77777777" w:rsidR="002B31EF" w:rsidRPr="0018293F" w:rsidRDefault="002B31EF" w:rsidP="002B31EF">
      <w:pPr>
        <w:pStyle w:val="Prrafodelista"/>
        <w:numPr>
          <w:ilvl w:val="0"/>
          <w:numId w:val="14"/>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Fecha de </w:t>
      </w:r>
      <w:proofErr w:type="spellStart"/>
      <w:r w:rsidRPr="0018293F">
        <w:rPr>
          <w:rFonts w:asciiTheme="majorHAnsi" w:hAnsiTheme="majorHAnsi"/>
          <w:i/>
          <w:iCs/>
          <w:sz w:val="24"/>
          <w:szCs w:val="24"/>
        </w:rPr>
        <w:t>borderó</w:t>
      </w:r>
      <w:proofErr w:type="spellEnd"/>
      <w:r w:rsidRPr="0018293F">
        <w:rPr>
          <w:rFonts w:asciiTheme="majorHAnsi" w:hAnsiTheme="majorHAnsi"/>
          <w:i/>
          <w:iCs/>
          <w:sz w:val="24"/>
          <w:szCs w:val="24"/>
        </w:rPr>
        <w:t xml:space="preserve"> donde se incluyó la información del siniestro</w:t>
      </w:r>
    </w:p>
    <w:p w14:paraId="325C8002" w14:textId="77777777" w:rsidR="002B31EF" w:rsidRPr="0018293F" w:rsidRDefault="002B31EF" w:rsidP="002B31EF">
      <w:pPr>
        <w:pStyle w:val="Prrafodelista"/>
        <w:numPr>
          <w:ilvl w:val="0"/>
          <w:numId w:val="14"/>
        </w:numPr>
        <w:spacing w:after="0" w:line="240" w:lineRule="auto"/>
        <w:jc w:val="both"/>
        <w:rPr>
          <w:rFonts w:asciiTheme="majorHAnsi" w:hAnsiTheme="majorHAnsi"/>
          <w:i/>
          <w:iCs/>
          <w:sz w:val="24"/>
          <w:szCs w:val="24"/>
        </w:rPr>
      </w:pPr>
      <w:r w:rsidRPr="0018293F">
        <w:rPr>
          <w:rFonts w:asciiTheme="majorHAnsi" w:hAnsiTheme="majorHAnsi"/>
          <w:i/>
          <w:iCs/>
          <w:sz w:val="24"/>
          <w:szCs w:val="24"/>
        </w:rPr>
        <w:t>Evento/s que genera el siniestro reclamado</w:t>
      </w:r>
    </w:p>
    <w:p w14:paraId="21A79688" w14:textId="77777777" w:rsidR="002B31EF" w:rsidRPr="0018293F" w:rsidRDefault="002B31EF" w:rsidP="002B31EF">
      <w:pPr>
        <w:pStyle w:val="Prrafodelista"/>
        <w:numPr>
          <w:ilvl w:val="0"/>
          <w:numId w:val="14"/>
        </w:numPr>
        <w:spacing w:after="0" w:line="240" w:lineRule="auto"/>
        <w:jc w:val="both"/>
        <w:rPr>
          <w:rFonts w:asciiTheme="majorHAnsi" w:hAnsiTheme="majorHAnsi"/>
          <w:i/>
          <w:iCs/>
          <w:sz w:val="24"/>
          <w:szCs w:val="24"/>
        </w:rPr>
      </w:pPr>
      <w:r w:rsidRPr="0018293F">
        <w:rPr>
          <w:rFonts w:asciiTheme="majorHAnsi" w:hAnsiTheme="majorHAnsi"/>
          <w:i/>
          <w:iCs/>
          <w:sz w:val="24"/>
          <w:szCs w:val="24"/>
        </w:rPr>
        <w:t>Motivo del rechazo del siniestro (en caso de ser rechazo por la entidad reaseguradora)</w:t>
      </w:r>
    </w:p>
    <w:p w14:paraId="3546B606" w14:textId="77777777" w:rsidR="002B31EF" w:rsidRPr="0018293F" w:rsidRDefault="002B31EF" w:rsidP="002B31EF">
      <w:pPr>
        <w:pStyle w:val="Prrafodelista"/>
        <w:numPr>
          <w:ilvl w:val="0"/>
          <w:numId w:val="14"/>
        </w:numPr>
        <w:spacing w:after="0" w:line="240" w:lineRule="auto"/>
        <w:jc w:val="both"/>
        <w:rPr>
          <w:rFonts w:asciiTheme="majorHAnsi" w:hAnsiTheme="majorHAnsi"/>
          <w:i/>
          <w:iCs/>
          <w:sz w:val="24"/>
          <w:szCs w:val="24"/>
        </w:rPr>
      </w:pPr>
      <w:r w:rsidRPr="0018293F">
        <w:rPr>
          <w:rFonts w:asciiTheme="majorHAnsi" w:hAnsiTheme="majorHAnsi"/>
          <w:i/>
          <w:iCs/>
          <w:sz w:val="24"/>
          <w:szCs w:val="24"/>
        </w:rPr>
        <w:t>Montos pagados por la entidad reaseguradora</w:t>
      </w:r>
    </w:p>
    <w:p w14:paraId="74C1DD1E" w14:textId="77777777" w:rsidR="002B31EF" w:rsidRPr="0018293F" w:rsidRDefault="002B31EF" w:rsidP="002B31EF">
      <w:pPr>
        <w:pStyle w:val="Prrafodelista"/>
        <w:numPr>
          <w:ilvl w:val="0"/>
          <w:numId w:val="14"/>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Fechas de los correspondientes montos pagados</w:t>
      </w:r>
    </w:p>
    <w:p w14:paraId="4C4CB90A" w14:textId="77777777" w:rsidR="002B31EF" w:rsidRPr="0018293F" w:rsidRDefault="002B31EF" w:rsidP="002B31EF">
      <w:pPr>
        <w:pStyle w:val="Prrafodelista"/>
        <w:numPr>
          <w:ilvl w:val="0"/>
          <w:numId w:val="14"/>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terminación (fecha de finalización total del pago del siniestro o en el caso que el siniestro no esté cubierto por la póliza, la fecha de su rechazo)</w:t>
      </w:r>
    </w:p>
    <w:p w14:paraId="36639943" w14:textId="77777777" w:rsidR="002B31EF" w:rsidRPr="0018293F" w:rsidRDefault="002B31EF" w:rsidP="002B31EF">
      <w:pPr>
        <w:pStyle w:val="Prrafodelista"/>
        <w:numPr>
          <w:ilvl w:val="0"/>
          <w:numId w:val="14"/>
        </w:numPr>
        <w:spacing w:after="0" w:line="240" w:lineRule="auto"/>
        <w:jc w:val="both"/>
        <w:rPr>
          <w:rFonts w:asciiTheme="majorHAnsi" w:hAnsiTheme="majorHAnsi"/>
          <w:i/>
          <w:iCs/>
          <w:sz w:val="24"/>
          <w:szCs w:val="24"/>
        </w:rPr>
      </w:pPr>
      <w:r w:rsidRPr="0018293F">
        <w:rPr>
          <w:rFonts w:asciiTheme="majorHAnsi" w:hAnsiTheme="majorHAnsi"/>
          <w:i/>
          <w:iCs/>
          <w:sz w:val="24"/>
          <w:szCs w:val="24"/>
        </w:rPr>
        <w:t>Referencia del informe de liquidación del siniestro</w:t>
      </w:r>
    </w:p>
    <w:p w14:paraId="25FB7702" w14:textId="77777777" w:rsidR="002B31EF" w:rsidRPr="0018293F" w:rsidRDefault="002B31EF" w:rsidP="002B31EF">
      <w:pPr>
        <w:pStyle w:val="Prrafodelista"/>
        <w:numPr>
          <w:ilvl w:val="0"/>
          <w:numId w:val="14"/>
        </w:numPr>
        <w:spacing w:after="0" w:line="240" w:lineRule="auto"/>
        <w:jc w:val="both"/>
        <w:rPr>
          <w:rFonts w:asciiTheme="majorHAnsi" w:hAnsiTheme="majorHAnsi"/>
          <w:i/>
          <w:iCs/>
          <w:sz w:val="24"/>
          <w:szCs w:val="24"/>
        </w:rPr>
      </w:pPr>
      <w:r w:rsidRPr="0018293F">
        <w:rPr>
          <w:rFonts w:asciiTheme="majorHAnsi" w:hAnsiTheme="majorHAnsi"/>
          <w:i/>
          <w:iCs/>
          <w:sz w:val="24"/>
          <w:szCs w:val="24"/>
        </w:rPr>
        <w:t>Siniestro controvertido por la entidad reaseguradora (si/no)</w:t>
      </w:r>
    </w:p>
    <w:p w14:paraId="3B114F22" w14:textId="77777777" w:rsidR="002B31EF" w:rsidRPr="0018293F" w:rsidRDefault="002B31EF" w:rsidP="002B31EF">
      <w:pPr>
        <w:pStyle w:val="Prrafodelista"/>
        <w:numPr>
          <w:ilvl w:val="0"/>
          <w:numId w:val="14"/>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comienzo de la controversia</w:t>
      </w:r>
    </w:p>
    <w:p w14:paraId="2215A92A" w14:textId="77777777" w:rsidR="002B31EF" w:rsidRPr="0018293F" w:rsidRDefault="002B31EF" w:rsidP="002B31EF">
      <w:pPr>
        <w:pStyle w:val="Prrafodelista"/>
        <w:numPr>
          <w:ilvl w:val="0"/>
          <w:numId w:val="14"/>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fin de la controversia</w:t>
      </w:r>
    </w:p>
    <w:p w14:paraId="3407739F" w14:textId="77777777" w:rsidR="002B31EF" w:rsidRPr="0018293F" w:rsidRDefault="002B31EF" w:rsidP="002B31EF">
      <w:pPr>
        <w:pStyle w:val="Prrafodelista"/>
        <w:numPr>
          <w:ilvl w:val="0"/>
          <w:numId w:val="14"/>
        </w:numPr>
        <w:spacing w:after="0" w:line="240" w:lineRule="auto"/>
        <w:jc w:val="both"/>
        <w:rPr>
          <w:rFonts w:asciiTheme="majorHAnsi" w:hAnsiTheme="majorHAnsi"/>
          <w:i/>
          <w:iCs/>
          <w:sz w:val="24"/>
          <w:szCs w:val="24"/>
        </w:rPr>
      </w:pPr>
      <w:r w:rsidRPr="0018293F">
        <w:rPr>
          <w:rFonts w:asciiTheme="majorHAnsi" w:hAnsiTheme="majorHAnsi"/>
          <w:i/>
          <w:iCs/>
          <w:sz w:val="24"/>
          <w:szCs w:val="24"/>
        </w:rPr>
        <w:t>Referencia del informe sobre controversia</w:t>
      </w:r>
    </w:p>
    <w:p w14:paraId="1CEB598E" w14:textId="77777777" w:rsidR="002B31EF" w:rsidRPr="0018293F" w:rsidRDefault="002B31EF" w:rsidP="002B31EF">
      <w:pPr>
        <w:pStyle w:val="Prrafodelista"/>
        <w:numPr>
          <w:ilvl w:val="0"/>
          <w:numId w:val="14"/>
        </w:numPr>
        <w:spacing w:after="0" w:line="240" w:lineRule="auto"/>
        <w:jc w:val="both"/>
        <w:rPr>
          <w:rFonts w:asciiTheme="majorHAnsi" w:hAnsiTheme="majorHAnsi"/>
          <w:i/>
          <w:iCs/>
          <w:sz w:val="24"/>
          <w:szCs w:val="24"/>
        </w:rPr>
      </w:pPr>
      <w:r w:rsidRPr="0018293F">
        <w:rPr>
          <w:rFonts w:asciiTheme="majorHAnsi" w:hAnsiTheme="majorHAnsi"/>
          <w:i/>
          <w:iCs/>
          <w:sz w:val="24"/>
          <w:szCs w:val="24"/>
        </w:rPr>
        <w:t>Valoración inicial de los costos asociados a la controversia</w:t>
      </w:r>
    </w:p>
    <w:p w14:paraId="0BD7584F" w14:textId="77777777" w:rsidR="002B31EF" w:rsidRPr="0018293F" w:rsidRDefault="002B31EF" w:rsidP="002B31EF">
      <w:pPr>
        <w:pStyle w:val="Prrafodelista"/>
        <w:numPr>
          <w:ilvl w:val="0"/>
          <w:numId w:val="14"/>
        </w:numPr>
        <w:spacing w:after="0" w:line="240" w:lineRule="auto"/>
        <w:jc w:val="both"/>
        <w:rPr>
          <w:rFonts w:asciiTheme="majorHAnsi" w:hAnsiTheme="majorHAnsi"/>
          <w:i/>
          <w:iCs/>
          <w:sz w:val="24"/>
          <w:szCs w:val="24"/>
        </w:rPr>
      </w:pPr>
      <w:r w:rsidRPr="0018293F">
        <w:rPr>
          <w:rFonts w:asciiTheme="majorHAnsi" w:hAnsiTheme="majorHAnsi"/>
          <w:i/>
          <w:iCs/>
          <w:sz w:val="24"/>
          <w:szCs w:val="24"/>
        </w:rPr>
        <w:t>Costos finales asociados a la controversia</w:t>
      </w:r>
    </w:p>
    <w:p w14:paraId="5F637942" w14:textId="77777777" w:rsidR="002B31EF" w:rsidRPr="0018293F" w:rsidRDefault="002B31EF" w:rsidP="002B31EF">
      <w:pPr>
        <w:pStyle w:val="Prrafodelista"/>
        <w:numPr>
          <w:ilvl w:val="0"/>
          <w:numId w:val="14"/>
        </w:numPr>
        <w:spacing w:after="0" w:line="240" w:lineRule="auto"/>
        <w:jc w:val="both"/>
        <w:rPr>
          <w:rFonts w:asciiTheme="majorHAnsi" w:hAnsiTheme="majorHAnsi"/>
          <w:i/>
          <w:iCs/>
          <w:sz w:val="24"/>
          <w:szCs w:val="24"/>
        </w:rPr>
      </w:pPr>
      <w:r w:rsidRPr="0018293F">
        <w:rPr>
          <w:rFonts w:asciiTheme="majorHAnsi" w:hAnsiTheme="majorHAnsi"/>
          <w:i/>
          <w:iCs/>
          <w:sz w:val="24"/>
          <w:szCs w:val="24"/>
        </w:rPr>
        <w:t>Porcentaje de cesión</w:t>
      </w:r>
    </w:p>
    <w:p w14:paraId="062FB96A" w14:textId="77777777" w:rsidR="002B31EF" w:rsidRPr="0018293F" w:rsidRDefault="002B31EF" w:rsidP="002B31EF">
      <w:pPr>
        <w:pStyle w:val="Prrafodelista"/>
        <w:numPr>
          <w:ilvl w:val="0"/>
          <w:numId w:val="14"/>
        </w:numPr>
        <w:spacing w:after="0" w:line="240" w:lineRule="auto"/>
        <w:jc w:val="both"/>
        <w:rPr>
          <w:rFonts w:asciiTheme="majorHAnsi" w:hAnsiTheme="majorHAnsi"/>
          <w:i/>
          <w:iCs/>
          <w:sz w:val="24"/>
          <w:szCs w:val="24"/>
        </w:rPr>
      </w:pPr>
      <w:r w:rsidRPr="0018293F">
        <w:rPr>
          <w:rFonts w:asciiTheme="majorHAnsi" w:hAnsiTheme="majorHAnsi"/>
          <w:i/>
          <w:iCs/>
          <w:sz w:val="24"/>
          <w:szCs w:val="24"/>
        </w:rPr>
        <w:lastRenderedPageBreak/>
        <w:t>Activo por reclamaciones incurridas del reaseguro mantenido (en las diferentes fechas de cálculo)</w:t>
      </w:r>
    </w:p>
    <w:p w14:paraId="6FE8C237" w14:textId="77777777" w:rsidR="002B31EF" w:rsidRPr="0018293F" w:rsidRDefault="002B31EF" w:rsidP="002B31EF">
      <w:pPr>
        <w:pStyle w:val="Prrafodelista"/>
        <w:numPr>
          <w:ilvl w:val="0"/>
          <w:numId w:val="14"/>
        </w:numPr>
        <w:spacing w:after="0" w:line="240" w:lineRule="auto"/>
        <w:jc w:val="both"/>
        <w:rPr>
          <w:rFonts w:asciiTheme="majorHAnsi" w:hAnsiTheme="majorHAnsi"/>
          <w:sz w:val="24"/>
          <w:szCs w:val="24"/>
        </w:rPr>
      </w:pPr>
      <w:r w:rsidRPr="0018293F">
        <w:rPr>
          <w:rFonts w:asciiTheme="majorHAnsi" w:hAnsiTheme="majorHAnsi"/>
          <w:i/>
          <w:iCs/>
          <w:sz w:val="24"/>
          <w:szCs w:val="24"/>
        </w:rPr>
        <w:t xml:space="preserve">Fechas correspondientes de cálculo del activo por reaseguro mantenido </w:t>
      </w:r>
    </w:p>
    <w:p w14:paraId="4F6FA659" w14:textId="77777777" w:rsidR="002B31EF" w:rsidRPr="0018293F" w:rsidRDefault="002B31EF" w:rsidP="002B31EF">
      <w:pPr>
        <w:jc w:val="both"/>
        <w:rPr>
          <w:rFonts w:asciiTheme="majorHAnsi" w:hAnsiTheme="majorHAnsi"/>
          <w:b/>
          <w:i/>
          <w:iCs/>
        </w:rPr>
      </w:pPr>
    </w:p>
    <w:p w14:paraId="094D939B" w14:textId="77777777" w:rsidR="002B31EF" w:rsidRPr="0018293F" w:rsidRDefault="002B31EF" w:rsidP="002B31EF">
      <w:pPr>
        <w:jc w:val="both"/>
        <w:rPr>
          <w:rFonts w:asciiTheme="majorHAnsi" w:hAnsiTheme="majorHAnsi"/>
          <w:b/>
          <w:i/>
          <w:iCs/>
        </w:rPr>
      </w:pPr>
      <w:r w:rsidRPr="0018293F">
        <w:rPr>
          <w:rFonts w:asciiTheme="majorHAnsi" w:hAnsiTheme="majorHAnsi"/>
          <w:b/>
          <w:i/>
          <w:iCs/>
        </w:rPr>
        <w:t xml:space="preserve">REGISTRO DE ACTIVOS Y PASIVOS </w:t>
      </w:r>
    </w:p>
    <w:p w14:paraId="00244AAC" w14:textId="77777777" w:rsidR="002B31EF" w:rsidRPr="0018293F" w:rsidRDefault="002B31EF" w:rsidP="002B31EF">
      <w:pPr>
        <w:jc w:val="both"/>
        <w:rPr>
          <w:rFonts w:asciiTheme="majorHAnsi" w:hAnsiTheme="majorHAnsi"/>
          <w:bCs/>
          <w:i/>
          <w:iCs/>
        </w:rPr>
      </w:pPr>
    </w:p>
    <w:p w14:paraId="0B516627" w14:textId="77777777" w:rsidR="002B31EF" w:rsidRPr="0018293F" w:rsidRDefault="002B31EF" w:rsidP="002B31EF">
      <w:pPr>
        <w:jc w:val="both"/>
        <w:rPr>
          <w:rFonts w:asciiTheme="majorHAnsi" w:hAnsiTheme="majorHAnsi"/>
          <w:bCs/>
          <w:i/>
          <w:iCs/>
          <w:u w:val="single"/>
        </w:rPr>
      </w:pPr>
      <w:r w:rsidRPr="0018293F">
        <w:rPr>
          <w:rFonts w:asciiTheme="majorHAnsi" w:hAnsiTheme="majorHAnsi"/>
          <w:bCs/>
          <w:i/>
          <w:iCs/>
          <w:u w:val="single"/>
        </w:rPr>
        <w:t>ACTIVO O PASIVO POR LA COBERTURA RESTANTE SEGURO DIRECTO – SEGUROS GENERALES</w:t>
      </w:r>
    </w:p>
    <w:p w14:paraId="4CC8AC74" w14:textId="77777777" w:rsidR="002B31EF" w:rsidRPr="0018293F" w:rsidRDefault="002B31EF" w:rsidP="002B31EF">
      <w:pPr>
        <w:jc w:val="both"/>
        <w:rPr>
          <w:rFonts w:asciiTheme="majorHAnsi" w:hAnsiTheme="majorHAnsi"/>
          <w:bCs/>
          <w:i/>
          <w:iCs/>
          <w:u w:val="single"/>
        </w:rPr>
      </w:pPr>
    </w:p>
    <w:p w14:paraId="498CAE87"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Ramo</w:t>
      </w:r>
    </w:p>
    <w:p w14:paraId="35105E24"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Producto (nombre y/o código)</w:t>
      </w:r>
    </w:p>
    <w:p w14:paraId="4FF85089"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Número de póliza</w:t>
      </w:r>
    </w:p>
    <w:p w14:paraId="04368039"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Número de certificado de aseguramiento (en caso de seguros colectivos)</w:t>
      </w:r>
    </w:p>
    <w:p w14:paraId="39E1C620"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Número de adenda</w:t>
      </w:r>
    </w:p>
    <w:p w14:paraId="257A950A"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Fecha de emisión de adenda</w:t>
      </w:r>
    </w:p>
    <w:p w14:paraId="6AB46B2F"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Número de anulación de la póliza y/o adenda</w:t>
      </w:r>
    </w:p>
    <w:p w14:paraId="2680E003"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Fecha de anulación de la póliza y/o adenda</w:t>
      </w:r>
    </w:p>
    <w:p w14:paraId="391EA92F"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Nombre del tomador del seguro</w:t>
      </w:r>
    </w:p>
    <w:p w14:paraId="684D3E99"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Número de identificación del tomador del seguro</w:t>
      </w:r>
    </w:p>
    <w:p w14:paraId="76675B34"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 xml:space="preserve">Nombre del asegurado </w:t>
      </w:r>
    </w:p>
    <w:p w14:paraId="7622E21B"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Número de identificación del asegurado</w:t>
      </w:r>
    </w:p>
    <w:p w14:paraId="33492EB4"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 xml:space="preserve">Fecha de inicio de la póliza </w:t>
      </w:r>
    </w:p>
    <w:p w14:paraId="199183D6"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Fecha de vencimiento de la póliza</w:t>
      </w:r>
    </w:p>
    <w:p w14:paraId="7E7B776A"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Periodicidad del pago recibo (anual, semestral, trimestral, etc.)</w:t>
      </w:r>
    </w:p>
    <w:p w14:paraId="61A11312"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Prima comercial</w:t>
      </w:r>
    </w:p>
    <w:p w14:paraId="7B65733A"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Recargo de seguridad (en caso de existir)</w:t>
      </w:r>
    </w:p>
    <w:p w14:paraId="7E02622A"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 xml:space="preserve">Activo o pasivo por la cobertura restante a cada una de las fechas de cálculo </w:t>
      </w:r>
    </w:p>
    <w:p w14:paraId="3C7CED41"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 xml:space="preserve">Fechas de cálculo correspondientes al activo o pasivo por la cobertura restante </w:t>
      </w:r>
    </w:p>
    <w:p w14:paraId="1FA6A42B"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Unidades de cobertura</w:t>
      </w:r>
    </w:p>
    <w:p w14:paraId="56F4B905"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En caso de existir participación de beneficios se debe indicar los supuestos utilizados para la determinación del activo o pasivo por la cobertura restante, asociados con los beneficios.</w:t>
      </w:r>
    </w:p>
    <w:p w14:paraId="056AE5E3"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Número de contrato de reaseguro</w:t>
      </w:r>
    </w:p>
    <w:p w14:paraId="7101EC9C"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Tipo de contrato de reaseguro (obligatorio/facultativo, proporcional/no proporcional)</w:t>
      </w:r>
    </w:p>
    <w:p w14:paraId="71DF10E2"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Porcentaje de cesión</w:t>
      </w:r>
    </w:p>
    <w:p w14:paraId="1597A3D1" w14:textId="77777777" w:rsidR="002B31EF" w:rsidRPr="0018293F" w:rsidRDefault="002B31EF" w:rsidP="002B31EF">
      <w:pPr>
        <w:pStyle w:val="Prrafodelista"/>
        <w:numPr>
          <w:ilvl w:val="0"/>
          <w:numId w:val="15"/>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Activo por la cobertura restante del reaseguro mantenido en cada una de las fechas de cálculo.</w:t>
      </w:r>
    </w:p>
    <w:p w14:paraId="75744A2F" w14:textId="77777777" w:rsidR="002B31EF" w:rsidRPr="0018293F" w:rsidRDefault="002B31EF" w:rsidP="002B31EF">
      <w:pPr>
        <w:jc w:val="both"/>
        <w:rPr>
          <w:rFonts w:asciiTheme="majorHAnsi" w:hAnsiTheme="majorHAnsi"/>
        </w:rPr>
      </w:pPr>
    </w:p>
    <w:p w14:paraId="094EF54C" w14:textId="77777777" w:rsidR="002B31EF" w:rsidRPr="0018293F" w:rsidRDefault="002B31EF" w:rsidP="002B31EF">
      <w:pPr>
        <w:jc w:val="both"/>
        <w:rPr>
          <w:rFonts w:asciiTheme="majorHAnsi" w:hAnsiTheme="majorHAnsi"/>
          <w:b/>
          <w:bCs/>
          <w:i/>
          <w:iCs/>
          <w:u w:val="single"/>
        </w:rPr>
      </w:pPr>
      <w:r w:rsidRPr="0018293F">
        <w:rPr>
          <w:rFonts w:asciiTheme="majorHAnsi" w:hAnsiTheme="majorHAnsi"/>
          <w:i/>
          <w:iCs/>
          <w:u w:val="single"/>
        </w:rPr>
        <w:lastRenderedPageBreak/>
        <w:t>ACTIVO O PASIVO POR LA COBERTURA RESTANTE REASEGURO ACEPTADO- SEGUROS GENERALES</w:t>
      </w:r>
    </w:p>
    <w:p w14:paraId="352520C7" w14:textId="77777777" w:rsidR="002B31EF" w:rsidRPr="0018293F" w:rsidRDefault="002B31EF" w:rsidP="002B31EF">
      <w:pPr>
        <w:jc w:val="both"/>
        <w:rPr>
          <w:rFonts w:asciiTheme="majorHAnsi" w:hAnsiTheme="majorHAnsi"/>
          <w:i/>
          <w:iCs/>
          <w:u w:val="single"/>
        </w:rPr>
      </w:pPr>
    </w:p>
    <w:p w14:paraId="6C6746A9" w14:textId="77777777" w:rsidR="002B31EF" w:rsidRPr="0018293F" w:rsidRDefault="002B31EF" w:rsidP="002B31EF">
      <w:pPr>
        <w:pStyle w:val="Prrafodelista"/>
        <w:numPr>
          <w:ilvl w:val="0"/>
          <w:numId w:val="16"/>
        </w:numPr>
        <w:spacing w:after="0" w:line="240" w:lineRule="auto"/>
        <w:jc w:val="both"/>
        <w:rPr>
          <w:rFonts w:asciiTheme="majorHAnsi" w:hAnsiTheme="majorHAnsi"/>
          <w:i/>
          <w:iCs/>
          <w:sz w:val="24"/>
          <w:szCs w:val="24"/>
        </w:rPr>
      </w:pPr>
      <w:r w:rsidRPr="0018293F">
        <w:rPr>
          <w:rFonts w:asciiTheme="majorHAnsi" w:hAnsiTheme="majorHAnsi"/>
          <w:i/>
          <w:iCs/>
          <w:sz w:val="24"/>
          <w:szCs w:val="24"/>
        </w:rPr>
        <w:t>Ramo</w:t>
      </w:r>
    </w:p>
    <w:p w14:paraId="510EAF77" w14:textId="77777777" w:rsidR="002B31EF" w:rsidRPr="0018293F" w:rsidRDefault="002B31EF" w:rsidP="002B31EF">
      <w:pPr>
        <w:pStyle w:val="Prrafodelista"/>
        <w:numPr>
          <w:ilvl w:val="0"/>
          <w:numId w:val="16"/>
        </w:numPr>
        <w:spacing w:after="0" w:line="240" w:lineRule="auto"/>
        <w:jc w:val="both"/>
        <w:rPr>
          <w:rFonts w:asciiTheme="majorHAnsi" w:hAnsiTheme="majorHAnsi"/>
          <w:i/>
          <w:iCs/>
          <w:sz w:val="24"/>
          <w:szCs w:val="24"/>
        </w:rPr>
      </w:pPr>
      <w:r w:rsidRPr="0018293F">
        <w:rPr>
          <w:rFonts w:asciiTheme="majorHAnsi" w:hAnsiTheme="majorHAnsi"/>
          <w:i/>
          <w:iCs/>
          <w:sz w:val="24"/>
          <w:szCs w:val="24"/>
        </w:rPr>
        <w:t>Producto (nombre y/o código)</w:t>
      </w:r>
    </w:p>
    <w:p w14:paraId="3B6E3BA0" w14:textId="77777777" w:rsidR="002B31EF" w:rsidRPr="0018293F" w:rsidRDefault="002B31EF" w:rsidP="002B31EF">
      <w:pPr>
        <w:pStyle w:val="Prrafodelista"/>
        <w:numPr>
          <w:ilvl w:val="0"/>
          <w:numId w:val="16"/>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póliza</w:t>
      </w:r>
    </w:p>
    <w:p w14:paraId="0EF24956" w14:textId="77777777" w:rsidR="002B31EF" w:rsidRPr="0018293F" w:rsidRDefault="002B31EF" w:rsidP="002B31EF">
      <w:pPr>
        <w:pStyle w:val="Prrafodelista"/>
        <w:numPr>
          <w:ilvl w:val="0"/>
          <w:numId w:val="16"/>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adenda</w:t>
      </w:r>
    </w:p>
    <w:p w14:paraId="7FF42468" w14:textId="77777777" w:rsidR="002B31EF" w:rsidRPr="0018293F" w:rsidRDefault="002B31EF" w:rsidP="002B31EF">
      <w:pPr>
        <w:pStyle w:val="Prrafodelista"/>
        <w:numPr>
          <w:ilvl w:val="0"/>
          <w:numId w:val="16"/>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emisión de adenda</w:t>
      </w:r>
    </w:p>
    <w:p w14:paraId="5425A483" w14:textId="77777777" w:rsidR="002B31EF" w:rsidRPr="0018293F" w:rsidRDefault="002B31EF" w:rsidP="002B31EF">
      <w:pPr>
        <w:pStyle w:val="Prrafodelista"/>
        <w:numPr>
          <w:ilvl w:val="0"/>
          <w:numId w:val="16"/>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anulación de la póliza y/o adenda</w:t>
      </w:r>
    </w:p>
    <w:p w14:paraId="432523CF" w14:textId="77777777" w:rsidR="002B31EF" w:rsidRPr="0018293F" w:rsidRDefault="002B31EF" w:rsidP="002B31EF">
      <w:pPr>
        <w:pStyle w:val="Prrafodelista"/>
        <w:numPr>
          <w:ilvl w:val="0"/>
          <w:numId w:val="16"/>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anulación de la póliza y/o adenda</w:t>
      </w:r>
    </w:p>
    <w:p w14:paraId="02DB9D76" w14:textId="77777777" w:rsidR="002B31EF" w:rsidRPr="0018293F" w:rsidRDefault="002B31EF" w:rsidP="002B31EF">
      <w:pPr>
        <w:pStyle w:val="Prrafodelista"/>
        <w:numPr>
          <w:ilvl w:val="0"/>
          <w:numId w:val="16"/>
        </w:numPr>
        <w:spacing w:after="0" w:line="240" w:lineRule="auto"/>
        <w:jc w:val="both"/>
        <w:rPr>
          <w:rFonts w:asciiTheme="majorHAnsi" w:hAnsiTheme="majorHAnsi"/>
          <w:i/>
          <w:iCs/>
          <w:sz w:val="24"/>
          <w:szCs w:val="24"/>
        </w:rPr>
      </w:pPr>
      <w:r w:rsidRPr="0018293F">
        <w:rPr>
          <w:rFonts w:asciiTheme="majorHAnsi" w:hAnsiTheme="majorHAnsi"/>
          <w:i/>
          <w:iCs/>
          <w:sz w:val="24"/>
          <w:szCs w:val="24"/>
        </w:rPr>
        <w:t>Nombre de la entidad reasegurada</w:t>
      </w:r>
    </w:p>
    <w:p w14:paraId="3E346280" w14:textId="77777777" w:rsidR="002B31EF" w:rsidRPr="0018293F" w:rsidRDefault="002B31EF" w:rsidP="002B31EF">
      <w:pPr>
        <w:pStyle w:val="Prrafodelista"/>
        <w:numPr>
          <w:ilvl w:val="0"/>
          <w:numId w:val="16"/>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identificación de la entidad reasegurada</w:t>
      </w:r>
    </w:p>
    <w:p w14:paraId="7AB3AFE6" w14:textId="77777777" w:rsidR="002B31EF" w:rsidRPr="0018293F" w:rsidRDefault="002B31EF" w:rsidP="002B31EF">
      <w:pPr>
        <w:pStyle w:val="Prrafodelista"/>
        <w:numPr>
          <w:ilvl w:val="0"/>
          <w:numId w:val="16"/>
        </w:numPr>
        <w:spacing w:after="0" w:line="240" w:lineRule="auto"/>
        <w:jc w:val="both"/>
        <w:rPr>
          <w:rFonts w:asciiTheme="majorHAnsi" w:hAnsiTheme="majorHAnsi"/>
          <w:i/>
          <w:iCs/>
          <w:sz w:val="24"/>
          <w:szCs w:val="24"/>
        </w:rPr>
      </w:pPr>
      <w:r w:rsidRPr="0018293F">
        <w:rPr>
          <w:rFonts w:asciiTheme="majorHAnsi" w:hAnsiTheme="majorHAnsi"/>
          <w:i/>
          <w:iCs/>
          <w:sz w:val="24"/>
          <w:szCs w:val="24"/>
        </w:rPr>
        <w:t>Nombre del intermediario de reaseguros</w:t>
      </w:r>
    </w:p>
    <w:p w14:paraId="5A7014DF" w14:textId="77777777" w:rsidR="002B31EF" w:rsidRPr="0018293F" w:rsidRDefault="002B31EF" w:rsidP="002B31EF">
      <w:pPr>
        <w:pStyle w:val="Prrafodelista"/>
        <w:numPr>
          <w:ilvl w:val="0"/>
          <w:numId w:val="16"/>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identificación del intermediario de reaseguros</w:t>
      </w:r>
    </w:p>
    <w:p w14:paraId="18DD94D8" w14:textId="77777777" w:rsidR="002B31EF" w:rsidRPr="0018293F" w:rsidRDefault="002B31EF" w:rsidP="002B31EF">
      <w:pPr>
        <w:pStyle w:val="Prrafodelista"/>
        <w:numPr>
          <w:ilvl w:val="0"/>
          <w:numId w:val="16"/>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inicio de la póliza</w:t>
      </w:r>
    </w:p>
    <w:p w14:paraId="07A3D02E" w14:textId="77777777" w:rsidR="002B31EF" w:rsidRPr="0018293F" w:rsidRDefault="002B31EF" w:rsidP="002B31EF">
      <w:pPr>
        <w:pStyle w:val="Prrafodelista"/>
        <w:numPr>
          <w:ilvl w:val="0"/>
          <w:numId w:val="16"/>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vencimiento de la póliza</w:t>
      </w:r>
    </w:p>
    <w:p w14:paraId="3276208C" w14:textId="77777777" w:rsidR="002B31EF" w:rsidRPr="0018293F" w:rsidRDefault="002B31EF" w:rsidP="002B31EF">
      <w:pPr>
        <w:pStyle w:val="Prrafodelista"/>
        <w:numPr>
          <w:ilvl w:val="0"/>
          <w:numId w:val="16"/>
        </w:numPr>
        <w:spacing w:after="0" w:line="240" w:lineRule="auto"/>
        <w:jc w:val="both"/>
        <w:rPr>
          <w:rFonts w:asciiTheme="majorHAnsi" w:hAnsiTheme="majorHAnsi"/>
          <w:i/>
          <w:iCs/>
          <w:sz w:val="24"/>
          <w:szCs w:val="24"/>
        </w:rPr>
      </w:pPr>
      <w:r w:rsidRPr="0018293F">
        <w:rPr>
          <w:rFonts w:asciiTheme="majorHAnsi" w:hAnsiTheme="majorHAnsi"/>
          <w:i/>
          <w:iCs/>
          <w:sz w:val="24"/>
          <w:szCs w:val="24"/>
        </w:rPr>
        <w:t>Periodicidad del pago recibo (anual, semestral, trimestral, etc.)</w:t>
      </w:r>
    </w:p>
    <w:p w14:paraId="78CB584C" w14:textId="77777777" w:rsidR="002B31EF" w:rsidRPr="0018293F" w:rsidRDefault="002B31EF" w:rsidP="002B31EF">
      <w:pPr>
        <w:pStyle w:val="Prrafodelista"/>
        <w:numPr>
          <w:ilvl w:val="0"/>
          <w:numId w:val="16"/>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Prima de reaseguro </w:t>
      </w:r>
    </w:p>
    <w:p w14:paraId="2C0759B7" w14:textId="77777777" w:rsidR="002B31EF" w:rsidRPr="0018293F" w:rsidRDefault="002B31EF" w:rsidP="002B31EF">
      <w:pPr>
        <w:pStyle w:val="Prrafodelista"/>
        <w:numPr>
          <w:ilvl w:val="0"/>
          <w:numId w:val="16"/>
        </w:numPr>
        <w:spacing w:after="0" w:line="240" w:lineRule="auto"/>
        <w:jc w:val="both"/>
        <w:rPr>
          <w:rFonts w:asciiTheme="majorHAnsi" w:hAnsiTheme="majorHAnsi"/>
          <w:i/>
          <w:iCs/>
          <w:sz w:val="24"/>
          <w:szCs w:val="24"/>
        </w:rPr>
      </w:pPr>
      <w:r w:rsidRPr="0018293F">
        <w:rPr>
          <w:rFonts w:asciiTheme="majorHAnsi" w:hAnsiTheme="majorHAnsi"/>
          <w:i/>
          <w:iCs/>
          <w:sz w:val="24"/>
          <w:szCs w:val="24"/>
        </w:rPr>
        <w:t>Recargo de seguridad (en caso de existir)</w:t>
      </w:r>
    </w:p>
    <w:p w14:paraId="31098FEE" w14:textId="77777777" w:rsidR="002B31EF" w:rsidRPr="0018293F" w:rsidRDefault="002B31EF" w:rsidP="002B31EF">
      <w:pPr>
        <w:pStyle w:val="Prrafodelista"/>
        <w:numPr>
          <w:ilvl w:val="0"/>
          <w:numId w:val="16"/>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Activo o pasivo por la cobertura restante a las diferentes fechas de cálculo </w:t>
      </w:r>
    </w:p>
    <w:p w14:paraId="56E37E1E" w14:textId="77777777" w:rsidR="002B31EF" w:rsidRPr="0018293F" w:rsidRDefault="002B31EF" w:rsidP="002B31EF">
      <w:pPr>
        <w:pStyle w:val="Prrafodelista"/>
        <w:numPr>
          <w:ilvl w:val="0"/>
          <w:numId w:val="16"/>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Fechas de cálculo correspondiente al activo o pasivo por la cobertura restante</w:t>
      </w:r>
    </w:p>
    <w:p w14:paraId="706A2AE0" w14:textId="77777777" w:rsidR="002B31EF" w:rsidRPr="0018293F" w:rsidRDefault="002B31EF" w:rsidP="002B31EF">
      <w:pPr>
        <w:pStyle w:val="Prrafodelista"/>
        <w:numPr>
          <w:ilvl w:val="0"/>
          <w:numId w:val="16"/>
        </w:numPr>
        <w:spacing w:after="0" w:line="240" w:lineRule="auto"/>
        <w:jc w:val="both"/>
        <w:rPr>
          <w:rFonts w:asciiTheme="majorHAnsi" w:hAnsiTheme="majorHAnsi"/>
          <w:i/>
          <w:iCs/>
          <w:sz w:val="24"/>
          <w:szCs w:val="24"/>
        </w:rPr>
      </w:pPr>
      <w:r w:rsidRPr="0018293F">
        <w:rPr>
          <w:rFonts w:asciiTheme="majorHAnsi" w:hAnsiTheme="majorHAnsi"/>
          <w:i/>
          <w:iCs/>
          <w:sz w:val="24"/>
          <w:szCs w:val="24"/>
        </w:rPr>
        <w:t>Unidades de cobertura</w:t>
      </w:r>
    </w:p>
    <w:p w14:paraId="33FBB562" w14:textId="77777777" w:rsidR="002B31EF" w:rsidRPr="0018293F" w:rsidRDefault="002B31EF" w:rsidP="002B31EF">
      <w:pPr>
        <w:pStyle w:val="Prrafodelista"/>
        <w:numPr>
          <w:ilvl w:val="0"/>
          <w:numId w:val="16"/>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contrato de reaseguro</w:t>
      </w:r>
    </w:p>
    <w:p w14:paraId="5A6A3A8E" w14:textId="77777777" w:rsidR="002B31EF" w:rsidRPr="0018293F" w:rsidRDefault="002B31EF" w:rsidP="002B31EF">
      <w:pPr>
        <w:pStyle w:val="Prrafodelista"/>
        <w:numPr>
          <w:ilvl w:val="0"/>
          <w:numId w:val="16"/>
        </w:numPr>
        <w:spacing w:after="0" w:line="240" w:lineRule="auto"/>
        <w:jc w:val="both"/>
        <w:rPr>
          <w:rFonts w:asciiTheme="majorHAnsi" w:hAnsiTheme="majorHAnsi"/>
          <w:i/>
          <w:iCs/>
          <w:sz w:val="24"/>
          <w:szCs w:val="24"/>
        </w:rPr>
      </w:pPr>
      <w:r w:rsidRPr="0018293F">
        <w:rPr>
          <w:rFonts w:asciiTheme="majorHAnsi" w:hAnsiTheme="majorHAnsi"/>
          <w:i/>
          <w:iCs/>
          <w:sz w:val="24"/>
          <w:szCs w:val="24"/>
        </w:rPr>
        <w:t>Tipo de contrato de reaseguro (obligatorio/facultativo, proporcional/no proporcional)</w:t>
      </w:r>
    </w:p>
    <w:p w14:paraId="38553E24" w14:textId="77777777" w:rsidR="002B31EF" w:rsidRPr="0018293F" w:rsidRDefault="002B31EF" w:rsidP="002B31EF">
      <w:pPr>
        <w:pStyle w:val="Prrafodelista"/>
        <w:numPr>
          <w:ilvl w:val="0"/>
          <w:numId w:val="16"/>
        </w:numPr>
        <w:spacing w:after="0" w:line="240" w:lineRule="auto"/>
        <w:jc w:val="both"/>
        <w:rPr>
          <w:rFonts w:asciiTheme="majorHAnsi" w:hAnsiTheme="majorHAnsi"/>
          <w:i/>
          <w:iCs/>
          <w:sz w:val="24"/>
          <w:szCs w:val="24"/>
        </w:rPr>
      </w:pPr>
      <w:r w:rsidRPr="0018293F">
        <w:rPr>
          <w:rFonts w:asciiTheme="majorHAnsi" w:hAnsiTheme="majorHAnsi"/>
          <w:i/>
          <w:iCs/>
          <w:sz w:val="24"/>
          <w:szCs w:val="24"/>
        </w:rPr>
        <w:t>Porcentaje de cesión</w:t>
      </w:r>
    </w:p>
    <w:p w14:paraId="393DBBC7" w14:textId="77777777" w:rsidR="002B31EF" w:rsidRPr="0018293F" w:rsidRDefault="002B31EF" w:rsidP="002B31EF">
      <w:pPr>
        <w:pStyle w:val="Prrafodelista"/>
        <w:numPr>
          <w:ilvl w:val="0"/>
          <w:numId w:val="16"/>
        </w:numPr>
        <w:spacing w:after="0" w:line="240" w:lineRule="auto"/>
        <w:jc w:val="both"/>
        <w:rPr>
          <w:rFonts w:asciiTheme="majorHAnsi" w:hAnsiTheme="majorHAnsi"/>
          <w:sz w:val="24"/>
          <w:szCs w:val="24"/>
        </w:rPr>
      </w:pPr>
      <w:r w:rsidRPr="0018293F">
        <w:rPr>
          <w:rFonts w:asciiTheme="majorHAnsi" w:hAnsiTheme="majorHAnsi"/>
          <w:i/>
          <w:iCs/>
          <w:sz w:val="24"/>
          <w:szCs w:val="24"/>
        </w:rPr>
        <w:t>Activo por la cobertura restante del reaseguro mantenido.</w:t>
      </w:r>
    </w:p>
    <w:p w14:paraId="10598CD3" w14:textId="77777777" w:rsidR="002B31EF" w:rsidRPr="0018293F" w:rsidRDefault="002B31EF" w:rsidP="002B31EF">
      <w:pPr>
        <w:jc w:val="both"/>
        <w:rPr>
          <w:rFonts w:asciiTheme="majorHAnsi" w:hAnsiTheme="majorHAnsi"/>
          <w:i/>
          <w:iCs/>
          <w:u w:val="single"/>
        </w:rPr>
      </w:pPr>
    </w:p>
    <w:p w14:paraId="567C31B9" w14:textId="77777777" w:rsidR="002B31EF" w:rsidRPr="0018293F" w:rsidRDefault="002B31EF" w:rsidP="002B31EF">
      <w:pPr>
        <w:jc w:val="both"/>
        <w:rPr>
          <w:rFonts w:asciiTheme="majorHAnsi" w:hAnsiTheme="majorHAnsi"/>
          <w:i/>
          <w:iCs/>
          <w:u w:val="single"/>
        </w:rPr>
      </w:pPr>
      <w:r w:rsidRPr="0018293F">
        <w:rPr>
          <w:rFonts w:asciiTheme="majorHAnsi" w:hAnsiTheme="majorHAnsi"/>
          <w:i/>
          <w:iCs/>
          <w:u w:val="single"/>
        </w:rPr>
        <w:t>ACTIVO O PASIVO POR LA COBERTURA RESTANTE REASEGURO MANTENIDO - SEGUROS GENERALES</w:t>
      </w:r>
    </w:p>
    <w:p w14:paraId="758C7373" w14:textId="77777777" w:rsidR="002B31EF" w:rsidRPr="0018293F" w:rsidRDefault="002B31EF" w:rsidP="002B31EF">
      <w:pPr>
        <w:jc w:val="both"/>
        <w:rPr>
          <w:rFonts w:asciiTheme="majorHAnsi" w:hAnsiTheme="majorHAnsi"/>
          <w:b/>
          <w:bCs/>
          <w:i/>
          <w:iCs/>
          <w:u w:val="single"/>
        </w:rPr>
      </w:pPr>
    </w:p>
    <w:p w14:paraId="2835FC8A" w14:textId="77777777" w:rsidR="002B31EF" w:rsidRPr="0018293F" w:rsidRDefault="002B31EF" w:rsidP="002B31EF">
      <w:pPr>
        <w:pStyle w:val="Prrafodelista"/>
        <w:numPr>
          <w:ilvl w:val="0"/>
          <w:numId w:val="17"/>
        </w:numPr>
        <w:spacing w:after="0" w:line="240" w:lineRule="auto"/>
        <w:jc w:val="both"/>
        <w:rPr>
          <w:rFonts w:asciiTheme="majorHAnsi" w:hAnsiTheme="majorHAnsi"/>
          <w:i/>
          <w:iCs/>
          <w:sz w:val="24"/>
          <w:szCs w:val="24"/>
        </w:rPr>
      </w:pPr>
      <w:r w:rsidRPr="0018293F">
        <w:rPr>
          <w:rFonts w:asciiTheme="majorHAnsi" w:hAnsiTheme="majorHAnsi"/>
          <w:i/>
          <w:iCs/>
          <w:sz w:val="24"/>
          <w:szCs w:val="24"/>
        </w:rPr>
        <w:t>Ramo</w:t>
      </w:r>
    </w:p>
    <w:p w14:paraId="3A25F40E" w14:textId="77777777" w:rsidR="002B31EF" w:rsidRPr="0018293F" w:rsidRDefault="002B31EF" w:rsidP="002B31EF">
      <w:pPr>
        <w:pStyle w:val="Prrafodelista"/>
        <w:numPr>
          <w:ilvl w:val="0"/>
          <w:numId w:val="17"/>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Producto (nombre y/o código) de la póliza de seguro directo </w:t>
      </w:r>
    </w:p>
    <w:p w14:paraId="5D108038" w14:textId="77777777" w:rsidR="002B31EF" w:rsidRPr="0018293F" w:rsidRDefault="002B31EF" w:rsidP="002B31EF">
      <w:pPr>
        <w:pStyle w:val="Prrafodelista"/>
        <w:numPr>
          <w:ilvl w:val="0"/>
          <w:numId w:val="17"/>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contrato de reaseguro</w:t>
      </w:r>
    </w:p>
    <w:p w14:paraId="5D13DAF4" w14:textId="77777777" w:rsidR="002B31EF" w:rsidRPr="0018293F" w:rsidRDefault="002B31EF" w:rsidP="002B31EF">
      <w:pPr>
        <w:pStyle w:val="Prrafodelista"/>
        <w:numPr>
          <w:ilvl w:val="0"/>
          <w:numId w:val="17"/>
        </w:numPr>
        <w:spacing w:after="0" w:line="240" w:lineRule="auto"/>
        <w:jc w:val="both"/>
        <w:rPr>
          <w:rFonts w:asciiTheme="majorHAnsi" w:hAnsiTheme="majorHAnsi"/>
          <w:i/>
          <w:iCs/>
          <w:sz w:val="24"/>
          <w:szCs w:val="24"/>
        </w:rPr>
      </w:pPr>
      <w:r w:rsidRPr="0018293F">
        <w:rPr>
          <w:rFonts w:asciiTheme="majorHAnsi" w:hAnsiTheme="majorHAnsi"/>
          <w:i/>
          <w:iCs/>
          <w:sz w:val="24"/>
          <w:szCs w:val="24"/>
        </w:rPr>
        <w:t>Tipo de contrato de reaseguro (obligatorio/facultativo, proporcional/no proporcional)</w:t>
      </w:r>
    </w:p>
    <w:p w14:paraId="5DC3B115" w14:textId="77777777" w:rsidR="002B31EF" w:rsidRPr="0018293F" w:rsidRDefault="002B31EF" w:rsidP="002B31EF">
      <w:pPr>
        <w:pStyle w:val="Prrafodelista"/>
        <w:numPr>
          <w:ilvl w:val="0"/>
          <w:numId w:val="17"/>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Nombre de la entidad reaseguradora a la que se cede (en caso de </w:t>
      </w:r>
      <w:proofErr w:type="spellStart"/>
      <w:r w:rsidRPr="0018293F">
        <w:rPr>
          <w:rFonts w:asciiTheme="majorHAnsi" w:hAnsiTheme="majorHAnsi"/>
          <w:i/>
          <w:iCs/>
          <w:sz w:val="24"/>
          <w:szCs w:val="24"/>
        </w:rPr>
        <w:t>co-reaseguro</w:t>
      </w:r>
      <w:proofErr w:type="spellEnd"/>
      <w:r w:rsidRPr="0018293F">
        <w:rPr>
          <w:rFonts w:asciiTheme="majorHAnsi" w:hAnsiTheme="majorHAnsi"/>
          <w:i/>
          <w:iCs/>
          <w:sz w:val="24"/>
          <w:szCs w:val="24"/>
        </w:rPr>
        <w:t xml:space="preserve"> debe incluirse el nombre de la totalidad de las entidades que intervienen en la cobertura del riesgo cedido)</w:t>
      </w:r>
    </w:p>
    <w:p w14:paraId="376D68CB" w14:textId="77777777" w:rsidR="002B31EF" w:rsidRPr="0018293F" w:rsidRDefault="002B31EF" w:rsidP="002B31EF">
      <w:pPr>
        <w:pStyle w:val="Prrafodelista"/>
        <w:numPr>
          <w:ilvl w:val="0"/>
          <w:numId w:val="17"/>
        </w:numPr>
        <w:spacing w:after="0" w:line="240" w:lineRule="auto"/>
        <w:jc w:val="both"/>
        <w:rPr>
          <w:rFonts w:asciiTheme="majorHAnsi" w:hAnsiTheme="majorHAnsi"/>
          <w:i/>
          <w:iCs/>
          <w:sz w:val="24"/>
          <w:szCs w:val="24"/>
        </w:rPr>
      </w:pPr>
      <w:r w:rsidRPr="0018293F">
        <w:rPr>
          <w:rFonts w:asciiTheme="majorHAnsi" w:hAnsiTheme="majorHAnsi"/>
          <w:i/>
          <w:iCs/>
          <w:sz w:val="24"/>
          <w:szCs w:val="24"/>
        </w:rPr>
        <w:lastRenderedPageBreak/>
        <w:t xml:space="preserve">Número de identificación de la entidad reaseguradora (en caso de </w:t>
      </w:r>
      <w:proofErr w:type="spellStart"/>
      <w:r w:rsidRPr="0018293F">
        <w:rPr>
          <w:rFonts w:asciiTheme="majorHAnsi" w:hAnsiTheme="majorHAnsi"/>
          <w:i/>
          <w:iCs/>
          <w:sz w:val="24"/>
          <w:szCs w:val="24"/>
        </w:rPr>
        <w:t>co-reaseguro</w:t>
      </w:r>
      <w:proofErr w:type="spellEnd"/>
      <w:r w:rsidRPr="0018293F">
        <w:rPr>
          <w:rFonts w:asciiTheme="majorHAnsi" w:hAnsiTheme="majorHAnsi"/>
          <w:i/>
          <w:iCs/>
          <w:sz w:val="24"/>
          <w:szCs w:val="24"/>
        </w:rPr>
        <w:t xml:space="preserve"> debe incluirse el número de identificación de la totalidad de las entidades que intervengan en la cobertura del riesgo cedido)</w:t>
      </w:r>
    </w:p>
    <w:p w14:paraId="7B59F861" w14:textId="77777777" w:rsidR="002B31EF" w:rsidRPr="0018293F" w:rsidRDefault="002B31EF" w:rsidP="002B31EF">
      <w:pPr>
        <w:pStyle w:val="Prrafodelista"/>
        <w:numPr>
          <w:ilvl w:val="0"/>
          <w:numId w:val="17"/>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Nombre del grupo al que pertenece la entidad reaseguradora (en caso de </w:t>
      </w:r>
      <w:proofErr w:type="spellStart"/>
      <w:r w:rsidRPr="0018293F">
        <w:rPr>
          <w:rFonts w:asciiTheme="majorHAnsi" w:hAnsiTheme="majorHAnsi"/>
          <w:i/>
          <w:iCs/>
          <w:sz w:val="24"/>
          <w:szCs w:val="24"/>
        </w:rPr>
        <w:t>co-reaseguro</w:t>
      </w:r>
      <w:proofErr w:type="spellEnd"/>
      <w:r w:rsidRPr="0018293F">
        <w:rPr>
          <w:rFonts w:asciiTheme="majorHAnsi" w:hAnsiTheme="majorHAnsi"/>
          <w:i/>
          <w:iCs/>
          <w:sz w:val="24"/>
          <w:szCs w:val="24"/>
        </w:rPr>
        <w:t xml:space="preserve"> debe incluirse el nombre del grupo al que pertenece la totalidad de las entidades que intervienen en la cobertura del riesgo cedido)</w:t>
      </w:r>
    </w:p>
    <w:p w14:paraId="459A89C3" w14:textId="77777777" w:rsidR="002B31EF" w:rsidRPr="0018293F" w:rsidRDefault="002B31EF" w:rsidP="002B31EF">
      <w:pPr>
        <w:pStyle w:val="Prrafodelista"/>
        <w:numPr>
          <w:ilvl w:val="0"/>
          <w:numId w:val="17"/>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Calificación de riesgo de la entidad reaseguradora (en caso de </w:t>
      </w:r>
      <w:proofErr w:type="spellStart"/>
      <w:r w:rsidRPr="0018293F">
        <w:rPr>
          <w:rFonts w:asciiTheme="majorHAnsi" w:hAnsiTheme="majorHAnsi"/>
          <w:i/>
          <w:iCs/>
          <w:sz w:val="24"/>
          <w:szCs w:val="24"/>
        </w:rPr>
        <w:t>co-reaseguro</w:t>
      </w:r>
      <w:proofErr w:type="spellEnd"/>
      <w:r w:rsidRPr="0018293F">
        <w:rPr>
          <w:rFonts w:asciiTheme="majorHAnsi" w:hAnsiTheme="majorHAnsi"/>
          <w:i/>
          <w:iCs/>
          <w:sz w:val="24"/>
          <w:szCs w:val="24"/>
        </w:rPr>
        <w:t xml:space="preserve"> debe incluirse el de la totalidad de las entidades que intervienen en la cobertura del riesgo cedido)</w:t>
      </w:r>
    </w:p>
    <w:p w14:paraId="54A3E6AA" w14:textId="77777777" w:rsidR="002B31EF" w:rsidRPr="0018293F" w:rsidRDefault="002B31EF" w:rsidP="002B31EF">
      <w:pPr>
        <w:pStyle w:val="Prrafodelista"/>
        <w:numPr>
          <w:ilvl w:val="0"/>
          <w:numId w:val="17"/>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Porcentaje de cesión (en caso de </w:t>
      </w:r>
      <w:proofErr w:type="spellStart"/>
      <w:r w:rsidRPr="0018293F">
        <w:rPr>
          <w:rFonts w:asciiTheme="majorHAnsi" w:hAnsiTheme="majorHAnsi"/>
          <w:i/>
          <w:iCs/>
          <w:sz w:val="24"/>
          <w:szCs w:val="24"/>
        </w:rPr>
        <w:t>co-reaseguro</w:t>
      </w:r>
      <w:proofErr w:type="spellEnd"/>
      <w:r w:rsidRPr="0018293F">
        <w:rPr>
          <w:rFonts w:asciiTheme="majorHAnsi" w:hAnsiTheme="majorHAnsi"/>
          <w:i/>
          <w:iCs/>
          <w:sz w:val="24"/>
          <w:szCs w:val="24"/>
        </w:rPr>
        <w:t xml:space="preserve"> debe incluirse el correspondiente a las diferentes entidades que intervienen en la cobertura del riesgo cedido)</w:t>
      </w:r>
    </w:p>
    <w:p w14:paraId="2ED4E605" w14:textId="77777777" w:rsidR="002B31EF" w:rsidRPr="0018293F" w:rsidRDefault="002B31EF" w:rsidP="002B31EF">
      <w:pPr>
        <w:pStyle w:val="Prrafodelista"/>
        <w:numPr>
          <w:ilvl w:val="0"/>
          <w:numId w:val="17"/>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inicio del contrato de reaseguro</w:t>
      </w:r>
    </w:p>
    <w:p w14:paraId="388914A0" w14:textId="77777777" w:rsidR="002B31EF" w:rsidRPr="0018293F" w:rsidRDefault="002B31EF" w:rsidP="002B31EF">
      <w:pPr>
        <w:pStyle w:val="Prrafodelista"/>
        <w:numPr>
          <w:ilvl w:val="0"/>
          <w:numId w:val="17"/>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vencimiento del contrato de reaseguro</w:t>
      </w:r>
    </w:p>
    <w:p w14:paraId="7DE90A8C" w14:textId="77777777" w:rsidR="002B31EF" w:rsidRPr="0018293F" w:rsidRDefault="002B31EF" w:rsidP="002B31EF">
      <w:pPr>
        <w:pStyle w:val="Prrafodelista"/>
        <w:numPr>
          <w:ilvl w:val="0"/>
          <w:numId w:val="17"/>
        </w:numPr>
        <w:spacing w:after="0" w:line="240" w:lineRule="auto"/>
        <w:jc w:val="both"/>
        <w:rPr>
          <w:rFonts w:asciiTheme="majorHAnsi" w:hAnsiTheme="majorHAnsi"/>
          <w:i/>
          <w:iCs/>
          <w:sz w:val="24"/>
          <w:szCs w:val="24"/>
        </w:rPr>
      </w:pPr>
      <w:r w:rsidRPr="0018293F">
        <w:rPr>
          <w:rFonts w:asciiTheme="majorHAnsi" w:hAnsiTheme="majorHAnsi"/>
          <w:i/>
          <w:iCs/>
          <w:sz w:val="24"/>
          <w:szCs w:val="24"/>
        </w:rPr>
        <w:t>Prima del reaseguro cedido</w:t>
      </w:r>
    </w:p>
    <w:p w14:paraId="7046A78D" w14:textId="77777777" w:rsidR="002B31EF" w:rsidRPr="0018293F" w:rsidRDefault="002B31EF" w:rsidP="002B31EF">
      <w:pPr>
        <w:pStyle w:val="Prrafodelista"/>
        <w:numPr>
          <w:ilvl w:val="0"/>
          <w:numId w:val="17"/>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Activo por la cobertura restante del reaseguro mantenido a cada una de las fechas de cálculo (en caso de </w:t>
      </w:r>
      <w:proofErr w:type="spellStart"/>
      <w:r w:rsidRPr="0018293F">
        <w:rPr>
          <w:rFonts w:asciiTheme="majorHAnsi" w:hAnsiTheme="majorHAnsi"/>
          <w:i/>
          <w:iCs/>
          <w:sz w:val="24"/>
          <w:szCs w:val="24"/>
        </w:rPr>
        <w:t>co-reaseguro</w:t>
      </w:r>
      <w:proofErr w:type="spellEnd"/>
      <w:r w:rsidRPr="0018293F">
        <w:rPr>
          <w:rFonts w:asciiTheme="majorHAnsi" w:hAnsiTheme="majorHAnsi"/>
          <w:i/>
          <w:iCs/>
          <w:sz w:val="24"/>
          <w:szCs w:val="24"/>
        </w:rPr>
        <w:t xml:space="preserve"> debe incluirse el monto correspondiente a las diferentes entidades que intervienen en la cobertura del riesgo cedido)</w:t>
      </w:r>
    </w:p>
    <w:p w14:paraId="6196AE74" w14:textId="77777777" w:rsidR="002B31EF" w:rsidRPr="0018293F" w:rsidRDefault="002B31EF" w:rsidP="002B31EF">
      <w:pPr>
        <w:pStyle w:val="Prrafodelista"/>
        <w:numPr>
          <w:ilvl w:val="0"/>
          <w:numId w:val="17"/>
        </w:numPr>
        <w:spacing w:after="0" w:line="240" w:lineRule="auto"/>
        <w:jc w:val="both"/>
        <w:rPr>
          <w:rFonts w:asciiTheme="majorHAnsi" w:hAnsiTheme="majorHAnsi"/>
          <w:sz w:val="24"/>
          <w:szCs w:val="24"/>
        </w:rPr>
      </w:pPr>
      <w:r w:rsidRPr="0018293F">
        <w:rPr>
          <w:rFonts w:asciiTheme="majorHAnsi" w:hAnsiTheme="majorHAnsi"/>
          <w:i/>
          <w:iCs/>
          <w:sz w:val="24"/>
          <w:szCs w:val="24"/>
        </w:rPr>
        <w:t xml:space="preserve">Fechas de cálculo correspondientes al activo por la cobertura restante del reaseguro mantenido </w:t>
      </w:r>
    </w:p>
    <w:p w14:paraId="6CAF7713" w14:textId="77777777" w:rsidR="002B31EF" w:rsidRPr="0018293F" w:rsidRDefault="002B31EF" w:rsidP="002B31EF">
      <w:pPr>
        <w:jc w:val="both"/>
        <w:rPr>
          <w:rFonts w:asciiTheme="majorHAnsi" w:hAnsiTheme="majorHAnsi"/>
          <w:i/>
          <w:iCs/>
          <w:u w:val="single"/>
        </w:rPr>
      </w:pPr>
    </w:p>
    <w:p w14:paraId="2277F310" w14:textId="77777777" w:rsidR="002B31EF" w:rsidRPr="0018293F" w:rsidRDefault="002B31EF" w:rsidP="002B31EF">
      <w:pPr>
        <w:jc w:val="both"/>
        <w:rPr>
          <w:rFonts w:asciiTheme="majorHAnsi" w:hAnsiTheme="majorHAnsi"/>
          <w:i/>
          <w:iCs/>
          <w:u w:val="single"/>
        </w:rPr>
      </w:pPr>
      <w:r w:rsidRPr="0018293F">
        <w:rPr>
          <w:rFonts w:asciiTheme="majorHAnsi" w:hAnsiTheme="majorHAnsi"/>
          <w:i/>
          <w:iCs/>
          <w:u w:val="single"/>
        </w:rPr>
        <w:t>ACTIVO O PASIVO POR LA COBERTURA RESTANTE SEGURO DIRECTO – SEGUROS PERSONALES</w:t>
      </w:r>
    </w:p>
    <w:p w14:paraId="6EB47AA9" w14:textId="77777777" w:rsidR="002B31EF" w:rsidRPr="0018293F" w:rsidRDefault="002B31EF" w:rsidP="002B31EF">
      <w:pPr>
        <w:jc w:val="both"/>
        <w:rPr>
          <w:rFonts w:asciiTheme="majorHAnsi" w:hAnsiTheme="majorHAnsi"/>
          <w:i/>
          <w:iCs/>
        </w:rPr>
      </w:pPr>
    </w:p>
    <w:p w14:paraId="1CD29B09"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Ramo</w:t>
      </w:r>
    </w:p>
    <w:p w14:paraId="569262A3"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Producto (nombre y/o código)</w:t>
      </w:r>
    </w:p>
    <w:p w14:paraId="48DEF429"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póliza</w:t>
      </w:r>
    </w:p>
    <w:p w14:paraId="2C49A6C8"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certificado de aseguramiento (en caso de seguros colectivos)</w:t>
      </w:r>
    </w:p>
    <w:p w14:paraId="209010FD"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adenda</w:t>
      </w:r>
    </w:p>
    <w:p w14:paraId="51E87494"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emisión de adenda</w:t>
      </w:r>
    </w:p>
    <w:p w14:paraId="5DCD3438"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anulación de póliza y/o adenda</w:t>
      </w:r>
    </w:p>
    <w:p w14:paraId="24593C1C"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anulación de póliza y/o adenda</w:t>
      </w:r>
    </w:p>
    <w:p w14:paraId="0E63CA01"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Nombre del tomador del seguro</w:t>
      </w:r>
    </w:p>
    <w:p w14:paraId="254934F3"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identificación del tomador del seguro</w:t>
      </w:r>
    </w:p>
    <w:p w14:paraId="048104AE"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Nombre del asegurado</w:t>
      </w:r>
    </w:p>
    <w:p w14:paraId="649D35BD"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identificación del asegurado</w:t>
      </w:r>
    </w:p>
    <w:p w14:paraId="7E238C24"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nacimiento del asegurado</w:t>
      </w:r>
    </w:p>
    <w:p w14:paraId="34C44447"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Sexo del asegurado</w:t>
      </w:r>
    </w:p>
    <w:p w14:paraId="687C33BA"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Ocupación laboral del asegurado</w:t>
      </w:r>
    </w:p>
    <w:p w14:paraId="7FD961E6"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lastRenderedPageBreak/>
        <w:t>Cobertura/s contratada/s</w:t>
      </w:r>
    </w:p>
    <w:p w14:paraId="518DB402"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Suma asegurada</w:t>
      </w:r>
    </w:p>
    <w:p w14:paraId="443F8984"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inicio de la póliza</w:t>
      </w:r>
    </w:p>
    <w:p w14:paraId="548B7028"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vencimiento de la póliza</w:t>
      </w:r>
    </w:p>
    <w:p w14:paraId="045A9B42"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Periodicidad del pago recibo (anual, semestral, trimestral, etc.)</w:t>
      </w:r>
    </w:p>
    <w:p w14:paraId="2302D598"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Prima pura</w:t>
      </w:r>
    </w:p>
    <w:p w14:paraId="3EC8FEE9"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Tipo de crecimiento de la prima</w:t>
      </w:r>
    </w:p>
    <w:p w14:paraId="3FE8108E"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Recargo para gastos de administración (según nota técnica)</w:t>
      </w:r>
    </w:p>
    <w:p w14:paraId="44CFDE3E"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Prima de inventario</w:t>
      </w:r>
    </w:p>
    <w:p w14:paraId="758DD560"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Tipo de interés utilizado para el cálculo de la prima</w:t>
      </w:r>
    </w:p>
    <w:p w14:paraId="5D3FB072"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Tabla de mortalidad/supervivencia/morbilidad utilizada en el cálculo de la prima</w:t>
      </w:r>
    </w:p>
    <w:p w14:paraId="6F60E6E5"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Gastos reales de administración (en las diferentes fechas de cálculo del activo o pasivo por la cobertura restante)</w:t>
      </w:r>
    </w:p>
    <w:p w14:paraId="7386C517"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Curva de tasas de descuento (en las diferentes fechas de cálculo del activo o</w:t>
      </w:r>
      <w:r w:rsidRPr="0018293F">
        <w:rPr>
          <w:rFonts w:asciiTheme="majorHAnsi" w:hAnsiTheme="majorHAnsi"/>
          <w:i/>
          <w:iCs/>
          <w:strike/>
          <w:sz w:val="24"/>
          <w:szCs w:val="24"/>
        </w:rPr>
        <w:t xml:space="preserve"> </w:t>
      </w:r>
      <w:r w:rsidRPr="0018293F">
        <w:rPr>
          <w:rFonts w:asciiTheme="majorHAnsi" w:hAnsiTheme="majorHAnsi"/>
          <w:i/>
          <w:iCs/>
          <w:sz w:val="24"/>
          <w:szCs w:val="24"/>
        </w:rPr>
        <w:t>pasivo por la cobertura restante)</w:t>
      </w:r>
    </w:p>
    <w:p w14:paraId="144404C2"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Tabla de mortalidad/supervivencia/morbilidad utilizada para el cálculo del activo o pasivo por la cobertura restante</w:t>
      </w:r>
    </w:p>
    <w:p w14:paraId="107754A1"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Activo o pasivo por la cobertura restante en las diferentes fechas de cálculo</w:t>
      </w:r>
    </w:p>
    <w:p w14:paraId="4CF66946"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Flujos de efectivo (si aplica el modelo general)</w:t>
      </w:r>
    </w:p>
    <w:p w14:paraId="24317288"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Fechas correspondientes de cálculo del activo o pasivo por la cobertura restante</w:t>
      </w:r>
    </w:p>
    <w:p w14:paraId="1803858E"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Unidades de cobertura</w:t>
      </w:r>
    </w:p>
    <w:p w14:paraId="5A274A43" w14:textId="77777777" w:rsidR="002B31EF" w:rsidRPr="0018293F" w:rsidRDefault="002B31EF" w:rsidP="002B31EF">
      <w:pPr>
        <w:pStyle w:val="Prrafodelista"/>
        <w:numPr>
          <w:ilvl w:val="0"/>
          <w:numId w:val="18"/>
        </w:numPr>
        <w:spacing w:after="0" w:line="240" w:lineRule="auto"/>
        <w:jc w:val="both"/>
        <w:rPr>
          <w:rFonts w:asciiTheme="majorHAnsi" w:hAnsiTheme="majorHAnsi"/>
          <w:bCs/>
          <w:i/>
          <w:iCs/>
          <w:sz w:val="24"/>
          <w:szCs w:val="24"/>
        </w:rPr>
      </w:pPr>
      <w:r w:rsidRPr="0018293F">
        <w:rPr>
          <w:rFonts w:asciiTheme="majorHAnsi" w:hAnsiTheme="majorHAnsi"/>
          <w:bCs/>
          <w:i/>
          <w:iCs/>
          <w:sz w:val="24"/>
          <w:szCs w:val="24"/>
        </w:rPr>
        <w:t>En caso de existir participación de beneficios se debe indicar los supuestos utilizados para la determinación del activo o pasivo por la cobertura restante, asociados con los beneficios.</w:t>
      </w:r>
    </w:p>
    <w:p w14:paraId="3058D697"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contrato de reaseguro</w:t>
      </w:r>
    </w:p>
    <w:p w14:paraId="5B2D280F"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Tipo de reaseguro (obligatorio/facultativo, proporcional/no proporcional)</w:t>
      </w:r>
    </w:p>
    <w:p w14:paraId="6E66B30B"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Porcentaje de cesión</w:t>
      </w:r>
    </w:p>
    <w:p w14:paraId="74EFA6E7" w14:textId="77777777" w:rsidR="002B31EF" w:rsidRPr="0018293F" w:rsidRDefault="002B31EF" w:rsidP="002B31EF">
      <w:pPr>
        <w:pStyle w:val="Prrafodelista"/>
        <w:numPr>
          <w:ilvl w:val="0"/>
          <w:numId w:val="18"/>
        </w:numPr>
        <w:spacing w:after="0" w:line="240" w:lineRule="auto"/>
        <w:jc w:val="both"/>
        <w:rPr>
          <w:rFonts w:asciiTheme="majorHAnsi" w:hAnsiTheme="majorHAnsi"/>
          <w:sz w:val="24"/>
          <w:szCs w:val="24"/>
        </w:rPr>
      </w:pPr>
      <w:r w:rsidRPr="0018293F">
        <w:rPr>
          <w:rFonts w:asciiTheme="majorHAnsi" w:hAnsiTheme="majorHAnsi"/>
          <w:i/>
          <w:iCs/>
          <w:sz w:val="24"/>
          <w:szCs w:val="24"/>
        </w:rPr>
        <w:t>Activo por la cobertura restante para el reaseguro mantenido</w:t>
      </w:r>
    </w:p>
    <w:p w14:paraId="28E2DA24" w14:textId="77777777" w:rsidR="002B31EF" w:rsidRPr="0018293F" w:rsidRDefault="002B31EF" w:rsidP="002B31EF">
      <w:pPr>
        <w:jc w:val="both"/>
        <w:rPr>
          <w:rFonts w:asciiTheme="majorHAnsi" w:hAnsiTheme="majorHAnsi"/>
          <w:i/>
          <w:iCs/>
          <w:u w:val="single"/>
        </w:rPr>
      </w:pPr>
    </w:p>
    <w:p w14:paraId="21D7520D" w14:textId="77777777" w:rsidR="002B31EF" w:rsidRPr="0018293F" w:rsidRDefault="002B31EF" w:rsidP="002B31EF">
      <w:pPr>
        <w:jc w:val="both"/>
        <w:rPr>
          <w:rFonts w:asciiTheme="majorHAnsi" w:hAnsiTheme="majorHAnsi"/>
          <w:i/>
          <w:iCs/>
          <w:u w:val="single"/>
        </w:rPr>
      </w:pPr>
      <w:r w:rsidRPr="0018293F">
        <w:rPr>
          <w:rFonts w:asciiTheme="majorHAnsi" w:hAnsiTheme="majorHAnsi"/>
          <w:i/>
          <w:iCs/>
          <w:u w:val="single"/>
        </w:rPr>
        <w:t>ACTIVO O PASIVO POR LA COBERTURA RESTANTE REASEGURO ACEPTADO- SEGUROS PERSONALES</w:t>
      </w:r>
    </w:p>
    <w:p w14:paraId="5C736E53" w14:textId="77777777" w:rsidR="002B31EF" w:rsidRPr="0018293F" w:rsidRDefault="002B31EF" w:rsidP="002B31EF">
      <w:pPr>
        <w:jc w:val="both"/>
        <w:rPr>
          <w:rFonts w:asciiTheme="majorHAnsi" w:hAnsiTheme="majorHAnsi"/>
          <w:i/>
          <w:iCs/>
        </w:rPr>
      </w:pPr>
    </w:p>
    <w:p w14:paraId="535C496E"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Ramo</w:t>
      </w:r>
    </w:p>
    <w:p w14:paraId="1679F4A7"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Producto (nombre y/o código)</w:t>
      </w:r>
    </w:p>
    <w:p w14:paraId="5FAB6F87"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póliza</w:t>
      </w:r>
    </w:p>
    <w:p w14:paraId="4EE2651C"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adenda</w:t>
      </w:r>
    </w:p>
    <w:p w14:paraId="5E4DBF8F"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emisión de adenda</w:t>
      </w:r>
    </w:p>
    <w:p w14:paraId="67BAA95D"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anulación de póliza y/o adenda</w:t>
      </w:r>
    </w:p>
    <w:p w14:paraId="7F003B82"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lastRenderedPageBreak/>
        <w:t>Fecha de anulación de póliza y/o adenda</w:t>
      </w:r>
    </w:p>
    <w:p w14:paraId="46F7EB8D"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Nombre de la entidad reasegurada</w:t>
      </w:r>
    </w:p>
    <w:p w14:paraId="30146DD8"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identificación de la entidad reasegurada</w:t>
      </w:r>
    </w:p>
    <w:p w14:paraId="1AC6C758"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Nombre del asegurado</w:t>
      </w:r>
    </w:p>
    <w:p w14:paraId="56DA4692"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identificación del asegurado</w:t>
      </w:r>
    </w:p>
    <w:p w14:paraId="0ED23372"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nacimiento del asegurado</w:t>
      </w:r>
    </w:p>
    <w:p w14:paraId="310C5F2D"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Sexo del asegurado</w:t>
      </w:r>
    </w:p>
    <w:p w14:paraId="42AC151E"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Ocupación laboral del asegurado</w:t>
      </w:r>
    </w:p>
    <w:p w14:paraId="5EB2FC95"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Cobertura/s contratada/s</w:t>
      </w:r>
    </w:p>
    <w:p w14:paraId="1390D46C"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Suma asegurada</w:t>
      </w:r>
    </w:p>
    <w:p w14:paraId="3631E31D"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inicio de la póliza</w:t>
      </w:r>
    </w:p>
    <w:p w14:paraId="32E2ABFF"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vencimiento de la póliza</w:t>
      </w:r>
    </w:p>
    <w:p w14:paraId="3CED3505"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Periodicidad del pago recibo (anual, semestral, trimestral, etc.)</w:t>
      </w:r>
    </w:p>
    <w:p w14:paraId="7317E36B"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Prima pura</w:t>
      </w:r>
    </w:p>
    <w:p w14:paraId="767C8192"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Tipo de crecimiento de la prima</w:t>
      </w:r>
    </w:p>
    <w:p w14:paraId="2183A811"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Recargo para gastos de administración (según nota técnica)</w:t>
      </w:r>
    </w:p>
    <w:p w14:paraId="52D3488D"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Prima de inventario</w:t>
      </w:r>
    </w:p>
    <w:p w14:paraId="0E9321CB"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Tipo de interés utilizado para el cálculo de la prima</w:t>
      </w:r>
    </w:p>
    <w:p w14:paraId="3D8410AF"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Tabla de mortalidad/supervivencia/morbilidad utilizada en el cálculo de la prima</w:t>
      </w:r>
    </w:p>
    <w:p w14:paraId="0E80DC4C"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Gastos reales de administración (en las diferentes fechas de cálculo del activo o</w:t>
      </w:r>
      <w:r w:rsidRPr="0018293F">
        <w:rPr>
          <w:rFonts w:asciiTheme="majorHAnsi" w:hAnsiTheme="majorHAnsi"/>
          <w:i/>
          <w:iCs/>
          <w:strike/>
          <w:sz w:val="24"/>
          <w:szCs w:val="24"/>
        </w:rPr>
        <w:t xml:space="preserve"> </w:t>
      </w:r>
      <w:r w:rsidRPr="0018293F">
        <w:rPr>
          <w:rFonts w:asciiTheme="majorHAnsi" w:hAnsiTheme="majorHAnsi"/>
          <w:i/>
          <w:iCs/>
          <w:sz w:val="24"/>
          <w:szCs w:val="24"/>
        </w:rPr>
        <w:t>pasivo por la cobertura restante)</w:t>
      </w:r>
    </w:p>
    <w:p w14:paraId="00901778"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Curva de tasas de descuento (en las diferentes fechas de cálculo del activo</w:t>
      </w:r>
      <w:r w:rsidRPr="0018293F">
        <w:rPr>
          <w:rFonts w:asciiTheme="majorHAnsi" w:hAnsiTheme="majorHAnsi"/>
          <w:i/>
          <w:iCs/>
          <w:strike/>
          <w:sz w:val="24"/>
          <w:szCs w:val="24"/>
        </w:rPr>
        <w:t xml:space="preserve"> o </w:t>
      </w:r>
      <w:r w:rsidRPr="0018293F">
        <w:rPr>
          <w:rFonts w:asciiTheme="majorHAnsi" w:hAnsiTheme="majorHAnsi"/>
          <w:i/>
          <w:iCs/>
          <w:sz w:val="24"/>
          <w:szCs w:val="24"/>
        </w:rPr>
        <w:t>pasivo por la cobertura restante)</w:t>
      </w:r>
    </w:p>
    <w:p w14:paraId="32E1117D"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Tabla de mortalidad/supervivencia/morbilidad utilizada para el cálculo del activo o pasivo por la cobertura restante</w:t>
      </w:r>
    </w:p>
    <w:p w14:paraId="7F68B968"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Activo o pasivo por la cobertura restante en las diferentes fechas de cálculo</w:t>
      </w:r>
    </w:p>
    <w:p w14:paraId="6F9DBDAE"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Flujos de efectivo (si aplica el modelo general)</w:t>
      </w:r>
    </w:p>
    <w:p w14:paraId="1182BE37"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Fechas correspondientes de cálculo del activo o pasivo por la cobertura restante</w:t>
      </w:r>
    </w:p>
    <w:p w14:paraId="5FC7FD26"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Número de contrato de reaseguro</w:t>
      </w:r>
    </w:p>
    <w:p w14:paraId="16478B5A"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Tipo de reaseguro (obligatorio/facultativo, proporcional/no proporcional)</w:t>
      </w:r>
    </w:p>
    <w:p w14:paraId="51B9A86D"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Porcentaje de cesión</w:t>
      </w:r>
    </w:p>
    <w:p w14:paraId="5A7F484B" w14:textId="77777777" w:rsidR="002B31EF" w:rsidRPr="0018293F" w:rsidRDefault="002B31EF" w:rsidP="002B31EF">
      <w:pPr>
        <w:pStyle w:val="Prrafodelista"/>
        <w:numPr>
          <w:ilvl w:val="0"/>
          <w:numId w:val="18"/>
        </w:numPr>
        <w:spacing w:after="0" w:line="240" w:lineRule="auto"/>
        <w:jc w:val="both"/>
        <w:rPr>
          <w:rFonts w:asciiTheme="majorHAnsi" w:hAnsiTheme="majorHAnsi"/>
          <w:sz w:val="24"/>
          <w:szCs w:val="24"/>
        </w:rPr>
      </w:pPr>
      <w:r w:rsidRPr="0018293F">
        <w:rPr>
          <w:rFonts w:asciiTheme="majorHAnsi" w:hAnsiTheme="majorHAnsi"/>
          <w:i/>
          <w:iCs/>
          <w:sz w:val="24"/>
          <w:szCs w:val="24"/>
        </w:rPr>
        <w:t>Activo por la cobertura restante del reaseguro mantenido</w:t>
      </w:r>
    </w:p>
    <w:p w14:paraId="60055842" w14:textId="77777777" w:rsidR="002B31EF" w:rsidRPr="0018293F" w:rsidRDefault="002B31EF" w:rsidP="002B31EF">
      <w:pPr>
        <w:jc w:val="both"/>
        <w:rPr>
          <w:rFonts w:asciiTheme="majorHAnsi" w:hAnsiTheme="majorHAnsi"/>
          <w:i/>
          <w:iCs/>
          <w:u w:val="single"/>
        </w:rPr>
      </w:pPr>
    </w:p>
    <w:p w14:paraId="4817D536" w14:textId="77777777" w:rsidR="002B31EF" w:rsidRPr="0018293F" w:rsidRDefault="002B31EF" w:rsidP="002B31EF">
      <w:pPr>
        <w:jc w:val="both"/>
        <w:rPr>
          <w:rFonts w:asciiTheme="majorHAnsi" w:hAnsiTheme="majorHAnsi"/>
          <w:i/>
          <w:iCs/>
          <w:u w:val="single"/>
        </w:rPr>
      </w:pPr>
      <w:r w:rsidRPr="0018293F">
        <w:rPr>
          <w:rFonts w:asciiTheme="majorHAnsi" w:hAnsiTheme="majorHAnsi"/>
          <w:i/>
          <w:iCs/>
          <w:u w:val="single"/>
        </w:rPr>
        <w:t>ACTIVO O PASIVO POR LA COBERTURA RESTANTE REASEGURO MANTENIDO – SEGUROS PERSONALES</w:t>
      </w:r>
    </w:p>
    <w:p w14:paraId="555B4E69" w14:textId="77777777" w:rsidR="002B31EF" w:rsidRPr="0018293F" w:rsidRDefault="002B31EF" w:rsidP="002B31EF">
      <w:pPr>
        <w:jc w:val="both"/>
        <w:rPr>
          <w:rFonts w:asciiTheme="majorHAnsi" w:hAnsiTheme="majorHAnsi"/>
          <w:i/>
          <w:iCs/>
        </w:rPr>
      </w:pPr>
    </w:p>
    <w:p w14:paraId="2ADBEB29"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Ramo</w:t>
      </w:r>
    </w:p>
    <w:p w14:paraId="51D955A4"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Producto del seguro directo (nombre y/o código)</w:t>
      </w:r>
    </w:p>
    <w:p w14:paraId="19B754F0"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lastRenderedPageBreak/>
        <w:t>Número de contrato de reaseguro cedido o retrocedido</w:t>
      </w:r>
    </w:p>
    <w:p w14:paraId="2942454B"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Tipo/s de contrato de reaseguro (obligatorio/facultativo, proporcional/no proporcional)</w:t>
      </w:r>
    </w:p>
    <w:p w14:paraId="6E691A5F"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Razón social de la entidad reaseguradora a la que se cede (en caso de </w:t>
      </w:r>
      <w:proofErr w:type="spellStart"/>
      <w:r w:rsidRPr="0018293F">
        <w:rPr>
          <w:rFonts w:asciiTheme="majorHAnsi" w:hAnsiTheme="majorHAnsi"/>
          <w:i/>
          <w:iCs/>
          <w:sz w:val="24"/>
          <w:szCs w:val="24"/>
        </w:rPr>
        <w:t>co-reaseguro</w:t>
      </w:r>
      <w:proofErr w:type="spellEnd"/>
      <w:r w:rsidRPr="0018293F">
        <w:rPr>
          <w:rFonts w:asciiTheme="majorHAnsi" w:hAnsiTheme="majorHAnsi"/>
          <w:i/>
          <w:iCs/>
          <w:sz w:val="24"/>
          <w:szCs w:val="24"/>
        </w:rPr>
        <w:t xml:space="preserve"> debe incluirse el nombre de la totalidad de las entidades que intervienen en la cobertura del riesgo cedido)</w:t>
      </w:r>
    </w:p>
    <w:p w14:paraId="51259D54"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proofErr w:type="gramStart"/>
      <w:r w:rsidRPr="0018293F">
        <w:rPr>
          <w:rFonts w:asciiTheme="majorHAnsi" w:hAnsiTheme="majorHAnsi"/>
          <w:i/>
          <w:iCs/>
          <w:sz w:val="24"/>
          <w:szCs w:val="24"/>
        </w:rPr>
        <w:t>Link</w:t>
      </w:r>
      <w:proofErr w:type="gramEnd"/>
      <w:r w:rsidRPr="0018293F">
        <w:rPr>
          <w:rFonts w:asciiTheme="majorHAnsi" w:hAnsiTheme="majorHAnsi"/>
          <w:i/>
          <w:iCs/>
          <w:sz w:val="24"/>
          <w:szCs w:val="24"/>
        </w:rPr>
        <w:t xml:space="preserve"> del sitio web de la reaseguradora</w:t>
      </w:r>
    </w:p>
    <w:p w14:paraId="2B11923C"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Número de identificación de la entidad reaseguradora (en caso de </w:t>
      </w:r>
      <w:proofErr w:type="spellStart"/>
      <w:r w:rsidRPr="0018293F">
        <w:rPr>
          <w:rFonts w:asciiTheme="majorHAnsi" w:hAnsiTheme="majorHAnsi"/>
          <w:i/>
          <w:iCs/>
          <w:sz w:val="24"/>
          <w:szCs w:val="24"/>
        </w:rPr>
        <w:t>co-reaseguro</w:t>
      </w:r>
      <w:proofErr w:type="spellEnd"/>
      <w:r w:rsidRPr="0018293F">
        <w:rPr>
          <w:rFonts w:asciiTheme="majorHAnsi" w:hAnsiTheme="majorHAnsi"/>
          <w:i/>
          <w:iCs/>
          <w:sz w:val="24"/>
          <w:szCs w:val="24"/>
        </w:rPr>
        <w:t xml:space="preserve"> deberá incluirse el número de identificación de la totalidad de las entidades que intervengan en la cobertura del riesgo cedido)</w:t>
      </w:r>
    </w:p>
    <w:p w14:paraId="5C23BECB"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Nombre del grupo al que pertenece la entidad reaseguradora (en caso de </w:t>
      </w:r>
      <w:proofErr w:type="spellStart"/>
      <w:r w:rsidRPr="0018293F">
        <w:rPr>
          <w:rFonts w:asciiTheme="majorHAnsi" w:hAnsiTheme="majorHAnsi"/>
          <w:i/>
          <w:iCs/>
          <w:sz w:val="24"/>
          <w:szCs w:val="24"/>
        </w:rPr>
        <w:t>co-reaseguro</w:t>
      </w:r>
      <w:proofErr w:type="spellEnd"/>
      <w:r w:rsidRPr="0018293F">
        <w:rPr>
          <w:rFonts w:asciiTheme="majorHAnsi" w:hAnsiTheme="majorHAnsi"/>
          <w:i/>
          <w:iCs/>
          <w:sz w:val="24"/>
          <w:szCs w:val="24"/>
        </w:rPr>
        <w:t xml:space="preserve"> deberá incluirse el nombre del grupo al que pertenece la totalidad de las entidades que intervengan en la cobertura del riesgo cedido</w:t>
      </w:r>
    </w:p>
    <w:p w14:paraId="625B5805"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Calificación de riesgo de la entidad reaseguradora (en caso de </w:t>
      </w:r>
      <w:proofErr w:type="spellStart"/>
      <w:r w:rsidRPr="0018293F">
        <w:rPr>
          <w:rFonts w:asciiTheme="majorHAnsi" w:hAnsiTheme="majorHAnsi"/>
          <w:i/>
          <w:iCs/>
          <w:sz w:val="24"/>
          <w:szCs w:val="24"/>
        </w:rPr>
        <w:t>co-reaseguro</w:t>
      </w:r>
      <w:proofErr w:type="spellEnd"/>
      <w:r w:rsidRPr="0018293F">
        <w:rPr>
          <w:rFonts w:asciiTheme="majorHAnsi" w:hAnsiTheme="majorHAnsi"/>
          <w:i/>
          <w:iCs/>
          <w:sz w:val="24"/>
          <w:szCs w:val="24"/>
        </w:rPr>
        <w:t xml:space="preserve"> debe incluirse el de la totalidad de las entidades que intervienen en la cobertura del riesgo cedido)</w:t>
      </w:r>
    </w:p>
    <w:p w14:paraId="654CB5B2"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Porcentaje de cesión (en caso de </w:t>
      </w:r>
      <w:proofErr w:type="spellStart"/>
      <w:r w:rsidRPr="0018293F">
        <w:rPr>
          <w:rFonts w:asciiTheme="majorHAnsi" w:hAnsiTheme="majorHAnsi"/>
          <w:i/>
          <w:iCs/>
          <w:sz w:val="24"/>
          <w:szCs w:val="24"/>
        </w:rPr>
        <w:t>co-reaseguro</w:t>
      </w:r>
      <w:proofErr w:type="spellEnd"/>
      <w:r w:rsidRPr="0018293F">
        <w:rPr>
          <w:rFonts w:asciiTheme="majorHAnsi" w:hAnsiTheme="majorHAnsi"/>
          <w:i/>
          <w:iCs/>
          <w:sz w:val="24"/>
          <w:szCs w:val="24"/>
        </w:rPr>
        <w:t xml:space="preserve"> debe incluirse el correspondiente a las diferentes entidades que intervienen en la cobertura del riesgo cedido)</w:t>
      </w:r>
    </w:p>
    <w:p w14:paraId="4AE34D7F"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de inicio del contrato de reaseguro</w:t>
      </w:r>
    </w:p>
    <w:p w14:paraId="0D20E731"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Fecha vencimiento del contrato de reaseguro</w:t>
      </w:r>
    </w:p>
    <w:p w14:paraId="4252056A"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Prima del reaseguro cedido</w:t>
      </w:r>
    </w:p>
    <w:p w14:paraId="5FA67957"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 xml:space="preserve">Activo o pasivo por la cobertura restante del reaseguro mantenido a cada una de las fechas de cálculo (en caso de </w:t>
      </w:r>
      <w:proofErr w:type="spellStart"/>
      <w:r w:rsidRPr="0018293F">
        <w:rPr>
          <w:rFonts w:asciiTheme="majorHAnsi" w:hAnsiTheme="majorHAnsi"/>
          <w:i/>
          <w:iCs/>
          <w:sz w:val="24"/>
          <w:szCs w:val="24"/>
        </w:rPr>
        <w:t>co-reaseguro</w:t>
      </w:r>
      <w:proofErr w:type="spellEnd"/>
      <w:r w:rsidRPr="0018293F">
        <w:rPr>
          <w:rFonts w:asciiTheme="majorHAnsi" w:hAnsiTheme="majorHAnsi"/>
          <w:i/>
          <w:iCs/>
          <w:sz w:val="24"/>
          <w:szCs w:val="24"/>
        </w:rPr>
        <w:t xml:space="preserve"> debe incluirse el monto correspondiente a las diferentes entidades que intervienen en la cobertura del riesgo cedido)</w:t>
      </w:r>
    </w:p>
    <w:p w14:paraId="1089E389"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Flujos de efectivo (si aplica el modelo general)</w:t>
      </w:r>
    </w:p>
    <w:p w14:paraId="14EACBF3" w14:textId="77777777" w:rsidR="002B31EF" w:rsidRPr="0018293F" w:rsidRDefault="002B31EF" w:rsidP="002B31EF">
      <w:pPr>
        <w:pStyle w:val="Prrafodelista"/>
        <w:numPr>
          <w:ilvl w:val="0"/>
          <w:numId w:val="18"/>
        </w:numPr>
        <w:spacing w:after="0" w:line="240" w:lineRule="auto"/>
        <w:jc w:val="both"/>
        <w:rPr>
          <w:rFonts w:asciiTheme="majorHAnsi" w:hAnsiTheme="majorHAnsi"/>
          <w:i/>
          <w:iCs/>
          <w:sz w:val="24"/>
          <w:szCs w:val="24"/>
        </w:rPr>
      </w:pPr>
      <w:r w:rsidRPr="0018293F">
        <w:rPr>
          <w:rFonts w:asciiTheme="majorHAnsi" w:hAnsiTheme="majorHAnsi"/>
          <w:i/>
          <w:iCs/>
          <w:sz w:val="24"/>
          <w:szCs w:val="24"/>
        </w:rPr>
        <w:t>Curva de tasas de descuento (en las diferentes fechas de cálculo del activo o pasivo por la cobertura restante)</w:t>
      </w:r>
    </w:p>
    <w:p w14:paraId="0E9EE034" w14:textId="77777777" w:rsidR="002B31EF" w:rsidRPr="0018293F" w:rsidRDefault="002B31EF" w:rsidP="002B31EF">
      <w:pPr>
        <w:pStyle w:val="Prrafodelista"/>
        <w:numPr>
          <w:ilvl w:val="0"/>
          <w:numId w:val="18"/>
        </w:numPr>
        <w:spacing w:after="0" w:line="240" w:lineRule="auto"/>
        <w:jc w:val="both"/>
        <w:rPr>
          <w:rFonts w:asciiTheme="majorHAnsi" w:hAnsiTheme="majorHAnsi"/>
          <w:sz w:val="24"/>
          <w:szCs w:val="24"/>
        </w:rPr>
      </w:pPr>
      <w:r w:rsidRPr="0018293F">
        <w:rPr>
          <w:rFonts w:asciiTheme="majorHAnsi" w:hAnsiTheme="majorHAnsi"/>
          <w:i/>
          <w:iCs/>
          <w:sz w:val="24"/>
          <w:szCs w:val="24"/>
        </w:rPr>
        <w:t xml:space="preserve">Fechas de cálculo correspondientes al activo o pasivo por la cobertura restante por el reaseguro mantenido </w:t>
      </w:r>
    </w:p>
    <w:p w14:paraId="000BE3D7" w14:textId="77777777" w:rsidR="002B31EF" w:rsidRPr="0018293F" w:rsidRDefault="002B31EF" w:rsidP="002B31EF">
      <w:pPr>
        <w:jc w:val="both"/>
        <w:rPr>
          <w:rFonts w:asciiTheme="majorHAnsi" w:hAnsiTheme="majorHAnsi"/>
          <w:i/>
          <w:iCs/>
          <w:u w:val="single"/>
        </w:rPr>
      </w:pPr>
    </w:p>
    <w:p w14:paraId="63306461" w14:textId="77777777" w:rsidR="002B31EF" w:rsidRPr="0018293F" w:rsidRDefault="002B31EF" w:rsidP="002B31EF">
      <w:pPr>
        <w:jc w:val="both"/>
        <w:rPr>
          <w:rFonts w:asciiTheme="majorHAnsi" w:hAnsiTheme="majorHAnsi"/>
          <w:i/>
          <w:iCs/>
          <w:u w:val="single"/>
        </w:rPr>
      </w:pPr>
      <w:r w:rsidRPr="0018293F">
        <w:rPr>
          <w:rFonts w:asciiTheme="majorHAnsi" w:hAnsiTheme="majorHAnsi"/>
          <w:i/>
          <w:iCs/>
          <w:u w:val="single"/>
        </w:rPr>
        <w:t>ACTIVO O PASIVO POR RECLAMACIONES INCURRIDAS SEGURO DIRECTO</w:t>
      </w:r>
    </w:p>
    <w:p w14:paraId="5287BCB3" w14:textId="77777777" w:rsidR="002B31EF" w:rsidRPr="0018293F" w:rsidRDefault="002B31EF" w:rsidP="002B31EF">
      <w:pPr>
        <w:jc w:val="both"/>
        <w:rPr>
          <w:rFonts w:asciiTheme="majorHAnsi" w:hAnsiTheme="majorHAnsi"/>
          <w:i/>
          <w:iCs/>
        </w:rPr>
      </w:pPr>
    </w:p>
    <w:p w14:paraId="3C5EEFE0" w14:textId="77777777" w:rsidR="002B31EF" w:rsidRPr="0018293F" w:rsidRDefault="002B31EF" w:rsidP="002B31EF">
      <w:pPr>
        <w:jc w:val="both"/>
        <w:rPr>
          <w:rFonts w:asciiTheme="majorHAnsi" w:hAnsiTheme="majorHAnsi"/>
          <w:i/>
          <w:iCs/>
        </w:rPr>
      </w:pPr>
      <w:r w:rsidRPr="0018293F">
        <w:rPr>
          <w:rFonts w:asciiTheme="majorHAnsi" w:hAnsiTheme="majorHAnsi"/>
          <w:i/>
          <w:iCs/>
        </w:rPr>
        <w:t>A cada fecha de cálculo se deberán mantener las bases de datos, supuestos y cualquier otra información utilizada para determinar el activo o pasivo por reclamaciones incurridas según el método elegido por cada entidad.</w:t>
      </w:r>
    </w:p>
    <w:p w14:paraId="21253DD7" w14:textId="77777777" w:rsidR="002B31EF" w:rsidRPr="0018293F" w:rsidRDefault="002B31EF" w:rsidP="002B31EF">
      <w:pPr>
        <w:jc w:val="both"/>
        <w:rPr>
          <w:rFonts w:asciiTheme="majorHAnsi" w:hAnsiTheme="majorHAnsi"/>
        </w:rPr>
      </w:pPr>
    </w:p>
    <w:p w14:paraId="2CC2364D" w14:textId="77777777" w:rsidR="002B31EF" w:rsidRPr="0018293F" w:rsidRDefault="002B31EF" w:rsidP="002B31EF">
      <w:pPr>
        <w:jc w:val="both"/>
        <w:rPr>
          <w:rFonts w:asciiTheme="majorHAnsi" w:hAnsiTheme="majorHAnsi"/>
          <w:i/>
          <w:iCs/>
          <w:u w:val="single"/>
        </w:rPr>
      </w:pPr>
      <w:r w:rsidRPr="0018293F">
        <w:rPr>
          <w:rFonts w:asciiTheme="majorHAnsi" w:hAnsiTheme="majorHAnsi"/>
          <w:i/>
          <w:iCs/>
          <w:u w:val="single"/>
        </w:rPr>
        <w:t>ACTIVO O PASIVO POR RECLAMACIONES INCURRIDAS REASEGURO ACEPTADO</w:t>
      </w:r>
    </w:p>
    <w:p w14:paraId="31A9EF9B" w14:textId="77777777" w:rsidR="002B31EF" w:rsidRPr="0018293F" w:rsidRDefault="002B31EF" w:rsidP="002B31EF">
      <w:pPr>
        <w:jc w:val="both"/>
        <w:rPr>
          <w:rFonts w:asciiTheme="majorHAnsi" w:hAnsiTheme="majorHAnsi"/>
          <w:i/>
          <w:iCs/>
        </w:rPr>
      </w:pPr>
    </w:p>
    <w:p w14:paraId="5F59D9A9" w14:textId="77777777" w:rsidR="002B31EF" w:rsidRPr="0018293F" w:rsidRDefault="002B31EF" w:rsidP="002B31EF">
      <w:pPr>
        <w:jc w:val="both"/>
        <w:rPr>
          <w:rFonts w:asciiTheme="majorHAnsi" w:hAnsiTheme="majorHAnsi"/>
        </w:rPr>
      </w:pPr>
      <w:r w:rsidRPr="0018293F">
        <w:rPr>
          <w:rFonts w:asciiTheme="majorHAnsi" w:hAnsiTheme="majorHAnsi"/>
          <w:i/>
          <w:iCs/>
        </w:rPr>
        <w:lastRenderedPageBreak/>
        <w:t>A cada fecha de cálculo se deberán mantener las bases de datos, supuestos y cualquier otra información utilizada para determinar el activo o pasivo por reclamaciones incurridas según el método elegido por cada entidad.</w:t>
      </w:r>
    </w:p>
    <w:p w14:paraId="150005C2" w14:textId="77777777" w:rsidR="002B31EF" w:rsidRPr="0018293F" w:rsidRDefault="002B31EF" w:rsidP="002B31EF">
      <w:pPr>
        <w:jc w:val="both"/>
        <w:rPr>
          <w:rFonts w:asciiTheme="majorHAnsi" w:hAnsiTheme="majorHAnsi"/>
          <w:i/>
          <w:iCs/>
          <w:u w:val="single"/>
        </w:rPr>
      </w:pPr>
    </w:p>
    <w:p w14:paraId="3CE9A364" w14:textId="77777777" w:rsidR="002B31EF" w:rsidRPr="0018293F" w:rsidRDefault="002B31EF" w:rsidP="002B31EF">
      <w:pPr>
        <w:jc w:val="both"/>
        <w:rPr>
          <w:rFonts w:asciiTheme="majorHAnsi" w:hAnsiTheme="majorHAnsi"/>
          <w:i/>
          <w:iCs/>
          <w:u w:val="single"/>
        </w:rPr>
      </w:pPr>
      <w:r w:rsidRPr="0018293F">
        <w:rPr>
          <w:rFonts w:asciiTheme="majorHAnsi" w:hAnsiTheme="majorHAnsi"/>
          <w:i/>
          <w:iCs/>
          <w:u w:val="single"/>
        </w:rPr>
        <w:t>ACTIVO O PASIVO POR RECLAMACIONES INCURRIDAS REASEGURO MANTENIDO</w:t>
      </w:r>
    </w:p>
    <w:p w14:paraId="6A2E0AD8" w14:textId="77777777" w:rsidR="002B31EF" w:rsidRPr="0018293F" w:rsidRDefault="002B31EF" w:rsidP="002B31EF">
      <w:pPr>
        <w:jc w:val="both"/>
        <w:rPr>
          <w:rFonts w:asciiTheme="majorHAnsi" w:hAnsiTheme="majorHAnsi"/>
          <w:i/>
          <w:iCs/>
          <w:strike/>
        </w:rPr>
      </w:pPr>
    </w:p>
    <w:p w14:paraId="0362E04E" w14:textId="77777777" w:rsidR="002B31EF" w:rsidRPr="0018293F" w:rsidRDefault="002B31EF" w:rsidP="002B31EF">
      <w:pPr>
        <w:jc w:val="both"/>
        <w:rPr>
          <w:rFonts w:asciiTheme="majorHAnsi" w:hAnsiTheme="majorHAnsi"/>
          <w:i/>
          <w:iCs/>
        </w:rPr>
      </w:pPr>
      <w:r w:rsidRPr="0018293F">
        <w:rPr>
          <w:rFonts w:asciiTheme="majorHAnsi" w:hAnsiTheme="majorHAnsi"/>
          <w:i/>
          <w:iCs/>
        </w:rPr>
        <w:t>A cada fecha de cálculo se deberán mantener las bases de datos, supuestos y cualquier otra información utilizada para determinar el activo o pasivo por reclamaciones incurridas según el método elegido por cada entidad.”</w:t>
      </w:r>
    </w:p>
    <w:p w14:paraId="0343D007" w14:textId="77777777" w:rsidR="002B31EF" w:rsidRPr="0018293F" w:rsidRDefault="002B31EF" w:rsidP="002B31EF">
      <w:pPr>
        <w:jc w:val="both"/>
        <w:rPr>
          <w:rFonts w:asciiTheme="majorHAnsi" w:hAnsiTheme="majorHAnsi"/>
        </w:rPr>
      </w:pPr>
    </w:p>
    <w:p w14:paraId="5B905F27" w14:textId="339E4698" w:rsidR="002B31EF" w:rsidRPr="0018293F" w:rsidRDefault="002B31EF" w:rsidP="002B31EF">
      <w:pPr>
        <w:jc w:val="both"/>
        <w:rPr>
          <w:rFonts w:asciiTheme="majorHAnsi" w:hAnsiTheme="majorHAnsi"/>
          <w:b/>
          <w:bCs/>
          <w:iCs/>
        </w:rPr>
      </w:pPr>
      <w:r w:rsidRPr="00B40D3E">
        <w:rPr>
          <w:rFonts w:asciiTheme="majorHAnsi" w:hAnsiTheme="majorHAnsi"/>
          <w:b/>
          <w:bCs/>
          <w:iCs/>
        </w:rPr>
        <w:t>VI. Aprobar las siguientes disposiciones finales relacionadas con la remisión de información y la entrada en vigor de las modificaciones</w:t>
      </w:r>
      <w:r w:rsidR="00F17366">
        <w:rPr>
          <w:rStyle w:val="Refdenotaalpie"/>
          <w:rFonts w:asciiTheme="majorHAnsi" w:hAnsiTheme="majorHAnsi"/>
          <w:b/>
          <w:bCs/>
          <w:iCs/>
        </w:rPr>
        <w:footnoteReference w:id="2"/>
      </w:r>
      <w:r w:rsidRPr="00B40D3E">
        <w:rPr>
          <w:rFonts w:asciiTheme="majorHAnsi" w:hAnsiTheme="majorHAnsi"/>
          <w:b/>
          <w:bCs/>
          <w:iCs/>
        </w:rPr>
        <w:t>:</w:t>
      </w:r>
    </w:p>
    <w:p w14:paraId="4C9F475E" w14:textId="77777777" w:rsidR="002B31EF" w:rsidRPr="0018293F" w:rsidRDefault="002B31EF" w:rsidP="002B31EF">
      <w:pPr>
        <w:jc w:val="both"/>
        <w:rPr>
          <w:rFonts w:asciiTheme="majorHAnsi" w:hAnsiTheme="majorHAnsi"/>
        </w:rPr>
      </w:pPr>
    </w:p>
    <w:p w14:paraId="1581B6B8" w14:textId="2E5FFDF4" w:rsidR="002B31EF" w:rsidRPr="0018293F" w:rsidRDefault="002B31EF" w:rsidP="002B31EF">
      <w:pPr>
        <w:pStyle w:val="Sangra2detindependiente"/>
        <w:spacing w:after="0" w:line="240" w:lineRule="auto"/>
        <w:ind w:left="0"/>
        <w:jc w:val="both"/>
        <w:rPr>
          <w:rFonts w:asciiTheme="majorHAnsi" w:hAnsiTheme="majorHAnsi"/>
          <w:b/>
          <w:bCs/>
          <w:iCs/>
        </w:rPr>
      </w:pPr>
      <w:r w:rsidRPr="0018293F">
        <w:rPr>
          <w:rFonts w:asciiTheme="majorHAnsi" w:hAnsiTheme="majorHAnsi"/>
          <w:b/>
          <w:bCs/>
          <w:iCs/>
        </w:rPr>
        <w:t>Disposición Final I: Vigencia de modelos previos a NIIF 17</w:t>
      </w:r>
    </w:p>
    <w:p w14:paraId="794317F3" w14:textId="3D221DBF" w:rsidR="00E63C96" w:rsidRPr="00E63C96" w:rsidRDefault="009A619C" w:rsidP="00E63C96">
      <w:pPr>
        <w:pStyle w:val="Sangra2detindependiente"/>
        <w:spacing w:after="0" w:line="240" w:lineRule="auto"/>
        <w:ind w:left="0"/>
        <w:jc w:val="both"/>
        <w:rPr>
          <w:rFonts w:asciiTheme="majorHAnsi" w:hAnsiTheme="majorHAnsi"/>
          <w:bCs/>
          <w:iCs/>
        </w:rPr>
      </w:pPr>
      <w:r w:rsidRPr="009A619C">
        <w:rPr>
          <w:rFonts w:asciiTheme="majorHAnsi" w:hAnsiTheme="majorHAnsi"/>
          <w:bCs/>
          <w:iCs/>
        </w:rPr>
        <w:t>A partir del 1° de enero de 2028, los modelos 1, 2, 5 y 9 definidos en el artículo 2 del acuerdo SGS-DES-A-021-2013 dejarán de tener validez. Sin embargo, las entidades de seguros y reaseguro deben remitir la información correspondiente a dichos modelos con corte a diciembre de 2027, según los plazos de entrega definidos en dicho artículo.</w:t>
      </w:r>
    </w:p>
    <w:p w14:paraId="65D292C0" w14:textId="77777777" w:rsidR="002B31EF" w:rsidRPr="00E63C96" w:rsidRDefault="002B31EF" w:rsidP="002B31EF">
      <w:pPr>
        <w:pStyle w:val="Sangra2detindependiente"/>
        <w:spacing w:after="0" w:line="240" w:lineRule="auto"/>
        <w:ind w:left="0"/>
        <w:jc w:val="both"/>
        <w:rPr>
          <w:rFonts w:asciiTheme="majorHAnsi" w:hAnsiTheme="majorHAnsi"/>
          <w:b/>
          <w:iCs/>
          <w:lang w:val="es-CR"/>
        </w:rPr>
      </w:pPr>
    </w:p>
    <w:p w14:paraId="5A54AEFC" w14:textId="40229DF8" w:rsidR="002B31EF" w:rsidRPr="0018293F" w:rsidRDefault="002B31EF" w:rsidP="002B31EF">
      <w:pPr>
        <w:pStyle w:val="Sangra2detindependiente"/>
        <w:spacing w:after="0" w:line="240" w:lineRule="auto"/>
        <w:ind w:left="0"/>
        <w:jc w:val="both"/>
        <w:rPr>
          <w:rFonts w:asciiTheme="majorHAnsi" w:hAnsiTheme="majorHAnsi"/>
          <w:b/>
          <w:iCs/>
        </w:rPr>
      </w:pPr>
      <w:r w:rsidRPr="0018293F">
        <w:rPr>
          <w:rFonts w:asciiTheme="majorHAnsi" w:hAnsiTheme="majorHAnsi"/>
          <w:b/>
          <w:iCs/>
        </w:rPr>
        <w:t xml:space="preserve">Disposición Final II. Remisión de información paralela </w:t>
      </w:r>
    </w:p>
    <w:p w14:paraId="09065A7A" w14:textId="77777777" w:rsidR="00D13818" w:rsidRPr="00D13818" w:rsidRDefault="00D13818" w:rsidP="00D13818">
      <w:pPr>
        <w:pStyle w:val="Sangra2detindependiente"/>
        <w:spacing w:after="0" w:line="240" w:lineRule="auto"/>
        <w:ind w:left="0"/>
        <w:jc w:val="both"/>
        <w:rPr>
          <w:rFonts w:asciiTheme="majorHAnsi" w:hAnsiTheme="majorHAnsi"/>
          <w:bCs/>
          <w:iCs/>
        </w:rPr>
      </w:pPr>
      <w:r w:rsidRPr="00D13818">
        <w:rPr>
          <w:rFonts w:asciiTheme="majorHAnsi" w:hAnsiTheme="majorHAnsi"/>
          <w:bCs/>
          <w:iCs/>
        </w:rPr>
        <w:t xml:space="preserve">Durante el año 2027, las entidades aseguradoras y reaseguradoras deberán remitir la información de los modelos 18, 19 y 20 definidos en el artículo 2 del acuerdo SGS-DES-A-021-2013, con corte al 31 de marzo, 30 de junio, 30 de setiembre y 31 de diciembre de 2027. </w:t>
      </w:r>
    </w:p>
    <w:p w14:paraId="53C9B0A4" w14:textId="77777777" w:rsidR="00D13818" w:rsidRPr="00D13818" w:rsidRDefault="00D13818" w:rsidP="00D13818">
      <w:pPr>
        <w:pStyle w:val="Sangra2detindependiente"/>
        <w:spacing w:after="0" w:line="240" w:lineRule="auto"/>
        <w:ind w:left="0"/>
        <w:jc w:val="both"/>
        <w:rPr>
          <w:rFonts w:asciiTheme="majorHAnsi" w:hAnsiTheme="majorHAnsi"/>
          <w:bCs/>
          <w:iCs/>
        </w:rPr>
      </w:pPr>
    </w:p>
    <w:p w14:paraId="7B8A77DD" w14:textId="77777777" w:rsidR="00D13818" w:rsidRPr="00D13818" w:rsidRDefault="00D13818" w:rsidP="00D13818">
      <w:pPr>
        <w:pStyle w:val="Sangra2detindependiente"/>
        <w:spacing w:after="0" w:line="240" w:lineRule="auto"/>
        <w:ind w:left="0"/>
        <w:jc w:val="both"/>
        <w:rPr>
          <w:rFonts w:asciiTheme="majorHAnsi" w:hAnsiTheme="majorHAnsi"/>
          <w:bCs/>
          <w:iCs/>
        </w:rPr>
      </w:pPr>
      <w:r w:rsidRPr="00D13818">
        <w:rPr>
          <w:rFonts w:asciiTheme="majorHAnsi" w:hAnsiTheme="majorHAnsi"/>
          <w:bCs/>
          <w:iCs/>
        </w:rPr>
        <w:t xml:space="preserve">El plazo máximo para el envío de la información, posterior al cierre de cada corte trimestral, será:  31 de mayo de 2027, 31 de agosto de 2027, 30 de noviembre de 2027 y 29 de febrero de 2028, respectivamente, los cuales deberán incorporar los ejercicios de transición al 1° de enero del 2027 y los registros subsecuentes. </w:t>
      </w:r>
    </w:p>
    <w:p w14:paraId="13AAFAE4" w14:textId="77777777" w:rsidR="00D13818" w:rsidRDefault="00D13818" w:rsidP="00D13818">
      <w:pPr>
        <w:pStyle w:val="Sangra2detindependiente"/>
        <w:spacing w:after="0" w:line="240" w:lineRule="auto"/>
        <w:ind w:left="0"/>
        <w:jc w:val="both"/>
        <w:rPr>
          <w:rFonts w:asciiTheme="majorHAnsi" w:hAnsiTheme="majorHAnsi"/>
          <w:bCs/>
          <w:iCs/>
        </w:rPr>
      </w:pPr>
    </w:p>
    <w:p w14:paraId="2CA152F1" w14:textId="2E83DC66" w:rsidR="00E63C96" w:rsidRPr="00E63C96" w:rsidRDefault="00D13818" w:rsidP="00D13818">
      <w:pPr>
        <w:pStyle w:val="Sangra2detindependiente"/>
        <w:spacing w:after="0" w:line="240" w:lineRule="auto"/>
        <w:ind w:left="0"/>
        <w:jc w:val="both"/>
        <w:rPr>
          <w:rFonts w:asciiTheme="majorHAnsi" w:hAnsiTheme="majorHAnsi"/>
          <w:b/>
          <w:iCs/>
          <w:lang w:val="es-CR"/>
        </w:rPr>
      </w:pPr>
      <w:r w:rsidRPr="00D13818">
        <w:rPr>
          <w:rFonts w:asciiTheme="majorHAnsi" w:hAnsiTheme="majorHAnsi"/>
          <w:bCs/>
          <w:iCs/>
        </w:rPr>
        <w:t>Adicionalmente, a efecto de garantizar la adecuada adopción de la norma en los plazos establecidos por el CONASSIF e iniciar las actividades de calibración de los requerimientos de solvencia, las aseguradoras deberán remitir información paralela de los modelos 18, 19 y 20 de la siguiente forma: Cierre anual del 31 de diciembre de 2025 a entregar el 6 de abril de 2026, cierre intermedio al 30 de junio del 2026 a entregar el 31 de agosto de 2026, cierre anual del 31 de diciembre de 2026 a entregar el 31 de marzo de 2027. En el caso de los ejercicios del 2025 y del 2026 se deberán también incorporar los ejercicios de transición del 1° de enero de 2025 y el 1° de enero de 2026, según corresponda.</w:t>
      </w:r>
    </w:p>
    <w:p w14:paraId="073E123A" w14:textId="7D8BD8BC" w:rsidR="002B31EF" w:rsidRPr="0018293F" w:rsidRDefault="00E54A25" w:rsidP="00D148ED">
      <w:pPr>
        <w:spacing w:line="276" w:lineRule="auto"/>
        <w:rPr>
          <w:rFonts w:asciiTheme="majorHAnsi" w:hAnsiTheme="majorHAnsi"/>
          <w:b/>
          <w:iCs/>
        </w:rPr>
      </w:pPr>
      <w:r>
        <w:rPr>
          <w:rFonts w:asciiTheme="majorHAnsi" w:hAnsiTheme="majorHAnsi"/>
          <w:b/>
          <w:iCs/>
        </w:rPr>
        <w:br w:type="page"/>
      </w:r>
      <w:r w:rsidR="002B31EF" w:rsidRPr="0018293F">
        <w:rPr>
          <w:rFonts w:asciiTheme="majorHAnsi" w:hAnsiTheme="majorHAnsi"/>
          <w:b/>
          <w:iCs/>
        </w:rPr>
        <w:lastRenderedPageBreak/>
        <w:t>Disposición Final III. Efectos de la transición a NIIF 17</w:t>
      </w:r>
    </w:p>
    <w:p w14:paraId="61A67214" w14:textId="253DB5BD" w:rsidR="00E63C96" w:rsidRDefault="00D148ED" w:rsidP="002B31EF">
      <w:pPr>
        <w:pStyle w:val="Sangra2detindependiente"/>
        <w:spacing w:after="0" w:line="240" w:lineRule="auto"/>
        <w:ind w:left="0"/>
        <w:jc w:val="both"/>
        <w:rPr>
          <w:rFonts w:asciiTheme="majorHAnsi" w:hAnsiTheme="majorHAnsi"/>
          <w:bCs/>
          <w:iCs/>
        </w:rPr>
      </w:pPr>
      <w:r w:rsidRPr="00D148ED">
        <w:rPr>
          <w:rFonts w:asciiTheme="majorHAnsi" w:hAnsiTheme="majorHAnsi"/>
          <w:bCs/>
          <w:iCs/>
        </w:rPr>
        <w:t>De conformidad con la NIIF 17 los efectos de la transición deben reflejarse en los estados financieros de 2028. Particularmente, en cuanto al estado de cambios del patrimonio, la entidad debe considerar en la versión definitiva de los estados financieros intermedios trimestrales y anuales al cierre de 2028, la reformulación de los saldos de las cuentas patrimoniales al 1° de enero de 2027, reflejando lo anterior en una línea separada del estado patrimonial definitivo publicado.</w:t>
      </w:r>
    </w:p>
    <w:p w14:paraId="7D92B3DE" w14:textId="77777777" w:rsidR="00D148ED" w:rsidRPr="0018293F" w:rsidRDefault="00D148ED" w:rsidP="002B31EF">
      <w:pPr>
        <w:pStyle w:val="Sangra2detindependiente"/>
        <w:spacing w:after="0" w:line="240" w:lineRule="auto"/>
        <w:ind w:left="0"/>
        <w:jc w:val="both"/>
        <w:rPr>
          <w:rFonts w:asciiTheme="majorHAnsi" w:hAnsiTheme="majorHAnsi"/>
          <w:b/>
          <w:iCs/>
        </w:rPr>
      </w:pPr>
    </w:p>
    <w:p w14:paraId="5877A364" w14:textId="77777777" w:rsidR="002B31EF" w:rsidRPr="000C2FBB" w:rsidRDefault="002B31EF" w:rsidP="002B31EF">
      <w:pPr>
        <w:pStyle w:val="Sangra2detindependiente"/>
        <w:spacing w:after="0" w:line="240" w:lineRule="auto"/>
        <w:ind w:left="0"/>
        <w:jc w:val="both"/>
        <w:rPr>
          <w:rFonts w:asciiTheme="majorHAnsi" w:hAnsiTheme="majorHAnsi"/>
          <w:b/>
          <w:iCs/>
        </w:rPr>
      </w:pPr>
      <w:r w:rsidRPr="000C2FBB">
        <w:rPr>
          <w:rFonts w:asciiTheme="majorHAnsi" w:hAnsiTheme="majorHAnsi"/>
          <w:b/>
          <w:iCs/>
        </w:rPr>
        <w:t>Disposición Final IV. Vigencia de las modificaciones</w:t>
      </w:r>
    </w:p>
    <w:p w14:paraId="00C40980" w14:textId="21B0847B" w:rsidR="002B31EF" w:rsidRPr="0018293F" w:rsidRDefault="00AC6C1B" w:rsidP="002B31EF">
      <w:pPr>
        <w:pStyle w:val="Sangra2detindependiente"/>
        <w:spacing w:after="0" w:line="240" w:lineRule="auto"/>
        <w:ind w:left="0"/>
        <w:jc w:val="both"/>
        <w:rPr>
          <w:rFonts w:asciiTheme="majorHAnsi" w:hAnsiTheme="majorHAnsi"/>
          <w:bCs/>
          <w:iCs/>
        </w:rPr>
      </w:pPr>
      <w:r w:rsidRPr="00AC6C1B">
        <w:rPr>
          <w:rFonts w:asciiTheme="majorHAnsi" w:hAnsiTheme="majorHAnsi"/>
          <w:bCs/>
          <w:iCs/>
        </w:rPr>
        <w:t>Las modificaciones presentadas de previo regirán a partir su aprobación, sin embargo, su vigencia efectiva será el 1° de enero de 2026.</w:t>
      </w:r>
    </w:p>
    <w:p w14:paraId="7BAD22A0" w14:textId="77777777" w:rsidR="002B31EF" w:rsidRDefault="002B31EF" w:rsidP="002B31EF">
      <w:pPr>
        <w:jc w:val="both"/>
        <w:rPr>
          <w:rFonts w:asciiTheme="majorHAnsi" w:hAnsiTheme="majorHAnsi"/>
        </w:rPr>
      </w:pPr>
    </w:p>
    <w:p w14:paraId="4120C70B" w14:textId="77777777" w:rsidR="002B31EF" w:rsidRPr="0018293F" w:rsidRDefault="002B31EF" w:rsidP="002B31EF">
      <w:pPr>
        <w:pStyle w:val="Prrafodelista"/>
        <w:spacing w:line="240" w:lineRule="auto"/>
        <w:ind w:left="0"/>
        <w:jc w:val="both"/>
        <w:rPr>
          <w:rFonts w:ascii="Cambria" w:hAnsi="Cambria"/>
          <w:b/>
          <w:bCs/>
          <w:sz w:val="24"/>
          <w:szCs w:val="24"/>
        </w:rPr>
      </w:pPr>
      <w:r w:rsidRPr="0018293F">
        <w:rPr>
          <w:rFonts w:ascii="Cambria" w:hAnsi="Cambria"/>
          <w:b/>
          <w:bCs/>
          <w:sz w:val="24"/>
          <w:szCs w:val="24"/>
        </w:rPr>
        <w:t>VII. Actualizar la versión publicada de los acuerdos de Superintendente SGS-DES-A-021-2013 y SGS-DES-A029-2013 para incluir las modificaciones señaladas en este acto.</w:t>
      </w:r>
    </w:p>
    <w:p w14:paraId="2180CECF" w14:textId="77777777" w:rsidR="002B31EF" w:rsidRDefault="002B31EF" w:rsidP="002B31EF">
      <w:pPr>
        <w:pStyle w:val="Prrafodelista"/>
        <w:spacing w:line="240" w:lineRule="auto"/>
        <w:ind w:left="0"/>
        <w:jc w:val="both"/>
        <w:rPr>
          <w:rFonts w:ascii="Cambria" w:hAnsi="Cambria"/>
        </w:rPr>
      </w:pPr>
    </w:p>
    <w:p w14:paraId="11F1B91B" w14:textId="77777777" w:rsidR="002B31EF" w:rsidRPr="0018293F" w:rsidRDefault="002B31EF" w:rsidP="002B31EF">
      <w:pPr>
        <w:pStyle w:val="Prrafodelista"/>
        <w:spacing w:line="240" w:lineRule="auto"/>
        <w:ind w:left="0"/>
        <w:jc w:val="both"/>
        <w:rPr>
          <w:rFonts w:ascii="Cambria" w:hAnsi="Cambria"/>
          <w:sz w:val="24"/>
          <w:szCs w:val="24"/>
        </w:rPr>
      </w:pPr>
      <w:r w:rsidRPr="0018293F">
        <w:rPr>
          <w:rFonts w:ascii="Cambria" w:hAnsi="Cambria"/>
          <w:sz w:val="24"/>
          <w:szCs w:val="24"/>
        </w:rPr>
        <w:t xml:space="preserve">Rige a partir de su comunicación. </w:t>
      </w:r>
    </w:p>
    <w:p w14:paraId="0156FC88" w14:textId="77777777" w:rsidR="002B31EF" w:rsidRDefault="002B31EF" w:rsidP="002B31EF">
      <w:pPr>
        <w:pStyle w:val="Prrafodelista"/>
        <w:spacing w:line="240" w:lineRule="auto"/>
        <w:ind w:left="0"/>
        <w:jc w:val="both"/>
        <w:rPr>
          <w:rFonts w:ascii="Cambria" w:hAnsi="Cambria"/>
          <w:sz w:val="24"/>
          <w:szCs w:val="24"/>
        </w:rPr>
      </w:pPr>
    </w:p>
    <w:p w14:paraId="5CD78480" w14:textId="77777777" w:rsidR="00471BAB" w:rsidRDefault="00471BAB" w:rsidP="002B31EF">
      <w:pPr>
        <w:pStyle w:val="Prrafodelista"/>
        <w:spacing w:line="240" w:lineRule="auto"/>
        <w:ind w:left="0"/>
        <w:jc w:val="both"/>
        <w:rPr>
          <w:rFonts w:ascii="Cambria" w:hAnsi="Cambria"/>
          <w:sz w:val="24"/>
          <w:szCs w:val="24"/>
        </w:rPr>
      </w:pPr>
    </w:p>
    <w:p w14:paraId="394CDCB5" w14:textId="292FFC68" w:rsidR="00471BAB" w:rsidRPr="00471BAB" w:rsidRDefault="00471BAB" w:rsidP="00471BAB">
      <w:pPr>
        <w:pStyle w:val="Prrafodelista"/>
        <w:ind w:left="0"/>
        <w:jc w:val="both"/>
        <w:rPr>
          <w:rFonts w:ascii="Cambria" w:hAnsi="Cambria"/>
          <w:sz w:val="24"/>
          <w:szCs w:val="24"/>
        </w:rPr>
      </w:pPr>
      <w:r>
        <w:rPr>
          <w:rStyle w:val="Refdenotaalpie"/>
          <w:rFonts w:ascii="Cambria" w:hAnsi="Cambria"/>
          <w:b/>
          <w:bCs/>
          <w:sz w:val="24"/>
          <w:szCs w:val="24"/>
        </w:rPr>
        <w:footnoteReference w:id="3"/>
      </w:r>
      <w:r w:rsidRPr="00471BAB">
        <w:rPr>
          <w:rFonts w:ascii="Cambria" w:hAnsi="Cambria"/>
          <w:b/>
          <w:bCs/>
          <w:sz w:val="24"/>
          <w:szCs w:val="24"/>
        </w:rPr>
        <w:t>TRANSITORIO I.</w:t>
      </w:r>
      <w:r w:rsidRPr="00471BAB">
        <w:rPr>
          <w:rFonts w:ascii="Cambria" w:hAnsi="Cambria"/>
          <w:sz w:val="24"/>
          <w:szCs w:val="24"/>
        </w:rPr>
        <w:t xml:space="preserve"> La presentación del modelo 20 (saldos contables-NIIF17), el modelo 3 (inversiones) y el modelo 11 (primas y sinestros) establecidos en el acuerdo SGS-DES-A-021-2013, para los cierres contables del primer trimestre de 2028, no será según lo establecido en el artículo 2 de dicho acuerdo, sino de conformidad con las siguientes fechas: </w:t>
      </w:r>
    </w:p>
    <w:p w14:paraId="54BBCB24" w14:textId="77777777" w:rsidR="00471BAB" w:rsidRPr="00471BAB" w:rsidRDefault="00471BAB" w:rsidP="00471BAB">
      <w:pPr>
        <w:pStyle w:val="Prrafodelista"/>
        <w:ind w:left="0"/>
        <w:jc w:val="both"/>
        <w:rPr>
          <w:rFonts w:ascii="Cambria" w:hAnsi="Cambria"/>
          <w:sz w:val="24"/>
          <w:szCs w:val="24"/>
        </w:rPr>
      </w:pPr>
    </w:p>
    <w:p w14:paraId="436D178B" w14:textId="77777777" w:rsidR="00471BAB" w:rsidRPr="00471BAB" w:rsidRDefault="00471BAB" w:rsidP="00471BAB">
      <w:pPr>
        <w:pStyle w:val="Prrafodelista"/>
        <w:ind w:left="0"/>
        <w:jc w:val="both"/>
        <w:rPr>
          <w:rFonts w:ascii="Cambria" w:hAnsi="Cambria"/>
          <w:sz w:val="24"/>
          <w:szCs w:val="24"/>
        </w:rPr>
      </w:pPr>
      <w:r w:rsidRPr="00471BAB">
        <w:rPr>
          <w:rFonts w:ascii="Cambria" w:hAnsi="Cambria"/>
          <w:sz w:val="24"/>
          <w:szCs w:val="24"/>
        </w:rPr>
        <w:t>Enero 2028, fecha límite de entrega: 14 de marzo de 2028</w:t>
      </w:r>
    </w:p>
    <w:p w14:paraId="4B2D05D0" w14:textId="77777777" w:rsidR="00471BAB" w:rsidRPr="00471BAB" w:rsidRDefault="00471BAB" w:rsidP="00471BAB">
      <w:pPr>
        <w:pStyle w:val="Prrafodelista"/>
        <w:ind w:left="0"/>
        <w:jc w:val="both"/>
        <w:rPr>
          <w:rFonts w:ascii="Cambria" w:hAnsi="Cambria"/>
          <w:sz w:val="24"/>
          <w:szCs w:val="24"/>
        </w:rPr>
      </w:pPr>
      <w:r w:rsidRPr="00471BAB">
        <w:rPr>
          <w:rFonts w:ascii="Cambria" w:hAnsi="Cambria"/>
          <w:sz w:val="24"/>
          <w:szCs w:val="24"/>
        </w:rPr>
        <w:t>Febrero 2028, fecha límite de entrega: 28 de marzo de 2028</w:t>
      </w:r>
    </w:p>
    <w:p w14:paraId="34A2E6C3" w14:textId="65E5F68A" w:rsidR="00471BAB" w:rsidRDefault="00471BAB" w:rsidP="00471BAB">
      <w:pPr>
        <w:pStyle w:val="Prrafodelista"/>
        <w:spacing w:line="240" w:lineRule="auto"/>
        <w:ind w:left="0"/>
        <w:jc w:val="both"/>
        <w:rPr>
          <w:rFonts w:ascii="Cambria" w:hAnsi="Cambria"/>
          <w:sz w:val="24"/>
          <w:szCs w:val="24"/>
        </w:rPr>
      </w:pPr>
      <w:r w:rsidRPr="00471BAB">
        <w:rPr>
          <w:rFonts w:ascii="Cambria" w:hAnsi="Cambria"/>
          <w:sz w:val="24"/>
          <w:szCs w:val="24"/>
        </w:rPr>
        <w:t>Marzo 2028, fecha límite de entrega: 21 de abril de 2028</w:t>
      </w:r>
    </w:p>
    <w:p w14:paraId="6746621C" w14:textId="77777777" w:rsidR="00471BAB" w:rsidRDefault="00471BAB" w:rsidP="002B31EF">
      <w:pPr>
        <w:pStyle w:val="Prrafodelista"/>
        <w:spacing w:line="240" w:lineRule="auto"/>
        <w:ind w:left="0"/>
        <w:jc w:val="both"/>
        <w:rPr>
          <w:rFonts w:ascii="Cambria" w:hAnsi="Cambria"/>
          <w:sz w:val="24"/>
          <w:szCs w:val="24"/>
        </w:rPr>
      </w:pPr>
    </w:p>
    <w:p w14:paraId="242A812D" w14:textId="77777777" w:rsidR="00471BAB" w:rsidRPr="0018293F" w:rsidRDefault="00471BAB" w:rsidP="002B31EF">
      <w:pPr>
        <w:pStyle w:val="Prrafodelista"/>
        <w:spacing w:line="240" w:lineRule="auto"/>
        <w:ind w:left="0"/>
        <w:jc w:val="both"/>
        <w:rPr>
          <w:rFonts w:ascii="Cambria" w:hAnsi="Cambria"/>
          <w:sz w:val="24"/>
          <w:szCs w:val="24"/>
        </w:rPr>
      </w:pPr>
    </w:p>
    <w:p w14:paraId="012297F8" w14:textId="77777777" w:rsidR="002B31EF" w:rsidRPr="0018293F" w:rsidRDefault="002B31EF" w:rsidP="002B31EF">
      <w:pPr>
        <w:pStyle w:val="Prrafodelista"/>
        <w:spacing w:line="240" w:lineRule="auto"/>
        <w:ind w:left="0"/>
        <w:jc w:val="both"/>
        <w:rPr>
          <w:rFonts w:ascii="Cambria" w:hAnsi="Cambria"/>
          <w:sz w:val="24"/>
          <w:szCs w:val="24"/>
        </w:rPr>
      </w:pPr>
    </w:p>
    <w:p w14:paraId="7AAE8AD3" w14:textId="338CD9B5" w:rsidR="002B31EF" w:rsidRPr="0018293F" w:rsidRDefault="002B31EF" w:rsidP="002B31EF">
      <w:pPr>
        <w:pStyle w:val="Prrafodelista"/>
        <w:spacing w:line="240" w:lineRule="auto"/>
        <w:ind w:left="0"/>
        <w:jc w:val="both"/>
        <w:rPr>
          <w:rFonts w:ascii="Cambria" w:hAnsi="Cambria"/>
          <w:sz w:val="24"/>
          <w:szCs w:val="24"/>
        </w:rPr>
      </w:pPr>
      <w:r w:rsidRPr="0018293F">
        <w:rPr>
          <w:rFonts w:ascii="Cambria" w:hAnsi="Cambria"/>
          <w:sz w:val="24"/>
          <w:szCs w:val="24"/>
        </w:rPr>
        <w:t>Notifíquese,</w:t>
      </w:r>
    </w:p>
    <w:p w14:paraId="1510CD09" w14:textId="4C00FDE6" w:rsidR="002B31EF" w:rsidRPr="006A3734" w:rsidRDefault="002B31EF" w:rsidP="002B31EF">
      <w:pPr>
        <w:pStyle w:val="Prrafodelista"/>
        <w:spacing w:line="240" w:lineRule="auto"/>
        <w:ind w:left="0"/>
        <w:jc w:val="both"/>
        <w:rPr>
          <w:rFonts w:ascii="Cambria" w:hAnsi="Cambria"/>
        </w:rPr>
      </w:pPr>
      <w:r w:rsidRPr="0018293F">
        <w:rPr>
          <w:rFonts w:asciiTheme="majorHAnsi" w:hAnsiTheme="majorHAnsi" w:cstheme="minorHAnsi"/>
          <w:noProof/>
          <w:lang w:eastAsia="es-CR"/>
        </w:rPr>
        <w:drawing>
          <wp:inline distT="0" distB="0" distL="0" distR="0" wp14:anchorId="40967E41" wp14:editId="68764EFD">
            <wp:extent cx="2495550" cy="523875"/>
            <wp:effectExtent l="0" t="0" r="0" b="9525"/>
            <wp:docPr id="4" name="Imagen 4"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image0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0" cy="523875"/>
                    </a:xfrm>
                    <a:prstGeom prst="rect">
                      <a:avLst/>
                    </a:prstGeom>
                    <a:noFill/>
                    <a:ln>
                      <a:noFill/>
                    </a:ln>
                  </pic:spPr>
                </pic:pic>
              </a:graphicData>
            </a:graphic>
          </wp:inline>
        </w:drawing>
      </w:r>
    </w:p>
    <w:p w14:paraId="1F8899E9" w14:textId="1D4E9AE0" w:rsidR="00761D54" w:rsidRPr="006A3734" w:rsidRDefault="00761D54" w:rsidP="007F09F5">
      <w:pPr>
        <w:jc w:val="both"/>
        <w:rPr>
          <w:rFonts w:ascii="Cambria" w:hAnsi="Cambria"/>
        </w:rPr>
      </w:pPr>
    </w:p>
    <w:sectPr w:rsidR="00761D54" w:rsidRPr="006A3734" w:rsidSect="009618C8">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C2798" w14:textId="77777777" w:rsidR="00AF713B" w:rsidRDefault="00AF713B" w:rsidP="005A1442">
      <w:r>
        <w:separator/>
      </w:r>
    </w:p>
  </w:endnote>
  <w:endnote w:type="continuationSeparator" w:id="0">
    <w:p w14:paraId="775E0E14" w14:textId="77777777" w:rsidR="00AF713B" w:rsidRDefault="00AF713B"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08416" w14:textId="77777777" w:rsidR="006055BC" w:rsidRDefault="006055B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148DD" w14:textId="547D39D8" w:rsidR="00F8332E" w:rsidRPr="00F8332E" w:rsidRDefault="00B84E6C" w:rsidP="00F8332E">
    <w:pPr>
      <w:pStyle w:val="Piedepgina"/>
      <w:tabs>
        <w:tab w:val="clear" w:pos="8838"/>
      </w:tabs>
      <w:jc w:val="right"/>
      <w:rPr>
        <w:rFonts w:asciiTheme="majorHAnsi" w:hAnsiTheme="majorHAnsi"/>
        <w:sz w:val="18"/>
        <w:szCs w:val="18"/>
      </w:rPr>
    </w:pPr>
    <w:r>
      <w:rPr>
        <w:rFonts w:asciiTheme="majorHAnsi" w:hAnsiTheme="majorHAnsi"/>
        <w:noProof/>
        <w:sz w:val="18"/>
        <w:szCs w:val="18"/>
      </w:rPr>
      <mc:AlternateContent>
        <mc:Choice Requires="wps">
          <w:drawing>
            <wp:anchor distT="0" distB="0" distL="114300" distR="114300" simplePos="0" relativeHeight="251659264" behindDoc="0" locked="0" layoutInCell="0" allowOverlap="1" wp14:anchorId="632104C2" wp14:editId="291CDA24">
              <wp:simplePos x="0" y="0"/>
              <wp:positionH relativeFrom="page">
                <wp:posOffset>0</wp:posOffset>
              </wp:positionH>
              <wp:positionV relativeFrom="page">
                <wp:posOffset>9594215</wp:posOffset>
              </wp:positionV>
              <wp:extent cx="7772400" cy="273050"/>
              <wp:effectExtent l="0" t="0" r="0" b="12700"/>
              <wp:wrapNone/>
              <wp:docPr id="1" name="MSIPCM2d124e2abce3943c527533d9"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B827B1" w14:textId="3BD9B913" w:rsidR="00B84E6C" w:rsidRPr="00B84E6C" w:rsidRDefault="00B84E6C" w:rsidP="00B84E6C">
                          <w:pPr>
                            <w:jc w:val="center"/>
                            <w:rPr>
                              <w:rFonts w:ascii="Calibri" w:hAnsi="Calibri" w:cs="Calibri"/>
                              <w:color w:val="000000"/>
                              <w:sz w:val="20"/>
                            </w:rPr>
                          </w:pPr>
                          <w:r w:rsidRPr="00B84E6C">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32104C2" id="_x0000_t202" coordsize="21600,21600" o:spt="202" path="m,l,21600r21600,l21600,xe">
              <v:stroke joinstyle="miter"/>
              <v:path gradientshapeok="t" o:connecttype="rect"/>
            </v:shapetype>
            <v:shape id="MSIPCM2d124e2abce3943c527533d9" o:spid="_x0000_s1026" type="#_x0000_t202" alt="{&quot;HashCode&quot;:1186230005,&quot;Height&quot;:792.0,&quot;Width&quot;:612.0,&quot;Placement&quot;:&quot;Footer&quot;,&quot;Index&quot;:&quot;Primary&quot;,&quot;Section&quot;:1,&quot;Top&quot;:0.0,&quot;Left&quot;:0.0}" style="position:absolute;left:0;text-align:left;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21B827B1" w14:textId="3BD9B913" w:rsidR="00B84E6C" w:rsidRPr="00B84E6C" w:rsidRDefault="00B84E6C" w:rsidP="00B84E6C">
                    <w:pPr>
                      <w:jc w:val="center"/>
                      <w:rPr>
                        <w:rFonts w:ascii="Calibri" w:hAnsi="Calibri" w:cs="Calibri"/>
                        <w:color w:val="000000"/>
                        <w:sz w:val="20"/>
                      </w:rPr>
                    </w:pPr>
                    <w:r w:rsidRPr="00B84E6C">
                      <w:rPr>
                        <w:rFonts w:ascii="Calibri" w:hAnsi="Calibri" w:cs="Calibri"/>
                        <w:color w:val="000000"/>
                        <w:sz w:val="20"/>
                      </w:rPr>
                      <w:t>Uso Interno</w:t>
                    </w:r>
                  </w:p>
                </w:txbxContent>
              </v:textbox>
              <w10:wrap anchorx="page" anchory="page"/>
            </v:shape>
          </w:pict>
        </mc:Fallback>
      </mc:AlternateContent>
    </w:r>
    <w:r w:rsidR="00F8332E" w:rsidRPr="00F8332E">
      <w:rPr>
        <w:rFonts w:asciiTheme="majorHAnsi" w:hAnsiTheme="majorHAnsi"/>
        <w:sz w:val="18"/>
        <w:szCs w:val="18"/>
      </w:rPr>
      <w:t>Teléfonos: 2243-5108, 2243-</w:t>
    </w:r>
    <w:proofErr w:type="gramStart"/>
    <w:r w:rsidR="00F8332E" w:rsidRPr="00F8332E">
      <w:rPr>
        <w:rFonts w:asciiTheme="majorHAnsi" w:hAnsiTheme="majorHAnsi"/>
        <w:sz w:val="18"/>
        <w:szCs w:val="18"/>
      </w:rPr>
      <w:t>5103  •</w:t>
    </w:r>
    <w:proofErr w:type="gramEnd"/>
    <w:r w:rsidR="00F8332E" w:rsidRPr="00F8332E">
      <w:rPr>
        <w:rFonts w:asciiTheme="majorHAnsi" w:hAnsiTheme="majorHAnsi"/>
        <w:sz w:val="18"/>
        <w:szCs w:val="18"/>
      </w:rPr>
      <w:t xml:space="preserve">  Fax: 2243-5151</w:t>
    </w:r>
  </w:p>
  <w:p w14:paraId="13152E24" w14:textId="77777777" w:rsidR="00F8332E" w:rsidRDefault="00F8332E" w:rsidP="00F8332E">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Pr="009E7017">
      <w:rPr>
        <w:rFonts w:asciiTheme="majorHAnsi" w:hAnsiTheme="majorHAnsi"/>
        <w:sz w:val="18"/>
        <w:szCs w:val="18"/>
      </w:rPr>
      <w:t xml:space="preserve">Edificio </w:t>
    </w:r>
    <w:proofErr w:type="spellStart"/>
    <w:r w:rsidRPr="009E7017">
      <w:rPr>
        <w:rFonts w:asciiTheme="majorHAnsi" w:hAnsiTheme="majorHAnsi"/>
        <w:sz w:val="18"/>
        <w:szCs w:val="18"/>
      </w:rPr>
      <w:t>ODMs</w:t>
    </w:r>
    <w:proofErr w:type="spellEnd"/>
    <w:r w:rsidRPr="009E7017">
      <w:rPr>
        <w:rFonts w:asciiTheme="majorHAnsi" w:hAnsiTheme="majorHAnsi"/>
        <w:sz w:val="18"/>
        <w:szCs w:val="18"/>
      </w:rPr>
      <w:t xml:space="preserve">, Barrio </w:t>
    </w:r>
    <w:proofErr w:type="spellStart"/>
    <w:r w:rsidRPr="009E7017">
      <w:rPr>
        <w:rFonts w:asciiTheme="majorHAnsi" w:hAnsiTheme="majorHAnsi"/>
        <w:sz w:val="18"/>
        <w:szCs w:val="18"/>
      </w:rPr>
      <w:t>T</w:t>
    </w:r>
    <w:r>
      <w:rPr>
        <w:rFonts w:asciiTheme="majorHAnsi" w:hAnsiTheme="majorHAnsi"/>
        <w:sz w:val="18"/>
        <w:szCs w:val="18"/>
      </w:rPr>
      <w:t>o</w:t>
    </w:r>
    <w:r w:rsidRPr="009E7017">
      <w:rPr>
        <w:rFonts w:asciiTheme="majorHAnsi" w:hAnsiTheme="majorHAnsi"/>
        <w:sz w:val="18"/>
        <w:szCs w:val="18"/>
      </w:rPr>
      <w:t>urnón</w:t>
    </w:r>
    <w:proofErr w:type="spellEnd"/>
    <w:r w:rsidRPr="009E7017">
      <w:rPr>
        <w:rFonts w:asciiTheme="majorHAnsi" w:hAnsiTheme="majorHAnsi"/>
        <w:sz w:val="18"/>
        <w:szCs w:val="18"/>
      </w:rPr>
      <w:t>, Piso 4</w:t>
    </w:r>
  </w:p>
  <w:p w14:paraId="2E97C544" w14:textId="77777777" w:rsidR="00F8332E" w:rsidRPr="00F8332E" w:rsidRDefault="00F8332E" w:rsidP="00F8332E">
    <w:pPr>
      <w:pStyle w:val="Piedepgina"/>
      <w:tabs>
        <w:tab w:val="clear" w:pos="8838"/>
      </w:tabs>
      <w:jc w:val="right"/>
      <w:rPr>
        <w:rFonts w:ascii="Baskerville Old Face" w:hAnsi="Baskerville Old Face"/>
        <w:sz w:val="18"/>
        <w:szCs w:val="18"/>
      </w:rPr>
    </w:pPr>
    <w:hyperlink r:id="rId1" w:history="1">
      <w:r w:rsidRPr="00121F8C">
        <w:rPr>
          <w:rStyle w:val="Hipervnculo"/>
          <w:rFonts w:ascii="Baskerville Old Face" w:hAnsi="Baskerville Old Face"/>
          <w:sz w:val="18"/>
          <w:szCs w:val="18"/>
        </w:rPr>
        <w:t>sugese@sugese.fi.cr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20E11" w14:textId="602ABE37" w:rsidR="00843EE4" w:rsidRDefault="00B84E6C" w:rsidP="00A83BA5">
    <w:pPr>
      <w:pStyle w:val="Piedepgina"/>
      <w:pBdr>
        <w:top w:val="single" w:sz="4" w:space="1" w:color="auto"/>
      </w:pBdr>
      <w:rPr>
        <w:sz w:val="16"/>
        <w:szCs w:val="16"/>
      </w:rPr>
    </w:pPr>
    <w:r>
      <w:rPr>
        <w:noProof/>
        <w:sz w:val="16"/>
        <w:szCs w:val="16"/>
      </w:rPr>
      <mc:AlternateContent>
        <mc:Choice Requires="wps">
          <w:drawing>
            <wp:anchor distT="0" distB="0" distL="114300" distR="114300" simplePos="0" relativeHeight="251660288" behindDoc="0" locked="0" layoutInCell="0" allowOverlap="1" wp14:anchorId="62D028C2" wp14:editId="0CC66624">
              <wp:simplePos x="0" y="0"/>
              <wp:positionH relativeFrom="page">
                <wp:posOffset>0</wp:posOffset>
              </wp:positionH>
              <wp:positionV relativeFrom="page">
                <wp:posOffset>9594215</wp:posOffset>
              </wp:positionV>
              <wp:extent cx="7772400" cy="273050"/>
              <wp:effectExtent l="0" t="0" r="0" b="12700"/>
              <wp:wrapNone/>
              <wp:docPr id="2" name="MSIPCM4c7843c8965db017f9169b89"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259E4F" w14:textId="7AD372A5" w:rsidR="00B84E6C" w:rsidRPr="00B84E6C" w:rsidRDefault="00B84E6C" w:rsidP="00B84E6C">
                          <w:pPr>
                            <w:jc w:val="center"/>
                            <w:rPr>
                              <w:rFonts w:ascii="Calibri" w:hAnsi="Calibri" w:cs="Calibri"/>
                              <w:color w:val="000000"/>
                              <w:sz w:val="20"/>
                            </w:rPr>
                          </w:pPr>
                          <w:r w:rsidRPr="00B84E6C">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2D028C2" id="_x0000_t202" coordsize="21600,21600" o:spt="202" path="m,l,21600r21600,l21600,xe">
              <v:stroke joinstyle="miter"/>
              <v:path gradientshapeok="t" o:connecttype="rect"/>
            </v:shapetype>
            <v:shape id="MSIPCM4c7843c8965db017f9169b89"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29259E4F" w14:textId="7AD372A5" w:rsidR="00B84E6C" w:rsidRPr="00B84E6C" w:rsidRDefault="00B84E6C" w:rsidP="00B84E6C">
                    <w:pPr>
                      <w:jc w:val="center"/>
                      <w:rPr>
                        <w:rFonts w:ascii="Calibri" w:hAnsi="Calibri" w:cs="Calibri"/>
                        <w:color w:val="000000"/>
                        <w:sz w:val="20"/>
                      </w:rPr>
                    </w:pPr>
                    <w:r w:rsidRPr="00B84E6C">
                      <w:rPr>
                        <w:rFonts w:ascii="Calibri" w:hAnsi="Calibri" w:cs="Calibri"/>
                        <w:color w:val="000000"/>
                        <w:sz w:val="20"/>
                      </w:rPr>
                      <w:t>Uso Interno</w:t>
                    </w:r>
                  </w:p>
                </w:txbxContent>
              </v:textbox>
              <w10:wrap anchorx="page" anchory="page"/>
            </v:shape>
          </w:pict>
        </mc:Fallback>
      </mc:AlternateContent>
    </w:r>
  </w:p>
  <w:p w14:paraId="6A32811C" w14:textId="77777777" w:rsidR="00843EE4" w:rsidRPr="00F8332E" w:rsidRDefault="00843EE4" w:rsidP="00A83BA5">
    <w:pPr>
      <w:pStyle w:val="Piedepgina"/>
      <w:tabs>
        <w:tab w:val="clear" w:pos="8838"/>
      </w:tabs>
      <w:jc w:val="right"/>
      <w:rPr>
        <w:rFonts w:asciiTheme="majorHAnsi" w:hAnsiTheme="majorHAnsi"/>
        <w:sz w:val="18"/>
        <w:szCs w:val="18"/>
      </w:rPr>
    </w:pPr>
    <w:r w:rsidRPr="00F8332E">
      <w:rPr>
        <w:rFonts w:asciiTheme="majorHAnsi" w:hAnsiTheme="majorHAnsi"/>
        <w:sz w:val="18"/>
        <w:szCs w:val="18"/>
      </w:rPr>
      <w:t>Teléfonos: 2243-5108, 2243-</w:t>
    </w:r>
    <w:proofErr w:type="gramStart"/>
    <w:r w:rsidRPr="00F8332E">
      <w:rPr>
        <w:rFonts w:asciiTheme="majorHAnsi" w:hAnsiTheme="majorHAnsi"/>
        <w:sz w:val="18"/>
        <w:szCs w:val="18"/>
      </w:rPr>
      <w:t>5103  •</w:t>
    </w:r>
    <w:proofErr w:type="gramEnd"/>
    <w:r w:rsidRPr="00F8332E">
      <w:rPr>
        <w:rFonts w:asciiTheme="majorHAnsi" w:hAnsiTheme="majorHAnsi"/>
        <w:sz w:val="18"/>
        <w:szCs w:val="18"/>
      </w:rPr>
      <w:t xml:space="preserve">  Fax: 2243-5151</w:t>
    </w:r>
  </w:p>
  <w:p w14:paraId="2E8FEE55" w14:textId="77777777" w:rsidR="00843EE4" w:rsidRDefault="00843EE4" w:rsidP="00A83BA5">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00F8332E" w:rsidRPr="009E7017">
      <w:rPr>
        <w:rFonts w:asciiTheme="majorHAnsi" w:hAnsiTheme="majorHAnsi"/>
        <w:sz w:val="18"/>
        <w:szCs w:val="18"/>
      </w:rPr>
      <w:t xml:space="preserve">Edificio </w:t>
    </w:r>
    <w:proofErr w:type="spellStart"/>
    <w:r w:rsidR="00F8332E" w:rsidRPr="009E7017">
      <w:rPr>
        <w:rFonts w:asciiTheme="majorHAnsi" w:hAnsiTheme="majorHAnsi"/>
        <w:sz w:val="18"/>
        <w:szCs w:val="18"/>
      </w:rPr>
      <w:t>ODMs</w:t>
    </w:r>
    <w:proofErr w:type="spellEnd"/>
    <w:r w:rsidR="00F8332E" w:rsidRPr="009E7017">
      <w:rPr>
        <w:rFonts w:asciiTheme="majorHAnsi" w:hAnsiTheme="majorHAnsi"/>
        <w:sz w:val="18"/>
        <w:szCs w:val="18"/>
      </w:rPr>
      <w:t xml:space="preserve">, Barrio </w:t>
    </w:r>
    <w:proofErr w:type="spellStart"/>
    <w:r w:rsidR="00F8332E" w:rsidRPr="009E7017">
      <w:rPr>
        <w:rFonts w:asciiTheme="majorHAnsi" w:hAnsiTheme="majorHAnsi"/>
        <w:sz w:val="18"/>
        <w:szCs w:val="18"/>
      </w:rPr>
      <w:t>T</w:t>
    </w:r>
    <w:r w:rsidR="00F8332E">
      <w:rPr>
        <w:rFonts w:asciiTheme="majorHAnsi" w:hAnsiTheme="majorHAnsi"/>
        <w:sz w:val="18"/>
        <w:szCs w:val="18"/>
      </w:rPr>
      <w:t>o</w:t>
    </w:r>
    <w:r w:rsidR="00F8332E" w:rsidRPr="009E7017">
      <w:rPr>
        <w:rFonts w:asciiTheme="majorHAnsi" w:hAnsiTheme="majorHAnsi"/>
        <w:sz w:val="18"/>
        <w:szCs w:val="18"/>
      </w:rPr>
      <w:t>urnón</w:t>
    </w:r>
    <w:proofErr w:type="spellEnd"/>
    <w:r w:rsidR="00F8332E" w:rsidRPr="009E7017">
      <w:rPr>
        <w:rFonts w:asciiTheme="majorHAnsi" w:hAnsiTheme="majorHAnsi"/>
        <w:sz w:val="18"/>
        <w:szCs w:val="18"/>
      </w:rPr>
      <w:t>, Piso 4</w:t>
    </w:r>
  </w:p>
  <w:p w14:paraId="62B70094" w14:textId="77777777" w:rsidR="00843EE4" w:rsidRPr="00A83BA5" w:rsidRDefault="00843EE4" w:rsidP="00A83BA5">
    <w:pPr>
      <w:pStyle w:val="Piedepgina"/>
      <w:tabs>
        <w:tab w:val="clear" w:pos="8838"/>
      </w:tabs>
      <w:jc w:val="right"/>
      <w:rPr>
        <w:rFonts w:ascii="Baskerville Old Face" w:hAnsi="Baskerville Old Face"/>
        <w:sz w:val="18"/>
        <w:szCs w:val="18"/>
      </w:rPr>
    </w:pPr>
    <w:hyperlink r:id="rId1" w:history="1">
      <w:r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739BA" w14:textId="77777777" w:rsidR="00AF713B" w:rsidRDefault="00AF713B" w:rsidP="005A1442">
      <w:r>
        <w:separator/>
      </w:r>
    </w:p>
  </w:footnote>
  <w:footnote w:type="continuationSeparator" w:id="0">
    <w:p w14:paraId="34A50667" w14:textId="77777777" w:rsidR="00AF713B" w:rsidRDefault="00AF713B" w:rsidP="005A1442">
      <w:r>
        <w:continuationSeparator/>
      </w:r>
    </w:p>
  </w:footnote>
  <w:footnote w:id="1">
    <w:p w14:paraId="6A369281" w14:textId="3BD782E9" w:rsidR="00B84E6C" w:rsidRPr="00B84E6C" w:rsidRDefault="00B84E6C">
      <w:pPr>
        <w:pStyle w:val="Textonotapie"/>
      </w:pPr>
      <w:r>
        <w:rPr>
          <w:rStyle w:val="Refdenotaalpie"/>
        </w:rPr>
        <w:footnoteRef/>
      </w:r>
      <w:r>
        <w:t xml:space="preserve"> </w:t>
      </w:r>
      <w:r w:rsidR="006055BC">
        <w:rPr>
          <w:rFonts w:asciiTheme="majorHAnsi" w:hAnsiTheme="majorHAnsi"/>
        </w:rPr>
        <w:t xml:space="preserve">Fecha última actualización </w:t>
      </w:r>
      <w:r w:rsidR="00214384">
        <w:rPr>
          <w:rFonts w:asciiTheme="majorHAnsi" w:hAnsiTheme="majorHAnsi"/>
        </w:rPr>
        <w:t>2</w:t>
      </w:r>
      <w:r w:rsidR="00DD704A">
        <w:rPr>
          <w:rFonts w:asciiTheme="majorHAnsi" w:hAnsiTheme="majorHAnsi"/>
        </w:rPr>
        <w:t>9</w:t>
      </w:r>
      <w:r w:rsidR="006055BC">
        <w:rPr>
          <w:rFonts w:asciiTheme="majorHAnsi" w:hAnsiTheme="majorHAnsi"/>
        </w:rPr>
        <w:t>/</w:t>
      </w:r>
      <w:r w:rsidR="00214384">
        <w:rPr>
          <w:rFonts w:asciiTheme="majorHAnsi" w:hAnsiTheme="majorHAnsi"/>
        </w:rPr>
        <w:t>12</w:t>
      </w:r>
      <w:r w:rsidR="006055BC">
        <w:rPr>
          <w:rFonts w:asciiTheme="majorHAnsi" w:hAnsiTheme="majorHAnsi"/>
        </w:rPr>
        <w:t>/202</w:t>
      </w:r>
      <w:r w:rsidR="009F5519">
        <w:rPr>
          <w:rFonts w:asciiTheme="majorHAnsi" w:hAnsiTheme="majorHAnsi"/>
        </w:rPr>
        <w:t>5</w:t>
      </w:r>
      <w:r w:rsidR="006055BC">
        <w:rPr>
          <w:rFonts w:asciiTheme="majorHAnsi" w:hAnsiTheme="majorHAnsi"/>
        </w:rPr>
        <w:t>. Modificado mediante acuerdo de Superintendente SGS-A-0</w:t>
      </w:r>
      <w:r w:rsidR="009F5519">
        <w:rPr>
          <w:rFonts w:asciiTheme="majorHAnsi" w:hAnsiTheme="majorHAnsi"/>
        </w:rPr>
        <w:t>10</w:t>
      </w:r>
      <w:r w:rsidR="00405139">
        <w:rPr>
          <w:rFonts w:asciiTheme="majorHAnsi" w:hAnsiTheme="majorHAnsi"/>
        </w:rPr>
        <w:t>4</w:t>
      </w:r>
      <w:r w:rsidR="006055BC">
        <w:rPr>
          <w:rFonts w:asciiTheme="majorHAnsi" w:hAnsiTheme="majorHAnsi"/>
        </w:rPr>
        <w:t>-202</w:t>
      </w:r>
      <w:r w:rsidR="009F5519">
        <w:rPr>
          <w:rFonts w:asciiTheme="majorHAnsi" w:hAnsiTheme="majorHAnsi"/>
        </w:rPr>
        <w:t>5</w:t>
      </w:r>
      <w:r w:rsidR="006055BC">
        <w:rPr>
          <w:rFonts w:asciiTheme="majorHAnsi" w:hAnsiTheme="majorHAnsi"/>
        </w:rPr>
        <w:t xml:space="preserve"> del </w:t>
      </w:r>
      <w:r w:rsidR="00405139">
        <w:rPr>
          <w:rFonts w:asciiTheme="majorHAnsi" w:hAnsiTheme="majorHAnsi"/>
        </w:rPr>
        <w:t>23</w:t>
      </w:r>
      <w:r w:rsidR="006055BC">
        <w:rPr>
          <w:rFonts w:asciiTheme="majorHAnsi" w:hAnsiTheme="majorHAnsi"/>
        </w:rPr>
        <w:t>/</w:t>
      </w:r>
      <w:r w:rsidR="00405139">
        <w:rPr>
          <w:rFonts w:asciiTheme="majorHAnsi" w:hAnsiTheme="majorHAnsi"/>
        </w:rPr>
        <w:t>12</w:t>
      </w:r>
      <w:r w:rsidR="006055BC">
        <w:rPr>
          <w:rFonts w:asciiTheme="majorHAnsi" w:hAnsiTheme="majorHAnsi"/>
        </w:rPr>
        <w:t>/202</w:t>
      </w:r>
      <w:r w:rsidR="009F5519">
        <w:rPr>
          <w:rFonts w:asciiTheme="majorHAnsi" w:hAnsiTheme="majorHAnsi"/>
        </w:rPr>
        <w:t>5</w:t>
      </w:r>
      <w:r w:rsidR="006055BC">
        <w:rPr>
          <w:rFonts w:ascii="Cambria" w:hAnsi="Cambria"/>
        </w:rPr>
        <w:t xml:space="preserve">. </w:t>
      </w:r>
    </w:p>
  </w:footnote>
  <w:footnote w:id="2">
    <w:p w14:paraId="5A06FD99" w14:textId="77777777" w:rsidR="00F17366" w:rsidRPr="001E6EAF" w:rsidRDefault="00F17366" w:rsidP="00F17366">
      <w:pPr>
        <w:pStyle w:val="Textonotapie"/>
      </w:pPr>
      <w:r>
        <w:rPr>
          <w:rStyle w:val="Refdenotaalpie"/>
        </w:rPr>
        <w:footnoteRef/>
      </w:r>
      <w:r>
        <w:t xml:space="preserve"> Modificado mediante acuerdo SGS-A-0104-2025 del 23 de diciembre de 2025.</w:t>
      </w:r>
    </w:p>
  </w:footnote>
  <w:footnote w:id="3">
    <w:p w14:paraId="30F2DE53" w14:textId="5CE90746" w:rsidR="00471BAB" w:rsidRPr="00471BAB" w:rsidRDefault="00471BAB">
      <w:pPr>
        <w:pStyle w:val="Textonotapie"/>
        <w:rPr>
          <w:lang w:val="es-CR"/>
        </w:rPr>
      </w:pPr>
      <w:r>
        <w:rPr>
          <w:rStyle w:val="Refdenotaalpie"/>
        </w:rPr>
        <w:footnoteRef/>
      </w:r>
      <w:r>
        <w:t xml:space="preserve"> </w:t>
      </w:r>
      <w:r>
        <w:rPr>
          <w:lang w:val="es-CR"/>
        </w:rPr>
        <w:t xml:space="preserve">Adicionado </w:t>
      </w:r>
      <w:r>
        <w:t>mediante acuerdo SGS-A-0104-2025 del 23 de diciembre de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61990" w14:textId="77777777" w:rsidR="006055BC" w:rsidRDefault="006055B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44CF7" w14:textId="77777777" w:rsidR="00373AC0" w:rsidRPr="009618C8" w:rsidRDefault="00373AC0" w:rsidP="00373AC0">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4B0D7A58" wp14:editId="5F1B6F23">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6B994950" w14:textId="77777777" w:rsidR="00373AC0" w:rsidRPr="009618C8" w:rsidRDefault="00373AC0" w:rsidP="00373AC0">
    <w:pPr>
      <w:pStyle w:val="Encabezado"/>
      <w:rPr>
        <w:rFonts w:asciiTheme="majorHAnsi" w:hAnsiTheme="majorHAnsi"/>
        <w:sz w:val="16"/>
        <w:szCs w:val="16"/>
      </w:rPr>
    </w:pPr>
  </w:p>
  <w:p w14:paraId="729E7AFF" w14:textId="3825FB43" w:rsidR="00761D54" w:rsidRPr="00373AC0" w:rsidRDefault="00373AC0" w:rsidP="00373AC0">
    <w:pPr>
      <w:jc w:val="both"/>
      <w:rPr>
        <w:rFonts w:asciiTheme="majorHAnsi" w:hAnsiTheme="majorHAnsi"/>
        <w:b/>
        <w:i/>
        <w:color w:val="000000"/>
      </w:rPr>
    </w:pPr>
    <w:r w:rsidRPr="00373AC0">
      <w:rPr>
        <w:rFonts w:asciiTheme="majorHAnsi" w:hAnsiTheme="majorHAnsi"/>
        <w:b/>
        <w:bCs/>
        <w:i/>
      </w:rPr>
      <w:t>SGS-A-0</w:t>
    </w:r>
    <w:r w:rsidR="000813F0">
      <w:rPr>
        <w:rFonts w:asciiTheme="majorHAnsi" w:hAnsiTheme="majorHAnsi"/>
        <w:b/>
        <w:bCs/>
        <w:i/>
      </w:rPr>
      <w:t>085</w:t>
    </w:r>
    <w:r w:rsidRPr="00373AC0">
      <w:rPr>
        <w:rFonts w:asciiTheme="majorHAnsi" w:hAnsiTheme="majorHAnsi"/>
        <w:b/>
        <w:bCs/>
        <w:i/>
      </w:rPr>
      <w:t>-20</w:t>
    </w:r>
    <w:r w:rsidR="000813F0">
      <w:rPr>
        <w:rFonts w:asciiTheme="majorHAnsi" w:hAnsiTheme="majorHAnsi"/>
        <w:b/>
        <w:bCs/>
        <w:i/>
      </w:rPr>
      <w:t>21</w:t>
    </w:r>
  </w:p>
  <w:p w14:paraId="44E17475" w14:textId="77777777" w:rsidR="00843EE4" w:rsidRPr="00373AC0" w:rsidRDefault="00843EE4" w:rsidP="00373AC0">
    <w:pPr>
      <w:pStyle w:val="Encabezado"/>
      <w:jc w:val="both"/>
      <w:rPr>
        <w:rFonts w:asciiTheme="majorHAnsi" w:hAnsiTheme="majorHAnsi"/>
        <w:sz w:val="24"/>
        <w:szCs w:val="24"/>
        <w:lang w:val="es-MX"/>
      </w:rPr>
    </w:pPr>
    <w:r w:rsidRPr="00373AC0">
      <w:rPr>
        <w:rFonts w:asciiTheme="majorHAnsi" w:hAnsiTheme="majorHAnsi"/>
        <w:sz w:val="24"/>
        <w:szCs w:val="24"/>
        <w:lang w:val="es-MX"/>
      </w:rPr>
      <w:t xml:space="preserve">Página </w:t>
    </w:r>
    <w:r w:rsidRPr="00373AC0">
      <w:rPr>
        <w:rFonts w:asciiTheme="majorHAnsi" w:hAnsiTheme="majorHAnsi"/>
        <w:sz w:val="24"/>
        <w:szCs w:val="24"/>
        <w:lang w:val="es-MX"/>
      </w:rPr>
      <w:fldChar w:fldCharType="begin"/>
    </w:r>
    <w:r w:rsidRPr="00373AC0">
      <w:rPr>
        <w:rFonts w:asciiTheme="majorHAnsi" w:hAnsiTheme="majorHAnsi"/>
        <w:sz w:val="24"/>
        <w:szCs w:val="24"/>
        <w:lang w:val="es-MX"/>
      </w:rPr>
      <w:instrText xml:space="preserve"> PAGE   \* MERGEFORMAT </w:instrText>
    </w:r>
    <w:r w:rsidRPr="00373AC0">
      <w:rPr>
        <w:rFonts w:asciiTheme="majorHAnsi" w:hAnsiTheme="majorHAnsi"/>
        <w:sz w:val="24"/>
        <w:szCs w:val="24"/>
        <w:lang w:val="es-MX"/>
      </w:rPr>
      <w:fldChar w:fldCharType="separate"/>
    </w:r>
    <w:r w:rsidR="00F8332E">
      <w:rPr>
        <w:rFonts w:asciiTheme="majorHAnsi" w:hAnsiTheme="majorHAnsi"/>
        <w:noProof/>
        <w:sz w:val="24"/>
        <w:szCs w:val="24"/>
        <w:lang w:val="es-MX"/>
      </w:rPr>
      <w:t>2</w:t>
    </w:r>
    <w:r w:rsidRPr="00373AC0">
      <w:rPr>
        <w:rFonts w:asciiTheme="majorHAnsi" w:hAnsiTheme="majorHAnsi"/>
        <w:sz w:val="24"/>
        <w:szCs w:val="24"/>
        <w:lang w:val="es-MX"/>
      </w:rPr>
      <w:fldChar w:fldCharType="end"/>
    </w:r>
  </w:p>
  <w:p w14:paraId="183D9508" w14:textId="77777777" w:rsidR="00843EE4" w:rsidRPr="00373AC0" w:rsidRDefault="00843EE4" w:rsidP="00373AC0">
    <w:pPr>
      <w:pStyle w:val="Encabezado"/>
      <w:jc w:val="both"/>
      <w:rPr>
        <w:rFonts w:asciiTheme="majorHAnsi" w:hAnsiTheme="majorHAnsi"/>
        <w:sz w:val="24"/>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B45EC" w14:textId="77777777" w:rsidR="00843EE4" w:rsidRPr="009618C8" w:rsidRDefault="00843EE4" w:rsidP="009618C8">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3A838481" wp14:editId="627F2D31">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26965B3B" w14:textId="77777777" w:rsidR="00843EE4" w:rsidRPr="009618C8" w:rsidRDefault="00843EE4">
    <w:pPr>
      <w:pStyle w:val="Encabezado"/>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32E4A"/>
    <w:multiLevelType w:val="hybridMultilevel"/>
    <w:tmpl w:val="FE34C5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C2C15A6"/>
    <w:multiLevelType w:val="hybridMultilevel"/>
    <w:tmpl w:val="FFFFFFFF"/>
    <w:lvl w:ilvl="0" w:tplc="75246A4C">
      <w:start w:val="1"/>
      <w:numFmt w:val="decimal"/>
      <w:lvlText w:val="%1."/>
      <w:lvlJc w:val="left"/>
      <w:pPr>
        <w:ind w:left="720" w:hanging="360"/>
      </w:pPr>
    </w:lvl>
    <w:lvl w:ilvl="1" w:tplc="7E0AB900">
      <w:start w:val="1"/>
      <w:numFmt w:val="lowerLetter"/>
      <w:lvlText w:val="%2."/>
      <w:lvlJc w:val="left"/>
      <w:pPr>
        <w:ind w:left="1440" w:hanging="360"/>
      </w:pPr>
    </w:lvl>
    <w:lvl w:ilvl="2" w:tplc="E66C3CDC">
      <w:start w:val="1"/>
      <w:numFmt w:val="lowerRoman"/>
      <w:lvlText w:val="%3."/>
      <w:lvlJc w:val="right"/>
      <w:pPr>
        <w:ind w:left="2160" w:hanging="180"/>
      </w:pPr>
    </w:lvl>
    <w:lvl w:ilvl="3" w:tplc="29CE129C">
      <w:start w:val="1"/>
      <w:numFmt w:val="decimal"/>
      <w:lvlText w:val="%4."/>
      <w:lvlJc w:val="left"/>
      <w:pPr>
        <w:ind w:left="2880" w:hanging="360"/>
      </w:pPr>
    </w:lvl>
    <w:lvl w:ilvl="4" w:tplc="638C77F0">
      <w:start w:val="1"/>
      <w:numFmt w:val="lowerLetter"/>
      <w:lvlText w:val="%5."/>
      <w:lvlJc w:val="left"/>
      <w:pPr>
        <w:ind w:left="3600" w:hanging="360"/>
      </w:pPr>
    </w:lvl>
    <w:lvl w:ilvl="5" w:tplc="8D3E1146">
      <w:start w:val="1"/>
      <w:numFmt w:val="lowerRoman"/>
      <w:lvlText w:val="%6."/>
      <w:lvlJc w:val="right"/>
      <w:pPr>
        <w:ind w:left="4320" w:hanging="180"/>
      </w:pPr>
    </w:lvl>
    <w:lvl w:ilvl="6" w:tplc="EE969824">
      <w:start w:val="1"/>
      <w:numFmt w:val="decimal"/>
      <w:lvlText w:val="%7."/>
      <w:lvlJc w:val="left"/>
      <w:pPr>
        <w:ind w:left="5040" w:hanging="360"/>
      </w:pPr>
    </w:lvl>
    <w:lvl w:ilvl="7" w:tplc="3288F944">
      <w:start w:val="1"/>
      <w:numFmt w:val="lowerLetter"/>
      <w:lvlText w:val="%8."/>
      <w:lvlJc w:val="left"/>
      <w:pPr>
        <w:ind w:left="5760" w:hanging="360"/>
      </w:pPr>
    </w:lvl>
    <w:lvl w:ilvl="8" w:tplc="55727ED2">
      <w:start w:val="1"/>
      <w:numFmt w:val="lowerRoman"/>
      <w:lvlText w:val="%9."/>
      <w:lvlJc w:val="right"/>
      <w:pPr>
        <w:ind w:left="6480" w:hanging="180"/>
      </w:pPr>
    </w:lvl>
  </w:abstractNum>
  <w:abstractNum w:abstractNumId="2" w15:restartNumberingAfterBreak="0">
    <w:nsid w:val="0D9A0753"/>
    <w:multiLevelType w:val="hybridMultilevel"/>
    <w:tmpl w:val="646E2C0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04D0C68"/>
    <w:multiLevelType w:val="hybridMultilevel"/>
    <w:tmpl w:val="59D21F22"/>
    <w:lvl w:ilvl="0" w:tplc="CA3CE872">
      <w:start w:val="1"/>
      <w:numFmt w:val="upperLetter"/>
      <w:lvlText w:val="%1."/>
      <w:lvlJc w:val="left"/>
      <w:pPr>
        <w:ind w:left="720" w:hanging="360"/>
      </w:pPr>
    </w:lvl>
    <w:lvl w:ilvl="1" w:tplc="0E0657E8">
      <w:start w:val="1"/>
      <w:numFmt w:val="lowerLetter"/>
      <w:lvlText w:val="%2."/>
      <w:lvlJc w:val="left"/>
      <w:pPr>
        <w:ind w:left="1440" w:hanging="360"/>
      </w:pPr>
    </w:lvl>
    <w:lvl w:ilvl="2" w:tplc="C04CB9E8">
      <w:start w:val="1"/>
      <w:numFmt w:val="lowerRoman"/>
      <w:lvlText w:val="%3."/>
      <w:lvlJc w:val="right"/>
      <w:pPr>
        <w:ind w:left="2160" w:hanging="180"/>
      </w:pPr>
    </w:lvl>
    <w:lvl w:ilvl="3" w:tplc="8A069600">
      <w:start w:val="1"/>
      <w:numFmt w:val="decimal"/>
      <w:lvlText w:val="%4."/>
      <w:lvlJc w:val="left"/>
      <w:pPr>
        <w:ind w:left="2880" w:hanging="360"/>
      </w:pPr>
    </w:lvl>
    <w:lvl w:ilvl="4" w:tplc="021C65FA">
      <w:start w:val="1"/>
      <w:numFmt w:val="lowerLetter"/>
      <w:lvlText w:val="%5."/>
      <w:lvlJc w:val="left"/>
      <w:pPr>
        <w:ind w:left="3600" w:hanging="360"/>
      </w:pPr>
    </w:lvl>
    <w:lvl w:ilvl="5" w:tplc="B642A37E">
      <w:start w:val="1"/>
      <w:numFmt w:val="lowerRoman"/>
      <w:lvlText w:val="%6."/>
      <w:lvlJc w:val="right"/>
      <w:pPr>
        <w:ind w:left="4320" w:hanging="180"/>
      </w:pPr>
    </w:lvl>
    <w:lvl w:ilvl="6" w:tplc="B1A2163A">
      <w:start w:val="1"/>
      <w:numFmt w:val="decimal"/>
      <w:lvlText w:val="%7."/>
      <w:lvlJc w:val="left"/>
      <w:pPr>
        <w:ind w:left="5040" w:hanging="360"/>
      </w:pPr>
    </w:lvl>
    <w:lvl w:ilvl="7" w:tplc="1C0A1A38">
      <w:start w:val="1"/>
      <w:numFmt w:val="lowerLetter"/>
      <w:lvlText w:val="%8."/>
      <w:lvlJc w:val="left"/>
      <w:pPr>
        <w:ind w:left="5760" w:hanging="360"/>
      </w:pPr>
    </w:lvl>
    <w:lvl w:ilvl="8" w:tplc="36CC9CFA">
      <w:start w:val="1"/>
      <w:numFmt w:val="lowerRoman"/>
      <w:lvlText w:val="%9."/>
      <w:lvlJc w:val="right"/>
      <w:pPr>
        <w:ind w:left="6480" w:hanging="180"/>
      </w:pPr>
    </w:lvl>
  </w:abstractNum>
  <w:abstractNum w:abstractNumId="4" w15:restartNumberingAfterBreak="0">
    <w:nsid w:val="12BA2C86"/>
    <w:multiLevelType w:val="hybridMultilevel"/>
    <w:tmpl w:val="6CD0FDE4"/>
    <w:lvl w:ilvl="0" w:tplc="00B802CC">
      <w:start w:val="1"/>
      <w:numFmt w:val="decimal"/>
      <w:pStyle w:val="ListaNumerada"/>
      <w:lvlText w:val="%1."/>
      <w:lvlJc w:val="left"/>
      <w:pPr>
        <w:tabs>
          <w:tab w:val="num" w:pos="2059"/>
        </w:tabs>
        <w:ind w:left="2059" w:hanging="360"/>
      </w:pPr>
      <w:rPr>
        <w:rFonts w:hint="default"/>
        <w:b w:val="0"/>
        <w:i w:val="0"/>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A75075"/>
    <w:multiLevelType w:val="hybridMultilevel"/>
    <w:tmpl w:val="A19C4B1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7430F32"/>
    <w:multiLevelType w:val="hybridMultilevel"/>
    <w:tmpl w:val="313AD37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79A267A"/>
    <w:multiLevelType w:val="hybridMultilevel"/>
    <w:tmpl w:val="DB62C4F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FE839A3"/>
    <w:multiLevelType w:val="hybridMultilevel"/>
    <w:tmpl w:val="D98A012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465701E"/>
    <w:multiLevelType w:val="hybridMultilevel"/>
    <w:tmpl w:val="226A9E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24AE5F04"/>
    <w:multiLevelType w:val="hybridMultilevel"/>
    <w:tmpl w:val="981C0A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A12255C"/>
    <w:multiLevelType w:val="hybridMultilevel"/>
    <w:tmpl w:val="2B64E4C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BA876E6"/>
    <w:multiLevelType w:val="hybridMultilevel"/>
    <w:tmpl w:val="2AB000FE"/>
    <w:lvl w:ilvl="0" w:tplc="140A0015">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C6977D8"/>
    <w:multiLevelType w:val="hybridMultilevel"/>
    <w:tmpl w:val="B204FAA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2D635D02"/>
    <w:multiLevelType w:val="hybridMultilevel"/>
    <w:tmpl w:val="61EAC7F0"/>
    <w:lvl w:ilvl="0" w:tplc="F86E216E">
      <w:start w:val="1"/>
      <w:numFmt w:val="bullet"/>
      <w:lvlText w:val=""/>
      <w:lvlJc w:val="left"/>
      <w:pPr>
        <w:ind w:left="720" w:hanging="360"/>
      </w:pPr>
      <w:rPr>
        <w:rFonts w:ascii="Symbol" w:hAnsi="Symbol" w:hint="default"/>
        <w:strike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0130CBF"/>
    <w:multiLevelType w:val="hybridMultilevel"/>
    <w:tmpl w:val="2FD68E0C"/>
    <w:lvl w:ilvl="0" w:tplc="D486ABDC">
      <w:start w:val="1"/>
      <w:numFmt w:val="upperRoman"/>
      <w:lvlText w:val="%1."/>
      <w:lvlJc w:val="left"/>
      <w:pPr>
        <w:ind w:left="1080" w:hanging="720"/>
      </w:pPr>
      <w:rPr>
        <w:rFonts w:hint="default"/>
        <w:b w:val="0"/>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0C5289F"/>
    <w:multiLevelType w:val="hybridMultilevel"/>
    <w:tmpl w:val="CD340278"/>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3B97481D"/>
    <w:multiLevelType w:val="hybridMultilevel"/>
    <w:tmpl w:val="A970A83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D482563"/>
    <w:multiLevelType w:val="hybridMultilevel"/>
    <w:tmpl w:val="60E6BF40"/>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D86738D"/>
    <w:multiLevelType w:val="hybridMultilevel"/>
    <w:tmpl w:val="18B8A1C2"/>
    <w:lvl w:ilvl="0" w:tplc="188897BA">
      <w:start w:val="1"/>
      <w:numFmt w:val="lowerLetter"/>
      <w:lvlText w:val="%1."/>
      <w:lvlJc w:val="left"/>
      <w:pPr>
        <w:ind w:left="1104" w:hanging="360"/>
      </w:pPr>
      <w:rPr>
        <w:b/>
        <w:bCs w:val="0"/>
      </w:rPr>
    </w:lvl>
    <w:lvl w:ilvl="1" w:tplc="140A0019" w:tentative="1">
      <w:start w:val="1"/>
      <w:numFmt w:val="lowerLetter"/>
      <w:lvlText w:val="%2."/>
      <w:lvlJc w:val="left"/>
      <w:pPr>
        <w:ind w:left="1824" w:hanging="360"/>
      </w:pPr>
    </w:lvl>
    <w:lvl w:ilvl="2" w:tplc="140A001B" w:tentative="1">
      <w:start w:val="1"/>
      <w:numFmt w:val="lowerRoman"/>
      <w:lvlText w:val="%3."/>
      <w:lvlJc w:val="right"/>
      <w:pPr>
        <w:ind w:left="2544" w:hanging="180"/>
      </w:pPr>
    </w:lvl>
    <w:lvl w:ilvl="3" w:tplc="140A000F" w:tentative="1">
      <w:start w:val="1"/>
      <w:numFmt w:val="decimal"/>
      <w:lvlText w:val="%4."/>
      <w:lvlJc w:val="left"/>
      <w:pPr>
        <w:ind w:left="3264" w:hanging="360"/>
      </w:pPr>
    </w:lvl>
    <w:lvl w:ilvl="4" w:tplc="140A0019" w:tentative="1">
      <w:start w:val="1"/>
      <w:numFmt w:val="lowerLetter"/>
      <w:lvlText w:val="%5."/>
      <w:lvlJc w:val="left"/>
      <w:pPr>
        <w:ind w:left="3984" w:hanging="360"/>
      </w:pPr>
    </w:lvl>
    <w:lvl w:ilvl="5" w:tplc="140A001B" w:tentative="1">
      <w:start w:val="1"/>
      <w:numFmt w:val="lowerRoman"/>
      <w:lvlText w:val="%6."/>
      <w:lvlJc w:val="right"/>
      <w:pPr>
        <w:ind w:left="4704" w:hanging="180"/>
      </w:pPr>
    </w:lvl>
    <w:lvl w:ilvl="6" w:tplc="140A000F" w:tentative="1">
      <w:start w:val="1"/>
      <w:numFmt w:val="decimal"/>
      <w:lvlText w:val="%7."/>
      <w:lvlJc w:val="left"/>
      <w:pPr>
        <w:ind w:left="5424" w:hanging="360"/>
      </w:pPr>
    </w:lvl>
    <w:lvl w:ilvl="7" w:tplc="140A0019" w:tentative="1">
      <w:start w:val="1"/>
      <w:numFmt w:val="lowerLetter"/>
      <w:lvlText w:val="%8."/>
      <w:lvlJc w:val="left"/>
      <w:pPr>
        <w:ind w:left="6144" w:hanging="360"/>
      </w:pPr>
    </w:lvl>
    <w:lvl w:ilvl="8" w:tplc="140A001B" w:tentative="1">
      <w:start w:val="1"/>
      <w:numFmt w:val="lowerRoman"/>
      <w:lvlText w:val="%9."/>
      <w:lvlJc w:val="right"/>
      <w:pPr>
        <w:ind w:left="6864" w:hanging="180"/>
      </w:pPr>
    </w:lvl>
  </w:abstractNum>
  <w:abstractNum w:abstractNumId="20" w15:restartNumberingAfterBreak="0">
    <w:nsid w:val="431252F7"/>
    <w:multiLevelType w:val="hybridMultilevel"/>
    <w:tmpl w:val="5192A67A"/>
    <w:lvl w:ilvl="0" w:tplc="445C0356">
      <w:start w:val="1"/>
      <w:numFmt w:val="decimal"/>
      <w:lvlText w:val="%1."/>
      <w:lvlJc w:val="left"/>
      <w:pPr>
        <w:ind w:left="720" w:hanging="360"/>
      </w:pPr>
      <w:rPr>
        <w:b/>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1" w15:restartNumberingAfterBreak="0">
    <w:nsid w:val="433F7D3D"/>
    <w:multiLevelType w:val="hybridMultilevel"/>
    <w:tmpl w:val="D4CAF53A"/>
    <w:lvl w:ilvl="0" w:tplc="57DC28EA">
      <w:start w:val="1"/>
      <w:numFmt w:val="lowerLetter"/>
      <w:lvlText w:val="%1)"/>
      <w:lvlJc w:val="left"/>
      <w:pPr>
        <w:ind w:left="720" w:hanging="360"/>
      </w:pPr>
      <w:rPr>
        <w:color w:val="auto"/>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9406BE7"/>
    <w:multiLevelType w:val="hybridMultilevel"/>
    <w:tmpl w:val="02DAD8A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69290E4F"/>
    <w:multiLevelType w:val="hybridMultilevel"/>
    <w:tmpl w:val="2FD68E0C"/>
    <w:lvl w:ilvl="0" w:tplc="D486ABDC">
      <w:start w:val="1"/>
      <w:numFmt w:val="upperRoman"/>
      <w:lvlText w:val="%1."/>
      <w:lvlJc w:val="left"/>
      <w:pPr>
        <w:ind w:left="1080" w:hanging="720"/>
      </w:pPr>
      <w:rPr>
        <w:rFonts w:hint="default"/>
        <w:b w:val="0"/>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1A52345"/>
    <w:multiLevelType w:val="hybridMultilevel"/>
    <w:tmpl w:val="E89E80A8"/>
    <w:lvl w:ilvl="0" w:tplc="DA72FD2A">
      <w:start w:val="1"/>
      <w:numFmt w:val="upperLetter"/>
      <w:lvlText w:val="%1."/>
      <w:lvlJc w:val="left"/>
      <w:pPr>
        <w:ind w:left="735" w:hanging="37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6AD1CAA"/>
    <w:multiLevelType w:val="hybridMultilevel"/>
    <w:tmpl w:val="FFFFFFFF"/>
    <w:lvl w:ilvl="0" w:tplc="BAD2BCD0">
      <w:start w:val="1"/>
      <w:numFmt w:val="upperLetter"/>
      <w:lvlText w:val="%1."/>
      <w:lvlJc w:val="left"/>
      <w:pPr>
        <w:ind w:left="720" w:hanging="360"/>
      </w:pPr>
    </w:lvl>
    <w:lvl w:ilvl="1" w:tplc="1366B2B4">
      <w:start w:val="1"/>
      <w:numFmt w:val="lowerLetter"/>
      <w:lvlText w:val="%2."/>
      <w:lvlJc w:val="left"/>
      <w:pPr>
        <w:ind w:left="1440" w:hanging="360"/>
      </w:pPr>
    </w:lvl>
    <w:lvl w:ilvl="2" w:tplc="24AAD6A0">
      <w:start w:val="1"/>
      <w:numFmt w:val="lowerRoman"/>
      <w:lvlText w:val="%3."/>
      <w:lvlJc w:val="right"/>
      <w:pPr>
        <w:ind w:left="2160" w:hanging="180"/>
      </w:pPr>
    </w:lvl>
    <w:lvl w:ilvl="3" w:tplc="5AAE3194">
      <w:start w:val="1"/>
      <w:numFmt w:val="decimal"/>
      <w:lvlText w:val="%4."/>
      <w:lvlJc w:val="left"/>
      <w:pPr>
        <w:ind w:left="2880" w:hanging="360"/>
      </w:pPr>
    </w:lvl>
    <w:lvl w:ilvl="4" w:tplc="60D8AFA4">
      <w:start w:val="1"/>
      <w:numFmt w:val="lowerLetter"/>
      <w:lvlText w:val="%5."/>
      <w:lvlJc w:val="left"/>
      <w:pPr>
        <w:ind w:left="3600" w:hanging="360"/>
      </w:pPr>
    </w:lvl>
    <w:lvl w:ilvl="5" w:tplc="D54099BE">
      <w:start w:val="1"/>
      <w:numFmt w:val="lowerRoman"/>
      <w:lvlText w:val="%6."/>
      <w:lvlJc w:val="right"/>
      <w:pPr>
        <w:ind w:left="4320" w:hanging="180"/>
      </w:pPr>
    </w:lvl>
    <w:lvl w:ilvl="6" w:tplc="A6CC7EA8">
      <w:start w:val="1"/>
      <w:numFmt w:val="decimal"/>
      <w:lvlText w:val="%7."/>
      <w:lvlJc w:val="left"/>
      <w:pPr>
        <w:ind w:left="5040" w:hanging="360"/>
      </w:pPr>
    </w:lvl>
    <w:lvl w:ilvl="7" w:tplc="7B04D9CC">
      <w:start w:val="1"/>
      <w:numFmt w:val="lowerLetter"/>
      <w:lvlText w:val="%8."/>
      <w:lvlJc w:val="left"/>
      <w:pPr>
        <w:ind w:left="5760" w:hanging="360"/>
      </w:pPr>
    </w:lvl>
    <w:lvl w:ilvl="8" w:tplc="FF46CA2E">
      <w:start w:val="1"/>
      <w:numFmt w:val="lowerRoman"/>
      <w:lvlText w:val="%9."/>
      <w:lvlJc w:val="right"/>
      <w:pPr>
        <w:ind w:left="6480" w:hanging="180"/>
      </w:pPr>
    </w:lvl>
  </w:abstractNum>
  <w:abstractNum w:abstractNumId="26" w15:restartNumberingAfterBreak="0">
    <w:nsid w:val="7CC90051"/>
    <w:multiLevelType w:val="hybridMultilevel"/>
    <w:tmpl w:val="FFFFFFFF"/>
    <w:lvl w:ilvl="0" w:tplc="7E448E08">
      <w:start w:val="1"/>
      <w:numFmt w:val="bullet"/>
      <w:lvlText w:val="-"/>
      <w:lvlJc w:val="left"/>
      <w:pPr>
        <w:ind w:left="720" w:hanging="360"/>
      </w:pPr>
      <w:rPr>
        <w:rFonts w:ascii="Times New Roman" w:hAnsi="Times New Roman" w:hint="default"/>
      </w:rPr>
    </w:lvl>
    <w:lvl w:ilvl="1" w:tplc="48881612">
      <w:start w:val="1"/>
      <w:numFmt w:val="bullet"/>
      <w:lvlText w:val="o"/>
      <w:lvlJc w:val="left"/>
      <w:pPr>
        <w:ind w:left="1440" w:hanging="360"/>
      </w:pPr>
      <w:rPr>
        <w:rFonts w:ascii="Courier New" w:hAnsi="Courier New" w:hint="default"/>
      </w:rPr>
    </w:lvl>
    <w:lvl w:ilvl="2" w:tplc="12A6C470">
      <w:start w:val="1"/>
      <w:numFmt w:val="bullet"/>
      <w:lvlText w:val=""/>
      <w:lvlJc w:val="left"/>
      <w:pPr>
        <w:ind w:left="2160" w:hanging="360"/>
      </w:pPr>
      <w:rPr>
        <w:rFonts w:ascii="Wingdings" w:hAnsi="Wingdings" w:hint="default"/>
      </w:rPr>
    </w:lvl>
    <w:lvl w:ilvl="3" w:tplc="944464B2">
      <w:start w:val="1"/>
      <w:numFmt w:val="bullet"/>
      <w:lvlText w:val=""/>
      <w:lvlJc w:val="left"/>
      <w:pPr>
        <w:ind w:left="2880" w:hanging="360"/>
      </w:pPr>
      <w:rPr>
        <w:rFonts w:ascii="Symbol" w:hAnsi="Symbol" w:hint="default"/>
      </w:rPr>
    </w:lvl>
    <w:lvl w:ilvl="4" w:tplc="7570C8DE">
      <w:start w:val="1"/>
      <w:numFmt w:val="bullet"/>
      <w:lvlText w:val="o"/>
      <w:lvlJc w:val="left"/>
      <w:pPr>
        <w:ind w:left="3600" w:hanging="360"/>
      </w:pPr>
      <w:rPr>
        <w:rFonts w:ascii="Courier New" w:hAnsi="Courier New" w:hint="default"/>
      </w:rPr>
    </w:lvl>
    <w:lvl w:ilvl="5" w:tplc="987673A0">
      <w:start w:val="1"/>
      <w:numFmt w:val="bullet"/>
      <w:lvlText w:val=""/>
      <w:lvlJc w:val="left"/>
      <w:pPr>
        <w:ind w:left="4320" w:hanging="360"/>
      </w:pPr>
      <w:rPr>
        <w:rFonts w:ascii="Wingdings" w:hAnsi="Wingdings" w:hint="default"/>
      </w:rPr>
    </w:lvl>
    <w:lvl w:ilvl="6" w:tplc="5E2E61F0">
      <w:start w:val="1"/>
      <w:numFmt w:val="bullet"/>
      <w:lvlText w:val=""/>
      <w:lvlJc w:val="left"/>
      <w:pPr>
        <w:ind w:left="5040" w:hanging="360"/>
      </w:pPr>
      <w:rPr>
        <w:rFonts w:ascii="Symbol" w:hAnsi="Symbol" w:hint="default"/>
      </w:rPr>
    </w:lvl>
    <w:lvl w:ilvl="7" w:tplc="A0182CC0">
      <w:start w:val="1"/>
      <w:numFmt w:val="bullet"/>
      <w:lvlText w:val="o"/>
      <w:lvlJc w:val="left"/>
      <w:pPr>
        <w:ind w:left="5760" w:hanging="360"/>
      </w:pPr>
      <w:rPr>
        <w:rFonts w:ascii="Courier New" w:hAnsi="Courier New" w:hint="default"/>
      </w:rPr>
    </w:lvl>
    <w:lvl w:ilvl="8" w:tplc="47A05976">
      <w:start w:val="1"/>
      <w:numFmt w:val="bullet"/>
      <w:lvlText w:val=""/>
      <w:lvlJc w:val="left"/>
      <w:pPr>
        <w:ind w:left="6480" w:hanging="360"/>
      </w:pPr>
      <w:rPr>
        <w:rFonts w:ascii="Wingdings" w:hAnsi="Wingdings" w:hint="default"/>
      </w:rPr>
    </w:lvl>
  </w:abstractNum>
  <w:num w:numId="1" w16cid:durableId="10253273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9915088">
    <w:abstractNumId w:val="24"/>
  </w:num>
  <w:num w:numId="3" w16cid:durableId="1242451046">
    <w:abstractNumId w:val="12"/>
  </w:num>
  <w:num w:numId="4" w16cid:durableId="1223492402">
    <w:abstractNumId w:val="4"/>
  </w:num>
  <w:num w:numId="5" w16cid:durableId="884832547">
    <w:abstractNumId w:val="9"/>
  </w:num>
  <w:num w:numId="6" w16cid:durableId="2139255058">
    <w:abstractNumId w:val="21"/>
  </w:num>
  <w:num w:numId="7" w16cid:durableId="1763063557">
    <w:abstractNumId w:val="15"/>
  </w:num>
  <w:num w:numId="8" w16cid:durableId="570383492">
    <w:abstractNumId w:val="0"/>
  </w:num>
  <w:num w:numId="9" w16cid:durableId="533158094">
    <w:abstractNumId w:val="7"/>
  </w:num>
  <w:num w:numId="10" w16cid:durableId="1848321892">
    <w:abstractNumId w:val="11"/>
  </w:num>
  <w:num w:numId="11" w16cid:durableId="1309362173">
    <w:abstractNumId w:val="17"/>
  </w:num>
  <w:num w:numId="12" w16cid:durableId="1745253712">
    <w:abstractNumId w:val="18"/>
  </w:num>
  <w:num w:numId="13" w16cid:durableId="36854804">
    <w:abstractNumId w:val="8"/>
  </w:num>
  <w:num w:numId="14" w16cid:durableId="311103838">
    <w:abstractNumId w:val="5"/>
  </w:num>
  <w:num w:numId="15" w16cid:durableId="1057244831">
    <w:abstractNumId w:val="2"/>
  </w:num>
  <w:num w:numId="16" w16cid:durableId="2042199021">
    <w:abstractNumId w:val="14"/>
  </w:num>
  <w:num w:numId="17" w16cid:durableId="511645115">
    <w:abstractNumId w:val="13"/>
  </w:num>
  <w:num w:numId="18" w16cid:durableId="217981232">
    <w:abstractNumId w:val="10"/>
  </w:num>
  <w:num w:numId="19" w16cid:durableId="358968940">
    <w:abstractNumId w:val="3"/>
  </w:num>
  <w:num w:numId="20" w16cid:durableId="1179850374">
    <w:abstractNumId w:val="16"/>
  </w:num>
  <w:num w:numId="21" w16cid:durableId="2070763132">
    <w:abstractNumId w:val="25"/>
  </w:num>
  <w:num w:numId="22" w16cid:durableId="1501777486">
    <w:abstractNumId w:val="26"/>
  </w:num>
  <w:num w:numId="23" w16cid:durableId="2137020756">
    <w:abstractNumId w:val="1"/>
  </w:num>
  <w:num w:numId="24" w16cid:durableId="1234268775">
    <w:abstractNumId w:val="22"/>
  </w:num>
  <w:num w:numId="25" w16cid:durableId="2009405509">
    <w:abstractNumId w:val="23"/>
  </w:num>
  <w:num w:numId="26" w16cid:durableId="249319047">
    <w:abstractNumId w:val="6"/>
  </w:num>
  <w:num w:numId="27" w16cid:durableId="14423383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2B8"/>
    <w:rsid w:val="00003EEF"/>
    <w:rsid w:val="000076D1"/>
    <w:rsid w:val="000105FD"/>
    <w:rsid w:val="00015CC4"/>
    <w:rsid w:val="000230EC"/>
    <w:rsid w:val="00037ABD"/>
    <w:rsid w:val="00037F14"/>
    <w:rsid w:val="00043989"/>
    <w:rsid w:val="000476C1"/>
    <w:rsid w:val="00055413"/>
    <w:rsid w:val="00067CF6"/>
    <w:rsid w:val="000752F9"/>
    <w:rsid w:val="000760ED"/>
    <w:rsid w:val="000813F0"/>
    <w:rsid w:val="00083A78"/>
    <w:rsid w:val="0008604D"/>
    <w:rsid w:val="000A2288"/>
    <w:rsid w:val="000B2E1D"/>
    <w:rsid w:val="000B4150"/>
    <w:rsid w:val="000C2FBB"/>
    <w:rsid w:val="000C7644"/>
    <w:rsid w:val="000D4883"/>
    <w:rsid w:val="000E6D25"/>
    <w:rsid w:val="000E78B1"/>
    <w:rsid w:val="000F4177"/>
    <w:rsid w:val="00104DC9"/>
    <w:rsid w:val="00107380"/>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E6EAF"/>
    <w:rsid w:val="001F362F"/>
    <w:rsid w:val="002048C0"/>
    <w:rsid w:val="00214384"/>
    <w:rsid w:val="00221996"/>
    <w:rsid w:val="00222862"/>
    <w:rsid w:val="00234ECC"/>
    <w:rsid w:val="0023647D"/>
    <w:rsid w:val="002440B8"/>
    <w:rsid w:val="00247E9E"/>
    <w:rsid w:val="00267429"/>
    <w:rsid w:val="0028286F"/>
    <w:rsid w:val="00286975"/>
    <w:rsid w:val="002878BA"/>
    <w:rsid w:val="00291CE7"/>
    <w:rsid w:val="002A04A2"/>
    <w:rsid w:val="002B31EF"/>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91C88"/>
    <w:rsid w:val="003947BB"/>
    <w:rsid w:val="003A39BC"/>
    <w:rsid w:val="003A53B0"/>
    <w:rsid w:val="003B043B"/>
    <w:rsid w:val="003B6304"/>
    <w:rsid w:val="003B721F"/>
    <w:rsid w:val="003B7CC2"/>
    <w:rsid w:val="003D3009"/>
    <w:rsid w:val="003E469F"/>
    <w:rsid w:val="003E62CB"/>
    <w:rsid w:val="003E721F"/>
    <w:rsid w:val="00405139"/>
    <w:rsid w:val="004263F9"/>
    <w:rsid w:val="004277B9"/>
    <w:rsid w:val="00432474"/>
    <w:rsid w:val="00450703"/>
    <w:rsid w:val="00454C55"/>
    <w:rsid w:val="004715C7"/>
    <w:rsid w:val="00471BAB"/>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0026"/>
    <w:rsid w:val="0056158A"/>
    <w:rsid w:val="0056224B"/>
    <w:rsid w:val="0056751A"/>
    <w:rsid w:val="00576230"/>
    <w:rsid w:val="005876B5"/>
    <w:rsid w:val="005A1442"/>
    <w:rsid w:val="005B70A7"/>
    <w:rsid w:val="005C5B11"/>
    <w:rsid w:val="005C69FA"/>
    <w:rsid w:val="005C7CD2"/>
    <w:rsid w:val="005D13DD"/>
    <w:rsid w:val="005E2C95"/>
    <w:rsid w:val="005E7FD4"/>
    <w:rsid w:val="005F395A"/>
    <w:rsid w:val="00602EC0"/>
    <w:rsid w:val="00604DED"/>
    <w:rsid w:val="006055BC"/>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1B0E"/>
    <w:rsid w:val="00706543"/>
    <w:rsid w:val="00712FFB"/>
    <w:rsid w:val="00715BD0"/>
    <w:rsid w:val="007170ED"/>
    <w:rsid w:val="00717F1A"/>
    <w:rsid w:val="00725048"/>
    <w:rsid w:val="00725493"/>
    <w:rsid w:val="00726CEB"/>
    <w:rsid w:val="007272CC"/>
    <w:rsid w:val="007324F8"/>
    <w:rsid w:val="007327C9"/>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C2114"/>
    <w:rsid w:val="007D2DAF"/>
    <w:rsid w:val="007E41E5"/>
    <w:rsid w:val="007E46F1"/>
    <w:rsid w:val="007E4C54"/>
    <w:rsid w:val="007E5094"/>
    <w:rsid w:val="007E66C6"/>
    <w:rsid w:val="007F09F5"/>
    <w:rsid w:val="007F7735"/>
    <w:rsid w:val="008022A8"/>
    <w:rsid w:val="0080328F"/>
    <w:rsid w:val="00821436"/>
    <w:rsid w:val="008247C0"/>
    <w:rsid w:val="008259A0"/>
    <w:rsid w:val="008370FF"/>
    <w:rsid w:val="00843EE4"/>
    <w:rsid w:val="0085586B"/>
    <w:rsid w:val="00857125"/>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C7276"/>
    <w:rsid w:val="008D17A9"/>
    <w:rsid w:val="008D2116"/>
    <w:rsid w:val="008D2BC8"/>
    <w:rsid w:val="008F727F"/>
    <w:rsid w:val="00901240"/>
    <w:rsid w:val="00906691"/>
    <w:rsid w:val="00915452"/>
    <w:rsid w:val="00922C3E"/>
    <w:rsid w:val="00947CCD"/>
    <w:rsid w:val="0095414B"/>
    <w:rsid w:val="009565BF"/>
    <w:rsid w:val="009618C8"/>
    <w:rsid w:val="00963CA8"/>
    <w:rsid w:val="00964169"/>
    <w:rsid w:val="00975A49"/>
    <w:rsid w:val="00987B3B"/>
    <w:rsid w:val="009A2106"/>
    <w:rsid w:val="009A619C"/>
    <w:rsid w:val="009A6A84"/>
    <w:rsid w:val="009B35A6"/>
    <w:rsid w:val="009C3A70"/>
    <w:rsid w:val="009D11AB"/>
    <w:rsid w:val="009D5FAF"/>
    <w:rsid w:val="009F37D9"/>
    <w:rsid w:val="009F5519"/>
    <w:rsid w:val="00A07AB5"/>
    <w:rsid w:val="00A12AE9"/>
    <w:rsid w:val="00A16168"/>
    <w:rsid w:val="00A2009B"/>
    <w:rsid w:val="00A33527"/>
    <w:rsid w:val="00A46328"/>
    <w:rsid w:val="00A57156"/>
    <w:rsid w:val="00A66E6E"/>
    <w:rsid w:val="00A81FF0"/>
    <w:rsid w:val="00A83BA5"/>
    <w:rsid w:val="00A8710B"/>
    <w:rsid w:val="00AA35AB"/>
    <w:rsid w:val="00AA4CA2"/>
    <w:rsid w:val="00AB1CD0"/>
    <w:rsid w:val="00AB33C3"/>
    <w:rsid w:val="00AC0D3F"/>
    <w:rsid w:val="00AC6C1B"/>
    <w:rsid w:val="00AD00BB"/>
    <w:rsid w:val="00AD3836"/>
    <w:rsid w:val="00AE0313"/>
    <w:rsid w:val="00AF713B"/>
    <w:rsid w:val="00B04011"/>
    <w:rsid w:val="00B12501"/>
    <w:rsid w:val="00B15956"/>
    <w:rsid w:val="00B21C1A"/>
    <w:rsid w:val="00B2475F"/>
    <w:rsid w:val="00B25C9B"/>
    <w:rsid w:val="00B300E9"/>
    <w:rsid w:val="00B32651"/>
    <w:rsid w:val="00B32EEB"/>
    <w:rsid w:val="00B330AC"/>
    <w:rsid w:val="00B40526"/>
    <w:rsid w:val="00B40D3E"/>
    <w:rsid w:val="00B45FD8"/>
    <w:rsid w:val="00B50514"/>
    <w:rsid w:val="00B70578"/>
    <w:rsid w:val="00B73C42"/>
    <w:rsid w:val="00B760DE"/>
    <w:rsid w:val="00B826E2"/>
    <w:rsid w:val="00B84E6C"/>
    <w:rsid w:val="00B910A3"/>
    <w:rsid w:val="00B95233"/>
    <w:rsid w:val="00B96A9E"/>
    <w:rsid w:val="00BA2A3A"/>
    <w:rsid w:val="00BA4095"/>
    <w:rsid w:val="00BA4EB8"/>
    <w:rsid w:val="00BB64F2"/>
    <w:rsid w:val="00BB759F"/>
    <w:rsid w:val="00BC2F23"/>
    <w:rsid w:val="00BC5BBE"/>
    <w:rsid w:val="00BD18FF"/>
    <w:rsid w:val="00BE08B6"/>
    <w:rsid w:val="00BE61CE"/>
    <w:rsid w:val="00BF28E2"/>
    <w:rsid w:val="00BF581F"/>
    <w:rsid w:val="00BF5BF7"/>
    <w:rsid w:val="00BF67A7"/>
    <w:rsid w:val="00C00485"/>
    <w:rsid w:val="00C05704"/>
    <w:rsid w:val="00C240F2"/>
    <w:rsid w:val="00C276E6"/>
    <w:rsid w:val="00C402B8"/>
    <w:rsid w:val="00C505F6"/>
    <w:rsid w:val="00C52BC9"/>
    <w:rsid w:val="00C64061"/>
    <w:rsid w:val="00C73E1C"/>
    <w:rsid w:val="00C7547D"/>
    <w:rsid w:val="00C82150"/>
    <w:rsid w:val="00C846AA"/>
    <w:rsid w:val="00C85E4F"/>
    <w:rsid w:val="00CA7870"/>
    <w:rsid w:val="00CA7AE4"/>
    <w:rsid w:val="00CB0CC5"/>
    <w:rsid w:val="00CC4427"/>
    <w:rsid w:val="00CC5D7F"/>
    <w:rsid w:val="00CE3032"/>
    <w:rsid w:val="00CF181A"/>
    <w:rsid w:val="00CF516F"/>
    <w:rsid w:val="00D06152"/>
    <w:rsid w:val="00D13047"/>
    <w:rsid w:val="00D13818"/>
    <w:rsid w:val="00D148ED"/>
    <w:rsid w:val="00D15050"/>
    <w:rsid w:val="00D15CCE"/>
    <w:rsid w:val="00D20E5C"/>
    <w:rsid w:val="00D24975"/>
    <w:rsid w:val="00D27227"/>
    <w:rsid w:val="00D332E9"/>
    <w:rsid w:val="00D36431"/>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D704A"/>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4465E"/>
    <w:rsid w:val="00E51B7E"/>
    <w:rsid w:val="00E54A25"/>
    <w:rsid w:val="00E63C96"/>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366"/>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332E"/>
    <w:rsid w:val="00F84235"/>
    <w:rsid w:val="00F87AC4"/>
    <w:rsid w:val="00F952FA"/>
    <w:rsid w:val="00FA4D98"/>
    <w:rsid w:val="00FA56C0"/>
    <w:rsid w:val="00FB25AE"/>
    <w:rsid w:val="00FB6C78"/>
    <w:rsid w:val="00FC2DDB"/>
    <w:rsid w:val="00FC5636"/>
    <w:rsid w:val="00FC7C8A"/>
    <w:rsid w:val="00FD0685"/>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F139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2B31E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CR" w:eastAsia="en-US"/>
    </w:rPr>
  </w:style>
  <w:style w:type="paragraph" w:styleId="Ttulo3">
    <w:name w:val="heading 3"/>
    <w:basedOn w:val="Normal"/>
    <w:link w:val="Ttulo3Car"/>
    <w:uiPriority w:val="9"/>
    <w:qFormat/>
    <w:rsid w:val="002B31EF"/>
    <w:pPr>
      <w:spacing w:before="100" w:beforeAutospacing="1" w:after="100" w:afterAutospacing="1"/>
      <w:outlineLvl w:val="2"/>
    </w:pPr>
    <w:rPr>
      <w:b/>
      <w:bCs/>
      <w:sz w:val="27"/>
      <w:szCs w:val="27"/>
      <w:lang w:val="es-CR" w:eastAsia="es-CR"/>
    </w:rPr>
  </w:style>
  <w:style w:type="paragraph" w:styleId="Ttulo5">
    <w:name w:val="heading 5"/>
    <w:basedOn w:val="Normal"/>
    <w:next w:val="Normal"/>
    <w:link w:val="Ttulo5Car"/>
    <w:uiPriority w:val="9"/>
    <w:unhideWhenUsed/>
    <w:qFormat/>
    <w:rsid w:val="002B31EF"/>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uiPriority w:val="99"/>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3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Ttulo1Car">
    <w:name w:val="Título 1 Car"/>
    <w:basedOn w:val="Fuentedeprrafopredeter"/>
    <w:link w:val="Ttulo1"/>
    <w:uiPriority w:val="9"/>
    <w:rsid w:val="002B31EF"/>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uiPriority w:val="9"/>
    <w:rsid w:val="002B31EF"/>
    <w:rPr>
      <w:rFonts w:ascii="Times New Roman" w:eastAsia="Times New Roman" w:hAnsi="Times New Roman" w:cs="Times New Roman"/>
      <w:b/>
      <w:bCs/>
      <w:sz w:val="27"/>
      <w:szCs w:val="27"/>
      <w:lang w:eastAsia="es-CR"/>
    </w:rPr>
  </w:style>
  <w:style w:type="character" w:customStyle="1" w:styleId="Ttulo5Car">
    <w:name w:val="Título 5 Car"/>
    <w:basedOn w:val="Fuentedeprrafopredeter"/>
    <w:link w:val="Ttulo5"/>
    <w:uiPriority w:val="9"/>
    <w:rsid w:val="002B31EF"/>
    <w:rPr>
      <w:rFonts w:asciiTheme="majorHAnsi" w:eastAsiaTheme="majorEastAsia" w:hAnsiTheme="majorHAnsi" w:cstheme="majorBidi"/>
      <w:color w:val="365F91" w:themeColor="accent1" w:themeShade="BF"/>
      <w:sz w:val="24"/>
      <w:szCs w:val="24"/>
      <w:lang w:val="es-ES" w:eastAsia="es-ES"/>
    </w:rPr>
  </w:style>
  <w:style w:type="paragraph" w:styleId="Prrafodelista">
    <w:name w:val="List Paragraph"/>
    <w:aliases w:val="Informe,Con viñetas,Normal con viñetas,3,Use Case List Paragraph,Bullet 1,titulo 3,figuras y gráficos,Viñetas,Bulletr List Paragraph,List Paragraph 1,Numbered List Paragraph,Main numbered paragraph,Bullets,List Paragraph (numbered (a))"/>
    <w:basedOn w:val="Normal"/>
    <w:link w:val="PrrafodelistaCar"/>
    <w:uiPriority w:val="34"/>
    <w:qFormat/>
    <w:rsid w:val="002B31EF"/>
    <w:pPr>
      <w:spacing w:after="160" w:line="256" w:lineRule="auto"/>
      <w:ind w:left="720"/>
      <w:contextualSpacing/>
    </w:pPr>
    <w:rPr>
      <w:rFonts w:asciiTheme="minorHAnsi" w:eastAsiaTheme="minorHAnsi" w:hAnsiTheme="minorHAnsi" w:cstheme="minorBidi"/>
      <w:sz w:val="22"/>
      <w:szCs w:val="22"/>
      <w:lang w:val="es-CR" w:eastAsia="en-US"/>
    </w:r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List Paragraph 1 Car,Numbered List Paragraph Car"/>
    <w:basedOn w:val="Fuentedeprrafopredeter"/>
    <w:link w:val="Prrafodelista"/>
    <w:uiPriority w:val="34"/>
    <w:qFormat/>
    <w:locked/>
    <w:rsid w:val="002B31EF"/>
  </w:style>
  <w:style w:type="paragraph" w:styleId="Descripcin">
    <w:name w:val="caption"/>
    <w:basedOn w:val="Normal"/>
    <w:next w:val="Normal"/>
    <w:uiPriority w:val="35"/>
    <w:unhideWhenUsed/>
    <w:qFormat/>
    <w:rsid w:val="002B31EF"/>
    <w:pPr>
      <w:spacing w:after="200"/>
    </w:pPr>
    <w:rPr>
      <w:b/>
      <w:bCs/>
      <w:color w:val="4F81BD" w:themeColor="accent1"/>
      <w:sz w:val="18"/>
      <w:szCs w:val="18"/>
    </w:rPr>
  </w:style>
  <w:style w:type="paragraph" w:styleId="Textocomentario">
    <w:name w:val="annotation text"/>
    <w:basedOn w:val="Normal"/>
    <w:link w:val="TextocomentarioCar"/>
    <w:uiPriority w:val="99"/>
    <w:unhideWhenUsed/>
    <w:rsid w:val="002B31EF"/>
    <w:rPr>
      <w:sz w:val="20"/>
      <w:szCs w:val="20"/>
    </w:rPr>
  </w:style>
  <w:style w:type="character" w:customStyle="1" w:styleId="TextocomentarioCar">
    <w:name w:val="Texto comentario Car"/>
    <w:basedOn w:val="Fuentedeprrafopredeter"/>
    <w:link w:val="Textocomentario"/>
    <w:uiPriority w:val="99"/>
    <w:rsid w:val="002B31EF"/>
    <w:rPr>
      <w:rFonts w:ascii="Times New Roman" w:eastAsia="Times New Roman" w:hAnsi="Times New Roman" w:cs="Times New Roman"/>
      <w:sz w:val="20"/>
      <w:szCs w:val="20"/>
      <w:lang w:val="es-ES" w:eastAsia="es-ES"/>
    </w:rPr>
  </w:style>
  <w:style w:type="paragraph" w:styleId="Sangradetextonormal">
    <w:name w:val="Body Text Indent"/>
    <w:basedOn w:val="Normal"/>
    <w:link w:val="SangradetextonormalCar"/>
    <w:rsid w:val="002B31EF"/>
    <w:pPr>
      <w:jc w:val="center"/>
    </w:pPr>
    <w:rPr>
      <w:b/>
      <w:szCs w:val="20"/>
      <w:lang w:val="es-CR"/>
    </w:rPr>
  </w:style>
  <w:style w:type="character" w:customStyle="1" w:styleId="SangradetextonormalCar">
    <w:name w:val="Sangría de texto normal Car"/>
    <w:basedOn w:val="Fuentedeprrafopredeter"/>
    <w:link w:val="Sangradetextonormal"/>
    <w:rsid w:val="002B31EF"/>
    <w:rPr>
      <w:rFonts w:ascii="Times New Roman" w:eastAsia="Times New Roman" w:hAnsi="Times New Roman" w:cs="Times New Roman"/>
      <w:b/>
      <w:sz w:val="24"/>
      <w:szCs w:val="20"/>
      <w:lang w:eastAsia="es-ES"/>
    </w:rPr>
  </w:style>
  <w:style w:type="paragraph" w:styleId="Textoindependiente">
    <w:name w:val="Body Text"/>
    <w:basedOn w:val="Normal"/>
    <w:link w:val="TextoindependienteCar"/>
    <w:unhideWhenUsed/>
    <w:rsid w:val="002B31EF"/>
    <w:pPr>
      <w:spacing w:after="120"/>
    </w:pPr>
  </w:style>
  <w:style w:type="character" w:customStyle="1" w:styleId="TextoindependienteCar">
    <w:name w:val="Texto independiente Car"/>
    <w:basedOn w:val="Fuentedeprrafopredeter"/>
    <w:link w:val="Textoindependiente"/>
    <w:rsid w:val="002B31EF"/>
    <w:rPr>
      <w:rFonts w:ascii="Times New Roman" w:eastAsia="Times New Roman" w:hAnsi="Times New Roman" w:cs="Times New Roman"/>
      <w:sz w:val="24"/>
      <w:szCs w:val="24"/>
      <w:lang w:val="es-ES" w:eastAsia="es-ES"/>
    </w:rPr>
  </w:style>
  <w:style w:type="character" w:styleId="Textodelmarcadordeposicin">
    <w:name w:val="Placeholder Text"/>
    <w:basedOn w:val="Fuentedeprrafopredeter"/>
    <w:uiPriority w:val="99"/>
    <w:semiHidden/>
    <w:rsid w:val="002B31EF"/>
    <w:rPr>
      <w:color w:val="808080"/>
    </w:rPr>
  </w:style>
  <w:style w:type="character" w:styleId="Refdecomentario">
    <w:name w:val="annotation reference"/>
    <w:basedOn w:val="Fuentedeprrafopredeter"/>
    <w:uiPriority w:val="99"/>
    <w:unhideWhenUsed/>
    <w:rsid w:val="002B31EF"/>
    <w:rPr>
      <w:sz w:val="16"/>
      <w:szCs w:val="16"/>
    </w:rPr>
  </w:style>
  <w:style w:type="paragraph" w:styleId="Asuntodelcomentario">
    <w:name w:val="annotation subject"/>
    <w:basedOn w:val="Textocomentario"/>
    <w:next w:val="Textocomentario"/>
    <w:link w:val="AsuntodelcomentarioCar"/>
    <w:uiPriority w:val="99"/>
    <w:semiHidden/>
    <w:unhideWhenUsed/>
    <w:rsid w:val="002B31EF"/>
    <w:rPr>
      <w:b/>
      <w:bCs/>
    </w:rPr>
  </w:style>
  <w:style w:type="character" w:customStyle="1" w:styleId="AsuntodelcomentarioCar">
    <w:name w:val="Asunto del comentario Car"/>
    <w:basedOn w:val="TextocomentarioCar"/>
    <w:link w:val="Asuntodelcomentario"/>
    <w:uiPriority w:val="99"/>
    <w:semiHidden/>
    <w:rsid w:val="002B31EF"/>
    <w:rPr>
      <w:rFonts w:ascii="Times New Roman" w:eastAsia="Times New Roman" w:hAnsi="Times New Roman" w:cs="Times New Roman"/>
      <w:b/>
      <w:bCs/>
      <w:sz w:val="20"/>
      <w:szCs w:val="20"/>
      <w:lang w:val="es-ES" w:eastAsia="es-ES"/>
    </w:rPr>
  </w:style>
  <w:style w:type="table" w:styleId="Listaclara-nfasis1">
    <w:name w:val="Light List Accent 1"/>
    <w:basedOn w:val="Tablanormal"/>
    <w:uiPriority w:val="61"/>
    <w:rsid w:val="002B31EF"/>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ListaNumerada">
    <w:name w:val="Lista Numerada"/>
    <w:basedOn w:val="Normal"/>
    <w:link w:val="ListaNumeradaChar"/>
    <w:rsid w:val="002B31EF"/>
    <w:pPr>
      <w:numPr>
        <w:numId w:val="4"/>
      </w:numPr>
      <w:spacing w:before="60" w:after="60"/>
      <w:jc w:val="both"/>
    </w:pPr>
    <w:rPr>
      <w:rFonts w:ascii="Arial" w:hAnsi="Arial"/>
      <w:sz w:val="20"/>
      <w:lang w:val="es-CR" w:eastAsia="en-US"/>
    </w:rPr>
  </w:style>
  <w:style w:type="character" w:customStyle="1" w:styleId="ListaNumeradaChar">
    <w:name w:val="Lista Numerada Char"/>
    <w:basedOn w:val="Fuentedeprrafopredeter"/>
    <w:link w:val="ListaNumerada"/>
    <w:rsid w:val="002B31EF"/>
    <w:rPr>
      <w:rFonts w:ascii="Arial" w:eastAsia="Times New Roman" w:hAnsi="Arial" w:cs="Times New Roman"/>
      <w:sz w:val="20"/>
      <w:szCs w:val="24"/>
    </w:rPr>
  </w:style>
  <w:style w:type="paragraph" w:styleId="Revisin">
    <w:name w:val="Revision"/>
    <w:hidden/>
    <w:uiPriority w:val="99"/>
    <w:semiHidden/>
    <w:rsid w:val="002B31EF"/>
    <w:pPr>
      <w:spacing w:after="0" w:line="240" w:lineRule="auto"/>
    </w:pPr>
    <w:rPr>
      <w:rFonts w:ascii="Calibri" w:eastAsia="Calibri" w:hAnsi="Calibri" w:cs="Times New Roman"/>
      <w:sz w:val="24"/>
      <w:szCs w:val="24"/>
      <w:lang w:val="en-US"/>
    </w:rPr>
  </w:style>
  <w:style w:type="character" w:customStyle="1" w:styleId="t-icon">
    <w:name w:val="t-icon"/>
    <w:basedOn w:val="Fuentedeprrafopredeter"/>
    <w:rsid w:val="002B31EF"/>
  </w:style>
  <w:style w:type="table" w:customStyle="1" w:styleId="TableGrid">
    <w:name w:val="TableGrid"/>
    <w:rsid w:val="002B31EF"/>
    <w:pPr>
      <w:spacing w:after="0" w:line="240" w:lineRule="auto"/>
    </w:pPr>
    <w:rPr>
      <w:rFonts w:eastAsiaTheme="minorEastAsia"/>
      <w:lang w:eastAsia="es-CR"/>
    </w:rPr>
    <w:tblPr>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2B31EF"/>
    <w:rPr>
      <w:color w:val="800080" w:themeColor="followedHyperlink"/>
      <w:u w:val="single"/>
    </w:rPr>
  </w:style>
  <w:style w:type="table" w:styleId="Tablanormal2">
    <w:name w:val="Plain Table 2"/>
    <w:basedOn w:val="Tablanormal"/>
    <w:uiPriority w:val="42"/>
    <w:rsid w:val="002B31E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angra2detindependiente">
    <w:name w:val="Body Text Indent 2"/>
    <w:basedOn w:val="Normal"/>
    <w:link w:val="Sangra2detindependienteCar"/>
    <w:unhideWhenUsed/>
    <w:rsid w:val="002B31EF"/>
    <w:pPr>
      <w:spacing w:after="120" w:line="480" w:lineRule="auto"/>
      <w:ind w:left="283"/>
    </w:pPr>
  </w:style>
  <w:style w:type="character" w:customStyle="1" w:styleId="Sangra2detindependienteCar">
    <w:name w:val="Sangría 2 de t. independiente Car"/>
    <w:basedOn w:val="Fuentedeprrafopredeter"/>
    <w:link w:val="Sangra2detindependiente"/>
    <w:rsid w:val="002B31EF"/>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2B3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1C5418-0F2A-40FF-9584-0C1B4985714C}"/>
</file>

<file path=customXml/itemProps2.xml><?xml version="1.0" encoding="utf-8"?>
<ds:datastoreItem xmlns:ds="http://schemas.openxmlformats.org/officeDocument/2006/customXml" ds:itemID="{A0350530-D75F-47CE-B833-F717E0594DEC}">
  <ds:schemaRefs>
    <ds:schemaRef ds:uri="http://schemas.openxmlformats.org/officeDocument/2006/bibliography"/>
  </ds:schemaRefs>
</ds:datastoreItem>
</file>

<file path=customXml/itemProps3.xml><?xml version="1.0" encoding="utf-8"?>
<ds:datastoreItem xmlns:ds="http://schemas.openxmlformats.org/officeDocument/2006/customXml" ds:itemID="{20B887B3-1F15-46DE-A1B5-7E2A9D66FA58}">
  <ds:schemaRefs>
    <ds:schemaRef ds:uri="http://schemas.microsoft.com/sharepoint/v3/contenttype/forms"/>
  </ds:schemaRefs>
</ds:datastoreItem>
</file>

<file path=customXml/itemProps4.xml><?xml version="1.0" encoding="utf-8"?>
<ds:datastoreItem xmlns:ds="http://schemas.openxmlformats.org/officeDocument/2006/customXml" ds:itemID="{A464F4DF-72CE-4A40-9D1C-3D5035855E0E}">
  <ds:schemaRefs>
    <ds:schemaRef ds:uri="http://purl.org/dc/dcmitype/"/>
    <ds:schemaRef ds:uri="http://schemas.microsoft.com/office/2006/metadata/properties"/>
    <ds:schemaRef ds:uri="http://schemas.openxmlformats.org/package/2006/metadata/core-properties"/>
    <ds:schemaRef ds:uri="http://www.w3.org/XML/1998/namespace"/>
    <ds:schemaRef ds:uri="http://purl.org/dc/elements/1.1/"/>
    <ds:schemaRef ds:uri="http://schemas.microsoft.com/office/infopath/2007/PartnerControls"/>
    <ds:schemaRef ds:uri="http://schemas.microsoft.com/office/2006/documentManagement/types"/>
    <ds:schemaRef ds:uri="http://purl.org/dc/terms/"/>
    <ds:schemaRef ds:uri="a816f2f4-f9dc-4a5d-a73f-76134d6cf7b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9088</Words>
  <Characters>51895</Characters>
  <Application>Microsoft Office Word</Application>
  <DocSecurity>0</DocSecurity>
  <Lines>1482</Lines>
  <Paragraphs>923</Paragraphs>
  <ScaleCrop>false</ScaleCrop>
  <HeadingPairs>
    <vt:vector size="2" baseType="variant">
      <vt:variant>
        <vt:lpstr>Título</vt:lpstr>
      </vt:variant>
      <vt:variant>
        <vt:i4>1</vt:i4>
      </vt:variant>
    </vt:vector>
  </HeadingPairs>
  <TitlesOfParts>
    <vt:vector size="1" baseType="lpstr">
      <vt:lpstr>SGS-A-0085-2021</vt:lpstr>
    </vt:vector>
  </TitlesOfParts>
  <Company/>
  <LinksUpToDate>false</LinksUpToDate>
  <CharactersWithSpaces>60060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SGS-A-0085-2021</dc:title>
  <dc:creator/>
  <cp:lastModifiedBy/>
  <cp:revision>1</cp:revision>
  <dcterms:created xsi:type="dcterms:W3CDTF">2026-01-05T15:58:00Z</dcterms:created>
  <dcterms:modified xsi:type="dcterms:W3CDTF">2026-01-05T16:14:00Z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
  </property>
  <property fmtid="{D5CDD505-2E9C-101B-9397-08002B2CF9AE}" pid="5" name="ContentTypeId">
    <vt:lpwstr>0x0101008E9AF914DE39E5439DE635BD2775E56E</vt:lpwstr>
  </property>
  <property fmtid="{D5CDD505-2E9C-101B-9397-08002B2CF9AE}" pid="6" name="Dirigido a (entidad externa)">
    <vt:lpwstr>292;#Aseguradoras|84cf61bd-265e-4fe1-82e5-e22fa019a8e8</vt:lpwstr>
  </property>
  <property fmtid="{D5CDD505-2E9C-101B-9397-08002B2CF9AE}" pid="7" name="ItemRetentionFormula">
    <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lb0b7da792b243d9bfa96ad7487ad734">
    <vt:lpwstr/>
  </property>
  <property fmtid="{D5CDD505-2E9C-101B-9397-08002B2CF9AE}" pid="13" name="ConfidencialidadNueva">
    <vt:lpwstr>130;#Confidencial|d19c5cf3-f0e9-4d18-86d2-7bee4000e1ea</vt:lpwstr>
  </property>
  <property fmtid="{D5CDD505-2E9C-101B-9397-08002B2CF9AE}" pid="14" name="Confidencialidad">
    <vt:lpwstr>130;#Confidencial|d19c5cf3-f0e9-4d18-86d2-7bee4000e1ea</vt:lpwstr>
  </property>
  <property fmtid="{D5CDD505-2E9C-101B-9397-08002B2CF9AE}" pid="15" name="WorkflowChangePath">
    <vt:lpwstr>034ac108-de92-4be3-afe5-2e50b1ad33ef,5;f53beb82-3a64-483b-83ba-ca097d8a31d5,8;f0cb250b-c1ef-4893-9022-2aaf0b532c25,9;</vt:lpwstr>
  </property>
  <property fmtid="{D5CDD505-2E9C-101B-9397-08002B2CF9AE}" pid="16"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_dlc_LastRun">
    <vt:lpwstr>11/24/2021 11:00:14</vt:lpwstr>
  </property>
  <property fmtid="{D5CDD505-2E9C-101B-9397-08002B2CF9AE}" pid="23" name="_dlc_ItemStageId">
    <vt:lpwstr>1</vt:lpwstr>
  </property>
  <property fmtid="{D5CDD505-2E9C-101B-9397-08002B2CF9AE}" pid="24" name="MSIP_Label_b8b4be34-365a-4a68-b9fb-75c1b6874315_Enabled">
    <vt:lpwstr>true</vt:lpwstr>
  </property>
  <property fmtid="{D5CDD505-2E9C-101B-9397-08002B2CF9AE}" pid="25" name="MSIP_Label_b8b4be34-365a-4a68-b9fb-75c1b6874315_SetDate">
    <vt:lpwstr>2023-12-19T15:44:46Z</vt:lpwstr>
  </property>
  <property fmtid="{D5CDD505-2E9C-101B-9397-08002B2CF9AE}" pid="26" name="MSIP_Label_b8b4be34-365a-4a68-b9fb-75c1b6874315_Method">
    <vt:lpwstr>Standard</vt:lpwstr>
  </property>
  <property fmtid="{D5CDD505-2E9C-101B-9397-08002B2CF9AE}" pid="27" name="MSIP_Label_b8b4be34-365a-4a68-b9fb-75c1b6874315_Name">
    <vt:lpwstr>b8b4be34-365a-4a68-b9fb-75c1b6874315</vt:lpwstr>
  </property>
  <property fmtid="{D5CDD505-2E9C-101B-9397-08002B2CF9AE}" pid="28" name="MSIP_Label_b8b4be34-365a-4a68-b9fb-75c1b6874315_SiteId">
    <vt:lpwstr>618d0a45-25a6-4618-9f80-8f70a435ee52</vt:lpwstr>
  </property>
  <property fmtid="{D5CDD505-2E9C-101B-9397-08002B2CF9AE}" pid="29" name="MSIP_Label_b8b4be34-365a-4a68-b9fb-75c1b6874315_ActionId">
    <vt:lpwstr>78333a5a-a7b1-441f-98d3-5699838048c5</vt:lpwstr>
  </property>
  <property fmtid="{D5CDD505-2E9C-101B-9397-08002B2CF9AE}" pid="30" name="MSIP_Label_b8b4be34-365a-4a68-b9fb-75c1b6874315_ContentBits">
    <vt:lpwstr>2</vt:lpwstr>
  </property>
  <property fmtid="{D5CDD505-2E9C-101B-9397-08002B2CF9AE}" pid="31" name="Order">
    <vt:r8>356600</vt:r8>
  </property>
  <property fmtid="{D5CDD505-2E9C-101B-9397-08002B2CF9AE}" pid="32" name="xd_Signature">
    <vt:bool>false</vt:bool>
  </property>
  <property fmtid="{D5CDD505-2E9C-101B-9397-08002B2CF9AE}" pid="33" name="xd_ProgID">
    <vt:lpwstr/>
  </property>
  <property fmtid="{D5CDD505-2E9C-101B-9397-08002B2CF9AE}" pid="34" name="DocumentSetDescription">
    <vt:lpwstr/>
  </property>
  <property fmtid="{D5CDD505-2E9C-101B-9397-08002B2CF9AE}" pid="35" name="_SourceUrl">
    <vt:lpwstr/>
  </property>
  <property fmtid="{D5CDD505-2E9C-101B-9397-08002B2CF9AE}" pid="36" name="_SharedFileIndex">
    <vt:lpwstr/>
  </property>
  <property fmtid="{D5CDD505-2E9C-101B-9397-08002B2CF9AE}" pid="37" name="ComplianceAssetId">
    <vt:lpwstr/>
  </property>
  <property fmtid="{D5CDD505-2E9C-101B-9397-08002B2CF9AE}" pid="38" name="TemplateUrl">
    <vt:lpwstr/>
  </property>
  <property fmtid="{D5CDD505-2E9C-101B-9397-08002B2CF9AE}" pid="39" name="_ExtendedDescription">
    <vt:lpwstr/>
  </property>
  <property fmtid="{D5CDD505-2E9C-101B-9397-08002B2CF9AE}" pid="40" name="TriggerFlowInfo">
    <vt:lpwstr/>
  </property>
</Properties>
</file>