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632FE"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Tomas Soley Pérez</w:t>
      </w:r>
    </w:p>
    <w:p w14:paraId="4D7F14E6"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p>
    <w:p w14:paraId="1F519CD0" w14:textId="77777777" w:rsidR="00B330AC" w:rsidRDefault="00B330AC" w:rsidP="009618C8">
      <w:pPr>
        <w:jc w:val="both"/>
        <w:rPr>
          <w:rFonts w:ascii="Cambria" w:hAnsi="Cambria"/>
          <w:color w:val="000000"/>
        </w:rPr>
      </w:pPr>
    </w:p>
    <w:p w14:paraId="18F9A890" w14:textId="77777777" w:rsidR="009618C8" w:rsidRDefault="009618C8" w:rsidP="009618C8">
      <w:pPr>
        <w:jc w:val="both"/>
        <w:rPr>
          <w:rFonts w:ascii="Cambria" w:hAnsi="Cambria"/>
          <w:color w:val="000000"/>
        </w:rPr>
      </w:pPr>
    </w:p>
    <w:p w14:paraId="3CC45D5A" w14:textId="77777777" w:rsidR="009618C8" w:rsidRDefault="009618C8" w:rsidP="009618C8">
      <w:pPr>
        <w:jc w:val="both"/>
        <w:rPr>
          <w:rFonts w:asciiTheme="majorHAnsi" w:hAnsiTheme="majorHAnsi"/>
          <w:b/>
          <w:bCs/>
        </w:rPr>
      </w:pPr>
    </w:p>
    <w:p w14:paraId="543E12A5" w14:textId="6CB3A3B0" w:rsidR="00B330AC" w:rsidRDefault="00B330AC" w:rsidP="00B330AC">
      <w:pPr>
        <w:jc w:val="center"/>
        <w:rPr>
          <w:rFonts w:asciiTheme="majorHAnsi" w:hAnsiTheme="majorHAnsi"/>
          <w:b/>
          <w:bCs/>
        </w:rPr>
      </w:pPr>
      <w:r>
        <w:rPr>
          <w:rFonts w:asciiTheme="majorHAnsi" w:hAnsiTheme="majorHAnsi"/>
          <w:b/>
          <w:bCs/>
        </w:rPr>
        <w:t>ACUERDO DE SUPERINTENDENTE</w:t>
      </w:r>
      <w:r w:rsidR="00386D36">
        <w:rPr>
          <w:rStyle w:val="Refdenotaalpie"/>
          <w:rFonts w:asciiTheme="majorHAnsi" w:hAnsiTheme="majorHAnsi"/>
          <w:b/>
          <w:bCs/>
        </w:rPr>
        <w:footnoteReference w:id="1"/>
      </w:r>
    </w:p>
    <w:p w14:paraId="6C5E32AF" w14:textId="128E918C" w:rsidR="00B330AC" w:rsidRPr="00CB3AC9" w:rsidRDefault="00B330AC" w:rsidP="00B330AC">
      <w:pPr>
        <w:jc w:val="center"/>
        <w:rPr>
          <w:rFonts w:asciiTheme="majorHAnsi" w:hAnsiTheme="majorHAnsi"/>
          <w:b/>
          <w:bCs/>
          <w:i/>
          <w:iCs/>
        </w:rPr>
      </w:pPr>
      <w:r w:rsidRPr="00CB3AC9">
        <w:rPr>
          <w:rFonts w:asciiTheme="majorHAnsi" w:hAnsiTheme="majorHAnsi"/>
          <w:b/>
          <w:bCs/>
          <w:i/>
          <w:iCs/>
        </w:rPr>
        <w:t>SGS-A-0</w:t>
      </w:r>
      <w:r w:rsidR="00CB3AC9" w:rsidRPr="00CB3AC9">
        <w:rPr>
          <w:rFonts w:asciiTheme="majorHAnsi" w:hAnsiTheme="majorHAnsi"/>
          <w:b/>
          <w:bCs/>
          <w:i/>
          <w:iCs/>
        </w:rPr>
        <w:t>078</w:t>
      </w:r>
      <w:r w:rsidRPr="00CB3AC9">
        <w:rPr>
          <w:rFonts w:asciiTheme="majorHAnsi" w:hAnsiTheme="majorHAnsi"/>
          <w:b/>
          <w:bCs/>
          <w:i/>
          <w:iCs/>
        </w:rPr>
        <w:t>-20</w:t>
      </w:r>
      <w:r w:rsidR="00CB3AC9" w:rsidRPr="00CB3AC9">
        <w:rPr>
          <w:rFonts w:asciiTheme="majorHAnsi" w:hAnsiTheme="majorHAnsi"/>
          <w:b/>
          <w:bCs/>
          <w:i/>
          <w:iCs/>
        </w:rPr>
        <w:t>21</w:t>
      </w:r>
    </w:p>
    <w:p w14:paraId="736E3785" w14:textId="590AEBBB" w:rsidR="009865EA" w:rsidRDefault="009865EA" w:rsidP="009865EA">
      <w:pPr>
        <w:jc w:val="center"/>
        <w:rPr>
          <w:rFonts w:asciiTheme="majorHAnsi" w:hAnsiTheme="majorHAnsi"/>
          <w:b/>
          <w:bCs/>
          <w:lang w:val="es-CR"/>
        </w:rPr>
      </w:pPr>
    </w:p>
    <w:p w14:paraId="13024119" w14:textId="77777777" w:rsidR="009865EA" w:rsidRPr="00B56EDA" w:rsidRDefault="009865EA" w:rsidP="009865EA">
      <w:pPr>
        <w:jc w:val="center"/>
        <w:rPr>
          <w:rFonts w:asciiTheme="majorHAnsi" w:hAnsiTheme="majorHAnsi"/>
          <w:b/>
          <w:bCs/>
          <w:lang w:val="es-CR"/>
        </w:rPr>
      </w:pPr>
    </w:p>
    <w:p w14:paraId="6654E792" w14:textId="77777777" w:rsidR="009865EA" w:rsidRPr="00B56EDA" w:rsidRDefault="009865EA" w:rsidP="009865EA">
      <w:pPr>
        <w:jc w:val="center"/>
        <w:rPr>
          <w:rFonts w:asciiTheme="majorHAnsi" w:hAnsiTheme="majorHAnsi"/>
          <w:b/>
          <w:bCs/>
          <w:lang w:val="es-CR"/>
        </w:rPr>
      </w:pPr>
      <w:r w:rsidRPr="00B56EDA">
        <w:rPr>
          <w:rFonts w:asciiTheme="majorHAnsi" w:hAnsiTheme="majorHAnsi"/>
          <w:b/>
          <w:bCs/>
          <w:lang w:val="es-CR"/>
        </w:rPr>
        <w:t xml:space="preserve">MODIFICACIÓN DE LOS ACUERDOS DE SUPERINTENDENTE: SGS-A-014-2011, </w:t>
      </w:r>
      <w:r w:rsidRPr="00B56EDA">
        <w:rPr>
          <w:rFonts w:asciiTheme="majorHAnsi" w:hAnsiTheme="majorHAnsi"/>
          <w:b/>
          <w:bCs/>
          <w:i/>
          <w:iCs/>
          <w:lang w:val="es-CR"/>
        </w:rPr>
        <w:t>LINEAMIENTOS GENERALES PARA USO DE FIRMA DIGITAL CERTIFICADA EN LOS TRÁMITES REALIZADOS ANTE LA SUPERINTENDENCIA GENERAL DE SEGUROS POR PARTE DE ENTIDADES DE SEGUROS, SOCIEDADES CORREDORAS DE SEGUROS Y SOCIEDADES AGENCIA DE SEGUROS</w:t>
      </w:r>
      <w:r w:rsidRPr="00B56EDA">
        <w:rPr>
          <w:rFonts w:asciiTheme="majorHAnsi" w:hAnsiTheme="majorHAnsi"/>
          <w:b/>
          <w:bCs/>
          <w:lang w:val="es-CR"/>
        </w:rPr>
        <w:t xml:space="preserve"> Y SGS-DES-A-021-2013, </w:t>
      </w:r>
      <w:r w:rsidRPr="00B56EDA">
        <w:rPr>
          <w:rFonts w:asciiTheme="majorHAnsi" w:hAnsiTheme="majorHAnsi"/>
          <w:b/>
          <w:bCs/>
          <w:i/>
          <w:iCs/>
          <w:lang w:val="es-CR"/>
        </w:rPr>
        <w:t>DISPOSICIONES PARA LA REMISIÓN DE LA INFORMACIÓN CONTABLE Y ESTADÍSTICA A LA SUPERINTENDENCIA GENERAL DE SEGUROS POR PARTE DE LAS ENTIDADES SUPERVISADAS</w:t>
      </w:r>
    </w:p>
    <w:p w14:paraId="6244A86D" w14:textId="58881F97" w:rsidR="009865EA" w:rsidRDefault="009865EA" w:rsidP="009865EA">
      <w:pPr>
        <w:rPr>
          <w:rFonts w:asciiTheme="majorHAnsi" w:hAnsiTheme="majorHAnsi"/>
          <w:lang w:val="es-CR"/>
        </w:rPr>
      </w:pPr>
    </w:p>
    <w:p w14:paraId="7930D6F1" w14:textId="77777777" w:rsidR="009865EA" w:rsidRPr="00B56EDA" w:rsidRDefault="009865EA" w:rsidP="009865EA">
      <w:pPr>
        <w:rPr>
          <w:rFonts w:asciiTheme="majorHAnsi" w:hAnsiTheme="majorHAnsi"/>
          <w:lang w:val="es-CR"/>
        </w:rPr>
      </w:pPr>
    </w:p>
    <w:p w14:paraId="7EFE3602" w14:textId="09ECB5E6" w:rsidR="009865EA" w:rsidRPr="00B56EDA" w:rsidRDefault="009865EA" w:rsidP="009865EA">
      <w:pPr>
        <w:jc w:val="both"/>
        <w:rPr>
          <w:rFonts w:asciiTheme="majorHAnsi" w:hAnsiTheme="majorHAnsi"/>
          <w:lang w:val="es-CR"/>
        </w:rPr>
      </w:pPr>
      <w:r w:rsidRPr="00B56EDA">
        <w:rPr>
          <w:rFonts w:asciiTheme="majorHAnsi" w:hAnsiTheme="majorHAnsi"/>
          <w:lang w:val="es-CR"/>
        </w:rPr>
        <w:t xml:space="preserve">El Superintendente General de Seguros, a las </w:t>
      </w:r>
      <w:r>
        <w:rPr>
          <w:rFonts w:asciiTheme="majorHAnsi" w:hAnsiTheme="majorHAnsi"/>
          <w:lang w:val="es-CR"/>
        </w:rPr>
        <w:t>diez</w:t>
      </w:r>
      <w:r w:rsidRPr="00B56EDA">
        <w:rPr>
          <w:rFonts w:asciiTheme="majorHAnsi" w:hAnsiTheme="majorHAnsi"/>
          <w:lang w:val="es-CR"/>
        </w:rPr>
        <w:t xml:space="preserve"> horas del </w:t>
      </w:r>
      <w:r>
        <w:rPr>
          <w:rFonts w:asciiTheme="majorHAnsi" w:hAnsiTheme="majorHAnsi"/>
          <w:lang w:val="es-CR"/>
        </w:rPr>
        <w:t>veintinueve</w:t>
      </w:r>
      <w:r w:rsidRPr="00B56EDA">
        <w:rPr>
          <w:rFonts w:asciiTheme="majorHAnsi" w:hAnsiTheme="majorHAnsi"/>
          <w:lang w:val="es-CR"/>
        </w:rPr>
        <w:t xml:space="preserve"> de </w:t>
      </w:r>
      <w:r>
        <w:rPr>
          <w:rFonts w:asciiTheme="majorHAnsi" w:hAnsiTheme="majorHAnsi"/>
          <w:lang w:val="es-CR"/>
        </w:rPr>
        <w:t>abril</w:t>
      </w:r>
      <w:r w:rsidRPr="00B56EDA">
        <w:rPr>
          <w:rFonts w:asciiTheme="majorHAnsi" w:hAnsiTheme="majorHAnsi"/>
          <w:lang w:val="es-CR"/>
        </w:rPr>
        <w:t xml:space="preserve"> de</w:t>
      </w:r>
      <w:r>
        <w:rPr>
          <w:rFonts w:asciiTheme="majorHAnsi" w:hAnsiTheme="majorHAnsi"/>
          <w:lang w:val="es-CR"/>
        </w:rPr>
        <w:t>l</w:t>
      </w:r>
      <w:r w:rsidRPr="00B56EDA">
        <w:rPr>
          <w:rFonts w:asciiTheme="majorHAnsi" w:hAnsiTheme="majorHAnsi"/>
          <w:lang w:val="es-CR"/>
        </w:rPr>
        <w:t xml:space="preserve"> dos mil veintiuno</w:t>
      </w:r>
    </w:p>
    <w:p w14:paraId="796AF7D0" w14:textId="77777777" w:rsidR="009865EA" w:rsidRPr="00B56EDA" w:rsidRDefault="009865EA" w:rsidP="009865EA">
      <w:pPr>
        <w:jc w:val="both"/>
        <w:rPr>
          <w:rFonts w:asciiTheme="majorHAnsi" w:hAnsiTheme="majorHAnsi"/>
          <w:b/>
          <w:lang w:val="es-CR"/>
        </w:rPr>
      </w:pPr>
    </w:p>
    <w:p w14:paraId="17B1E7F7" w14:textId="77777777" w:rsidR="009865EA" w:rsidRPr="00B56EDA" w:rsidRDefault="009865EA" w:rsidP="009865EA">
      <w:pPr>
        <w:jc w:val="center"/>
        <w:rPr>
          <w:rFonts w:asciiTheme="majorHAnsi" w:hAnsiTheme="majorHAnsi"/>
          <w:b/>
          <w:lang w:val="es-CR"/>
        </w:rPr>
      </w:pPr>
      <w:r w:rsidRPr="00B56EDA">
        <w:rPr>
          <w:rFonts w:asciiTheme="majorHAnsi" w:hAnsiTheme="majorHAnsi"/>
          <w:b/>
          <w:lang w:val="es-CR"/>
        </w:rPr>
        <w:t>Considerando que:</w:t>
      </w:r>
    </w:p>
    <w:p w14:paraId="1F1CBCE2" w14:textId="77777777" w:rsidR="009865EA" w:rsidRPr="00B56EDA" w:rsidRDefault="009865EA" w:rsidP="009865EA">
      <w:pPr>
        <w:jc w:val="both"/>
        <w:rPr>
          <w:rFonts w:asciiTheme="majorHAnsi" w:hAnsiTheme="majorHAnsi"/>
          <w:lang w:val="es-CR"/>
        </w:rPr>
      </w:pPr>
    </w:p>
    <w:p w14:paraId="2C86EEE3" w14:textId="77777777" w:rsidR="009865EA" w:rsidRPr="00B56EDA" w:rsidRDefault="009865EA" w:rsidP="009865EA">
      <w:pPr>
        <w:pStyle w:val="Prrafodelista"/>
        <w:numPr>
          <w:ilvl w:val="0"/>
          <w:numId w:val="1"/>
        </w:numPr>
        <w:ind w:left="567" w:hanging="567"/>
        <w:jc w:val="both"/>
        <w:rPr>
          <w:rFonts w:asciiTheme="majorHAnsi" w:hAnsiTheme="majorHAnsi"/>
          <w:lang w:val="es-CR"/>
        </w:rPr>
      </w:pPr>
      <w:r w:rsidRPr="00B56EDA">
        <w:rPr>
          <w:rFonts w:asciiTheme="majorHAnsi" w:hAnsiTheme="majorHAnsi"/>
          <w:lang w:val="es-CR"/>
        </w:rPr>
        <w:t xml:space="preserve">El artículo 29, de la Ley Reguladora del Mercado de Seguros (LRMS), </w:t>
      </w:r>
      <w:proofErr w:type="spellStart"/>
      <w:r w:rsidRPr="00B56EDA">
        <w:rPr>
          <w:rFonts w:asciiTheme="majorHAnsi" w:hAnsiTheme="majorHAnsi"/>
          <w:lang w:val="es-CR"/>
        </w:rPr>
        <w:t>N°</w:t>
      </w:r>
      <w:proofErr w:type="spellEnd"/>
      <w:r w:rsidRPr="00B56EDA">
        <w:rPr>
          <w:rFonts w:asciiTheme="majorHAnsi" w:hAnsiTheme="majorHAnsi"/>
          <w:lang w:val="es-CR"/>
        </w:rPr>
        <w:t xml:space="preserve"> 8653, establece como objetivo de la Superintendencia General de Seguros (SUGESE) </w:t>
      </w:r>
      <w:r w:rsidRPr="00B56EDA">
        <w:rPr>
          <w:rFonts w:asciiTheme="majorHAnsi" w:hAnsiTheme="majorHAnsi"/>
          <w:i/>
          <w:lang w:val="es-CR"/>
        </w:rPr>
        <w:t xml:space="preserve">“velar por la estabilidad y el eficiente funcionamiento del mercado de seguros, así como entregar la más amplia información a los asegurados”. </w:t>
      </w:r>
      <w:r w:rsidRPr="00B56EDA">
        <w:rPr>
          <w:rFonts w:asciiTheme="majorHAnsi" w:hAnsiTheme="majorHAnsi"/>
          <w:lang w:val="es-CR"/>
        </w:rPr>
        <w:t>Además, para cumplir el objetivo mencionado, el inciso j) del artículo 29 de dicha ley faculta a la SUGESE para dictar las normas y directrices de carácter técnico u operativo que se requieran.</w:t>
      </w:r>
    </w:p>
    <w:p w14:paraId="4F874A90" w14:textId="77777777" w:rsidR="009865EA" w:rsidRPr="00B56EDA" w:rsidRDefault="009865EA" w:rsidP="009865EA">
      <w:pPr>
        <w:pStyle w:val="Prrafodelista"/>
        <w:ind w:left="567" w:hanging="567"/>
        <w:jc w:val="both"/>
        <w:rPr>
          <w:rFonts w:asciiTheme="majorHAnsi" w:hAnsiTheme="majorHAnsi"/>
          <w:lang w:val="es-CR"/>
        </w:rPr>
      </w:pPr>
    </w:p>
    <w:p w14:paraId="144456D3" w14:textId="77777777" w:rsidR="009865EA" w:rsidRPr="00B56EDA" w:rsidRDefault="009865EA" w:rsidP="009865EA">
      <w:pPr>
        <w:pStyle w:val="Prrafodelista"/>
        <w:numPr>
          <w:ilvl w:val="0"/>
          <w:numId w:val="1"/>
        </w:numPr>
        <w:ind w:left="567" w:hanging="567"/>
        <w:jc w:val="both"/>
        <w:rPr>
          <w:rFonts w:asciiTheme="majorHAnsi" w:hAnsiTheme="majorHAnsi"/>
          <w:lang w:val="es-CR"/>
        </w:rPr>
      </w:pPr>
      <w:r w:rsidRPr="00B56EDA">
        <w:rPr>
          <w:rFonts w:asciiTheme="majorHAnsi" w:hAnsiTheme="majorHAnsi"/>
          <w:lang w:val="es-CR"/>
        </w:rPr>
        <w:t xml:space="preserve">Según el artículo 29 de la Ley </w:t>
      </w:r>
      <w:proofErr w:type="spellStart"/>
      <w:r w:rsidRPr="00B56EDA">
        <w:rPr>
          <w:rFonts w:asciiTheme="majorHAnsi" w:hAnsiTheme="majorHAnsi"/>
          <w:lang w:val="es-CR"/>
        </w:rPr>
        <w:t>N°</w:t>
      </w:r>
      <w:proofErr w:type="spellEnd"/>
      <w:r w:rsidRPr="00B56EDA">
        <w:rPr>
          <w:rFonts w:asciiTheme="majorHAnsi" w:hAnsiTheme="majorHAnsi"/>
          <w:lang w:val="es-CR"/>
        </w:rPr>
        <w:t xml:space="preserve"> 8653, al Superintendente le aplica el artículo 180 de la Ley Reguladora del Mercado de Valores, el cual permite a la SUGESE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físicos para todos los efectos legales.</w:t>
      </w:r>
    </w:p>
    <w:p w14:paraId="1CC38E55" w14:textId="77777777" w:rsidR="009865EA" w:rsidRPr="00B56EDA" w:rsidRDefault="009865EA" w:rsidP="009865EA">
      <w:pPr>
        <w:pStyle w:val="Prrafodelista"/>
        <w:ind w:left="567" w:hanging="567"/>
        <w:jc w:val="both"/>
        <w:rPr>
          <w:rFonts w:asciiTheme="majorHAnsi" w:hAnsiTheme="majorHAnsi"/>
          <w:lang w:val="es-CR"/>
        </w:rPr>
      </w:pPr>
    </w:p>
    <w:p w14:paraId="153816C4" w14:textId="77777777" w:rsidR="009865EA" w:rsidRPr="000C0289" w:rsidRDefault="009865EA" w:rsidP="009865EA">
      <w:pPr>
        <w:pStyle w:val="Prrafodelista"/>
        <w:numPr>
          <w:ilvl w:val="0"/>
          <w:numId w:val="1"/>
        </w:numPr>
        <w:ind w:left="567" w:hanging="567"/>
        <w:jc w:val="both"/>
        <w:rPr>
          <w:rFonts w:asciiTheme="majorHAnsi" w:hAnsiTheme="majorHAnsi"/>
          <w:lang w:val="es-CR"/>
        </w:rPr>
      </w:pPr>
      <w:r w:rsidRPr="000C0289">
        <w:rPr>
          <w:rFonts w:asciiTheme="majorHAnsi" w:hAnsiTheme="majorHAnsi"/>
          <w:lang w:val="es-CR"/>
        </w:rPr>
        <w:t xml:space="preserve">La SUGESE mediante acuerdo SGS-A-014-2011 del 21 de diciembre de 2011 estableció los lineamientos para el uso de firma digital certificada, así como los requisitos y procedimientos relacionados con el envío de información entre la Superintendencia y </w:t>
      </w:r>
      <w:r w:rsidRPr="000C0289">
        <w:rPr>
          <w:rFonts w:asciiTheme="majorHAnsi" w:hAnsiTheme="majorHAnsi"/>
          <w:lang w:val="es-CR"/>
        </w:rPr>
        <w:lastRenderedPageBreak/>
        <w:t>las entidades supervisadas. Además, mediante SGS-DES-A-021-2013 del 23 de mayo de 2013, el Superintendente emitió disposiciones sobre la remisión de información financiera y contable a la Superintendencia, entre ellas la obligación de revelar como hecho relevante la sustitución o reprocesos de la información entregada a la Superintendencia.</w:t>
      </w:r>
    </w:p>
    <w:p w14:paraId="23CE2669" w14:textId="77777777" w:rsidR="009865EA" w:rsidRPr="00B56EDA" w:rsidRDefault="009865EA" w:rsidP="009865EA">
      <w:pPr>
        <w:pStyle w:val="Prrafodelista"/>
        <w:ind w:left="567" w:hanging="567"/>
        <w:jc w:val="both"/>
        <w:rPr>
          <w:rFonts w:asciiTheme="majorHAnsi" w:hAnsiTheme="majorHAnsi"/>
          <w:lang w:val="es-CR"/>
        </w:rPr>
      </w:pPr>
    </w:p>
    <w:p w14:paraId="36A44F61" w14:textId="77777777" w:rsidR="009865EA" w:rsidRPr="00B56EDA" w:rsidRDefault="009865EA" w:rsidP="009865EA">
      <w:pPr>
        <w:pStyle w:val="Prrafodelista"/>
        <w:numPr>
          <w:ilvl w:val="0"/>
          <w:numId w:val="1"/>
        </w:numPr>
        <w:ind w:left="567" w:hanging="567"/>
        <w:jc w:val="both"/>
        <w:rPr>
          <w:rFonts w:asciiTheme="majorHAnsi" w:hAnsiTheme="majorHAnsi"/>
          <w:lang w:val="es-CR"/>
        </w:rPr>
      </w:pPr>
      <w:r w:rsidRPr="00B56EDA">
        <w:rPr>
          <w:rFonts w:asciiTheme="majorHAnsi" w:hAnsiTheme="majorHAnsi"/>
          <w:lang w:val="es-CR"/>
        </w:rPr>
        <w:t xml:space="preserve">La implementación de la firma digital y el uso de certificados digitales en los trámites realizados por la Superintendencia General de Seguros, así como de la plataforma </w:t>
      </w:r>
      <w:r w:rsidRPr="00B56EDA">
        <w:rPr>
          <w:rFonts w:asciiTheme="majorHAnsi" w:hAnsiTheme="majorHAnsi"/>
          <w:i/>
          <w:lang w:val="es-CR"/>
        </w:rPr>
        <w:t>SUGESE en Línea</w:t>
      </w:r>
      <w:r w:rsidRPr="00B56EDA">
        <w:rPr>
          <w:rFonts w:asciiTheme="majorHAnsi" w:hAnsiTheme="majorHAnsi"/>
          <w:lang w:val="es-CR"/>
        </w:rPr>
        <w:t>, han permitido aplicar los principios de autenticidad, confidencialidad, integridad y no repudio de la información que remiten las entidades supervisadas en cumplimiento de sus deberes y funciones. Además, ha facilitado la remisión de información a la SUGESE y los trámites ante este órgano de supervisión, por lo que su adopción ha contribuido al objetivo impuesto a la Superintendencia en el artículo 29 de la Ley Reguladora del Mercado de Seguros de velar por el eficiente funcionamiento del mercado de seguros.</w:t>
      </w:r>
    </w:p>
    <w:p w14:paraId="58860FC8" w14:textId="77777777" w:rsidR="009865EA" w:rsidRPr="00B56EDA" w:rsidRDefault="009865EA" w:rsidP="009865EA">
      <w:pPr>
        <w:pStyle w:val="Prrafodelista"/>
        <w:ind w:left="567" w:hanging="567"/>
        <w:jc w:val="both"/>
        <w:rPr>
          <w:rFonts w:asciiTheme="majorHAnsi" w:hAnsiTheme="majorHAnsi"/>
          <w:lang w:val="es-CR"/>
        </w:rPr>
      </w:pPr>
    </w:p>
    <w:p w14:paraId="2A1859CD" w14:textId="77777777" w:rsidR="009865EA" w:rsidRPr="000C0289" w:rsidRDefault="009865EA" w:rsidP="009865EA">
      <w:pPr>
        <w:pStyle w:val="Prrafodelista"/>
        <w:numPr>
          <w:ilvl w:val="0"/>
          <w:numId w:val="1"/>
        </w:numPr>
        <w:ind w:left="567" w:hanging="567"/>
        <w:jc w:val="both"/>
        <w:rPr>
          <w:rFonts w:asciiTheme="majorHAnsi" w:hAnsiTheme="majorHAnsi"/>
          <w:lang w:val="es-CR"/>
        </w:rPr>
      </w:pPr>
      <w:r w:rsidRPr="000C0289">
        <w:rPr>
          <w:rFonts w:asciiTheme="majorHAnsi" w:hAnsiTheme="majorHAnsi"/>
          <w:lang w:val="es-CR"/>
        </w:rPr>
        <w:t>El trámite del trámite de la normativa sobre hechos relevantes por parte del CONASSIF, obliga a ajustar el acuerdo SGS-DES-A-021-2013 sobre la remisión de información financiera y contable, así como el acuerdo SGS-A-014-201, sobre lo lineamientos para uso de la firma digital, con el fin de mantener la congruencia entre las normas, evitar duplicidades en los requerimientos y confusión a los supervisados.</w:t>
      </w:r>
    </w:p>
    <w:p w14:paraId="0339E7C4" w14:textId="77777777" w:rsidR="009865EA" w:rsidRPr="00B56EDA" w:rsidRDefault="009865EA" w:rsidP="009865EA">
      <w:pPr>
        <w:pStyle w:val="Prrafodelista"/>
        <w:ind w:left="567"/>
        <w:jc w:val="both"/>
        <w:rPr>
          <w:rFonts w:asciiTheme="majorHAnsi" w:hAnsiTheme="majorHAnsi"/>
          <w:lang w:val="es-CR"/>
        </w:rPr>
      </w:pPr>
    </w:p>
    <w:p w14:paraId="5F7CF8F5" w14:textId="77777777" w:rsidR="009865EA" w:rsidRPr="000C0289" w:rsidRDefault="009865EA" w:rsidP="009865EA">
      <w:pPr>
        <w:pStyle w:val="Prrafodelista"/>
        <w:numPr>
          <w:ilvl w:val="0"/>
          <w:numId w:val="1"/>
        </w:numPr>
        <w:ind w:left="567" w:hanging="567"/>
        <w:jc w:val="both"/>
        <w:rPr>
          <w:rFonts w:asciiTheme="majorHAnsi" w:hAnsiTheme="majorHAnsi"/>
          <w:lang w:val="es-CR"/>
        </w:rPr>
      </w:pPr>
      <w:r w:rsidRPr="000C0289">
        <w:rPr>
          <w:rFonts w:asciiTheme="majorHAnsi" w:hAnsiTheme="majorHAnsi"/>
          <w:lang w:val="es-CR"/>
        </w:rPr>
        <w:t xml:space="preserve">Que mediante oficio SGS-1107-2019 del 29 de octubre de 2019, la Superintendencia remitió en consulta, como complemento a la normativa de revelación de hechos relevantes y divulgación de información, el proyecto de acuerdo denominado </w:t>
      </w:r>
      <w:r w:rsidRPr="000C0289">
        <w:rPr>
          <w:rFonts w:asciiTheme="majorHAnsi" w:hAnsiTheme="majorHAnsi"/>
          <w:i/>
          <w:lang w:val="es-CR"/>
        </w:rPr>
        <w:t>“Lineamientos para la comunicación de los Hechos Relevantes por parte de las Entidades Supervisadas por la Superintendencia General De Seguros y el funcionamiento del Servicio de Hechos Relevantes”,</w:t>
      </w:r>
      <w:r w:rsidRPr="000C0289">
        <w:rPr>
          <w:rFonts w:asciiTheme="majorHAnsi" w:hAnsiTheme="majorHAnsi"/>
          <w:lang w:val="es-CR"/>
        </w:rPr>
        <w:t>;</w:t>
      </w:r>
      <w:r w:rsidRPr="000C0289">
        <w:rPr>
          <w:rFonts w:asciiTheme="majorHAnsi" w:hAnsiTheme="majorHAnsi"/>
          <w:i/>
          <w:lang w:val="es-CR"/>
        </w:rPr>
        <w:t xml:space="preserve"> </w:t>
      </w:r>
      <w:r w:rsidRPr="000C0289">
        <w:rPr>
          <w:rFonts w:asciiTheme="majorHAnsi" w:hAnsiTheme="majorHAnsi"/>
          <w:lang w:val="es-CR"/>
        </w:rPr>
        <w:t>así como la modificación y derogatoria de otra normativa relacionada, entre ella los acuerdos relacionados con  el uso de firma digital (SGS-A-014-2011) y el de remisión de información financiera y contable (SGS-DES-A-021-2013).</w:t>
      </w:r>
    </w:p>
    <w:p w14:paraId="5867B608" w14:textId="77777777" w:rsidR="009865EA" w:rsidRPr="000C0289" w:rsidRDefault="009865EA" w:rsidP="009865EA">
      <w:pPr>
        <w:pStyle w:val="Prrafodelista"/>
        <w:ind w:left="567" w:hanging="567"/>
        <w:jc w:val="both"/>
        <w:rPr>
          <w:rFonts w:asciiTheme="majorHAnsi" w:hAnsiTheme="majorHAnsi"/>
          <w:lang w:val="es-CR"/>
        </w:rPr>
      </w:pPr>
    </w:p>
    <w:p w14:paraId="1DBF3862" w14:textId="77777777" w:rsidR="009865EA" w:rsidRPr="000C0289" w:rsidRDefault="009865EA" w:rsidP="009865EA">
      <w:pPr>
        <w:pStyle w:val="Prrafodelista"/>
        <w:numPr>
          <w:ilvl w:val="0"/>
          <w:numId w:val="1"/>
        </w:numPr>
        <w:ind w:left="567" w:hanging="567"/>
        <w:jc w:val="both"/>
        <w:rPr>
          <w:rFonts w:asciiTheme="majorHAnsi" w:hAnsiTheme="majorHAnsi"/>
          <w:lang w:val="es-CR"/>
        </w:rPr>
      </w:pPr>
      <w:r w:rsidRPr="000C0289">
        <w:rPr>
          <w:rFonts w:asciiTheme="majorHAnsi" w:hAnsiTheme="majorHAnsi"/>
          <w:lang w:val="es-CR"/>
        </w:rPr>
        <w:t xml:space="preserve">Que, una vez finalizada la consulta a la industria mencionada y luego de analizar las observaciones recibidas, así como el replanteamiento que se hizo de la propuesta </w:t>
      </w:r>
      <w:r w:rsidRPr="000C0289">
        <w:rPr>
          <w:rFonts w:asciiTheme="majorHAnsi" w:hAnsiTheme="majorHAnsi"/>
          <w:i/>
          <w:iCs/>
          <w:lang w:val="es-CR"/>
        </w:rPr>
        <w:t>Reglamento sobre Remisión de Información Periódica y Hechos Relevantes por Entidades Supervisadas por SUGESE</w:t>
      </w:r>
      <w:r w:rsidRPr="000C0289">
        <w:rPr>
          <w:rFonts w:asciiTheme="majorHAnsi" w:hAnsiTheme="majorHAnsi"/>
          <w:lang w:val="es-CR"/>
        </w:rPr>
        <w:t>, la Superintendencia mediante oficio SGS-0027-2021 del 14 de enero 2021 remitió en consulta por segunda vez y por un plazo de 10 días hábiles una  nueva versión de los acuerdos de Superintendente que complementarán el reglamento mencionado.</w:t>
      </w:r>
    </w:p>
    <w:p w14:paraId="4BE2DB85" w14:textId="77777777" w:rsidR="009865EA" w:rsidRPr="000C0289" w:rsidRDefault="009865EA" w:rsidP="009865EA">
      <w:pPr>
        <w:pStyle w:val="Prrafodelista"/>
        <w:ind w:left="567" w:hanging="567"/>
        <w:jc w:val="both"/>
        <w:rPr>
          <w:rFonts w:asciiTheme="majorHAnsi" w:hAnsiTheme="majorHAnsi"/>
          <w:lang w:val="es-CR"/>
        </w:rPr>
      </w:pPr>
    </w:p>
    <w:p w14:paraId="590C67F0" w14:textId="77777777" w:rsidR="009865EA" w:rsidRPr="000C0289" w:rsidRDefault="009865EA" w:rsidP="009865EA">
      <w:pPr>
        <w:pStyle w:val="Prrafodelista"/>
        <w:numPr>
          <w:ilvl w:val="0"/>
          <w:numId w:val="1"/>
        </w:numPr>
        <w:ind w:left="567" w:hanging="567"/>
        <w:jc w:val="both"/>
        <w:rPr>
          <w:rFonts w:asciiTheme="majorHAnsi" w:hAnsiTheme="majorHAnsi"/>
          <w:lang w:val="es-CR"/>
        </w:rPr>
      </w:pPr>
      <w:r w:rsidRPr="000C0289">
        <w:rPr>
          <w:rFonts w:asciiTheme="majorHAnsi" w:hAnsiTheme="majorHAnsi"/>
          <w:lang w:val="es-CR"/>
        </w:rPr>
        <w:t>Que una vez recibidas y analizadas las observaciones de las entidades que atendieron la consulta, lo que procede es la emisión definitiva del acuerdo en cuestión por parte del Superintendente de Seguros, el cual complementa varias normas aprobados por el CONASSIF, entre ellas la relacionada con la revelación de hechos relevantes por parte de las entidades supervisadas.</w:t>
      </w:r>
    </w:p>
    <w:p w14:paraId="4BFC4E3C" w14:textId="77777777" w:rsidR="009865EA" w:rsidRPr="00B56EDA" w:rsidRDefault="009865EA" w:rsidP="009865EA">
      <w:pPr>
        <w:pStyle w:val="Prrafodelista"/>
        <w:ind w:left="567" w:hanging="567"/>
        <w:jc w:val="both"/>
        <w:rPr>
          <w:rFonts w:asciiTheme="majorHAnsi" w:hAnsiTheme="majorHAnsi"/>
          <w:lang w:val="es-CR"/>
        </w:rPr>
      </w:pPr>
    </w:p>
    <w:p w14:paraId="29522ACA" w14:textId="77777777" w:rsidR="009865EA" w:rsidRPr="000C0289" w:rsidRDefault="009865EA" w:rsidP="009865EA">
      <w:pPr>
        <w:pStyle w:val="Prrafodelista"/>
        <w:numPr>
          <w:ilvl w:val="0"/>
          <w:numId w:val="1"/>
        </w:numPr>
        <w:ind w:left="567" w:hanging="567"/>
        <w:jc w:val="both"/>
        <w:rPr>
          <w:rFonts w:asciiTheme="majorHAnsi" w:hAnsiTheme="majorHAnsi"/>
          <w:lang w:val="es-CR"/>
        </w:rPr>
      </w:pPr>
      <w:r w:rsidRPr="000C0289">
        <w:rPr>
          <w:rFonts w:asciiTheme="majorHAnsi" w:hAnsiTheme="majorHAnsi"/>
          <w:lang w:val="es-CR"/>
        </w:rPr>
        <w:t xml:space="preserve">Que el CONASSIF aprobó, en el artículo 8, del acta de la sesión 1655-2021, celebrada el 12 de abril de 2021, el </w:t>
      </w:r>
      <w:r w:rsidRPr="000C0289">
        <w:rPr>
          <w:rFonts w:asciiTheme="majorHAnsi" w:hAnsiTheme="majorHAnsi"/>
          <w:i/>
          <w:iCs/>
          <w:lang w:val="es-CR"/>
        </w:rPr>
        <w:t>Reglamento sobre Remisión de Información Periódica y Hechos Relevantes por Entidades Supervisadas por SUGESE</w:t>
      </w:r>
      <w:r w:rsidRPr="000C0289">
        <w:rPr>
          <w:rFonts w:asciiTheme="majorHAnsi" w:hAnsiTheme="majorHAnsi"/>
          <w:lang w:val="es-CR"/>
        </w:rPr>
        <w:t xml:space="preserve">, publicado en el Alcance 78 diario oficial </w:t>
      </w:r>
      <w:r w:rsidRPr="000C0289">
        <w:rPr>
          <w:rFonts w:asciiTheme="majorHAnsi" w:hAnsiTheme="majorHAnsi"/>
          <w:i/>
          <w:iCs/>
          <w:lang w:val="es-CR"/>
        </w:rPr>
        <w:t>La Gaceta</w:t>
      </w:r>
      <w:r w:rsidRPr="000C0289">
        <w:rPr>
          <w:rFonts w:asciiTheme="majorHAnsi" w:hAnsiTheme="majorHAnsi"/>
          <w:lang w:val="es-CR"/>
        </w:rPr>
        <w:t xml:space="preserve"> del 23 de abril de 2021. Que la norma aprobada por el Consejo faculta al Superintendente a normar la operativa</w:t>
      </w:r>
      <w:r w:rsidRPr="000C0289" w:rsidDel="00CB7898">
        <w:rPr>
          <w:rFonts w:asciiTheme="majorHAnsi" w:hAnsiTheme="majorHAnsi"/>
          <w:lang w:val="es-CR"/>
        </w:rPr>
        <w:t xml:space="preserve"> </w:t>
      </w:r>
      <w:r w:rsidRPr="000C0289">
        <w:rPr>
          <w:rFonts w:asciiTheme="majorHAnsi" w:hAnsiTheme="majorHAnsi"/>
          <w:lang w:val="es-CR"/>
        </w:rPr>
        <w:t>para la revelación de hechos relevantes y divulgación de información, en el artículo tercero, por lo que es necesario por parte del Superintendente, la emisión de normativa complementaria o modificación de la existente, para facilitar el cumplimiento y operativa de la nueva norma.</w:t>
      </w:r>
    </w:p>
    <w:p w14:paraId="50405CCD" w14:textId="77777777" w:rsidR="009865EA" w:rsidRPr="00B56EDA" w:rsidRDefault="009865EA" w:rsidP="009865EA">
      <w:pPr>
        <w:jc w:val="both"/>
        <w:rPr>
          <w:rFonts w:asciiTheme="majorHAnsi" w:hAnsiTheme="majorHAnsi"/>
          <w:b/>
          <w:lang w:val="es-CR"/>
        </w:rPr>
      </w:pPr>
    </w:p>
    <w:p w14:paraId="50350102" w14:textId="77777777" w:rsidR="009865EA" w:rsidRPr="00B56EDA" w:rsidRDefault="009865EA" w:rsidP="009865EA">
      <w:pPr>
        <w:jc w:val="both"/>
        <w:rPr>
          <w:rFonts w:asciiTheme="majorHAnsi" w:hAnsiTheme="majorHAnsi"/>
          <w:b/>
          <w:lang w:val="es-CR"/>
        </w:rPr>
      </w:pPr>
    </w:p>
    <w:p w14:paraId="1C749015" w14:textId="77777777" w:rsidR="009865EA" w:rsidRPr="00B56EDA" w:rsidRDefault="009865EA" w:rsidP="009865EA">
      <w:pPr>
        <w:jc w:val="center"/>
        <w:rPr>
          <w:rFonts w:asciiTheme="majorHAnsi" w:hAnsiTheme="majorHAnsi"/>
          <w:b/>
          <w:lang w:val="es-CR"/>
        </w:rPr>
      </w:pPr>
      <w:r w:rsidRPr="00B56EDA">
        <w:rPr>
          <w:rFonts w:asciiTheme="majorHAnsi" w:hAnsiTheme="majorHAnsi"/>
          <w:b/>
          <w:lang w:val="es-CR"/>
        </w:rPr>
        <w:t>DISPONE:</w:t>
      </w:r>
    </w:p>
    <w:p w14:paraId="3EC82DC0" w14:textId="61B2DBC0" w:rsidR="009865EA" w:rsidRDefault="009865EA" w:rsidP="009865EA">
      <w:pPr>
        <w:jc w:val="both"/>
        <w:rPr>
          <w:rFonts w:asciiTheme="majorHAnsi" w:hAnsiTheme="majorHAnsi"/>
          <w:lang w:val="es-CR"/>
        </w:rPr>
      </w:pPr>
    </w:p>
    <w:p w14:paraId="25A54CDD" w14:textId="77777777" w:rsidR="009865EA" w:rsidRPr="00B56EDA" w:rsidRDefault="009865EA" w:rsidP="009865EA">
      <w:pPr>
        <w:jc w:val="both"/>
        <w:rPr>
          <w:rFonts w:asciiTheme="majorHAnsi" w:hAnsiTheme="majorHAnsi"/>
          <w:lang w:val="es-CR"/>
        </w:rPr>
      </w:pPr>
    </w:p>
    <w:p w14:paraId="208FFA77" w14:textId="77777777" w:rsidR="009865EA" w:rsidRPr="00B56EDA" w:rsidRDefault="009865EA" w:rsidP="009865EA">
      <w:pPr>
        <w:jc w:val="both"/>
        <w:rPr>
          <w:rFonts w:asciiTheme="majorHAnsi" w:hAnsiTheme="majorHAnsi"/>
          <w:lang w:val="es-CR"/>
        </w:rPr>
      </w:pPr>
      <w:r w:rsidRPr="00B56EDA">
        <w:rPr>
          <w:rFonts w:asciiTheme="majorHAnsi" w:hAnsiTheme="majorHAnsi"/>
          <w:b/>
          <w:bCs/>
          <w:lang w:val="es-CR"/>
        </w:rPr>
        <w:t xml:space="preserve">PRIMERO:  </w:t>
      </w:r>
      <w:r w:rsidRPr="00B56EDA">
        <w:rPr>
          <w:rFonts w:asciiTheme="majorHAnsi" w:hAnsiTheme="majorHAnsi"/>
          <w:lang w:val="es-CR"/>
        </w:rPr>
        <w:t xml:space="preserve">Modificar el artículo 6 del acuerdo SGS-A-014-2011 con los </w:t>
      </w:r>
      <w:r w:rsidRPr="00B56EDA">
        <w:rPr>
          <w:rFonts w:asciiTheme="majorHAnsi" w:hAnsiTheme="majorHAnsi"/>
          <w:i/>
          <w:lang w:val="es-CR"/>
        </w:rPr>
        <w:t>Lineamientos Generales para Uso de Firma Digital Certificada en los Trámites Realizados ante la Superintendencia General de Seguros por parte de Entidades de Seguros, Sociedades Corredoras de Seguros y Sociedades Agencia de Seguros</w:t>
      </w:r>
      <w:r w:rsidRPr="00B56EDA">
        <w:rPr>
          <w:rFonts w:asciiTheme="majorHAnsi" w:hAnsiTheme="majorHAnsi"/>
          <w:lang w:val="es-CR"/>
        </w:rPr>
        <w:t xml:space="preserve"> para que se lea de la siguiente forma:</w:t>
      </w:r>
    </w:p>
    <w:p w14:paraId="4E88674B" w14:textId="77777777" w:rsidR="009865EA" w:rsidRPr="00B56EDA" w:rsidRDefault="009865EA" w:rsidP="009865EA">
      <w:pPr>
        <w:pStyle w:val="Default"/>
        <w:jc w:val="both"/>
        <w:rPr>
          <w:rFonts w:asciiTheme="majorHAnsi" w:hAnsiTheme="majorHAnsi"/>
          <w:b/>
          <w:bCs/>
          <w:color w:val="auto"/>
        </w:rPr>
      </w:pPr>
    </w:p>
    <w:p w14:paraId="61EF8DB2" w14:textId="77777777" w:rsidR="009865EA" w:rsidRPr="00B56EDA" w:rsidRDefault="009865EA" w:rsidP="009865EA">
      <w:pPr>
        <w:pStyle w:val="Default"/>
        <w:ind w:left="567" w:right="571"/>
        <w:jc w:val="both"/>
        <w:rPr>
          <w:rFonts w:asciiTheme="majorHAnsi" w:hAnsiTheme="majorHAnsi"/>
          <w:i/>
          <w:iCs/>
          <w:color w:val="auto"/>
        </w:rPr>
      </w:pPr>
      <w:r w:rsidRPr="00B56EDA">
        <w:rPr>
          <w:rFonts w:asciiTheme="majorHAnsi" w:hAnsiTheme="majorHAnsi"/>
          <w:b/>
          <w:bCs/>
          <w:i/>
          <w:iCs/>
          <w:color w:val="auto"/>
        </w:rPr>
        <w:t xml:space="preserve">“ARTÍCULO 6. REMISIÓN DE NOTIFICACIONES. </w:t>
      </w:r>
    </w:p>
    <w:p w14:paraId="3E1BE39E" w14:textId="77777777" w:rsidR="009865EA" w:rsidRPr="00B56EDA" w:rsidRDefault="009865EA" w:rsidP="009865EA">
      <w:pPr>
        <w:ind w:left="567" w:right="571"/>
        <w:jc w:val="both"/>
        <w:rPr>
          <w:rFonts w:asciiTheme="majorHAnsi" w:hAnsiTheme="majorHAnsi"/>
          <w:i/>
          <w:iCs/>
          <w:lang w:val="es-CR"/>
        </w:rPr>
      </w:pPr>
      <w:r w:rsidRPr="00B56EDA">
        <w:rPr>
          <w:rFonts w:asciiTheme="majorHAnsi" w:hAnsiTheme="majorHAnsi"/>
          <w:i/>
          <w:iCs/>
          <w:lang w:val="es-CR"/>
        </w:rPr>
        <w:t>Las entidades supervisadas deben comunicar a la Superintendencia mediante el servicio Registro de Roles en SUGESE en Línea, la información de los funcionarios autorizados para la recepción de correspondencia, quienes fungirán como puntos centrales de contacto. Es responsabilidad de las entidades supervisadas mantener esta información actualizada.”</w:t>
      </w:r>
    </w:p>
    <w:p w14:paraId="4EF80B33" w14:textId="77777777" w:rsidR="009865EA" w:rsidRPr="00B56EDA" w:rsidRDefault="009865EA" w:rsidP="009865EA">
      <w:pPr>
        <w:jc w:val="both"/>
        <w:rPr>
          <w:rFonts w:asciiTheme="majorHAnsi" w:hAnsiTheme="majorHAnsi"/>
          <w:b/>
          <w:bCs/>
          <w:lang w:val="es-CR"/>
        </w:rPr>
      </w:pPr>
    </w:p>
    <w:p w14:paraId="1CD28576" w14:textId="77777777" w:rsidR="009865EA" w:rsidRPr="00B56EDA" w:rsidRDefault="009865EA" w:rsidP="009865EA">
      <w:pPr>
        <w:jc w:val="both"/>
        <w:rPr>
          <w:rFonts w:asciiTheme="majorHAnsi" w:hAnsiTheme="majorHAnsi"/>
          <w:b/>
          <w:bCs/>
          <w:lang w:val="es-CR"/>
        </w:rPr>
      </w:pPr>
      <w:r w:rsidRPr="00B56EDA">
        <w:rPr>
          <w:rFonts w:asciiTheme="majorHAnsi" w:hAnsiTheme="majorHAnsi"/>
          <w:b/>
          <w:bCs/>
          <w:lang w:val="es-CR"/>
        </w:rPr>
        <w:t xml:space="preserve">SEGUNDO: </w:t>
      </w:r>
      <w:r w:rsidRPr="00B56EDA">
        <w:rPr>
          <w:rFonts w:asciiTheme="majorHAnsi" w:hAnsiTheme="majorHAnsi"/>
          <w:lang w:val="es-CR"/>
        </w:rPr>
        <w:t xml:space="preserve">Incluir la siguiente disposición transitoria en el acuerdo SGS-A-014-2011 con los </w:t>
      </w:r>
      <w:r w:rsidRPr="00B56EDA">
        <w:rPr>
          <w:rFonts w:asciiTheme="majorHAnsi" w:hAnsiTheme="majorHAnsi"/>
          <w:i/>
          <w:lang w:val="es-CR"/>
        </w:rPr>
        <w:t>Lineamientos Generales para Uso de Firma Digital Certificada en los Trámites Realizados ante la Superintendencia General de Seguros por parte de Entidades de Seguros, Sociedades Corredoras de Seguros y Sociedades Agencia de Seguros</w:t>
      </w:r>
    </w:p>
    <w:p w14:paraId="5356C2DA" w14:textId="77777777" w:rsidR="009865EA" w:rsidRPr="00B56EDA" w:rsidRDefault="009865EA" w:rsidP="009865EA">
      <w:pPr>
        <w:pStyle w:val="Default"/>
        <w:jc w:val="both"/>
        <w:rPr>
          <w:rFonts w:asciiTheme="majorHAnsi" w:hAnsiTheme="majorHAnsi" w:cstheme="minorBidi"/>
          <w:b/>
          <w:color w:val="auto"/>
        </w:rPr>
      </w:pPr>
    </w:p>
    <w:p w14:paraId="427E0DDF" w14:textId="77777777" w:rsidR="009865EA" w:rsidRPr="00B56EDA" w:rsidRDefault="009865EA" w:rsidP="009865EA">
      <w:pPr>
        <w:pStyle w:val="Default"/>
        <w:ind w:left="567" w:right="571"/>
        <w:jc w:val="both"/>
        <w:rPr>
          <w:rFonts w:asciiTheme="majorHAnsi" w:hAnsiTheme="majorHAnsi" w:cstheme="minorBidi"/>
          <w:b/>
          <w:i/>
          <w:iCs/>
          <w:color w:val="auto"/>
        </w:rPr>
      </w:pPr>
      <w:r w:rsidRPr="00B56EDA">
        <w:rPr>
          <w:rFonts w:asciiTheme="majorHAnsi" w:hAnsiTheme="majorHAnsi" w:cstheme="minorBidi"/>
          <w:b/>
          <w:i/>
          <w:iCs/>
          <w:color w:val="auto"/>
        </w:rPr>
        <w:t>“Transitorio. Registro de los Puntos Centrales de Contacto</w:t>
      </w:r>
    </w:p>
    <w:p w14:paraId="78E6F455" w14:textId="77777777" w:rsidR="009865EA" w:rsidRPr="00B56EDA" w:rsidRDefault="009865EA" w:rsidP="009865EA">
      <w:pPr>
        <w:ind w:left="567" w:right="571"/>
        <w:jc w:val="both"/>
        <w:rPr>
          <w:rFonts w:asciiTheme="majorHAnsi" w:hAnsiTheme="majorHAnsi"/>
          <w:i/>
          <w:iCs/>
          <w:lang w:val="es-CR"/>
        </w:rPr>
      </w:pPr>
      <w:r w:rsidRPr="00B56EDA">
        <w:rPr>
          <w:rFonts w:asciiTheme="majorHAnsi" w:hAnsiTheme="majorHAnsi"/>
          <w:i/>
          <w:iCs/>
          <w:lang w:val="es-CR"/>
        </w:rPr>
        <w:lastRenderedPageBreak/>
        <w:t xml:space="preserve">Dentro del plazo de </w:t>
      </w:r>
      <w:r w:rsidRPr="00B56EDA">
        <w:rPr>
          <w:rFonts w:asciiTheme="majorHAnsi" w:hAnsiTheme="majorHAnsi"/>
          <w:b/>
          <w:i/>
          <w:iCs/>
          <w:lang w:val="es-CR"/>
        </w:rPr>
        <w:t>diez días hábiles</w:t>
      </w:r>
      <w:r w:rsidRPr="00B56EDA">
        <w:rPr>
          <w:rFonts w:asciiTheme="majorHAnsi" w:hAnsiTheme="majorHAnsi"/>
          <w:i/>
          <w:iCs/>
          <w:lang w:val="es-CR"/>
        </w:rPr>
        <w:t xml:space="preserve">, a partir de la </w:t>
      </w:r>
      <w:r w:rsidRPr="001A1A4D">
        <w:rPr>
          <w:rFonts w:asciiTheme="majorHAnsi" w:hAnsiTheme="majorHAnsi"/>
          <w:i/>
          <w:iCs/>
          <w:lang w:val="es-CR"/>
        </w:rPr>
        <w:t>vigencia</w:t>
      </w:r>
      <w:r w:rsidRPr="00B56EDA">
        <w:rPr>
          <w:rFonts w:asciiTheme="majorHAnsi" w:hAnsiTheme="majorHAnsi"/>
          <w:i/>
          <w:iCs/>
          <w:lang w:val="es-CR"/>
        </w:rPr>
        <w:t xml:space="preserve"> de este Acuerdo, las entidades supervisadas deberán registrar en el Servicio de Registro de Roles, en la plataforma SUGESE en Línea, los datos de las personas que serán los puntos centrales de contacto, quienes se encargarán de la recepción de la correspondencia electrónica, según se indica en </w:t>
      </w:r>
      <w:r>
        <w:rPr>
          <w:rFonts w:asciiTheme="majorHAnsi" w:hAnsiTheme="majorHAnsi"/>
          <w:i/>
          <w:iCs/>
          <w:lang w:val="es-CR"/>
        </w:rPr>
        <w:t>el</w:t>
      </w:r>
      <w:r w:rsidRPr="00B56EDA">
        <w:rPr>
          <w:rFonts w:asciiTheme="majorHAnsi" w:hAnsiTheme="majorHAnsi"/>
          <w:i/>
          <w:iCs/>
          <w:lang w:val="es-CR"/>
        </w:rPr>
        <w:t xml:space="preserve"> artículo 6 de este Acuerdo.”</w:t>
      </w:r>
    </w:p>
    <w:p w14:paraId="4F38564A" w14:textId="77777777" w:rsidR="009865EA" w:rsidRPr="00B56EDA" w:rsidRDefault="009865EA" w:rsidP="009865EA">
      <w:pPr>
        <w:jc w:val="both"/>
        <w:rPr>
          <w:rFonts w:asciiTheme="majorHAnsi" w:hAnsiTheme="majorHAnsi"/>
          <w:lang w:val="es-CR"/>
        </w:rPr>
      </w:pPr>
    </w:p>
    <w:p w14:paraId="3F534700" w14:textId="77777777" w:rsidR="009865EA" w:rsidRPr="00B56EDA" w:rsidRDefault="009865EA" w:rsidP="009865EA">
      <w:pPr>
        <w:jc w:val="both"/>
        <w:rPr>
          <w:rFonts w:asciiTheme="majorHAnsi" w:hAnsiTheme="majorHAnsi"/>
          <w:lang w:val="es-CR"/>
        </w:rPr>
      </w:pPr>
    </w:p>
    <w:p w14:paraId="78D796F9" w14:textId="77777777" w:rsidR="009865EA" w:rsidRPr="00B56EDA" w:rsidRDefault="009865EA" w:rsidP="009865EA">
      <w:pPr>
        <w:jc w:val="both"/>
        <w:rPr>
          <w:rFonts w:asciiTheme="majorHAnsi" w:hAnsiTheme="majorHAnsi"/>
          <w:lang w:val="es-CR"/>
        </w:rPr>
      </w:pPr>
      <w:r w:rsidRPr="00B56EDA">
        <w:rPr>
          <w:rFonts w:asciiTheme="majorHAnsi" w:hAnsiTheme="majorHAnsi"/>
          <w:b/>
          <w:bCs/>
          <w:lang w:val="es-CR"/>
        </w:rPr>
        <w:t xml:space="preserve">Tercero: </w:t>
      </w:r>
      <w:r w:rsidRPr="00B56EDA">
        <w:rPr>
          <w:rFonts w:asciiTheme="majorHAnsi" w:hAnsiTheme="majorHAnsi"/>
          <w:lang w:val="es-CR"/>
        </w:rPr>
        <w:t xml:space="preserve">Modificar el artículo 10 del acuerdo SGS-DES-A-021-2013 sobre las </w:t>
      </w:r>
      <w:r w:rsidRPr="00B56EDA">
        <w:rPr>
          <w:rFonts w:asciiTheme="majorHAnsi" w:hAnsiTheme="majorHAnsi"/>
          <w:i/>
          <w:iCs/>
          <w:lang w:val="es-CR"/>
        </w:rPr>
        <w:t>Disposiciones para la Remisión de la Información Contable y Estadística a la Superintendencia General de Seguros por parte de las Entidades Supervisadas</w:t>
      </w:r>
      <w:r w:rsidRPr="00B56EDA">
        <w:rPr>
          <w:rFonts w:asciiTheme="majorHAnsi" w:hAnsiTheme="majorHAnsi"/>
          <w:lang w:val="es-CR"/>
        </w:rPr>
        <w:t xml:space="preserve"> para que se lea de la siguiente forma:</w:t>
      </w:r>
    </w:p>
    <w:p w14:paraId="01C7D5B5" w14:textId="77777777" w:rsidR="009865EA" w:rsidRPr="00B56EDA" w:rsidRDefault="009865EA" w:rsidP="009865EA">
      <w:pPr>
        <w:jc w:val="both"/>
        <w:rPr>
          <w:rFonts w:asciiTheme="majorHAnsi" w:hAnsiTheme="majorHAnsi"/>
          <w:lang w:val="es-CR"/>
        </w:rPr>
      </w:pPr>
    </w:p>
    <w:p w14:paraId="6A5E2EFB" w14:textId="77777777" w:rsidR="009865EA" w:rsidRPr="00B56EDA" w:rsidRDefault="009865EA" w:rsidP="009865EA">
      <w:pPr>
        <w:pStyle w:val="Default"/>
        <w:ind w:left="567" w:right="571"/>
        <w:jc w:val="both"/>
        <w:rPr>
          <w:rFonts w:asciiTheme="majorHAnsi" w:hAnsiTheme="majorHAnsi"/>
          <w:b/>
          <w:bCs/>
          <w:i/>
          <w:iCs/>
          <w:color w:val="auto"/>
        </w:rPr>
      </w:pPr>
      <w:r w:rsidRPr="00B56EDA">
        <w:rPr>
          <w:rFonts w:asciiTheme="majorHAnsi" w:hAnsiTheme="majorHAnsi"/>
          <w:b/>
          <w:bCs/>
          <w:i/>
          <w:iCs/>
          <w:color w:val="auto"/>
        </w:rPr>
        <w:t xml:space="preserve">“Artículo 10.  Procedimiento de Sustitución de Información </w:t>
      </w:r>
    </w:p>
    <w:p w14:paraId="3A3D5629" w14:textId="77777777" w:rsidR="009865EA" w:rsidRPr="00B56EDA" w:rsidRDefault="009865EA" w:rsidP="009865EA">
      <w:pPr>
        <w:pStyle w:val="Default"/>
        <w:ind w:left="567" w:right="571"/>
        <w:jc w:val="both"/>
        <w:rPr>
          <w:rFonts w:asciiTheme="majorHAnsi" w:hAnsiTheme="majorHAnsi"/>
          <w:bCs/>
          <w:i/>
          <w:iCs/>
          <w:color w:val="auto"/>
        </w:rPr>
      </w:pPr>
      <w:r w:rsidRPr="00B56EDA">
        <w:rPr>
          <w:rFonts w:asciiTheme="majorHAnsi" w:hAnsiTheme="majorHAnsi"/>
          <w:bCs/>
          <w:i/>
          <w:iCs/>
          <w:color w:val="auto"/>
        </w:rPr>
        <w:t>Si por circunstancias de fuerza mayor o caso fortuito, que no sean atribuibles a fallas técnicas en los equipos informáticos de la Superintendencia, la entidad supervisada debiera realizar una solicitud de sustitución de información requerida en el artículo 2 o 3 de este acuerdo deberá cumplir con los siguientes pasos:</w:t>
      </w:r>
    </w:p>
    <w:p w14:paraId="5E1F40DA" w14:textId="77777777" w:rsidR="009865EA" w:rsidRPr="00B56EDA" w:rsidRDefault="009865EA" w:rsidP="009865EA">
      <w:pPr>
        <w:pStyle w:val="Default"/>
        <w:jc w:val="both"/>
        <w:rPr>
          <w:rFonts w:asciiTheme="majorHAnsi" w:hAnsiTheme="majorHAnsi"/>
          <w:b/>
          <w:bCs/>
          <w:i/>
          <w:iCs/>
          <w:color w:val="auto"/>
        </w:rPr>
      </w:pPr>
    </w:p>
    <w:p w14:paraId="7007E2DA" w14:textId="77777777" w:rsidR="009865EA" w:rsidRPr="00B56EDA" w:rsidRDefault="009865EA" w:rsidP="009865EA">
      <w:pPr>
        <w:pStyle w:val="Default"/>
        <w:ind w:left="993" w:right="571" w:hanging="426"/>
        <w:jc w:val="both"/>
        <w:rPr>
          <w:rFonts w:asciiTheme="majorHAnsi" w:hAnsiTheme="majorHAnsi"/>
          <w:bCs/>
          <w:i/>
          <w:iCs/>
          <w:color w:val="auto"/>
        </w:rPr>
      </w:pPr>
      <w:r w:rsidRPr="00B56EDA">
        <w:rPr>
          <w:rFonts w:asciiTheme="majorHAnsi" w:hAnsiTheme="majorHAnsi"/>
          <w:bCs/>
          <w:i/>
          <w:iCs/>
          <w:color w:val="auto"/>
        </w:rPr>
        <w:t>a.</w:t>
      </w:r>
      <w:r w:rsidRPr="00B56EDA">
        <w:rPr>
          <w:rFonts w:asciiTheme="majorHAnsi" w:hAnsiTheme="majorHAnsi"/>
          <w:bCs/>
          <w:i/>
          <w:iCs/>
          <w:color w:val="auto"/>
        </w:rPr>
        <w:tab/>
        <w:t xml:space="preserve">Si la información a sustituir corresponde a alguno de los modelos del SSS, se debe realizar mediante este sistema, una solicitud de sustitución. Dicha solicitud debe ser aprobada por un Representante Legal o el Gerente General de la entidad, registrados en el Servicio de Registro Roles de SUGESE en Línea.   </w:t>
      </w:r>
    </w:p>
    <w:p w14:paraId="7996C877" w14:textId="77777777" w:rsidR="009865EA" w:rsidRPr="00B56EDA" w:rsidRDefault="009865EA" w:rsidP="009865EA">
      <w:pPr>
        <w:pStyle w:val="Default"/>
        <w:ind w:left="993" w:right="571" w:hanging="426"/>
        <w:jc w:val="both"/>
        <w:rPr>
          <w:rFonts w:asciiTheme="majorHAnsi" w:hAnsiTheme="majorHAnsi"/>
          <w:bCs/>
          <w:i/>
          <w:iCs/>
          <w:color w:val="auto"/>
        </w:rPr>
      </w:pPr>
      <w:r w:rsidRPr="00B56EDA">
        <w:rPr>
          <w:rFonts w:asciiTheme="majorHAnsi" w:hAnsiTheme="majorHAnsi"/>
          <w:bCs/>
          <w:i/>
          <w:iCs/>
          <w:color w:val="auto"/>
        </w:rPr>
        <w:t xml:space="preserve">b.   Si la información a sustituir corresponde a cualquier otro tipo de información de la descrita en este Acuerdo, se debe enviar un oficio dirigido al Superintendente, suscrito mediante firma digital por un Representante Legal o el Gerente General de la entidad, en donde se solicite la sustitución de la información. </w:t>
      </w:r>
    </w:p>
    <w:p w14:paraId="2895866D" w14:textId="77777777" w:rsidR="009865EA" w:rsidRPr="00B56EDA" w:rsidRDefault="009865EA" w:rsidP="009865EA">
      <w:pPr>
        <w:pStyle w:val="Default"/>
        <w:ind w:left="993" w:right="571" w:hanging="426"/>
        <w:jc w:val="both"/>
        <w:rPr>
          <w:rFonts w:asciiTheme="majorHAnsi" w:hAnsiTheme="majorHAnsi"/>
          <w:bCs/>
          <w:i/>
          <w:iCs/>
          <w:color w:val="auto"/>
        </w:rPr>
      </w:pPr>
      <w:r w:rsidRPr="00B56EDA">
        <w:rPr>
          <w:rFonts w:asciiTheme="majorHAnsi" w:hAnsiTheme="majorHAnsi"/>
          <w:bCs/>
          <w:i/>
          <w:iCs/>
          <w:color w:val="auto"/>
        </w:rPr>
        <w:t>c.</w:t>
      </w:r>
      <w:r w:rsidRPr="00B56EDA">
        <w:rPr>
          <w:rFonts w:asciiTheme="majorHAnsi" w:hAnsiTheme="majorHAnsi"/>
          <w:bCs/>
          <w:i/>
          <w:iCs/>
          <w:color w:val="auto"/>
        </w:rPr>
        <w:tab/>
        <w:t>En cualquiera de los dos casos anteriormente señalados, la solicitud debe estar debidamente justificada y demostrar que los motivos de su petición se basan en circunstancias de fuerza mayor. La solicitud debe detallar el cambio que se va a realizar, especificando las variables que serán afectadas y los montos.</w:t>
      </w:r>
    </w:p>
    <w:p w14:paraId="0B52CD8E" w14:textId="77777777" w:rsidR="009865EA" w:rsidRPr="00B56EDA" w:rsidRDefault="009865EA" w:rsidP="009865EA">
      <w:pPr>
        <w:pStyle w:val="Default"/>
        <w:ind w:left="993" w:right="571" w:hanging="426"/>
        <w:jc w:val="both"/>
        <w:rPr>
          <w:rFonts w:asciiTheme="majorHAnsi" w:hAnsiTheme="majorHAnsi"/>
          <w:bCs/>
          <w:i/>
          <w:iCs/>
          <w:color w:val="auto"/>
        </w:rPr>
      </w:pPr>
      <w:r w:rsidRPr="00B56EDA">
        <w:rPr>
          <w:rFonts w:asciiTheme="majorHAnsi" w:hAnsiTheme="majorHAnsi"/>
          <w:bCs/>
          <w:i/>
          <w:iCs/>
          <w:color w:val="auto"/>
        </w:rPr>
        <w:t>d.    La Superintendencia valorará la solicitud en un plazo máximo de tres días hábiles y la aprobará o rechazará, según corresponda.</w:t>
      </w:r>
    </w:p>
    <w:p w14:paraId="02A47EC8" w14:textId="77777777" w:rsidR="009865EA" w:rsidRPr="00B56EDA" w:rsidRDefault="009865EA" w:rsidP="009865EA">
      <w:pPr>
        <w:pStyle w:val="Default"/>
        <w:ind w:left="993" w:right="571" w:hanging="426"/>
        <w:jc w:val="both"/>
        <w:rPr>
          <w:rFonts w:asciiTheme="majorHAnsi" w:hAnsiTheme="majorHAnsi"/>
          <w:bCs/>
          <w:i/>
          <w:iCs/>
          <w:color w:val="auto"/>
          <w:sz w:val="16"/>
          <w:szCs w:val="16"/>
        </w:rPr>
      </w:pPr>
      <w:r w:rsidRPr="00B56EDA">
        <w:rPr>
          <w:rFonts w:asciiTheme="majorHAnsi" w:hAnsiTheme="majorHAnsi"/>
          <w:bCs/>
          <w:i/>
          <w:iCs/>
          <w:color w:val="auto"/>
        </w:rPr>
        <w:t>e.</w:t>
      </w:r>
      <w:r w:rsidRPr="00B56EDA">
        <w:rPr>
          <w:rFonts w:asciiTheme="majorHAnsi" w:hAnsiTheme="majorHAnsi"/>
          <w:bCs/>
          <w:i/>
          <w:iCs/>
          <w:color w:val="auto"/>
        </w:rPr>
        <w:tab/>
        <w:t xml:space="preserve">Cuando la información recibida requiera correcciones que ameriten su sustitución o en caso de que por fuerza mayor la entidad deba sustituir información de carácter público, la cual es publicada por la entidad supervisada o por la Superintendencia, la entidad deberá comunicarlo como hecho relevante, mediante el servicio correspondiente en </w:t>
      </w:r>
      <w:proofErr w:type="spellStart"/>
      <w:r w:rsidRPr="00B56EDA">
        <w:rPr>
          <w:rFonts w:asciiTheme="majorHAnsi" w:hAnsiTheme="majorHAnsi"/>
          <w:bCs/>
          <w:i/>
          <w:iCs/>
          <w:color w:val="auto"/>
        </w:rPr>
        <w:t>S</w:t>
      </w:r>
      <w:r>
        <w:rPr>
          <w:rFonts w:asciiTheme="majorHAnsi" w:hAnsiTheme="majorHAnsi"/>
          <w:bCs/>
          <w:i/>
          <w:iCs/>
          <w:color w:val="auto"/>
        </w:rPr>
        <w:t>ugese</w:t>
      </w:r>
      <w:proofErr w:type="spellEnd"/>
      <w:r w:rsidRPr="00B56EDA">
        <w:rPr>
          <w:rFonts w:asciiTheme="majorHAnsi" w:hAnsiTheme="majorHAnsi"/>
          <w:bCs/>
          <w:i/>
          <w:iCs/>
          <w:color w:val="auto"/>
        </w:rPr>
        <w:t xml:space="preserve"> en Línea, en los términos que esté dispuesto en la normativa relacionada con la revelación de hechos relevantes.”</w:t>
      </w:r>
    </w:p>
    <w:p w14:paraId="7BA068FD" w14:textId="77777777" w:rsidR="009865EA" w:rsidRPr="00B56EDA" w:rsidRDefault="009865EA" w:rsidP="009865EA">
      <w:pPr>
        <w:rPr>
          <w:rFonts w:asciiTheme="majorHAnsi" w:hAnsiTheme="majorHAnsi"/>
          <w:lang w:val="es-CR"/>
        </w:rPr>
      </w:pPr>
    </w:p>
    <w:p w14:paraId="53E8A3CD" w14:textId="77777777" w:rsidR="009865EA" w:rsidRPr="00B56EDA" w:rsidRDefault="009865EA" w:rsidP="009865EA">
      <w:pPr>
        <w:jc w:val="both"/>
        <w:rPr>
          <w:rFonts w:asciiTheme="majorHAnsi" w:hAnsiTheme="majorHAnsi"/>
          <w:color w:val="000000"/>
          <w:lang w:val="es-CR"/>
        </w:rPr>
      </w:pPr>
      <w:r w:rsidRPr="00B56EDA">
        <w:rPr>
          <w:rFonts w:asciiTheme="majorHAnsi" w:hAnsiTheme="majorHAnsi"/>
          <w:b/>
          <w:bCs/>
          <w:color w:val="000000"/>
          <w:lang w:val="es-CR"/>
        </w:rPr>
        <w:t>CUARTO:</w:t>
      </w:r>
      <w:r w:rsidRPr="00B56EDA">
        <w:rPr>
          <w:rFonts w:asciiTheme="majorHAnsi" w:hAnsiTheme="majorHAnsi"/>
          <w:color w:val="000000"/>
          <w:lang w:val="es-CR"/>
        </w:rPr>
        <w:t xml:space="preserve">  </w:t>
      </w:r>
      <w:r w:rsidRPr="00B56EDA">
        <w:rPr>
          <w:rFonts w:asciiTheme="majorHAnsi" w:hAnsiTheme="majorHAnsi"/>
          <w:lang w:val="es-CR"/>
        </w:rPr>
        <w:t xml:space="preserve">Actualizar la versión publicada de los Acuerdos </w:t>
      </w:r>
      <w:r w:rsidRPr="00B56EDA">
        <w:rPr>
          <w:rFonts w:asciiTheme="majorHAnsi" w:hAnsiTheme="majorHAnsi" w:cs="Arial"/>
          <w:lang w:val="es-CR"/>
        </w:rPr>
        <w:t xml:space="preserve">SGS-014-2011 y </w:t>
      </w:r>
      <w:r w:rsidRPr="00B56EDA">
        <w:rPr>
          <w:rFonts w:asciiTheme="majorHAnsi" w:hAnsiTheme="majorHAnsi"/>
          <w:lang w:val="es-CR"/>
        </w:rPr>
        <w:t>SGS-DES-A-021-2013, para incluir las modificaciones señaladas en este acuerdo.</w:t>
      </w:r>
    </w:p>
    <w:p w14:paraId="1EE0E3FD" w14:textId="77777777" w:rsidR="009865EA" w:rsidRPr="00B56EDA" w:rsidRDefault="009865EA" w:rsidP="009865EA">
      <w:pPr>
        <w:rPr>
          <w:rFonts w:asciiTheme="majorHAnsi" w:hAnsiTheme="majorHAnsi"/>
          <w:lang w:val="es-CR"/>
        </w:rPr>
      </w:pPr>
    </w:p>
    <w:p w14:paraId="349725B2" w14:textId="77C2EE2A" w:rsidR="009865EA" w:rsidRDefault="00386D36" w:rsidP="009865EA">
      <w:pPr>
        <w:rPr>
          <w:rFonts w:asciiTheme="majorHAnsi" w:hAnsiTheme="majorHAnsi"/>
          <w:b/>
          <w:bCs/>
          <w:i/>
          <w:iCs/>
          <w:lang w:val="es-CR"/>
        </w:rPr>
      </w:pPr>
      <w:r>
        <w:rPr>
          <w:rStyle w:val="Refdenotaalpie"/>
          <w:rFonts w:asciiTheme="majorHAnsi" w:hAnsiTheme="majorHAnsi"/>
          <w:b/>
          <w:bCs/>
          <w:i/>
          <w:iCs/>
          <w:lang w:val="es-CR"/>
        </w:rPr>
        <w:footnoteReference w:id="2"/>
      </w:r>
      <w:r w:rsidR="009865EA" w:rsidRPr="00B56EDA">
        <w:rPr>
          <w:rFonts w:asciiTheme="majorHAnsi" w:hAnsiTheme="majorHAnsi"/>
          <w:b/>
          <w:bCs/>
          <w:i/>
          <w:iCs/>
          <w:lang w:val="es-CR"/>
        </w:rPr>
        <w:t>Rige a partir del 17 de mayo de 2017.</w:t>
      </w:r>
    </w:p>
    <w:p w14:paraId="4B397ED1" w14:textId="77777777" w:rsidR="00386D36" w:rsidRPr="00B56EDA" w:rsidRDefault="00386D36" w:rsidP="009865EA">
      <w:pPr>
        <w:rPr>
          <w:rFonts w:asciiTheme="majorHAnsi" w:hAnsiTheme="majorHAnsi"/>
          <w:b/>
          <w:bCs/>
          <w:i/>
          <w:iCs/>
          <w:lang w:val="es-CR"/>
        </w:rPr>
      </w:pPr>
    </w:p>
    <w:p w14:paraId="258DEDC4" w14:textId="5FB0E775" w:rsidR="009865EA" w:rsidRPr="006A3734" w:rsidRDefault="009865EA" w:rsidP="009865EA">
      <w:pPr>
        <w:rPr>
          <w:rFonts w:ascii="Cambria" w:hAnsi="Cambria"/>
        </w:rPr>
      </w:pPr>
      <w:r w:rsidRPr="00253EDF">
        <w:rPr>
          <w:rFonts w:asciiTheme="majorHAnsi" w:hAnsiTheme="majorHAnsi"/>
          <w:noProof/>
          <w:lang w:val="es-CR" w:eastAsia="es-CR"/>
        </w:rPr>
        <w:drawing>
          <wp:inline distT="0" distB="0" distL="0" distR="0" wp14:anchorId="50E73259" wp14:editId="5083585F">
            <wp:extent cx="2499360" cy="524291"/>
            <wp:effectExtent l="0" t="0" r="0" b="9525"/>
            <wp:docPr id="2"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473651EA" w14:textId="11AD011F" w:rsidR="00761D54" w:rsidRPr="006A3734" w:rsidRDefault="00761D54" w:rsidP="007F09F5">
      <w:pPr>
        <w:jc w:val="both"/>
        <w:rPr>
          <w:rFonts w:ascii="Cambria" w:hAnsi="Cambria"/>
        </w:rPr>
      </w:pPr>
    </w:p>
    <w:sectPr w:rsidR="00761D54" w:rsidRPr="006A3734" w:rsidSect="009618C8">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3C470" w14:textId="77777777" w:rsidR="00DC1DB0" w:rsidRDefault="00DC1DB0" w:rsidP="005A1442">
      <w:r>
        <w:separator/>
      </w:r>
    </w:p>
  </w:endnote>
  <w:endnote w:type="continuationSeparator" w:id="0">
    <w:p w14:paraId="1D0A3871" w14:textId="77777777" w:rsidR="00DC1DB0" w:rsidRDefault="00DC1DB0"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7A9F4" w14:textId="77777777" w:rsidR="00CB3AC9" w:rsidRDefault="00CB3AC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B06A8" w14:textId="77777777" w:rsidR="00F8332E" w:rsidRPr="00F8332E" w:rsidRDefault="00F8332E" w:rsidP="00F8332E">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5EBB49C6" w14:textId="77777777" w:rsidR="00F8332E" w:rsidRDefault="00F8332E" w:rsidP="00F8332E">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Pr="009E7017">
      <w:rPr>
        <w:rFonts w:asciiTheme="majorHAnsi" w:hAnsiTheme="majorHAnsi"/>
        <w:sz w:val="18"/>
        <w:szCs w:val="18"/>
      </w:rPr>
      <w:t xml:space="preserve">Edificio </w:t>
    </w:r>
    <w:proofErr w:type="spellStart"/>
    <w:r w:rsidRPr="009E7017">
      <w:rPr>
        <w:rFonts w:asciiTheme="majorHAnsi" w:hAnsiTheme="majorHAnsi"/>
        <w:sz w:val="18"/>
        <w:szCs w:val="18"/>
      </w:rPr>
      <w:t>ODMs</w:t>
    </w:r>
    <w:proofErr w:type="spellEnd"/>
    <w:r w:rsidRPr="009E7017">
      <w:rPr>
        <w:rFonts w:asciiTheme="majorHAnsi" w:hAnsiTheme="majorHAnsi"/>
        <w:sz w:val="18"/>
        <w:szCs w:val="18"/>
      </w:rPr>
      <w:t xml:space="preserve">, Barrio </w:t>
    </w:r>
    <w:proofErr w:type="spellStart"/>
    <w:r w:rsidRPr="009E7017">
      <w:rPr>
        <w:rFonts w:asciiTheme="majorHAnsi" w:hAnsiTheme="majorHAnsi"/>
        <w:sz w:val="18"/>
        <w:szCs w:val="18"/>
      </w:rPr>
      <w:t>T</w:t>
    </w:r>
    <w:r>
      <w:rPr>
        <w:rFonts w:asciiTheme="majorHAnsi" w:hAnsiTheme="majorHAnsi"/>
        <w:sz w:val="18"/>
        <w:szCs w:val="18"/>
      </w:rPr>
      <w:t>o</w:t>
    </w:r>
    <w:r w:rsidRPr="009E7017">
      <w:rPr>
        <w:rFonts w:asciiTheme="majorHAnsi" w:hAnsiTheme="majorHAnsi"/>
        <w:sz w:val="18"/>
        <w:szCs w:val="18"/>
      </w:rPr>
      <w:t>urnón</w:t>
    </w:r>
    <w:proofErr w:type="spellEnd"/>
    <w:r w:rsidRPr="009E7017">
      <w:rPr>
        <w:rFonts w:asciiTheme="majorHAnsi" w:hAnsiTheme="majorHAnsi"/>
        <w:sz w:val="18"/>
        <w:szCs w:val="18"/>
      </w:rPr>
      <w:t>, Piso 4</w:t>
    </w:r>
  </w:p>
  <w:p w14:paraId="520A1C9A" w14:textId="77777777" w:rsidR="00F8332E" w:rsidRPr="00F8332E" w:rsidRDefault="00DC1DB0" w:rsidP="00F8332E">
    <w:pPr>
      <w:pStyle w:val="Piedepgina"/>
      <w:tabs>
        <w:tab w:val="clear" w:pos="8838"/>
      </w:tabs>
      <w:jc w:val="right"/>
      <w:rPr>
        <w:rFonts w:ascii="Baskerville Old Face" w:hAnsi="Baskerville Old Face"/>
        <w:sz w:val="18"/>
        <w:szCs w:val="18"/>
      </w:rPr>
    </w:pPr>
    <w:hyperlink r:id="rId1" w:history="1">
      <w:r w:rsidR="00F8332E" w:rsidRPr="00121F8C">
        <w:rPr>
          <w:rStyle w:val="Hipervnculo"/>
          <w:rFonts w:ascii="Baskerville Old Face" w:hAnsi="Baskerville Old Face"/>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8CD31" w14:textId="77777777" w:rsidR="00843EE4" w:rsidRDefault="00843EE4" w:rsidP="00A83BA5">
    <w:pPr>
      <w:pStyle w:val="Piedepgina"/>
      <w:pBdr>
        <w:top w:val="single" w:sz="4" w:space="1" w:color="auto"/>
      </w:pBdr>
      <w:rPr>
        <w:sz w:val="16"/>
        <w:szCs w:val="16"/>
      </w:rPr>
    </w:pPr>
  </w:p>
  <w:p w14:paraId="5934AA1E" w14:textId="77777777" w:rsidR="00843EE4" w:rsidRPr="00F8332E" w:rsidRDefault="00843EE4" w:rsidP="00A83BA5">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546F139E" w14:textId="77777777" w:rsidR="00843EE4" w:rsidRDefault="00843EE4" w:rsidP="00A83BA5">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00F8332E" w:rsidRPr="009E7017">
      <w:rPr>
        <w:rFonts w:asciiTheme="majorHAnsi" w:hAnsiTheme="majorHAnsi"/>
        <w:sz w:val="18"/>
        <w:szCs w:val="18"/>
      </w:rPr>
      <w:t xml:space="preserve">Edificio </w:t>
    </w:r>
    <w:proofErr w:type="spellStart"/>
    <w:r w:rsidR="00F8332E" w:rsidRPr="009E7017">
      <w:rPr>
        <w:rFonts w:asciiTheme="majorHAnsi" w:hAnsiTheme="majorHAnsi"/>
        <w:sz w:val="18"/>
        <w:szCs w:val="18"/>
      </w:rPr>
      <w:t>ODMs</w:t>
    </w:r>
    <w:proofErr w:type="spellEnd"/>
    <w:r w:rsidR="00F8332E" w:rsidRPr="009E7017">
      <w:rPr>
        <w:rFonts w:asciiTheme="majorHAnsi" w:hAnsiTheme="majorHAnsi"/>
        <w:sz w:val="18"/>
        <w:szCs w:val="18"/>
      </w:rPr>
      <w:t xml:space="preserve">, Barrio </w:t>
    </w:r>
    <w:proofErr w:type="spellStart"/>
    <w:r w:rsidR="00F8332E" w:rsidRPr="009E7017">
      <w:rPr>
        <w:rFonts w:asciiTheme="majorHAnsi" w:hAnsiTheme="majorHAnsi"/>
        <w:sz w:val="18"/>
        <w:szCs w:val="18"/>
      </w:rPr>
      <w:t>T</w:t>
    </w:r>
    <w:r w:rsidR="00F8332E">
      <w:rPr>
        <w:rFonts w:asciiTheme="majorHAnsi" w:hAnsiTheme="majorHAnsi"/>
        <w:sz w:val="18"/>
        <w:szCs w:val="18"/>
      </w:rPr>
      <w:t>o</w:t>
    </w:r>
    <w:r w:rsidR="00F8332E" w:rsidRPr="009E7017">
      <w:rPr>
        <w:rFonts w:asciiTheme="majorHAnsi" w:hAnsiTheme="majorHAnsi"/>
        <w:sz w:val="18"/>
        <w:szCs w:val="18"/>
      </w:rPr>
      <w:t>urnón</w:t>
    </w:r>
    <w:proofErr w:type="spellEnd"/>
    <w:r w:rsidR="00F8332E" w:rsidRPr="009E7017">
      <w:rPr>
        <w:rFonts w:asciiTheme="majorHAnsi" w:hAnsiTheme="majorHAnsi"/>
        <w:sz w:val="18"/>
        <w:szCs w:val="18"/>
      </w:rPr>
      <w:t>, Piso 4</w:t>
    </w:r>
  </w:p>
  <w:p w14:paraId="4450829E" w14:textId="77777777" w:rsidR="00843EE4" w:rsidRPr="00A83BA5" w:rsidRDefault="00DC1DB0" w:rsidP="00A83BA5">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8DD7A" w14:textId="77777777" w:rsidR="00DC1DB0" w:rsidRDefault="00DC1DB0" w:rsidP="005A1442">
      <w:r>
        <w:separator/>
      </w:r>
    </w:p>
  </w:footnote>
  <w:footnote w:type="continuationSeparator" w:id="0">
    <w:p w14:paraId="69E98F12" w14:textId="77777777" w:rsidR="00DC1DB0" w:rsidRDefault="00DC1DB0" w:rsidP="005A1442">
      <w:r>
        <w:continuationSeparator/>
      </w:r>
    </w:p>
  </w:footnote>
  <w:footnote w:id="1">
    <w:p w14:paraId="429B9352" w14:textId="1E518D9D" w:rsidR="00386D36" w:rsidRPr="00386D36" w:rsidRDefault="00386D36">
      <w:pPr>
        <w:pStyle w:val="Textonotapie"/>
        <w:rPr>
          <w:lang w:val="es-CR"/>
        </w:rPr>
      </w:pPr>
      <w:r>
        <w:rPr>
          <w:rStyle w:val="Refdenotaalpie"/>
        </w:rPr>
        <w:footnoteRef/>
      </w:r>
      <w:r>
        <w:t xml:space="preserve"> </w:t>
      </w:r>
      <w:r>
        <w:rPr>
          <w:lang w:val="es-CR"/>
        </w:rPr>
        <w:t>Actualizado al 30 de abril de 2021.</w:t>
      </w:r>
      <w:bookmarkStart w:id="0" w:name="_GoBack"/>
      <w:bookmarkEnd w:id="0"/>
    </w:p>
  </w:footnote>
  <w:footnote w:id="2">
    <w:p w14:paraId="0C37C416" w14:textId="1D110EEE" w:rsidR="00386D36" w:rsidRPr="00386D36" w:rsidRDefault="00386D36">
      <w:pPr>
        <w:pStyle w:val="Textonotapie"/>
        <w:rPr>
          <w:lang w:val="es-CR"/>
        </w:rPr>
      </w:pPr>
      <w:r>
        <w:rPr>
          <w:rStyle w:val="Refdenotaalpie"/>
        </w:rPr>
        <w:footnoteRef/>
      </w:r>
      <w:r>
        <w:t xml:space="preserve"> </w:t>
      </w:r>
      <w:r>
        <w:rPr>
          <w:lang w:val="es-CR"/>
        </w:rPr>
        <w:t>Modific</w:t>
      </w:r>
      <w:r>
        <w:rPr>
          <w:lang w:val="es-CR"/>
        </w:rPr>
        <w:t>ado mediante acuerdo SGS-A-0080-2021 del 30 de abril de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42642" w14:textId="77777777" w:rsidR="00CB3AC9" w:rsidRDefault="00CB3AC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DE4C2"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3B3B41F2" wp14:editId="6B5DADDD">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61CDBE84" w14:textId="77777777" w:rsidR="00373AC0" w:rsidRPr="009618C8" w:rsidRDefault="00373AC0" w:rsidP="00373AC0">
    <w:pPr>
      <w:pStyle w:val="Encabezado"/>
      <w:rPr>
        <w:rFonts w:asciiTheme="majorHAnsi" w:hAnsiTheme="majorHAnsi"/>
        <w:sz w:val="16"/>
        <w:szCs w:val="16"/>
      </w:rPr>
    </w:pPr>
  </w:p>
  <w:p w14:paraId="2D12B834" w14:textId="41748634"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CB3AC9">
      <w:rPr>
        <w:rFonts w:asciiTheme="majorHAnsi" w:hAnsiTheme="majorHAnsi"/>
        <w:b/>
        <w:bCs/>
        <w:i/>
      </w:rPr>
      <w:t>078</w:t>
    </w:r>
    <w:r w:rsidRPr="00373AC0">
      <w:rPr>
        <w:rFonts w:asciiTheme="majorHAnsi" w:hAnsiTheme="majorHAnsi"/>
        <w:b/>
        <w:bCs/>
        <w:i/>
      </w:rPr>
      <w:t>-20</w:t>
    </w:r>
    <w:r w:rsidR="00CB3AC9">
      <w:rPr>
        <w:rFonts w:asciiTheme="majorHAnsi" w:hAnsiTheme="majorHAnsi"/>
        <w:b/>
        <w:bCs/>
        <w:i/>
      </w:rPr>
      <w:t>21</w:t>
    </w:r>
  </w:p>
  <w:p w14:paraId="42316C19"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F8332E">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7D0CC050"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BE488"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03E3E608" wp14:editId="58FC865D">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761AE9B4"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C86778"/>
    <w:multiLevelType w:val="hybridMultilevel"/>
    <w:tmpl w:val="64FA2DC8"/>
    <w:lvl w:ilvl="0" w:tplc="B986D94C">
      <w:start w:val="1"/>
      <w:numFmt w:val="decimal"/>
      <w:lvlText w:val="%1."/>
      <w:lvlJc w:val="left"/>
      <w:pPr>
        <w:ind w:left="720" w:hanging="360"/>
      </w:pPr>
      <w:rPr>
        <w:rFonts w:hint="default"/>
        <w:b/>
        <w:bCs/>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8ED"/>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86D36"/>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8ED"/>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36BD"/>
    <w:rsid w:val="00771580"/>
    <w:rsid w:val="00792726"/>
    <w:rsid w:val="0079780C"/>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65EA"/>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B3AC9"/>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1DB0"/>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332E"/>
    <w:rsid w:val="00F84235"/>
    <w:rsid w:val="00F87AC4"/>
    <w:rsid w:val="00F952FA"/>
    <w:rsid w:val="00FA4D98"/>
    <w:rsid w:val="00FA56C0"/>
    <w:rsid w:val="00FB25AE"/>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9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9865EA"/>
    <w:pPr>
      <w:ind w:left="720"/>
      <w:contextualSpacing/>
    </w:p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basedOn w:val="Fuentedeprrafopredeter"/>
    <w:link w:val="Prrafodelista"/>
    <w:uiPriority w:val="34"/>
    <w:locked/>
    <w:rsid w:val="009865EA"/>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2020/PlantillasCorrespondenciaExterna/Plantilla-SGS-A-13.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0F4D82EC3D714D40B180419AA41269D4" ma:contentTypeVersion="111" ma:contentTypeDescription="Crear nuevo documento." ma:contentTypeScope="" ma:versionID="190616f78c5b59c9354878804a50d7f4">
  <xsd:schema xmlns:xsd="http://www.w3.org/2001/XMLSchema" xmlns:xs="http://www.w3.org/2001/XMLSchema" xmlns:p="http://schemas.microsoft.com/office/2006/metadata/properties" xmlns:ns1="http://schemas.microsoft.com/sharepoint/v3" xmlns:ns2="b875e23b-67d9-4b2e-bdec-edacbf90b326" xmlns:ns3="233f2551-3930-43c2-a744-679e70430545" targetNamespace="http://schemas.microsoft.com/office/2006/metadata/properties" ma:root="true" ma:fieldsID="97656ba4dfe271a33e9ef60c9630ce8e" ns1:_="" ns2:_="" ns3:_="">
    <xsd:import namespace="http://schemas.microsoft.com/sharepoint/v3"/>
    <xsd:import namespace="b875e23b-67d9-4b2e-bdec-edacbf90b326"/>
    <xsd:import namespace="233f2551-3930-43c2-a744-679e70430545"/>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n32f5b5d94d147d6ae4b36230db37881" minOccurs="0"/>
                <xsd:element ref="ns2:OtraEntidadExterna" minOccurs="0"/>
                <xsd:element ref="ns3:h924ef3e1de042ccb3dddc0bf72d8fc0" minOccurs="0"/>
                <xsd:element ref="ns1:_dlc_Exempt" minOccurs="0"/>
                <xsd:element ref="ns1:_dlc_ExpireDateSaved" minOccurs="0"/>
                <xsd:element ref="ns1:_dlc_ExpireDate" minOccurs="0"/>
                <xsd:element ref="ns2:oe70cbf463ba4d19a6203d9e6cd457e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257;#SUGESE - Acuerdos|a4c1ee5f-324a-443d-88a9-d7759c9d5e33"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element name="oe70cbf463ba4d19a6203d9e6cd457e4" ma:index="42"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3f2551-3930-43c2-a744-679e70430545" elementFormDefault="qualified">
    <xsd:import namespace="http://schemas.microsoft.com/office/2006/documentManagement/types"/>
    <xsd:import namespace="http://schemas.microsoft.com/office/infopath/2007/PartnerControls"/>
    <xsd:element name="h924ef3e1de042ccb3dddc0bf72d8fc0" ma:index="37" nillable="true" ma:taxonomy="true" ma:internalName="h924ef3e1de042ccb3dddc0bf72d8fc0" ma:taxonomyFieldName="Confidencialidad" ma:displayName="ConfidencialidadHistorica" ma:readOnly="false" ma:default="1;#Público|99c2402f-8ec3-4ca8-8024-be52e4e7f629" ma:fieldId="{1924ef3e-1de0-42cc-b3dd-dc0bf72d8fc0}"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6.xml><?xml version="1.0" encoding="utf-8"?>
<?mso-contentType ?>
<SharedContentType xmlns="Microsoft.SharePoint.Taxonomy.ContentTypeSync" SourceId="031b4bb2-0db7-40b3-a341-fc1511e9642d" ContentTypeId="0x010100E97154E09FCE6A4E8EAEBD5C54DD1AE402"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E9F36-45EB-4BB5-8965-B3C9427415AE}"/>
</file>

<file path=customXml/itemProps2.xml><?xml version="1.0" encoding="utf-8"?>
<ds:datastoreItem xmlns:ds="http://schemas.openxmlformats.org/officeDocument/2006/customXml" ds:itemID="{A464F4DF-72CE-4A40-9D1C-3D5035855E0E}">
  <ds:schemaRefs>
    <ds:schemaRef ds:uri="http://schemas.microsoft.com/office/2006/metadata/properties"/>
    <ds:schemaRef ds:uri="http://schemas.microsoft.com/office/infopath/2007/PartnerControls"/>
    <ds:schemaRef ds:uri="b875e23b-67d9-4b2e-bdec-edacbf90b326"/>
    <ds:schemaRef ds:uri="http://schemas.microsoft.com/sharepoint/v3"/>
    <ds:schemaRef ds:uri="233f2551-3930-43c2-a744-679e70430545"/>
  </ds:schemaRefs>
</ds:datastoreItem>
</file>

<file path=customXml/itemProps3.xml><?xml version="1.0" encoding="utf-8"?>
<ds:datastoreItem xmlns:ds="http://schemas.openxmlformats.org/officeDocument/2006/customXml" ds:itemID="{EF7029D2-73C1-4780-95A1-728252162C51}"/>
</file>

<file path=customXml/itemProps4.xml><?xml version="1.0" encoding="utf-8"?>
<ds:datastoreItem xmlns:ds="http://schemas.openxmlformats.org/officeDocument/2006/customXml" ds:itemID="{8654952E-0CC4-4D55-9D9F-5890DC019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233f2551-3930-43c2-a744-679e70430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3FDC3B9-7568-4337-A0AD-4493D8C59135}">
  <ds:schemaRefs>
    <ds:schemaRef ds:uri="http://schemas.microsoft.com/sharepoint/v3/contenttype/forms"/>
  </ds:schemaRefs>
</ds:datastoreItem>
</file>

<file path=customXml/itemProps6.xml><?xml version="1.0" encoding="utf-8"?>
<ds:datastoreItem xmlns:ds="http://schemas.openxmlformats.org/officeDocument/2006/customXml" ds:itemID="{15D92776-217D-4A23-BE9E-71D00954E9F8}">
  <ds:schemaRefs>
    <ds:schemaRef ds:uri="Microsoft.SharePoint.Taxonomy.ContentTypeSync"/>
  </ds:schemaRefs>
</ds:datastoreItem>
</file>

<file path=customXml/itemProps7.xml><?xml version="1.0" encoding="utf-8"?>
<ds:datastoreItem xmlns:ds="http://schemas.openxmlformats.org/officeDocument/2006/customXml" ds:itemID="{8B53733E-DCFB-43AA-92E5-1EDD21E0D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Plantilla-SGS-A-13</Template>
  <TotalTime>0</TotalTime>
  <Pages>5</Pages>
  <Words>1461</Words>
  <Characters>8041</Characters>
  <Application>Microsoft Office Word</Application>
  <DocSecurity>0</DocSecurity>
  <Lines>67</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SGS-A-0078-2021</dc:title>
  <dc:creator/>
  <cp:lastModifiedBy/>
  <cp:revision>1</cp:revision>
  <dcterms:created xsi:type="dcterms:W3CDTF">2021-04-29T15:48:00Z</dcterms:created>
  <dcterms:modified xsi:type="dcterms:W3CDTF">2021-05-07T20:57:00Z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
  </property>
  <property fmtid="{D5CDD505-2E9C-101B-9397-08002B2CF9AE}" pid="5" name="ContentTypeId">
    <vt:lpwstr>0x0101008E9AF914DE39E5439DE635BD2775E56E</vt:lpwstr>
  </property>
  <property fmtid="{D5CDD505-2E9C-101B-9397-08002B2CF9AE}" pid="6" name="Dirigido a (entidad externa)">
    <vt:lpwstr>446;#Aseguradoras, Sociedades Agencia de Seguros y Corredoras|35c820cc-2e74-4907-8439-32dfa8037acb;#309;#Asociación de Aseguradores Privados (AAP)|c0cb0013-61dc-4c5a-87ab-4e50a02299ff;#429;#Cámara Intermediarios de Costa Rica|d9f0d767-5889-40d7-b0b7-0d6c0</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lb0b7da792b243d9bfa96ad7487ad734">
    <vt:lpwstr/>
  </property>
  <property fmtid="{D5CDD505-2E9C-101B-9397-08002B2CF9AE}" pid="13" name="ConfidencialidadNueva">
    <vt:lpwstr>130;#Confidencial|d19c5cf3-f0e9-4d18-86d2-7bee4000e1ea</vt:lpwstr>
  </property>
  <property fmtid="{D5CDD505-2E9C-101B-9397-08002B2CF9AE}" pid="14" name="Confidencialidad">
    <vt:lpwstr>130;#Confidencial|d19c5cf3-f0e9-4d18-86d2-7bee4000e1ea</vt:lpwstr>
  </property>
  <property fmtid="{D5CDD505-2E9C-101B-9397-08002B2CF9AE}" pid="15" name="WorkflowChangePath">
    <vt:lpwstr>f6450479-5807-46c0-9a19-480fcd7573ae,5;f53beb82-3a64-483b-83ba-ca097d8a31d5,9;f0cb250b-c1ef-4893-9022-2aaf0b532c25,10;</vt:lpwstr>
  </property>
  <property fmtid="{D5CDD505-2E9C-101B-9397-08002B2CF9AE}" pid="16"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_MarkAsFinal">
    <vt:bool>true</vt:bool>
  </property>
  <property fmtid="{D5CDD505-2E9C-101B-9397-08002B2CF9AE}" pid="23" name="Order">
    <vt:r8>356100</vt:r8>
  </property>
  <property fmtid="{D5CDD505-2E9C-101B-9397-08002B2CF9AE}" pid="24" name="xd_Signature">
    <vt:bool>false</vt:bool>
  </property>
  <property fmtid="{D5CDD505-2E9C-101B-9397-08002B2CF9AE}" pid="25" name="xd_ProgID">
    <vt:lpwstr/>
  </property>
  <property fmtid="{D5CDD505-2E9C-101B-9397-08002B2CF9AE}" pid="26" name="DocumentSetDescription">
    <vt:lpwstr/>
  </property>
  <property fmtid="{D5CDD505-2E9C-101B-9397-08002B2CF9AE}" pid="27" name="_SourceUrl">
    <vt:lpwstr/>
  </property>
  <property fmtid="{D5CDD505-2E9C-101B-9397-08002B2CF9AE}" pid="28" name="_SharedFileIndex">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TriggerFlowInfo">
    <vt:lpwstr/>
  </property>
</Properties>
</file>