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Default Extension="xlsx" ContentType="application/vnd.openxmlformats-officedocument.spreadsheetml.sheet"/>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55932" w14:textId="77777777" w:rsidR="006A3734" w:rsidRPr="006A3734" w:rsidRDefault="006A3734" w:rsidP="006A3734">
      <w:pPr>
        <w:ind w:hanging="567"/>
        <w:jc w:val="both"/>
        <w:rPr>
          <w:rFonts w:ascii="Cambria" w:hAnsi="Cambria"/>
          <w:i/>
          <w:color w:val="000000"/>
        </w:rPr>
      </w:pPr>
      <w:bookmarkStart w:id="0" w:name="_GoBack"/>
      <w:bookmarkEnd w:id="0"/>
      <w:r w:rsidRPr="006A3734">
        <w:rPr>
          <w:rFonts w:ascii="Cambria" w:hAnsi="Cambria"/>
          <w:i/>
          <w:color w:val="000000"/>
        </w:rPr>
        <w:t>Tomas Soley Pérez</w:t>
      </w:r>
    </w:p>
    <w:p w14:paraId="6E2BC055"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1F7E6FAC" w14:textId="77777777" w:rsidR="00B330AC" w:rsidRDefault="00B330AC" w:rsidP="009618C8">
      <w:pPr>
        <w:jc w:val="both"/>
        <w:rPr>
          <w:rFonts w:ascii="Cambria" w:hAnsi="Cambria"/>
          <w:color w:val="000000"/>
        </w:rPr>
      </w:pPr>
    </w:p>
    <w:p w14:paraId="508ED773" w14:textId="77777777" w:rsidR="009618C8" w:rsidRDefault="009618C8" w:rsidP="009618C8">
      <w:pPr>
        <w:jc w:val="both"/>
        <w:rPr>
          <w:rFonts w:ascii="Cambria" w:hAnsi="Cambria"/>
          <w:color w:val="000000"/>
        </w:rPr>
      </w:pPr>
    </w:p>
    <w:p w14:paraId="12EC38F0" w14:textId="77777777" w:rsidR="009618C8" w:rsidRDefault="009618C8" w:rsidP="009618C8">
      <w:pPr>
        <w:jc w:val="both"/>
        <w:rPr>
          <w:rFonts w:asciiTheme="majorHAnsi" w:hAnsiTheme="majorHAnsi"/>
          <w:b/>
          <w:bCs/>
        </w:rPr>
      </w:pPr>
    </w:p>
    <w:p w14:paraId="0B5100B8" w14:textId="77777777" w:rsidR="00B330AC" w:rsidRPr="008D05DA" w:rsidRDefault="00B330AC" w:rsidP="00B330AC">
      <w:pPr>
        <w:jc w:val="center"/>
        <w:rPr>
          <w:rFonts w:asciiTheme="majorHAnsi" w:hAnsiTheme="majorHAnsi"/>
          <w:b/>
          <w:bCs/>
          <w:sz w:val="28"/>
          <w:szCs w:val="28"/>
        </w:rPr>
      </w:pPr>
      <w:r w:rsidRPr="008D05DA">
        <w:rPr>
          <w:rFonts w:asciiTheme="majorHAnsi" w:hAnsiTheme="majorHAnsi"/>
          <w:b/>
          <w:bCs/>
          <w:sz w:val="28"/>
          <w:szCs w:val="28"/>
        </w:rPr>
        <w:t>ACUERDO DE SUPERINTENDENTE</w:t>
      </w:r>
    </w:p>
    <w:p w14:paraId="3D9548CB" w14:textId="5E777CAA" w:rsidR="00B330AC" w:rsidRPr="008D05DA" w:rsidRDefault="008D05DA" w:rsidP="00B330AC">
      <w:pPr>
        <w:jc w:val="center"/>
        <w:rPr>
          <w:rFonts w:asciiTheme="majorHAnsi" w:hAnsiTheme="majorHAnsi"/>
          <w:b/>
          <w:bCs/>
          <w:sz w:val="28"/>
          <w:szCs w:val="28"/>
        </w:rPr>
      </w:pPr>
      <w:r w:rsidRPr="008D05DA">
        <w:rPr>
          <w:rFonts w:asciiTheme="majorHAnsi" w:hAnsiTheme="majorHAnsi"/>
          <w:b/>
          <w:bCs/>
          <w:sz w:val="28"/>
          <w:szCs w:val="28"/>
        </w:rPr>
        <w:t>SGS-A-0071-2020</w:t>
      </w:r>
    </w:p>
    <w:p w14:paraId="23166532" w14:textId="77777777" w:rsidR="00744A2C" w:rsidRDefault="00744A2C" w:rsidP="007F09F5">
      <w:pPr>
        <w:jc w:val="both"/>
        <w:rPr>
          <w:rFonts w:ascii="Cambria" w:hAnsi="Cambria"/>
        </w:rPr>
      </w:pPr>
    </w:p>
    <w:p w14:paraId="2D34F3A6" w14:textId="77777777" w:rsidR="00DB02B0" w:rsidRDefault="00DB02B0" w:rsidP="007F09F5">
      <w:pPr>
        <w:jc w:val="both"/>
        <w:rPr>
          <w:rFonts w:ascii="Cambria" w:hAnsi="Cambria"/>
        </w:rPr>
      </w:pPr>
    </w:p>
    <w:p w14:paraId="637401E4" w14:textId="77777777" w:rsidR="005876B5" w:rsidRDefault="005876B5" w:rsidP="007F09F5">
      <w:pPr>
        <w:jc w:val="both"/>
        <w:rPr>
          <w:rFonts w:ascii="Cambria" w:hAnsi="Cambria"/>
        </w:rPr>
      </w:pPr>
    </w:p>
    <w:p w14:paraId="747978D1" w14:textId="77777777" w:rsidR="00DB02B0" w:rsidRPr="000A75BC" w:rsidRDefault="00DB02B0" w:rsidP="00DB02B0">
      <w:pPr>
        <w:contextualSpacing/>
        <w:jc w:val="center"/>
        <w:rPr>
          <w:rFonts w:ascii="Cambria" w:hAnsi="Cambria" w:cs="Arial"/>
          <w:b/>
          <w:lang w:val="es-CR"/>
        </w:rPr>
      </w:pPr>
      <w:bookmarkStart w:id="1" w:name="OLE_LINK1"/>
      <w:bookmarkStart w:id="2" w:name="OLE_LINK2"/>
      <w:r w:rsidRPr="000A75BC">
        <w:rPr>
          <w:rFonts w:ascii="Cambria" w:hAnsi="Cambria" w:cs="Arial"/>
          <w:b/>
          <w:lang w:val="es-CR"/>
        </w:rPr>
        <w:t>Modificación  del Acuerdo del Superintendente SGS-A-021 -</w:t>
      </w:r>
      <w:r w:rsidRPr="000A75BC">
        <w:rPr>
          <w:rFonts w:ascii="Cambria" w:hAnsi="Cambria" w:cs="Arial"/>
          <w:b/>
          <w:i/>
          <w:lang w:val="es-CR"/>
        </w:rPr>
        <w:t>Disposiciones para la Remisión de la Información Contable y Estadística a la Superintendencia General de Seguros por parte de las Entidades Supervisadas</w:t>
      </w:r>
      <w:r w:rsidRPr="000A75BC">
        <w:rPr>
          <w:rFonts w:ascii="Cambria" w:hAnsi="Cambria" w:cs="Arial"/>
          <w:b/>
          <w:lang w:val="es-CR"/>
        </w:rPr>
        <w:t xml:space="preserve"> –para ajustar </w:t>
      </w:r>
      <w:r>
        <w:rPr>
          <w:rFonts w:ascii="Cambria" w:hAnsi="Cambria" w:cs="Arial"/>
          <w:b/>
          <w:lang w:val="es-CR"/>
        </w:rPr>
        <w:t xml:space="preserve">el Anexo 4 </w:t>
      </w:r>
      <w:r w:rsidRPr="000A75BC">
        <w:rPr>
          <w:rFonts w:ascii="Cambria" w:hAnsi="Cambria" w:cs="Arial"/>
          <w:b/>
          <w:lang w:val="es-CR"/>
        </w:rPr>
        <w:t>para efectos del cálculo de requerimientos de capital.</w:t>
      </w:r>
    </w:p>
    <w:p w14:paraId="731CE6D4" w14:textId="77777777" w:rsidR="00DB02B0" w:rsidRDefault="00DB02B0" w:rsidP="00DB02B0">
      <w:pPr>
        <w:contextualSpacing/>
        <w:rPr>
          <w:rFonts w:ascii="Cambria" w:hAnsi="Cambria" w:cs="Arial"/>
        </w:rPr>
      </w:pPr>
    </w:p>
    <w:p w14:paraId="36D04B6D" w14:textId="77777777" w:rsidR="00DB02B0" w:rsidRPr="000A75BC" w:rsidRDefault="00DB02B0" w:rsidP="00DB02B0">
      <w:pPr>
        <w:contextualSpacing/>
        <w:rPr>
          <w:rFonts w:ascii="Cambria" w:hAnsi="Cambria" w:cs="Arial"/>
        </w:rPr>
      </w:pPr>
    </w:p>
    <w:p w14:paraId="6FEA6A8A" w14:textId="1E37CA9D" w:rsidR="00DB02B0" w:rsidRPr="000A75BC" w:rsidRDefault="00DB02B0" w:rsidP="00DB02B0">
      <w:pPr>
        <w:jc w:val="both"/>
        <w:rPr>
          <w:rFonts w:ascii="Cambria" w:hAnsi="Cambria" w:cs="Arial"/>
          <w:lang w:val="es-CR"/>
        </w:rPr>
      </w:pPr>
      <w:r w:rsidRPr="000A75BC">
        <w:rPr>
          <w:rFonts w:ascii="Cambria" w:hAnsi="Cambria" w:cs="Arial"/>
          <w:lang w:val="es-CR"/>
        </w:rPr>
        <w:t xml:space="preserve">El Superintendente General de Seguros, a las </w:t>
      </w:r>
      <w:r>
        <w:rPr>
          <w:rFonts w:ascii="Cambria" w:hAnsi="Cambria" w:cs="Arial"/>
          <w:lang w:val="es-CR"/>
        </w:rPr>
        <w:t>quince</w:t>
      </w:r>
      <w:r w:rsidRPr="000A75BC">
        <w:rPr>
          <w:rFonts w:ascii="Cambria" w:hAnsi="Cambria" w:cs="Arial"/>
          <w:lang w:val="es-CR"/>
        </w:rPr>
        <w:t xml:space="preserve"> horas del </w:t>
      </w:r>
      <w:r>
        <w:rPr>
          <w:rFonts w:ascii="Cambria" w:hAnsi="Cambria" w:cs="Arial"/>
          <w:lang w:val="es-CR"/>
        </w:rPr>
        <w:t>diez</w:t>
      </w:r>
      <w:r w:rsidRPr="000A75BC">
        <w:rPr>
          <w:rFonts w:ascii="Cambria" w:hAnsi="Cambria" w:cs="Arial"/>
          <w:lang w:val="es-CR"/>
        </w:rPr>
        <w:t xml:space="preserve"> de </w:t>
      </w:r>
      <w:r>
        <w:rPr>
          <w:rFonts w:ascii="Cambria" w:hAnsi="Cambria" w:cs="Arial"/>
          <w:lang w:val="es-CR"/>
        </w:rPr>
        <w:t>junio de dos mil veinte.</w:t>
      </w:r>
    </w:p>
    <w:p w14:paraId="0F061716" w14:textId="77777777" w:rsidR="00DB02B0" w:rsidRDefault="00DB02B0" w:rsidP="00DB02B0">
      <w:pPr>
        <w:jc w:val="both"/>
        <w:rPr>
          <w:rFonts w:ascii="Cambria" w:hAnsi="Cambria" w:cs="Arial"/>
          <w:b/>
          <w:lang w:val="es-CR"/>
        </w:rPr>
      </w:pPr>
    </w:p>
    <w:p w14:paraId="77B070A5" w14:textId="77777777" w:rsidR="00DB02B0" w:rsidRPr="000A75BC" w:rsidRDefault="00DB02B0" w:rsidP="00DB02B0">
      <w:pPr>
        <w:jc w:val="both"/>
        <w:rPr>
          <w:rFonts w:ascii="Cambria" w:hAnsi="Cambria" w:cs="Arial"/>
          <w:b/>
          <w:lang w:val="es-CR"/>
        </w:rPr>
      </w:pPr>
    </w:p>
    <w:p w14:paraId="46DE58FC" w14:textId="77777777" w:rsidR="00DB02B0" w:rsidRPr="00DB02B0" w:rsidRDefault="00DB02B0" w:rsidP="00DB02B0">
      <w:pPr>
        <w:jc w:val="center"/>
        <w:rPr>
          <w:rFonts w:ascii="Cambria" w:hAnsi="Cambria" w:cs="Arial"/>
          <w:b/>
          <w:sz w:val="28"/>
          <w:szCs w:val="28"/>
          <w:lang w:val="es-CR"/>
        </w:rPr>
      </w:pPr>
      <w:r w:rsidRPr="00DB02B0">
        <w:rPr>
          <w:rFonts w:ascii="Cambria" w:hAnsi="Cambria" w:cs="Arial"/>
          <w:b/>
          <w:sz w:val="28"/>
          <w:szCs w:val="28"/>
          <w:lang w:val="es-CR"/>
        </w:rPr>
        <w:t>Considerando que:</w:t>
      </w:r>
    </w:p>
    <w:p w14:paraId="5B089CE1" w14:textId="77777777" w:rsidR="00DB02B0" w:rsidRPr="000A75BC" w:rsidRDefault="00DB02B0" w:rsidP="00DB02B0">
      <w:pPr>
        <w:jc w:val="both"/>
        <w:rPr>
          <w:rFonts w:ascii="Cambria" w:hAnsi="Cambria" w:cs="Arial"/>
          <w:b/>
          <w:lang w:val="es-CR"/>
        </w:rPr>
      </w:pPr>
    </w:p>
    <w:p w14:paraId="74773BB4" w14:textId="77777777" w:rsidR="00DB02B0" w:rsidRPr="000A75BC" w:rsidRDefault="00DB02B0" w:rsidP="00DB02B0">
      <w:pPr>
        <w:pStyle w:val="Prrafodelista"/>
        <w:numPr>
          <w:ilvl w:val="0"/>
          <w:numId w:val="1"/>
        </w:numPr>
        <w:spacing w:after="0" w:line="240" w:lineRule="auto"/>
        <w:ind w:left="567" w:hanging="567"/>
        <w:contextualSpacing w:val="0"/>
        <w:jc w:val="both"/>
        <w:rPr>
          <w:rFonts w:ascii="Cambria" w:hAnsi="Cambria" w:cs="Arial"/>
          <w:sz w:val="24"/>
          <w:szCs w:val="24"/>
          <w:lang w:val="es-CR"/>
        </w:rPr>
      </w:pPr>
      <w:r w:rsidRPr="000A75BC">
        <w:rPr>
          <w:rFonts w:ascii="Cambria" w:hAnsi="Cambria" w:cs="Arial"/>
          <w:sz w:val="24"/>
          <w:szCs w:val="24"/>
          <w:lang w:val="es-CR"/>
        </w:rPr>
        <w:t xml:space="preserve">El artículo 171 de la </w:t>
      </w:r>
      <w:r w:rsidRPr="00D510B1">
        <w:rPr>
          <w:rFonts w:ascii="Cambria" w:hAnsi="Cambria" w:cs="Arial"/>
          <w:i/>
          <w:sz w:val="24"/>
          <w:szCs w:val="24"/>
          <w:lang w:val="es-CR"/>
        </w:rPr>
        <w:t>Ley Reguladora del Mercado de Valores</w:t>
      </w:r>
      <w:r w:rsidRPr="000A75BC">
        <w:rPr>
          <w:rFonts w:ascii="Cambria" w:hAnsi="Cambria" w:cs="Arial"/>
          <w:sz w:val="24"/>
          <w:szCs w:val="24"/>
          <w:lang w:val="es-CR"/>
        </w:rPr>
        <w:t>, N° 7732, faculta al Consejo Nacional de Supervisión del Sistema Financiero (CONASSIF) para aprobar las normas atinentes a la autorización, regulación, supervisión, fiscalización y vigilancia que, conforme a la ley, deben ejecutar las Superintendencias que funcionan bajo su dirección.</w:t>
      </w:r>
    </w:p>
    <w:p w14:paraId="1D3A4BAC" w14:textId="77777777" w:rsidR="00DB02B0" w:rsidRPr="00DB02B0" w:rsidRDefault="00DB02B0" w:rsidP="00DB02B0">
      <w:pPr>
        <w:jc w:val="both"/>
        <w:rPr>
          <w:rFonts w:ascii="Cambria" w:hAnsi="Cambria" w:cs="Arial"/>
          <w:lang w:val="es-CR"/>
        </w:rPr>
      </w:pPr>
    </w:p>
    <w:p w14:paraId="6075D2E2" w14:textId="77777777" w:rsidR="00DB02B0" w:rsidRPr="000A75BC" w:rsidRDefault="00DB02B0" w:rsidP="00DB02B0">
      <w:pPr>
        <w:pStyle w:val="Prrafodelista"/>
        <w:numPr>
          <w:ilvl w:val="0"/>
          <w:numId w:val="1"/>
        </w:numPr>
        <w:spacing w:after="0" w:line="240" w:lineRule="auto"/>
        <w:ind w:left="567" w:hanging="567"/>
        <w:contextualSpacing w:val="0"/>
        <w:jc w:val="both"/>
        <w:rPr>
          <w:rFonts w:ascii="Cambria" w:hAnsi="Cambria" w:cs="Arial"/>
          <w:sz w:val="24"/>
          <w:szCs w:val="24"/>
          <w:lang w:val="es-CR"/>
        </w:rPr>
      </w:pPr>
      <w:r w:rsidRPr="000A75BC">
        <w:rPr>
          <w:rFonts w:ascii="Cambria" w:hAnsi="Cambria" w:cs="Arial"/>
          <w:sz w:val="24"/>
          <w:szCs w:val="24"/>
          <w:lang w:val="es-CR"/>
        </w:rPr>
        <w:t xml:space="preserve">De conformidad con lo dispuesto en el artículo 10 de la </w:t>
      </w:r>
      <w:r w:rsidRPr="00D510B1">
        <w:rPr>
          <w:rFonts w:ascii="Cambria" w:hAnsi="Cambria" w:cs="Arial"/>
          <w:i/>
          <w:sz w:val="24"/>
          <w:szCs w:val="24"/>
          <w:lang w:val="es-CR"/>
        </w:rPr>
        <w:t>Ley Reguladora del Mercado de Seguros</w:t>
      </w:r>
      <w:r w:rsidRPr="000A75BC">
        <w:rPr>
          <w:rFonts w:ascii="Cambria" w:hAnsi="Cambria" w:cs="Arial"/>
          <w:sz w:val="24"/>
          <w:szCs w:val="24"/>
          <w:lang w:val="es-CR"/>
        </w:rPr>
        <w:t xml:space="preserve">, N° 8653, el CONASSIF: </w:t>
      </w:r>
    </w:p>
    <w:p w14:paraId="23281A4B" w14:textId="77777777" w:rsidR="00DB02B0" w:rsidRPr="00DB02B0" w:rsidRDefault="00DB02B0" w:rsidP="00DB02B0">
      <w:pPr>
        <w:rPr>
          <w:rFonts w:ascii="Cambria" w:hAnsi="Cambria" w:cs="Arial"/>
          <w:lang w:val="es-CR"/>
        </w:rPr>
      </w:pPr>
    </w:p>
    <w:p w14:paraId="54858231" w14:textId="77777777" w:rsidR="00DB02B0" w:rsidRPr="000A75BC" w:rsidRDefault="00DB02B0" w:rsidP="00DB02B0">
      <w:pPr>
        <w:pStyle w:val="Prrafodelista"/>
        <w:spacing w:after="0" w:line="240" w:lineRule="auto"/>
        <w:ind w:left="1134" w:right="616"/>
        <w:contextualSpacing w:val="0"/>
        <w:jc w:val="both"/>
        <w:rPr>
          <w:rFonts w:ascii="Cambria" w:hAnsi="Cambria" w:cs="Arial"/>
          <w:i/>
          <w:sz w:val="20"/>
          <w:szCs w:val="20"/>
          <w:lang w:val="es-CR"/>
        </w:rPr>
      </w:pPr>
      <w:r w:rsidRPr="000A75BC">
        <w:rPr>
          <w:rFonts w:ascii="Cambria" w:hAnsi="Cambria" w:cs="Arial"/>
          <w:i/>
          <w:sz w:val="20"/>
          <w:szCs w:val="20"/>
          <w:lang w:val="es-CR"/>
        </w:rPr>
        <w:t>“definirá, mediante reglamento, las normas y los requerimientos del régimen de suficiencia de capital y solvencia que deberán cumplir, en todo momento, las entidades aseguradoras y reaseguradoras; para ello, observará hipótesis prudentes y razonables, así como las prácticas aceptadas internacionalmente que mejor se adapten al mercado de seguros costarricense. El reglamento también desarrollará la determinación del requerimiento de capital, de las provisiones  técnicas y reservas, así como el régimen de inversión de los activos que los respaldan, las reglas de valoración de activos y pasivos para las entidades aseguradoras y reaseguradoras y los niveles de alerta temprana que impliquen medidas correctivas por parte de las entidades supervisadas, así como la intervención de la Superintendencia”.</w:t>
      </w:r>
    </w:p>
    <w:p w14:paraId="20E06E90" w14:textId="77777777" w:rsidR="00DB02B0" w:rsidRDefault="00DB02B0">
      <w:pPr>
        <w:spacing w:after="200" w:line="276" w:lineRule="auto"/>
        <w:rPr>
          <w:rFonts w:ascii="Cambria" w:eastAsia="Calibri" w:hAnsi="Cambria" w:cs="Arial"/>
          <w:lang w:val="es-CR" w:eastAsia="en-US"/>
        </w:rPr>
      </w:pPr>
      <w:r>
        <w:rPr>
          <w:rFonts w:ascii="Cambria" w:hAnsi="Cambria" w:cs="Arial"/>
          <w:lang w:val="es-CR"/>
        </w:rPr>
        <w:br w:type="page"/>
      </w:r>
    </w:p>
    <w:p w14:paraId="5CFE5F34" w14:textId="77777777" w:rsidR="00DB02B0" w:rsidRPr="000A75BC" w:rsidRDefault="00DB02B0" w:rsidP="00DB02B0">
      <w:pPr>
        <w:pStyle w:val="Prrafodelista"/>
        <w:spacing w:after="0" w:line="240" w:lineRule="auto"/>
        <w:ind w:left="567" w:right="616" w:hanging="567"/>
        <w:contextualSpacing w:val="0"/>
        <w:jc w:val="both"/>
        <w:rPr>
          <w:rFonts w:ascii="Cambria" w:hAnsi="Cambria" w:cs="Arial"/>
          <w:sz w:val="24"/>
          <w:szCs w:val="24"/>
          <w:lang w:val="es-CR"/>
        </w:rPr>
      </w:pPr>
    </w:p>
    <w:p w14:paraId="25974661" w14:textId="77777777" w:rsidR="00DB02B0" w:rsidRPr="000A75BC" w:rsidRDefault="00DB02B0" w:rsidP="00DB02B0">
      <w:pPr>
        <w:pStyle w:val="Prrafodelista"/>
        <w:numPr>
          <w:ilvl w:val="0"/>
          <w:numId w:val="1"/>
        </w:numPr>
        <w:spacing w:after="0" w:line="240" w:lineRule="auto"/>
        <w:ind w:left="567" w:hanging="567"/>
        <w:contextualSpacing w:val="0"/>
        <w:jc w:val="both"/>
        <w:rPr>
          <w:rFonts w:ascii="Cambria" w:hAnsi="Cambria" w:cs="Arial"/>
          <w:sz w:val="24"/>
          <w:szCs w:val="24"/>
          <w:lang w:val="es-CR"/>
        </w:rPr>
      </w:pPr>
      <w:r w:rsidRPr="000A75BC">
        <w:rPr>
          <w:rFonts w:ascii="Cambria" w:hAnsi="Cambria" w:cs="Arial"/>
          <w:sz w:val="24"/>
          <w:szCs w:val="24"/>
          <w:lang w:val="es-CR"/>
        </w:rPr>
        <w:t xml:space="preserve">El CONASSIF  aprobó, mediante artículo 8 del acta de la sesión 1050-2013 del 2 de julio de 2013,  el Acuerdo SUGESE 02-2013- </w:t>
      </w:r>
      <w:r w:rsidRPr="000A75BC">
        <w:rPr>
          <w:rFonts w:ascii="Cambria" w:hAnsi="Cambria" w:cs="Arial"/>
          <w:i/>
          <w:sz w:val="24"/>
          <w:szCs w:val="24"/>
          <w:lang w:val="es-CR"/>
        </w:rPr>
        <w:t>Reglamento sobre la Solvencia de Entidades de Seguros y Reaseguros</w:t>
      </w:r>
      <w:r w:rsidRPr="000A75BC">
        <w:rPr>
          <w:rFonts w:ascii="Cambria" w:hAnsi="Cambria" w:cs="Arial"/>
          <w:sz w:val="24"/>
          <w:szCs w:val="24"/>
          <w:lang w:val="es-CR"/>
        </w:rPr>
        <w:t xml:space="preserve">,  el cual dispone las reglas para  el cálculo del requerimiento de capital de solvencia de las entidades de seguros. </w:t>
      </w:r>
    </w:p>
    <w:p w14:paraId="3773ADB6" w14:textId="77777777" w:rsidR="00DB02B0" w:rsidRPr="000A75BC" w:rsidRDefault="00DB02B0" w:rsidP="00DB02B0">
      <w:pPr>
        <w:pStyle w:val="Prrafodelista"/>
        <w:spacing w:after="0" w:line="240" w:lineRule="auto"/>
        <w:ind w:left="567" w:hanging="567"/>
        <w:contextualSpacing w:val="0"/>
        <w:jc w:val="both"/>
        <w:rPr>
          <w:rFonts w:ascii="Cambria" w:hAnsi="Cambria" w:cs="Arial"/>
          <w:sz w:val="24"/>
          <w:szCs w:val="24"/>
          <w:lang w:val="es-CR"/>
        </w:rPr>
      </w:pPr>
    </w:p>
    <w:p w14:paraId="6BDBFAFA" w14:textId="77777777" w:rsidR="00DB02B0" w:rsidRPr="004A448E" w:rsidRDefault="00DB02B0" w:rsidP="00DB02B0">
      <w:pPr>
        <w:pStyle w:val="Prrafodelista"/>
        <w:numPr>
          <w:ilvl w:val="0"/>
          <w:numId w:val="1"/>
        </w:numPr>
        <w:spacing w:after="0" w:line="240" w:lineRule="auto"/>
        <w:ind w:left="567" w:hanging="567"/>
        <w:contextualSpacing w:val="0"/>
        <w:jc w:val="both"/>
        <w:rPr>
          <w:rFonts w:asciiTheme="majorHAnsi" w:hAnsiTheme="majorHAnsi" w:cs="Arial"/>
          <w:sz w:val="24"/>
          <w:szCs w:val="24"/>
          <w:lang w:val="es-CR"/>
        </w:rPr>
      </w:pPr>
      <w:r w:rsidRPr="004A448E">
        <w:rPr>
          <w:rFonts w:asciiTheme="majorHAnsi" w:hAnsiTheme="majorHAnsi" w:cs="Arial"/>
          <w:sz w:val="24"/>
          <w:szCs w:val="24"/>
          <w:lang w:val="es-CR"/>
        </w:rPr>
        <w:t xml:space="preserve">El CONASSIF </w:t>
      </w:r>
      <w:r w:rsidRPr="00D6025B">
        <w:rPr>
          <w:rFonts w:asciiTheme="majorHAnsi" w:hAnsiTheme="majorHAnsi" w:cs="Arial"/>
          <w:sz w:val="24"/>
          <w:szCs w:val="24"/>
          <w:lang w:val="es-CR"/>
        </w:rPr>
        <w:t>dispuso, mediante artículo 10 del acta de la sesión 1579-2020 del 1 de junio de 2020</w:t>
      </w:r>
      <w:r w:rsidRPr="004A448E">
        <w:rPr>
          <w:rFonts w:asciiTheme="majorHAnsi" w:hAnsiTheme="majorHAnsi" w:cs="Arial"/>
          <w:sz w:val="24"/>
          <w:szCs w:val="24"/>
          <w:lang w:val="es-CR"/>
        </w:rPr>
        <w:t xml:space="preserve">,  modificar el </w:t>
      </w:r>
      <w:r w:rsidRPr="004A448E">
        <w:rPr>
          <w:rFonts w:asciiTheme="majorHAnsi" w:hAnsiTheme="majorHAnsi" w:cs="Arial"/>
          <w:i/>
          <w:sz w:val="24"/>
          <w:szCs w:val="24"/>
          <w:lang w:val="es-CR"/>
        </w:rPr>
        <w:t>Reglamento sobre la Solvencia de Entidades de Seguros y Reaseguros</w:t>
      </w:r>
      <w:r w:rsidRPr="004A448E">
        <w:rPr>
          <w:rFonts w:asciiTheme="majorHAnsi" w:hAnsiTheme="majorHAnsi" w:cs="Arial"/>
          <w:sz w:val="24"/>
          <w:szCs w:val="24"/>
          <w:lang w:val="es-CR"/>
        </w:rPr>
        <w:t>, a efecto de ajustar los porcentajes</w:t>
      </w:r>
      <w:r w:rsidRPr="004A448E">
        <w:rPr>
          <w:rFonts w:asciiTheme="majorHAnsi" w:hAnsiTheme="majorHAnsi"/>
          <w:sz w:val="24"/>
          <w:szCs w:val="24"/>
        </w:rPr>
        <w:t xml:space="preserve"> de requerimiento de capital del efectivo, primas por cobrar y comisiones diferidas frente a intermediarios,  de las entidades de seguros, por el bajo riesgo que soportan esos activos</w:t>
      </w:r>
      <w:r>
        <w:rPr>
          <w:rFonts w:asciiTheme="majorHAnsi" w:hAnsiTheme="majorHAnsi"/>
          <w:sz w:val="24"/>
          <w:szCs w:val="24"/>
        </w:rPr>
        <w:t>, de igual forma y de manera temporal, disminuir el porcentaje de retención por reaseguro utilizado para el cálculo de los requerimientos de capital por riesgos técnicos y mantener los ponderadores de riesgo de las inversiones locales.</w:t>
      </w:r>
    </w:p>
    <w:p w14:paraId="71383D2E" w14:textId="77777777" w:rsidR="00DB02B0" w:rsidRPr="00DB02B0" w:rsidRDefault="00DB02B0" w:rsidP="00DB02B0">
      <w:pPr>
        <w:rPr>
          <w:rFonts w:ascii="Cambria" w:hAnsi="Cambria" w:cs="Arial"/>
          <w:lang w:val="es-CR"/>
        </w:rPr>
      </w:pPr>
    </w:p>
    <w:p w14:paraId="1590115D" w14:textId="77777777" w:rsidR="00DB02B0" w:rsidRPr="000A75BC" w:rsidRDefault="00DB02B0" w:rsidP="00DB02B0">
      <w:pPr>
        <w:pStyle w:val="Prrafodelista"/>
        <w:numPr>
          <w:ilvl w:val="0"/>
          <w:numId w:val="1"/>
        </w:numPr>
        <w:spacing w:after="0" w:line="240" w:lineRule="auto"/>
        <w:ind w:left="567" w:hanging="567"/>
        <w:contextualSpacing w:val="0"/>
        <w:jc w:val="both"/>
        <w:rPr>
          <w:rFonts w:ascii="Cambria" w:hAnsi="Cambria" w:cs="Arial"/>
          <w:sz w:val="24"/>
          <w:szCs w:val="24"/>
          <w:lang w:val="es-CR"/>
        </w:rPr>
      </w:pPr>
      <w:r w:rsidRPr="000A75BC">
        <w:rPr>
          <w:rFonts w:ascii="Cambria" w:hAnsi="Cambria" w:cs="Arial"/>
          <w:sz w:val="24"/>
          <w:szCs w:val="24"/>
          <w:lang w:val="es-CR"/>
        </w:rPr>
        <w:t>La Superintendencia General de Seguros</w:t>
      </w:r>
      <w:r>
        <w:rPr>
          <w:rFonts w:ascii="Cambria" w:hAnsi="Cambria" w:cs="Arial"/>
          <w:sz w:val="24"/>
          <w:szCs w:val="24"/>
          <w:lang w:val="es-CR"/>
        </w:rPr>
        <w:t xml:space="preserve"> (SUGESE)</w:t>
      </w:r>
      <w:r w:rsidRPr="000A75BC">
        <w:rPr>
          <w:rFonts w:ascii="Cambria" w:hAnsi="Cambria" w:cs="Arial"/>
          <w:sz w:val="24"/>
          <w:szCs w:val="24"/>
          <w:lang w:val="es-CR"/>
        </w:rPr>
        <w:t xml:space="preserve"> debe disponer de información, en los plazos, formatos y medios que le permita realizar una evaluación exhaustiva y rigurosa de cada uno de los participantes del mercado de seguros, con el fin de cumplir con el objetivo definido en el artículo 29 de la Ley Reguladora del Mercado de Seguros, Ley N° 8653, de </w:t>
      </w:r>
      <w:r w:rsidRPr="000A75BC">
        <w:rPr>
          <w:rFonts w:ascii="Cambria" w:hAnsi="Cambria" w:cs="Arial"/>
          <w:i/>
          <w:sz w:val="24"/>
          <w:szCs w:val="24"/>
          <w:lang w:val="es-CR"/>
        </w:rPr>
        <w:t xml:space="preserve">“velar por la estabilidad y el eficiente funcionamiento del mercado de seguros, así como entregar la más amplia información a los asegurados”.  </w:t>
      </w:r>
      <w:r w:rsidRPr="000A75BC">
        <w:rPr>
          <w:rFonts w:ascii="Cambria" w:hAnsi="Cambria" w:cs="Arial"/>
          <w:sz w:val="24"/>
          <w:szCs w:val="24"/>
          <w:lang w:val="es-CR"/>
        </w:rPr>
        <w:t>Además, de conformidad con los artículos 25 c) y 26 g) de la Ley N° 8653, las entidades aseguradoras y reaseguradoras y los intermediarios del mercado de seguros, están obligados a proporcionar la información correcta y completa que la Superintendencia les requiera, dentro de los plazos y las formalidades que se establezcan.</w:t>
      </w:r>
    </w:p>
    <w:p w14:paraId="52F6D5CE" w14:textId="77777777" w:rsidR="00DB02B0" w:rsidRPr="00DB02B0" w:rsidRDefault="00DB02B0" w:rsidP="00DB02B0">
      <w:pPr>
        <w:rPr>
          <w:rFonts w:ascii="Cambria" w:hAnsi="Cambria" w:cs="Arial"/>
          <w:lang w:val="es-CR"/>
        </w:rPr>
      </w:pPr>
    </w:p>
    <w:p w14:paraId="62752271" w14:textId="77777777" w:rsidR="00DB02B0" w:rsidRPr="000A75BC" w:rsidRDefault="00DB02B0" w:rsidP="00DB02B0">
      <w:pPr>
        <w:pStyle w:val="Prrafodelista"/>
        <w:numPr>
          <w:ilvl w:val="0"/>
          <w:numId w:val="1"/>
        </w:numPr>
        <w:spacing w:after="0" w:line="240" w:lineRule="auto"/>
        <w:ind w:left="567" w:hanging="567"/>
        <w:contextualSpacing w:val="0"/>
        <w:jc w:val="both"/>
        <w:rPr>
          <w:rFonts w:ascii="Cambria" w:hAnsi="Cambria" w:cs="Arial"/>
          <w:sz w:val="24"/>
          <w:szCs w:val="24"/>
          <w:lang w:val="es-CR"/>
        </w:rPr>
      </w:pPr>
      <w:r w:rsidRPr="000A75BC">
        <w:rPr>
          <w:rFonts w:ascii="Cambria" w:hAnsi="Cambria" w:cs="Arial"/>
          <w:sz w:val="24"/>
          <w:szCs w:val="24"/>
          <w:lang w:val="es-CR"/>
        </w:rPr>
        <w:t xml:space="preserve">El acuerdo SGS-DES-A-021-2013, </w:t>
      </w:r>
      <w:r w:rsidRPr="000A75BC">
        <w:rPr>
          <w:rFonts w:ascii="Cambria" w:hAnsi="Cambria" w:cs="Arial"/>
          <w:i/>
          <w:sz w:val="24"/>
          <w:szCs w:val="24"/>
          <w:lang w:val="es-CR"/>
        </w:rPr>
        <w:t xml:space="preserve">Disposiciones para la Remisión de la Información Contable y Estadística a la Superintendencia General de Seguros por parte de las Entidades Supervisadas, </w:t>
      </w:r>
      <w:r w:rsidRPr="000A75BC">
        <w:rPr>
          <w:rFonts w:ascii="Cambria" w:hAnsi="Cambria" w:cs="Arial"/>
          <w:sz w:val="24"/>
          <w:szCs w:val="24"/>
          <w:lang w:val="es-CR"/>
        </w:rPr>
        <w:t>establece la periodicidad, plazo, medio y formatos para la entrega de información a la  Superintendencia, entre ella, la correspondiente  al régimen de suficiencia de capital y solvencia (cálculo del ISC), que debe ser enviado de acuerdo con el modelo dispuesto en el Anexo 4  de esas disposiciones.</w:t>
      </w:r>
    </w:p>
    <w:p w14:paraId="42B72463" w14:textId="77777777" w:rsidR="00DB02B0" w:rsidRPr="00DB02B0" w:rsidRDefault="00DB02B0" w:rsidP="00DB02B0">
      <w:pPr>
        <w:jc w:val="both"/>
        <w:rPr>
          <w:rFonts w:asciiTheme="majorHAnsi" w:hAnsiTheme="majorHAnsi"/>
          <w:lang w:val="es-CR"/>
        </w:rPr>
      </w:pPr>
    </w:p>
    <w:p w14:paraId="06FBD3EB" w14:textId="77777777" w:rsidR="00DB02B0" w:rsidRDefault="00DB02B0" w:rsidP="00DB02B0">
      <w:pPr>
        <w:pStyle w:val="Prrafodelista"/>
        <w:numPr>
          <w:ilvl w:val="0"/>
          <w:numId w:val="1"/>
        </w:numPr>
        <w:spacing w:after="0" w:line="240" w:lineRule="auto"/>
        <w:ind w:left="567" w:hanging="567"/>
        <w:contextualSpacing w:val="0"/>
        <w:jc w:val="both"/>
        <w:rPr>
          <w:rFonts w:ascii="Cambria" w:hAnsi="Cambria" w:cs="Arial"/>
          <w:sz w:val="24"/>
          <w:szCs w:val="24"/>
          <w:lang w:val="es-CR"/>
        </w:rPr>
      </w:pPr>
      <w:r w:rsidRPr="000A75BC">
        <w:rPr>
          <w:rFonts w:ascii="Cambria" w:hAnsi="Cambria" w:cs="Arial"/>
          <w:sz w:val="24"/>
          <w:szCs w:val="24"/>
          <w:lang w:val="es-CR"/>
        </w:rPr>
        <w:t xml:space="preserve">La reforma  al </w:t>
      </w:r>
      <w:r w:rsidRPr="000A75BC">
        <w:rPr>
          <w:rFonts w:ascii="Cambria" w:hAnsi="Cambria" w:cs="Arial"/>
          <w:i/>
          <w:sz w:val="24"/>
          <w:szCs w:val="24"/>
          <w:lang w:val="es-CR"/>
        </w:rPr>
        <w:t xml:space="preserve">Reglamento sobre la solvencia de entidades de seguros y reaseguros </w:t>
      </w:r>
      <w:r w:rsidRPr="000A75BC">
        <w:rPr>
          <w:rFonts w:ascii="Cambria" w:hAnsi="Cambria" w:cs="Arial"/>
          <w:sz w:val="24"/>
          <w:szCs w:val="24"/>
          <w:lang w:val="es-CR"/>
        </w:rPr>
        <w:t xml:space="preserve">acordada por el CONASSIF en las </w:t>
      </w:r>
      <w:r w:rsidRPr="008C1060">
        <w:rPr>
          <w:rFonts w:ascii="Cambria" w:hAnsi="Cambria" w:cs="Arial"/>
          <w:sz w:val="24"/>
          <w:szCs w:val="24"/>
          <w:lang w:val="es-CR"/>
        </w:rPr>
        <w:t>Sesión 1579-2020</w:t>
      </w:r>
      <w:r w:rsidRPr="000A75BC">
        <w:rPr>
          <w:rFonts w:ascii="Cambria" w:hAnsi="Cambria" w:cs="Arial"/>
          <w:sz w:val="24"/>
          <w:szCs w:val="24"/>
          <w:lang w:val="es-CR"/>
        </w:rPr>
        <w:t xml:space="preserve"> obliga a la Superintendencia a actualizar el formato de remisión de información contenido en el acuerdo SGS-A-021-2013, </w:t>
      </w:r>
      <w:r w:rsidRPr="000A75BC">
        <w:rPr>
          <w:rFonts w:ascii="Cambria" w:hAnsi="Cambria" w:cs="Arial"/>
          <w:i/>
          <w:sz w:val="24"/>
          <w:szCs w:val="24"/>
          <w:lang w:val="es-CR"/>
        </w:rPr>
        <w:t>Disposiciones para la Remisión de la Información Contable y Estadística a la Superintendencia General de Seguros por parte de las Entidades Supervisadas,</w:t>
      </w:r>
      <w:r w:rsidRPr="000A75BC">
        <w:rPr>
          <w:rFonts w:ascii="Cambria" w:hAnsi="Cambria" w:cs="Arial"/>
          <w:sz w:val="24"/>
          <w:szCs w:val="24"/>
          <w:lang w:val="es-CR"/>
        </w:rPr>
        <w:t xml:space="preserve"> en lo referente al requerimiento de capital por riego general de activos</w:t>
      </w:r>
      <w:r>
        <w:rPr>
          <w:rFonts w:ascii="Cambria" w:hAnsi="Cambria" w:cs="Arial"/>
          <w:sz w:val="24"/>
          <w:szCs w:val="24"/>
          <w:lang w:val="es-CR"/>
        </w:rPr>
        <w:t xml:space="preserve">, de manera que esta </w:t>
      </w:r>
      <w:r>
        <w:rPr>
          <w:rFonts w:ascii="Cambria" w:hAnsi="Cambria" w:cs="Arial"/>
          <w:sz w:val="24"/>
          <w:szCs w:val="24"/>
          <w:lang w:val="es-CR"/>
        </w:rPr>
        <w:lastRenderedPageBreak/>
        <w:t>recoja los nuevos tratamientos dispuestos para el efectivo, comisiones pagadas por adelantado a intermediarios de seguros y primas por cobrar.  El acuerdo del CONASSIF, adicionalmente, de manera temporal, disminuye el factor de retención por reaseguro para el cálculo de los requerimientos de capital por riesgos técnicos y mantiene fijos los ponderadores de riesgo para las inversiones locales.</w:t>
      </w:r>
    </w:p>
    <w:p w14:paraId="05FD8BB5" w14:textId="77777777" w:rsidR="00DB02B0" w:rsidRPr="00DB02B0" w:rsidRDefault="00DB02B0" w:rsidP="00DB02B0">
      <w:pPr>
        <w:rPr>
          <w:rFonts w:ascii="Cambria" w:hAnsi="Cambria" w:cs="Arial"/>
          <w:lang w:val="es-CR"/>
        </w:rPr>
      </w:pPr>
    </w:p>
    <w:p w14:paraId="6AE54E1B" w14:textId="77777777" w:rsidR="00DB02B0" w:rsidRDefault="00DB02B0" w:rsidP="00DB02B0">
      <w:pPr>
        <w:pStyle w:val="Prrafodelista"/>
        <w:numPr>
          <w:ilvl w:val="0"/>
          <w:numId w:val="1"/>
        </w:numPr>
        <w:spacing w:after="0" w:line="240" w:lineRule="auto"/>
        <w:ind w:left="567" w:hanging="567"/>
        <w:contextualSpacing w:val="0"/>
        <w:jc w:val="both"/>
        <w:rPr>
          <w:rFonts w:ascii="Cambria" w:hAnsi="Cambria" w:cs="Arial"/>
          <w:i/>
          <w:sz w:val="24"/>
          <w:szCs w:val="24"/>
          <w:lang w:val="es-CR"/>
        </w:rPr>
      </w:pPr>
      <w:r w:rsidRPr="00BD2329">
        <w:rPr>
          <w:rFonts w:ascii="Cambria" w:hAnsi="Cambria" w:cs="Arial"/>
          <w:sz w:val="24"/>
          <w:szCs w:val="24"/>
          <w:lang w:val="es-CR"/>
        </w:rPr>
        <w:t xml:space="preserve">El artículo 361 de la </w:t>
      </w:r>
      <w:r w:rsidRPr="00D6025B">
        <w:rPr>
          <w:rFonts w:ascii="Cambria" w:hAnsi="Cambria" w:cs="Arial"/>
          <w:i/>
          <w:sz w:val="24"/>
          <w:szCs w:val="24"/>
          <w:lang w:val="es-CR"/>
        </w:rPr>
        <w:t>Ley General de la Administración Pública</w:t>
      </w:r>
      <w:r>
        <w:rPr>
          <w:rFonts w:ascii="Cambria" w:hAnsi="Cambria" w:cs="Arial"/>
          <w:sz w:val="24"/>
          <w:szCs w:val="24"/>
          <w:lang w:val="es-CR"/>
        </w:rPr>
        <w:t>,</w:t>
      </w:r>
      <w:r w:rsidRPr="00BD2329">
        <w:rPr>
          <w:rFonts w:ascii="Cambria" w:hAnsi="Cambria" w:cs="Arial"/>
          <w:sz w:val="24"/>
          <w:szCs w:val="24"/>
          <w:lang w:val="es-CR"/>
        </w:rPr>
        <w:t xml:space="preserve"> que ordena la consulta p</w:t>
      </w:r>
      <w:r>
        <w:rPr>
          <w:rFonts w:ascii="Cambria" w:hAnsi="Cambria" w:cs="Arial"/>
          <w:sz w:val="24"/>
          <w:szCs w:val="24"/>
          <w:lang w:val="es-CR"/>
        </w:rPr>
        <w:t xml:space="preserve">revia </w:t>
      </w:r>
      <w:r w:rsidRPr="00BD2329">
        <w:rPr>
          <w:rFonts w:ascii="Cambria" w:hAnsi="Cambria" w:cs="Arial"/>
          <w:sz w:val="24"/>
          <w:szCs w:val="24"/>
          <w:lang w:val="es-CR"/>
        </w:rPr>
        <w:t xml:space="preserve"> de las normas de carácter general</w:t>
      </w:r>
      <w:r>
        <w:rPr>
          <w:rFonts w:ascii="Cambria" w:hAnsi="Cambria" w:cs="Arial"/>
          <w:sz w:val="24"/>
          <w:szCs w:val="24"/>
          <w:lang w:val="es-CR"/>
        </w:rPr>
        <w:t xml:space="preserve"> a los sujetos afectados por ella, </w:t>
      </w:r>
      <w:r w:rsidRPr="00BD2329">
        <w:rPr>
          <w:rFonts w:ascii="Cambria" w:hAnsi="Cambria" w:cs="Arial"/>
          <w:sz w:val="24"/>
          <w:szCs w:val="24"/>
          <w:lang w:val="es-CR"/>
        </w:rPr>
        <w:t xml:space="preserve"> establece: “</w:t>
      </w:r>
      <w:r w:rsidRPr="00BD2329">
        <w:rPr>
          <w:rFonts w:ascii="Cambria" w:hAnsi="Cambria" w:cs="Arial"/>
          <w:i/>
          <w:sz w:val="24"/>
          <w:szCs w:val="24"/>
          <w:lang w:val="es-CR"/>
        </w:rPr>
        <w:t xml:space="preserve">Se concederá a las entidades representativas de intereses de carácter general o corporativo afectados por la disposición la oportunidad de exponer su parecer, dentro del plazo de diez días, salvo cuando se opongan a ello razones de </w:t>
      </w:r>
      <w:r w:rsidRPr="004F2FAF">
        <w:rPr>
          <w:rFonts w:ascii="Cambria" w:hAnsi="Cambria" w:cs="Arial"/>
          <w:i/>
          <w:sz w:val="24"/>
          <w:szCs w:val="24"/>
          <w:u w:val="single"/>
          <w:lang w:val="es-CR"/>
        </w:rPr>
        <w:t>interés público o de urgencia debidamente consignadas en el anteproyecto</w:t>
      </w:r>
      <w:r w:rsidRPr="00BD2329">
        <w:rPr>
          <w:rFonts w:ascii="Cambria" w:hAnsi="Cambria" w:cs="Arial"/>
          <w:i/>
          <w:sz w:val="24"/>
          <w:szCs w:val="24"/>
          <w:lang w:val="es-CR"/>
        </w:rPr>
        <w:t>.</w:t>
      </w:r>
      <w:r>
        <w:rPr>
          <w:rFonts w:ascii="Cambria" w:hAnsi="Cambria" w:cs="Arial"/>
          <w:i/>
          <w:sz w:val="24"/>
          <w:szCs w:val="24"/>
          <w:lang w:val="es-CR"/>
        </w:rPr>
        <w:t>”  (el destacado es proveído)</w:t>
      </w:r>
    </w:p>
    <w:p w14:paraId="79F25A37" w14:textId="77777777" w:rsidR="00DB02B0" w:rsidRPr="00DB02B0" w:rsidRDefault="00DB02B0" w:rsidP="00DB02B0">
      <w:pPr>
        <w:rPr>
          <w:rFonts w:ascii="Cambria" w:hAnsi="Cambria" w:cs="Arial"/>
          <w:lang w:val="es-CR"/>
        </w:rPr>
      </w:pPr>
    </w:p>
    <w:p w14:paraId="617BEC49" w14:textId="77777777" w:rsidR="00DB02B0" w:rsidRPr="00BD2329" w:rsidRDefault="00DB02B0" w:rsidP="00DB02B0">
      <w:pPr>
        <w:pStyle w:val="Prrafodelista"/>
        <w:spacing w:after="0" w:line="240" w:lineRule="auto"/>
        <w:ind w:left="567"/>
        <w:jc w:val="both"/>
        <w:rPr>
          <w:rFonts w:ascii="Cambria" w:hAnsi="Cambria" w:cs="Arial"/>
          <w:sz w:val="24"/>
          <w:szCs w:val="24"/>
          <w:lang w:val="es-CR"/>
        </w:rPr>
      </w:pPr>
      <w:r>
        <w:rPr>
          <w:rFonts w:ascii="Cambria" w:hAnsi="Cambria" w:cs="Arial"/>
          <w:sz w:val="24"/>
          <w:szCs w:val="24"/>
          <w:lang w:val="es-CR"/>
        </w:rPr>
        <w:t xml:space="preserve">Las modificaciones al </w:t>
      </w:r>
      <w:r w:rsidRPr="000A75BC">
        <w:rPr>
          <w:rFonts w:ascii="Cambria" w:hAnsi="Cambria" w:cs="Arial"/>
          <w:i/>
          <w:sz w:val="24"/>
          <w:szCs w:val="24"/>
          <w:lang w:val="es-CR"/>
        </w:rPr>
        <w:t>Reglamento sobre la solvencia de entidades de seguros y rease</w:t>
      </w:r>
      <w:r>
        <w:rPr>
          <w:rFonts w:ascii="Cambria" w:hAnsi="Cambria" w:cs="Arial"/>
          <w:i/>
          <w:sz w:val="24"/>
          <w:szCs w:val="24"/>
          <w:lang w:val="es-CR"/>
        </w:rPr>
        <w:t>guros</w:t>
      </w:r>
      <w:r>
        <w:rPr>
          <w:rFonts w:ascii="Cambria" w:hAnsi="Cambria" w:cs="Arial"/>
          <w:sz w:val="24"/>
          <w:szCs w:val="24"/>
          <w:lang w:val="es-CR"/>
        </w:rPr>
        <w:t>, aprobadas por el CONASSIF, rigen a partir de su comunicación, la cual tuvo lugar el 5 de junio de 2020.  En virtud de esto, es urgente proporcionar a las entidades, la herramienta que les permita cumplir lo establecido en el Reglamento en cita, dentro de plazo dispuesto en las normas de remisión de información, de manera que la Superintendencia, a su vez, pueda poner a disposición del público el resultado del ISC de las entidades de seguros al 30 de junio de 2020, dentro del plazo establecido en la reglamentación.</w:t>
      </w:r>
    </w:p>
    <w:p w14:paraId="6A24938B" w14:textId="77777777" w:rsidR="00DB02B0" w:rsidRPr="000A75BC" w:rsidRDefault="00DB02B0" w:rsidP="00DB02B0">
      <w:pPr>
        <w:pStyle w:val="Prrafodelista"/>
        <w:spacing w:after="0" w:line="240" w:lineRule="auto"/>
        <w:ind w:left="0"/>
        <w:contextualSpacing w:val="0"/>
        <w:jc w:val="both"/>
        <w:rPr>
          <w:rFonts w:ascii="Cambria" w:hAnsi="Cambria" w:cs="Arial"/>
          <w:b/>
          <w:sz w:val="24"/>
          <w:szCs w:val="24"/>
          <w:lang w:val="es-CR"/>
        </w:rPr>
      </w:pPr>
    </w:p>
    <w:p w14:paraId="183D3256" w14:textId="77777777" w:rsidR="00DB02B0" w:rsidRPr="000A75BC" w:rsidRDefault="00DB02B0" w:rsidP="00DB02B0">
      <w:pPr>
        <w:pStyle w:val="Prrafodelista"/>
        <w:spacing w:after="0" w:line="240" w:lineRule="auto"/>
        <w:ind w:left="0"/>
        <w:contextualSpacing w:val="0"/>
        <w:jc w:val="both"/>
        <w:rPr>
          <w:rFonts w:ascii="Cambria" w:hAnsi="Cambria" w:cs="Arial"/>
          <w:b/>
          <w:sz w:val="24"/>
          <w:szCs w:val="24"/>
          <w:lang w:val="es-CR"/>
        </w:rPr>
      </w:pPr>
    </w:p>
    <w:p w14:paraId="7EC0C3DD" w14:textId="77777777" w:rsidR="00DB02B0" w:rsidRPr="00DB02B0" w:rsidRDefault="00DB02B0" w:rsidP="00DB02B0">
      <w:pPr>
        <w:pStyle w:val="Prrafodelista"/>
        <w:spacing w:after="0" w:line="240" w:lineRule="auto"/>
        <w:ind w:left="0"/>
        <w:contextualSpacing w:val="0"/>
        <w:jc w:val="center"/>
        <w:rPr>
          <w:rFonts w:ascii="Cambria" w:hAnsi="Cambria" w:cs="Arial"/>
          <w:b/>
          <w:sz w:val="28"/>
          <w:szCs w:val="28"/>
          <w:lang w:val="es-CR"/>
        </w:rPr>
      </w:pPr>
      <w:r w:rsidRPr="00DB02B0">
        <w:rPr>
          <w:rFonts w:ascii="Cambria" w:hAnsi="Cambria" w:cs="Arial"/>
          <w:b/>
          <w:sz w:val="28"/>
          <w:szCs w:val="28"/>
          <w:lang w:val="es-CR"/>
        </w:rPr>
        <w:t>Acuerda:</w:t>
      </w:r>
    </w:p>
    <w:p w14:paraId="4426DF15" w14:textId="77777777" w:rsidR="00DB02B0" w:rsidRPr="00D510B1" w:rsidRDefault="00DB02B0" w:rsidP="00DB02B0">
      <w:pPr>
        <w:pStyle w:val="Prrafodelista"/>
        <w:spacing w:after="0" w:line="240" w:lineRule="auto"/>
        <w:ind w:left="0"/>
        <w:jc w:val="both"/>
        <w:rPr>
          <w:rFonts w:ascii="Cambria" w:hAnsi="Cambria" w:cs="Arial"/>
          <w:sz w:val="24"/>
          <w:szCs w:val="24"/>
        </w:rPr>
      </w:pPr>
    </w:p>
    <w:p w14:paraId="224914C1" w14:textId="77777777" w:rsidR="00DB02B0" w:rsidRPr="00D510B1" w:rsidRDefault="00DB02B0" w:rsidP="00DB02B0">
      <w:pPr>
        <w:jc w:val="both"/>
        <w:rPr>
          <w:rFonts w:ascii="Cambria" w:hAnsi="Cambria" w:cs="Arial"/>
        </w:rPr>
      </w:pPr>
      <w:r w:rsidRPr="00D510B1">
        <w:rPr>
          <w:rFonts w:ascii="Cambria" w:hAnsi="Cambria" w:cs="Arial"/>
          <w:b/>
        </w:rPr>
        <w:t>Primero:</w:t>
      </w:r>
      <w:r w:rsidRPr="00D510B1">
        <w:rPr>
          <w:rFonts w:ascii="Cambria" w:hAnsi="Cambria" w:cs="Arial"/>
        </w:rPr>
        <w:t xml:space="preserve"> Modificar el Anexo 4  del acuerdo </w:t>
      </w:r>
      <w:r w:rsidRPr="00D510B1">
        <w:rPr>
          <w:rFonts w:ascii="Cambria" w:hAnsi="Cambria" w:cs="Arial"/>
          <w:lang w:val="es-CR"/>
        </w:rPr>
        <w:t xml:space="preserve">SGS-A-021-2013, </w:t>
      </w:r>
      <w:r w:rsidRPr="00D510B1">
        <w:rPr>
          <w:rFonts w:ascii="Cambria" w:hAnsi="Cambria" w:cs="Arial"/>
          <w:i/>
          <w:lang w:val="es-CR"/>
        </w:rPr>
        <w:t>Disposiciones para la Remisión de la Información Contable y Estadística a la Superintendencia General de Seguros por parte de las Entidades Supervisadas,</w:t>
      </w:r>
      <w:r w:rsidRPr="00D510B1">
        <w:rPr>
          <w:rFonts w:ascii="Cambria" w:hAnsi="Cambria" w:cs="Arial"/>
        </w:rPr>
        <w:t xml:space="preserve">  que contiene el archivo con el  formato de presentación de la información para el cálculo del Índice de Suficiencia de Capital de las entidades de seguros y reaseguros, para que en adelante se remita según la versión adjunta.</w:t>
      </w:r>
    </w:p>
    <w:p w14:paraId="68ADE7B5" w14:textId="77777777" w:rsidR="00DB02B0" w:rsidRDefault="00DB02B0" w:rsidP="00DB02B0">
      <w:pPr>
        <w:rPr>
          <w:rFonts w:ascii="Cambria" w:hAnsi="Cambria" w:cs="Arial"/>
        </w:rPr>
      </w:pPr>
    </w:p>
    <w:p w14:paraId="729F0269" w14:textId="77777777" w:rsidR="00DB02B0" w:rsidRPr="00D510B1" w:rsidRDefault="00DB02B0" w:rsidP="00DB02B0">
      <w:pPr>
        <w:rPr>
          <w:rFonts w:ascii="Cambria" w:hAnsi="Cambria" w:cs="Arial"/>
        </w:rPr>
      </w:pPr>
    </w:p>
    <w:p w14:paraId="592C796B" w14:textId="77777777" w:rsidR="00DB02B0" w:rsidRPr="00D510B1" w:rsidRDefault="00DB02B0" w:rsidP="00DB02B0">
      <w:pPr>
        <w:jc w:val="center"/>
        <w:rPr>
          <w:rFonts w:ascii="Cambria" w:hAnsi="Cambria" w:cs="Arial"/>
          <w:lang w:val="es-CR"/>
        </w:rPr>
      </w:pPr>
      <w:r>
        <w:rPr>
          <w:rFonts w:ascii="Cambria" w:hAnsi="Cambria" w:cs="Arial"/>
          <w:lang w:val="es-CR"/>
        </w:rPr>
        <w:object w:dxaOrig="1533" w:dyaOrig="990" w14:anchorId="161F03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2pt;height:50.4pt" o:ole="">
            <v:imagedata r:id="rId13" o:title=""/>
          </v:shape>
          <o:OLEObject Type="Embed" ProgID="Excel.Sheet.12" ShapeID="_x0000_i1025" DrawAspect="Icon" ObjectID="_1653392325" r:id="rId14"/>
        </w:object>
      </w:r>
    </w:p>
    <w:p w14:paraId="1A3AE0B4" w14:textId="77777777" w:rsidR="00DB02B0" w:rsidRPr="00D510B1" w:rsidRDefault="00DB02B0" w:rsidP="00DB02B0">
      <w:pPr>
        <w:rPr>
          <w:rFonts w:ascii="Cambria" w:hAnsi="Cambria" w:cs="Arial"/>
          <w:lang w:val="es-CR"/>
        </w:rPr>
      </w:pPr>
    </w:p>
    <w:p w14:paraId="5FCB2345" w14:textId="77777777" w:rsidR="00DB02B0" w:rsidRPr="00D510B1" w:rsidRDefault="00DB02B0" w:rsidP="00DB02B0">
      <w:pPr>
        <w:rPr>
          <w:rFonts w:ascii="Cambria" w:hAnsi="Cambria" w:cs="Arial"/>
          <w:lang w:val="es-CR"/>
        </w:rPr>
      </w:pPr>
    </w:p>
    <w:p w14:paraId="0F14EBA8" w14:textId="77777777" w:rsidR="00DB02B0" w:rsidRPr="00B80C92" w:rsidRDefault="00DB02B0" w:rsidP="00DB02B0">
      <w:pPr>
        <w:jc w:val="both"/>
        <w:rPr>
          <w:rFonts w:asciiTheme="majorHAnsi" w:hAnsiTheme="majorHAnsi" w:cs="Arial"/>
          <w:lang w:val="es-CR"/>
        </w:rPr>
      </w:pPr>
      <w:r w:rsidRPr="00D6025B">
        <w:rPr>
          <w:rFonts w:ascii="Cambria" w:hAnsi="Cambria"/>
          <w:b/>
          <w:lang w:val="es-CR"/>
        </w:rPr>
        <w:lastRenderedPageBreak/>
        <w:t>Segundo</w:t>
      </w:r>
      <w:r>
        <w:rPr>
          <w:rFonts w:asciiTheme="majorHAnsi" w:hAnsiTheme="majorHAnsi"/>
        </w:rPr>
        <w:t>:</w:t>
      </w:r>
      <w:r w:rsidRPr="00D6025B">
        <w:rPr>
          <w:rFonts w:asciiTheme="majorHAnsi" w:hAnsiTheme="majorHAnsi"/>
        </w:rPr>
        <w:t xml:space="preserve"> </w:t>
      </w:r>
      <w:r w:rsidRPr="00B80C92">
        <w:rPr>
          <w:rFonts w:asciiTheme="majorHAnsi" w:hAnsiTheme="majorHAnsi"/>
        </w:rPr>
        <w:t>Actualizar la versión publicada de</w:t>
      </w:r>
      <w:r>
        <w:rPr>
          <w:rFonts w:asciiTheme="majorHAnsi" w:hAnsiTheme="majorHAnsi"/>
        </w:rPr>
        <w:t xml:space="preserve">l acuerdo de Superintendente </w:t>
      </w:r>
      <w:r w:rsidRPr="00B80C92">
        <w:rPr>
          <w:rFonts w:asciiTheme="majorHAnsi" w:hAnsiTheme="majorHAnsi"/>
        </w:rPr>
        <w:t>SGS-DES-A-021-2013 para incluir la modificaci</w:t>
      </w:r>
      <w:r>
        <w:rPr>
          <w:rFonts w:asciiTheme="majorHAnsi" w:hAnsiTheme="majorHAnsi"/>
        </w:rPr>
        <w:t xml:space="preserve">ón </w:t>
      </w:r>
      <w:r w:rsidRPr="00B80C92">
        <w:rPr>
          <w:rFonts w:asciiTheme="majorHAnsi" w:hAnsiTheme="majorHAnsi"/>
        </w:rPr>
        <w:t>señalada en este acto.</w:t>
      </w:r>
    </w:p>
    <w:p w14:paraId="30A13A7D" w14:textId="77777777" w:rsidR="00DB02B0" w:rsidRPr="00D510B1" w:rsidRDefault="00DB02B0" w:rsidP="00DB02B0">
      <w:pPr>
        <w:rPr>
          <w:rFonts w:ascii="Cambria" w:hAnsi="Cambria"/>
          <w:lang w:val="es-CR"/>
        </w:rPr>
      </w:pPr>
    </w:p>
    <w:p w14:paraId="344D9890" w14:textId="77777777" w:rsidR="00DB02B0" w:rsidRPr="00D510B1" w:rsidRDefault="00DB02B0" w:rsidP="00DB02B0">
      <w:pPr>
        <w:rPr>
          <w:rFonts w:ascii="Cambria" w:hAnsi="Cambria" w:cs="Arial"/>
        </w:rPr>
      </w:pPr>
      <w:r w:rsidRPr="00D510B1">
        <w:rPr>
          <w:rFonts w:ascii="Cambria" w:hAnsi="Cambria" w:cs="Arial"/>
        </w:rPr>
        <w:t>Rige a partir de su comunicación.</w:t>
      </w:r>
    </w:p>
    <w:p w14:paraId="1FE2AD46" w14:textId="77777777" w:rsidR="00DB02B0" w:rsidRPr="00D510B1" w:rsidRDefault="00DB02B0" w:rsidP="00DB02B0">
      <w:pPr>
        <w:rPr>
          <w:rFonts w:ascii="Cambria" w:hAnsi="Cambria" w:cs="Arial"/>
        </w:rPr>
      </w:pPr>
    </w:p>
    <w:p w14:paraId="561E0B8E" w14:textId="77777777" w:rsidR="00DB02B0" w:rsidRPr="00D510B1" w:rsidRDefault="00DB02B0" w:rsidP="00DB02B0">
      <w:pPr>
        <w:rPr>
          <w:rFonts w:ascii="Cambria" w:hAnsi="Cambria" w:cs="Arial"/>
        </w:rPr>
      </w:pPr>
      <w:r w:rsidRPr="00D510B1">
        <w:rPr>
          <w:rFonts w:ascii="Cambria" w:hAnsi="Cambria" w:cs="Arial"/>
        </w:rPr>
        <w:t>Comuníquese.</w:t>
      </w:r>
    </w:p>
    <w:p w14:paraId="59AE181B" w14:textId="77777777" w:rsidR="00DB02B0" w:rsidRPr="00986E01" w:rsidRDefault="00DB02B0" w:rsidP="00DB02B0">
      <w:pPr>
        <w:rPr>
          <w:rFonts w:ascii="Cambria" w:hAnsi="Cambria" w:cs="Arial"/>
        </w:rPr>
      </w:pPr>
    </w:p>
    <w:p w14:paraId="06DFB5A1" w14:textId="77777777" w:rsidR="00DB02B0" w:rsidRPr="00986E01" w:rsidRDefault="00DB02B0" w:rsidP="00DB02B0">
      <w:pPr>
        <w:rPr>
          <w:rFonts w:ascii="Cambria" w:hAnsi="Cambria" w:cs="Arial"/>
        </w:rPr>
      </w:pPr>
    </w:p>
    <w:bookmarkEnd w:id="1"/>
    <w:bookmarkEnd w:id="2"/>
    <w:p w14:paraId="4F479197" w14:textId="77777777" w:rsidR="00DB02B0" w:rsidRPr="00986E01" w:rsidRDefault="00DB02B0" w:rsidP="00DB02B0">
      <w:pPr>
        <w:rPr>
          <w:rFonts w:ascii="Cambria" w:hAnsi="Cambria" w:cs="Arial"/>
        </w:rPr>
      </w:pPr>
    </w:p>
    <w:p w14:paraId="07A93F3A" w14:textId="77777777" w:rsidR="00DB02B0" w:rsidRPr="00C40E8A" w:rsidRDefault="00DB02B0" w:rsidP="00DB02B0"/>
    <w:p w14:paraId="02EB40BB" w14:textId="77777777" w:rsidR="00761D54" w:rsidRPr="006A3734" w:rsidRDefault="005876B5" w:rsidP="007F09F5">
      <w:pPr>
        <w:jc w:val="both"/>
        <w:rPr>
          <w:rFonts w:ascii="Cambria" w:hAnsi="Cambria"/>
        </w:rPr>
      </w:pPr>
      <w:r>
        <w:rPr>
          <w:noProof/>
          <w:lang w:val="es-CR" w:eastAsia="es-CR"/>
        </w:rPr>
        <w:drawing>
          <wp:inline distT="0" distB="0" distL="0" distR="0" wp14:anchorId="3ECE71C0" wp14:editId="10EE95E4">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40E59" w14:textId="77777777" w:rsidR="00DB02B0" w:rsidRDefault="00DB02B0" w:rsidP="005A1442">
      <w:r>
        <w:separator/>
      </w:r>
    </w:p>
  </w:endnote>
  <w:endnote w:type="continuationSeparator" w:id="0">
    <w:p w14:paraId="08BD2770" w14:textId="77777777" w:rsidR="00DB02B0" w:rsidRDefault="00DB02B0"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4455C" w14:textId="77777777" w:rsidR="008D05DA" w:rsidRDefault="008D05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B1DAE" w14:textId="77777777" w:rsidR="00DB02B0" w:rsidRDefault="00DB02B0" w:rsidP="00DB02B0">
    <w:pPr>
      <w:pStyle w:val="Piedepgina"/>
      <w:pBdr>
        <w:top w:val="single" w:sz="4" w:space="1" w:color="auto"/>
      </w:pBdr>
      <w:rPr>
        <w:sz w:val="16"/>
        <w:szCs w:val="16"/>
      </w:rPr>
    </w:pPr>
  </w:p>
  <w:p w14:paraId="774E6EDB" w14:textId="77777777" w:rsidR="00DB02B0" w:rsidRPr="00F8332E" w:rsidRDefault="00DB02B0" w:rsidP="00DB02B0">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16FFAED0" w14:textId="77777777" w:rsidR="00DB02B0" w:rsidRDefault="00DB02B0" w:rsidP="00DB02B0">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69E220BA" w14:textId="77777777" w:rsidR="00F8332E" w:rsidRPr="00DB02B0" w:rsidRDefault="00CC261E" w:rsidP="00DB02B0">
    <w:pPr>
      <w:pStyle w:val="Piedepgina"/>
      <w:tabs>
        <w:tab w:val="clear" w:pos="8838"/>
      </w:tabs>
      <w:jc w:val="right"/>
      <w:rPr>
        <w:rFonts w:ascii="Baskerville Old Face" w:hAnsi="Baskerville Old Face"/>
        <w:sz w:val="18"/>
        <w:szCs w:val="18"/>
      </w:rPr>
    </w:pPr>
    <w:hyperlink r:id="rId1" w:history="1">
      <w:r w:rsidR="00DB02B0"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8CAA" w14:textId="77777777" w:rsidR="00843EE4" w:rsidRDefault="00843EE4" w:rsidP="00A83BA5">
    <w:pPr>
      <w:pStyle w:val="Piedepgina"/>
      <w:pBdr>
        <w:top w:val="single" w:sz="4" w:space="1" w:color="auto"/>
      </w:pBdr>
      <w:rPr>
        <w:sz w:val="16"/>
        <w:szCs w:val="16"/>
      </w:rPr>
    </w:pPr>
  </w:p>
  <w:p w14:paraId="1AD64E52"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2A875D3B"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2610782D" w14:textId="77777777" w:rsidR="00843EE4" w:rsidRPr="00A83BA5" w:rsidRDefault="00CC261E"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F20258" w14:textId="77777777" w:rsidR="00DB02B0" w:rsidRDefault="00DB02B0" w:rsidP="005A1442">
      <w:r>
        <w:separator/>
      </w:r>
    </w:p>
  </w:footnote>
  <w:footnote w:type="continuationSeparator" w:id="0">
    <w:p w14:paraId="2FCEFA6F" w14:textId="77777777" w:rsidR="00DB02B0" w:rsidRDefault="00DB02B0"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D1AF5" w14:textId="77777777" w:rsidR="008D05DA" w:rsidRDefault="008D05D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9C1B8"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275F894B" wp14:editId="1722BD84">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1E59A99B" w14:textId="77777777" w:rsidR="00373AC0" w:rsidRPr="009618C8" w:rsidRDefault="00373AC0" w:rsidP="00373AC0">
    <w:pPr>
      <w:pStyle w:val="Encabezado"/>
      <w:rPr>
        <w:rFonts w:asciiTheme="majorHAnsi" w:hAnsiTheme="majorHAnsi"/>
        <w:sz w:val="16"/>
        <w:szCs w:val="16"/>
      </w:rPr>
    </w:pPr>
  </w:p>
  <w:p w14:paraId="70CC593A" w14:textId="6C6591C8"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8D05DA">
      <w:rPr>
        <w:rFonts w:asciiTheme="majorHAnsi" w:hAnsiTheme="majorHAnsi"/>
        <w:b/>
        <w:bCs/>
        <w:i/>
      </w:rPr>
      <w:t>071-2020</w:t>
    </w:r>
  </w:p>
  <w:p w14:paraId="6A87EF91"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CC261E">
      <w:rPr>
        <w:rFonts w:asciiTheme="majorHAnsi" w:hAnsiTheme="majorHAnsi"/>
        <w:noProof/>
        <w:sz w:val="24"/>
        <w:szCs w:val="24"/>
        <w:lang w:val="es-MX"/>
      </w:rPr>
      <w:t>4</w:t>
    </w:r>
    <w:r w:rsidRPr="00373AC0">
      <w:rPr>
        <w:rFonts w:asciiTheme="majorHAnsi" w:hAnsiTheme="majorHAnsi"/>
        <w:sz w:val="24"/>
        <w:szCs w:val="24"/>
        <w:lang w:val="es-MX"/>
      </w:rPr>
      <w:fldChar w:fldCharType="end"/>
    </w:r>
  </w:p>
  <w:p w14:paraId="7BFE8449"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DFAAA"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2ACD3E6E" wp14:editId="1EE0D4C2">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9C6546D"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764BC9"/>
    <w:multiLevelType w:val="hybridMultilevel"/>
    <w:tmpl w:val="8550B240"/>
    <w:lvl w:ilvl="0" w:tplc="E56292B0">
      <w:start w:val="1"/>
      <w:numFmt w:val="decimal"/>
      <w:lvlText w:val="%1."/>
      <w:lvlJc w:val="left"/>
      <w:pPr>
        <w:ind w:left="1070" w:hanging="360"/>
      </w:pPr>
      <w:rPr>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2B0"/>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B53DB"/>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05DA"/>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3E41"/>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261E"/>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2B0"/>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BF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rrafodelistaCar">
    <w:name w:val="Párrafo de lista Car"/>
    <w:aliases w:val="Informe Car,Con viñetas Car,Normal con viñetas Car,3 Car,Use Case List Paragraph Car,Bullet 1 Car"/>
    <w:basedOn w:val="Fuentedeprrafopredeter"/>
    <w:link w:val="Prrafodelista"/>
    <w:uiPriority w:val="34"/>
    <w:locked/>
    <w:rsid w:val="00DB02B0"/>
    <w:rPr>
      <w:rFonts w:ascii="Calibri" w:eastAsia="Calibri" w:hAnsi="Calibri" w:cs="Times New Roman"/>
      <w:lang w:val="es-ES"/>
    </w:rPr>
  </w:style>
  <w:style w:type="paragraph" w:styleId="Prrafodelista">
    <w:name w:val="List Paragraph"/>
    <w:aliases w:val="Informe,Con viñetas,Normal con viñetas,3,Use Case List Paragraph,Bullet 1"/>
    <w:basedOn w:val="Normal"/>
    <w:link w:val="PrrafodelistaCar"/>
    <w:uiPriority w:val="34"/>
    <w:qFormat/>
    <w:rsid w:val="00DB02B0"/>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footnotes" Target="footnotes.xml"/><Relationship Id="rId23" Type="http://schemas.openxmlformats.org/officeDocument/2006/relationships/theme" Target="theme/theme1.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Hoja_de_c_lculo_de_Microsoft_Excel1.xls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WelPARO7VN4EjuA4POQAxSyGBzcQ9BFB23OgUE0H5mc=</DigestValue>
    </Reference>
    <Reference Type="http://www.w3.org/2000/09/xmldsig#Object" URI="#idOfficeObject">
      <DigestMethod Algorithm="http://www.w3.org/2001/04/xmlenc#sha256"/>
      <DigestValue>x835i3Ki+WQkt+8PSQ4zisVMjl3SbzOv9TOGHQFz7fA=</DigestValue>
    </Reference>
    <Reference Type="http://uri.etsi.org/01903#SignedProperties" URI="#idSignedProperties">
      <Transforms>
        <Transform Algorithm="http://www.w3.org/TR/2001/REC-xml-c14n-20010315"/>
      </Transforms>
      <DigestMethod Algorithm="http://www.w3.org/2001/04/xmlenc#sha256"/>
      <DigestValue>ycSbnzXl/RDV+7+XyHQR8u3rlB5SdZmqf5QA5p5taN8=</DigestValue>
    </Reference>
  </SignedInfo>
  <SignatureValue>UY1BvygA8FX4DmvIJuQseyJjX4FcNUX2ulwUSJWiEueno1FSkHSLbCEsCkzY9M6ZvdLjwUDa3qDJ
U9IvG9eqK8Tvcn9jG70fmmA4nFP4pwvAg/JT9AEPab8UbM/sfIhmhyNTx+ppE3w7EPIXKlyGg1oo
4yrU94xo1dW0ZyYq7V9l5EBgLuGCkbCA+RC8ENboYoyM35XZPIIPKBFWdUy/nCECY4HZTu8BzmEZ
QRSPIXLVt+Ngizl4D0lFhWc9qpL1Rk7vN1jLz3uUB+G0gQeAHMs8K7cYVByrTDtxQjVzM/QD5QtN
p5PLZXAn45FF15t+U5aG7f2uEDAhS4O3P1cUTQ==</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Transform>
          <Transform Algorithm="http://www.w3.org/TR/2001/REC-xml-c14n-20010315"/>
        </Transforms>
        <DigestMethod Algorithm="http://www.w3.org/2001/04/xmlenc#sha256"/>
        <DigestValue>MIlp1CIxNHxk0H3X1fwBjz2gfDwO8FdXQUh/XFNvoYk=</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dOFnc3cOmu4xxt4+P5mgmenjTZQoBvUvI9sik6huYWk=</DigestValue>
      </Reference>
      <Reference URI="/word/document.xml?ContentType=application/vnd.openxmlformats-officedocument.wordprocessingml.document.main+xml">
        <DigestMethod Algorithm="http://www.w3.org/2001/04/xmlenc#sha256"/>
        <DigestValue>3NpwY9vSujLvaTRp3R+mrXCDBUv25taiAwEX/0XvUWE=</DigestValue>
      </Reference>
      <Reference URI="/word/embeddings/Hoja_de_c_lculo_de_Microsoft_Excel1.xlsx?ContentType=application/vnd.openxmlformats-officedocument.spreadsheetml.sheet">
        <DigestMethod Algorithm="http://www.w3.org/2001/04/xmlenc#sha256"/>
        <DigestValue>EFzhN1QZFSeiFgEigtqYOUSDSI8k79u1TKVeVsm5MRY=</DigestValue>
      </Reference>
      <Reference URI="/word/endnotes.xml?ContentType=application/vnd.openxmlformats-officedocument.wordprocessingml.endnotes+xml">
        <DigestMethod Algorithm="http://www.w3.org/2001/04/xmlenc#sha256"/>
        <DigestValue>eK/3QEdF8o9aBNBxpMu3y2+OWb/o5F08HE+qiTmYCEU=</DigestValue>
      </Reference>
      <Reference URI="/word/fontTable.xml?ContentType=application/vnd.openxmlformats-officedocument.wordprocessingml.fontTable+xml">
        <DigestMethod Algorithm="http://www.w3.org/2001/04/xmlenc#sha256"/>
        <DigestValue>f3uObP78o8xQjzzDYSW2+P74ztl731rdTRw23Z4P7vs=</DigestValue>
      </Reference>
      <Reference URI="/word/footer1.xml?ContentType=application/vnd.openxmlformats-officedocument.wordprocessingml.footer+xml">
        <DigestMethod Algorithm="http://www.w3.org/2001/04/xmlenc#sha256"/>
        <DigestValue>zNrXFPHaZw7flcGjCHOZbLhGJS/h7zYUfWuVBxTXUxc=</DigestValue>
      </Reference>
      <Reference URI="/word/footer2.xml?ContentType=application/vnd.openxmlformats-officedocument.wordprocessingml.footer+xml">
        <DigestMethod Algorithm="http://www.w3.org/2001/04/xmlenc#sha256"/>
        <DigestValue>dYRtSx543t6sZVTd8dO/n8TVAyj5ey+FuJ8TItD5Soo=</DigestValue>
      </Reference>
      <Reference URI="/word/footer3.xml?ContentType=application/vnd.openxmlformats-officedocument.wordprocessingml.footer+xml">
        <DigestMethod Algorithm="http://www.w3.org/2001/04/xmlenc#sha256"/>
        <DigestValue>gToZchE8y6nusfI6VSTsELVoKJ1cNwBhwxZ9cuAXUpo=</DigestValue>
      </Reference>
      <Reference URI="/word/footnotes.xml?ContentType=application/vnd.openxmlformats-officedocument.wordprocessingml.footnotes+xml">
        <DigestMethod Algorithm="http://www.w3.org/2001/04/xmlenc#sha256"/>
        <DigestValue>22o0LOKCUN/NlrwQF0LlxVgiY4lvSIksMvp7v9EIe2k=</DigestValue>
      </Reference>
      <Reference URI="/word/header1.xml?ContentType=application/vnd.openxmlformats-officedocument.wordprocessingml.header+xml">
        <DigestMethod Algorithm="http://www.w3.org/2001/04/xmlenc#sha256"/>
        <DigestValue>AX9kwjz3Nn9qTCW03Za+1HXfUVtsDIs7ZuO+udoer5E=</DigestValue>
      </Reference>
      <Reference URI="/word/header2.xml?ContentType=application/vnd.openxmlformats-officedocument.wordprocessingml.header+xml">
        <DigestMethod Algorithm="http://www.w3.org/2001/04/xmlenc#sha256"/>
        <DigestValue>rfkecbMDlT74IVERbx1VTevp7XuaWMLriefV55b4yvE=</DigestValue>
      </Reference>
      <Reference URI="/word/header3.xml?ContentType=application/vnd.openxmlformats-officedocument.wordprocessingml.header+xml">
        <DigestMethod Algorithm="http://www.w3.org/2001/04/xmlenc#sha256"/>
        <DigestValue>6VvH9e6TRhLUR6b8jy75Jvh21+hWf4/8kXv1GDICWj8=</DigestValue>
      </Reference>
      <Reference URI="/word/media/image1.emf?ContentType=image/x-emf">
        <DigestMethod Algorithm="http://www.w3.org/2001/04/xmlenc#sha256"/>
        <DigestValue>+PgWUQTr5xG4Bh7K5BK79/C+0yW5+2TdqqawLMWF7Fk=</DigestValue>
      </Reference>
      <Reference URI="/word/media/image2.png?ContentType=image/png">
        <DigestMethod Algorithm="http://www.w3.org/2001/04/xmlenc#sha256"/>
        <DigestValue>8ow0IbLvIuBewu4WCsfpgILO/EmmHhLyHA30uNxvsQ8=</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ICPdfoCo3hmza1SEcSa7o5j0OhsXrhwZwR00TVC+7Ns=</DigestValue>
      </Reference>
      <Reference URI="/word/settings.xml?ContentType=application/vnd.openxmlformats-officedocument.wordprocessingml.settings+xml">
        <DigestMethod Algorithm="http://www.w3.org/2001/04/xmlenc#sha256"/>
        <DigestValue>fTuE4GZYxMbjE0yc8TTu378xQT45mWg/OTsVV3h8Z0k=</DigestValue>
      </Reference>
      <Reference URI="/word/styles.xml?ContentType=application/vnd.openxmlformats-officedocument.wordprocessingml.styles+xml">
        <DigestMethod Algorithm="http://www.w3.org/2001/04/xmlenc#sha256"/>
        <DigestValue>7i3918aSssGbwzbUO2bBcYFSQ+eCdYRG/L982joyD4o=</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6nmSxbFw8mM+9fE3wuJZo6coJOoxo5lAnbgkWURN9t0=</DigestValue>
      </Reference>
    </Manifest>
    <SignatureProperties>
      <SignatureProperty Id="idSignatureTime" Target="#idPackageSignature">
        <mdssi:SignatureTime xmlns:mdssi="http://schemas.openxmlformats.org/package/2006/digital-signature">
          <mdssi:Format>YYYY-MM-DDThh:mm:ssTZD</mdssi:Format>
          <mdssi:Value>2020-06-11T20:52:55Z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2020-06-11T20:52:55Z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Dq5LsVAbaP6DE2nZAn6fEbeUPJot3fbKAsqYbdP1RxsCBAnxCewYDzIwMjAwNjExMjA1MzA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</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</xd:EncapsulatedCRLValue>
                <xd:EncapsulatedCRLValue>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</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MaU5rsrDqGKSrow81xi9BVr2TKo=</xd:ByKey>
                  </xd:ResponderID>
                  <xd:ProducedAt>2020-06-10T15:54:51Z</xd:ProducedAt>
                </xd:OCSPIdentifier>
                <xd:DigestAlgAndValue>
                  <DigestMethod Algorithm="http://www.w3.org/2001/04/xmlenc#sha256"/>
                  <DigestValue>5sIWvhMyyPmnLG5e71R23ee1xqPOQ2fooIvK7vc0Xuk=</DigestValue>
                </xd:DigestAlgAndValue>
              </xd:OCSPRef>
            </xd:OCSPRefs>
            <xd:CRLRefs>
              <xd:CRLRef>
                <xd:DigestAlgAndValue>
                  <DigestMethod Algorithm="http://www.w3.org/2001/04/xmlenc#sha256"/>
                  <DigestValue>4k5NmmNd3USkBwZp4RwL9qd8665U/Lu8ngPcxNIJCPU=</DigestValue>
                </xd:DigestAlgAndValue>
                <xd:CRLIdentifier>
                  <xd:Issuer>CN=CA POLITICA PERSONA FISICA - COSTA RICA v2, OU=DCFD, O=MICITT, C=CR, SERIALNUMBER=CPJ-2-100-098311</xd:Issuer>
                  <xd:IssueTime>2020-05-15T17:39:22Z</xd:IssueTime>
                </xd:CRLIdentifier>
              </xd:CRLRef>
              <xd:CRLRef>
                <xd:DigestAlgAndValue>
                  <DigestMethod Algorithm="http://www.w3.org/2001/04/xmlenc#sha256"/>
                  <DigestValue>5oogyZeGbDhG0LzyS2Dt49yDLGWsgSPrJMafbH3ZacQ=</DigestValue>
                </xd:DigestAlgAndValue>
                <xd:CRLIdentifier>
                  <xd:Issuer>CN=CA RAIZ NACIONAL - COSTA RICA v2, C=CR, O=MICITT, OU=DCFD, SERIALNUMBER=CPJ-2-100-098311</xd:Issuer>
                  <xd:IssueTime>2020-05-15T17:00:18Z</xd:IssueTime>
                </xd:CRLIdentifier>
              </xd:CRLRef>
            </xd:CRLRefs>
          </xd:CompleteRevocationRefs>
          <xd:RevocationValues>
            <xd:OCSPValues>
              <xd:EncapsulatedOCSPValue>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</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</xd:EncapsulatedCRLValue>
              <xd:EncapsulatedCRLValue>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uI8GyNvw+ofwGPvP9TAS4McdlfXHjAU8Y7KQOpN2ksQCBAnxCe0YDzIwMjAwNjExMjA1MzAy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</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e70cbf463ba4d19a6203d9e6cd457e4 xmlns="b875e23b-67d9-4b2e-bdec-edacbf90b326">
      <Terms xmlns="http://schemas.microsoft.com/office/infopath/2007/PartnerControls">
        <TermInfo xmlns="http://schemas.microsoft.com/office/infopath/2007/PartnerControls">
          <TermName xmlns="http://schemas.microsoft.com/office/infopath/2007/PartnerControls">Aseguradoras</TermName>
          <TermId xmlns="http://schemas.microsoft.com/office/infopath/2007/PartnerControls">84cf61bd-265e-4fe1-82e5-e22fa019a8e8</TermId>
        </TermInfo>
      </Terms>
    </oe70cbf463ba4d19a6203d9e6cd457e4>
    <lb0b7da792b243d9bfa96ad7487ad734 xmlns="b875e23b-67d9-4b2e-bdec-edacbf90b326">Confidenciald19c5cf3-f0e9-4d18-86d2-7bee4000e1ea</lb0b7da792b243d9bfa96ad7487ad734>
    <l7effaed12754cb5ac10c41f8d7b4c94 xmlns="b875e23b-67d9-4b2e-bdec-edacbf90b326">
      <Terms xmlns="http://schemas.microsoft.com/office/infopath/2007/PartnerControls">
        <TermInfo xmlns="http://schemas.microsoft.com/office/infopath/2007/PartnerControls">
          <TermName xmlns="http://schemas.microsoft.com/office/infopath/2007/PartnerControls">Oficio</TermName>
          <TermId xmlns="http://schemas.microsoft.com/office/infopath/2007/PartnerControls">417b7e3a-1426-4267-afb3-20be5f4d6412</TermId>
        </TermInfo>
      </Terms>
    </l7effaed12754cb5ac10c41f8d7b4c94>
    <AcuseRecibo xmlns="b875e23b-67d9-4b2e-bdec-edacbf90b326">Sí</AcuseRecibo>
    <Firmado xmlns="b875e23b-67d9-4b2e-bdec-edacbf90b326">true</Firmado>
    <FirmadoPor xmlns="b875e23b-67d9-4b2e-bdec-edacbf90b326">
      <UserInfo>
        <DisplayName>i:0#.w|sugese\soleypt</DisplayName>
        <AccountId>443</AccountId>
        <AccountType/>
      </UserInfo>
    </FirmadoPor>
    <e78d451c341b4341be14d5956588aac4 xmlns="b875e23b-67d9-4b2e-bdec-edacbf90b326">
      <Terms xmlns="http://schemas.microsoft.com/office/infopath/2007/PartnerControls"/>
    </e78d451c341b4341be14d5956588aac4>
    <e698785e6df848ea9657bea28744f893 xmlns="b875e23b-67d9-4b2e-bdec-edacbf90b326">
      <Terms xmlns="http://schemas.microsoft.com/office/infopath/2007/PartnerControls">
        <TermInfo xmlns="http://schemas.microsoft.com/office/infopath/2007/PartnerControls">
          <TermName xmlns="http://schemas.microsoft.com/office/infopath/2007/PartnerControls">SUGESE - Acuerdos</TermName>
          <TermId xmlns="http://schemas.microsoft.com/office/infopath/2007/PartnerControls">a4c1ee5f-324a-443d-88a9-d7759c9d5e33</TermId>
        </TermInfo>
      </Terms>
    </e698785e6df848ea9657bea28744f893>
    <c7a4f14da8a146089ab80d380d2664ad xmlns="b875e23b-67d9-4b2e-bdec-edacbf90b326">
      <Terms xmlns="http://schemas.microsoft.com/office/infopath/2007/PartnerControls">
        <TermInfo xmlns="http://schemas.microsoft.com/office/infopath/2007/PartnerControls">
          <TermName xmlns="http://schemas.microsoft.com/office/infopath/2007/PartnerControls">Media</TermName>
          <TermId xmlns="http://schemas.microsoft.com/office/infopath/2007/PartnerControls">3f3debfe-f918-4d91-ad3c-df12ce43024d</TermId>
        </TermInfo>
      </Terms>
    </c7a4f14da8a146089ab80d380d2664ad>
    <FechaEnvio xmlns="b875e23b-67d9-4b2e-bdec-edacbf90b326">2020-06-11T21:09:56+00:00</FechaEnvio>
    <FechaDocumento xmlns="b875e23b-67d9-4b2e-bdec-edacbf90b326">2020-06-10T06:00:00+00:00</FechaDocumento>
    <TaxCatchAll xmlns="b875e23b-67d9-4b2e-bdec-edacbf90b326">
      <Value>1</Value>
      <Value>257</Value>
      <Value>126</Value>
      <Value>292</Value>
      <Value>2</Value>
      <Value>3</Value>
    </TaxCatchAll>
    <Responsable xmlns="b875e23b-67d9-4b2e-bdec-edacbf90b326">
      <UserInfo>
        <DisplayName/>
        <AccountId xsi:nil="true"/>
        <AccountType/>
      </UserInfo>
    </Responsable>
    <EstadoCorrespondencia xmlns="b875e23b-67d9-4b2e-bdec-edacbf90b326">Enviado con acuse de recibo</EstadoCorrespondencia>
    <Subject1 xmlns="b875e23b-67d9-4b2e-bdec-edacbf90b326">Supervisados-modificación de solvencia por cuentas por cobrar y otros.</Subject1>
    <InformativoResolutivo xmlns="b875e23b-67d9-4b2e-bdec-edacbf90b326">Informativo</InformativoResolutivo>
    <Año xmlns="b875e23b-67d9-4b2e-bdec-edacbf90b326">2020</Año>
    <OtraEntidadExterna xmlns="b875e23b-67d9-4b2e-bdec-edacbf90b326" xsi:nil="true"/>
    <PlazoArchivo xmlns="b875e23b-67d9-4b2e-bdec-edacbf90b326">84</PlazoArchivo>
    <InformarA xmlns="b875e23b-67d9-4b2e-bdec-edacbf90b326">
      <UserInfo>
        <DisplayName>i:0#.w|sugese\gonzalezhc</DisplayName>
        <AccountId>444</AccountId>
        <AccountType/>
      </UserInfo>
    </InformarA>
    <ObservacionesCorrespondencia xmlns="b875e23b-67d9-4b2e-bdec-edacbf90b326" xsi:nil="true"/>
    <i59047726d7740049efd9a6f532367cb xmlns="b875e23b-67d9-4b2e-bdec-edacbf90b326">
      <Terms xmlns="http://schemas.microsoft.com/office/infopath/2007/PartnerControls">
        <TermInfo xmlns="http://schemas.microsoft.com/office/infopath/2007/PartnerControls">
          <TermName xmlns="http://schemas.microsoft.com/office/infopath/2007/PartnerControls">Media</TermName>
          <TermId xmlns="http://schemas.microsoft.com/office/infopath/2007/PartnerControls">7c263feb-a1d7-4b26-9b28-09e7514882c1</TermId>
        </TermInfo>
      </Terms>
    </i59047726d7740049efd9a6f532367cb>
    <h924ef3e1de042ccb3dddc0bf72d8fc0 xmlns="233f2551-3930-43c2-a744-679e70430545">
      <Terms xmlns="http://schemas.microsoft.com/office/infopath/2007/PartnerControls">
        <TermInfo xmlns="http://schemas.microsoft.com/office/infopath/2007/PartnerControls">
          <TermName xmlns="http://schemas.microsoft.com/office/infopath/2007/PartnerControls">Público</TermName>
          <TermId xmlns="http://schemas.microsoft.com/office/infopath/2007/PartnerControls">99c2402f-8ec3-4ca8-8024-be52e4e7f629</TermId>
        </TermInfo>
      </Terms>
    </h924ef3e1de042ccb3dddc0bf72d8fc0>
    <_dlc_ExpireDateSaved xmlns="http://schemas.microsoft.com/sharepoint/v3" xsi:nil="true"/>
    <_dlc_ExpireDate xmlns="http://schemas.microsoft.com/sharepoint/v3">2020-06-25T21:09:56+00:00</_dlc_ExpireDate>
  </documentManagement>
</p:propertie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7058C26D-E42E-463A-A8C2-8ABED4074048}"/>
</file>

<file path=customXml/itemProps2.xml><?xml version="1.0" encoding="utf-8"?>
<ds:datastoreItem xmlns:ds="http://schemas.openxmlformats.org/officeDocument/2006/customXml" ds:itemID="{A464F4DF-72CE-4A40-9D1C-3D5035855E0E}"/>
</file>

<file path=customXml/itemProps3.xml><?xml version="1.0" encoding="utf-8"?>
<ds:datastoreItem xmlns:ds="http://schemas.openxmlformats.org/officeDocument/2006/customXml" ds:itemID="{5A9B9BE7-2460-4AE1-8C1D-840726CA7EE3}"/>
</file>

<file path=customXml/itemProps4.xml><?xml version="1.0" encoding="utf-8"?>
<ds:datastoreItem xmlns:ds="http://schemas.openxmlformats.org/officeDocument/2006/customXml" ds:itemID="{3503DE95-5581-4BD5-B7FC-1EF6E009C2A3}">
  <ds:schemaRefs>
    <ds:schemaRef ds:uri="http://schemas.microsoft.com/sharepoint/events"/>
  </ds:schemaRefs>
</ds:datastoreItem>
</file>

<file path=customXml/itemProps5.xml><?xml version="1.0" encoding="utf-8"?>
<ds:datastoreItem xmlns:ds="http://schemas.openxmlformats.org/officeDocument/2006/customXml" ds:itemID="{A464F4DF-72CE-4A40-9D1C-3D5035855E0E}">
  <ds:schemaRefs>
    <ds:schemaRef ds:uri="http://www.w3.org/XML/1998/namespace"/>
    <ds:schemaRef ds:uri="http://purl.org/dc/terms/"/>
    <ds:schemaRef ds:uri="http://schemas.microsoft.com/sharepoint/v3"/>
    <ds:schemaRef ds:uri="b875e23b-67d9-4b2e-bdec-edacbf90b326"/>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purl.org/dc/elements/1.1/"/>
    <ds:schemaRef ds:uri="http://schemas.microsoft.com/office/infopath/2007/PartnerControls"/>
    <ds:schemaRef ds:uri="233f2551-3930-43c2-a744-679e70430545"/>
  </ds:schemaRefs>
</ds:datastoreItem>
</file>

<file path=customXml/itemProps6.xml><?xml version="1.0" encoding="utf-8"?>
<ds:datastoreItem xmlns:ds="http://schemas.openxmlformats.org/officeDocument/2006/customXml" ds:itemID="{13D722A3-4C67-46AF-8C9A-7D0E13644C7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Plantilla-SGS-A-13.dotm</Template>
  <TotalTime>0</TotalTime>
  <Pages>4</Pages>
  <Words>1035</Words>
  <Characters>5698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SGS-A-0071-2020</dc:title>
  <dc:creator/>
  <cp:lastModifiedBy/>
  <cp:revision>1</cp:revision>
  <dcterms:created xsi:type="dcterms:W3CDTF">2020-06-10T20:07:00Z</dcterms:created>
  <dcterms:modified xsi:type="dcterms:W3CDTF">2020-06-11T20:52:00Z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2;#Media|7c263feb-a1d7-4b26-9b28-09e7514882c1</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3;#Media|3f3debfe-f918-4d91-ad3c-df12ce43024d</vt:lpwstr>
  </property>
  <property fmtid="{D5CDD505-2E9C-101B-9397-08002B2CF9AE}" pid="10" name="Confidencialidad1">
    <vt:lpwstr>1;#Público|99c2402f-8ec3-4ca8-8024-be52e4e7f629</vt:lpwstr>
  </property>
  <property fmtid="{D5CDD505-2E9C-101B-9397-08002B2CF9AE}" pid="11" name="Unidad Remitente">
    <vt:lpwstr>257;#SUGESE - Acuerdos|a4c1ee5f-324a-443d-88a9-d7759c9d5e33</vt:lpwstr>
  </property>
  <property fmtid="{D5CDD505-2E9C-101B-9397-08002B2CF9AE}" pid="12" name="Confidencialidad">
    <vt:lpwstr>1;#Público|99c2402f-8ec3-4ca8-8024-be52e4e7f629</vt:lpwstr>
  </property>
  <property fmtid="{D5CDD505-2E9C-101B-9397-08002B2CF9AE}" pid="13" name="WorkflowChangePath">
    <vt:lpwstr>8aa19240-b0ad-4977-9b98-56abbd27f3cf,5;f53beb82-3a64-483b-83ba-ca097d8a31d5,9;f96304b9-3f25-47ee-a4c8-8479b82bd6e6,10;</vt:lpwstr>
  </property>
  <property fmtid="{D5CDD505-2E9C-101B-9397-08002B2CF9AE}" pid="14" name="_MarkAsFinal">
    <vt:bool>true</vt:bool>
  </property>
  <property fmtid="{D5CDD505-2E9C-101B-9397-08002B2CF9AE}" pid="15" name="ecm_ItemDeleteBlockHolders">
    <vt:lpwstr/>
  </property>
  <property fmtid="{D5CDD505-2E9C-101B-9397-08002B2CF9AE}" pid="18" name="IconOverlay">
    <vt:lpwstr/>
  </property>
  <property fmtid="{D5CDD505-2E9C-101B-9397-08002B2CF9AE}" pid="19" name="ecm_RecordRestrictions">
    <vt:lpwstr/>
  </property>
  <property fmtid="{D5CDD505-2E9C-101B-9397-08002B2CF9AE}" pid="20" name="ecm_ItemLockHolders">
    <vt:lpwstr/>
  </property>
  <property fmtid="{D5CDD505-2E9C-101B-9397-08002B2CF9AE}" pid="21" name="Order">
    <vt:r8>355400</vt:r8>
  </property>
  <property fmtid="{D5CDD505-2E9C-101B-9397-08002B2CF9AE}" pid="22" name="xd_Signature">
    <vt:bool>false</vt:bool>
  </property>
  <property fmtid="{D5CDD505-2E9C-101B-9397-08002B2CF9AE}" pid="23" name="xd_ProgID">
    <vt:lpwstr/>
  </property>
  <property fmtid="{D5CDD505-2E9C-101B-9397-08002B2CF9AE}" pid="24" name="DocumentSetDescription">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