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glossary/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68BA7"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08683F4B" w14:textId="422EDD3A"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r w:rsidR="00522759">
        <w:rPr>
          <w:rFonts w:ascii="Cambria" w:hAnsi="Cambria"/>
          <w:i/>
          <w:color w:val="000000"/>
        </w:rPr>
        <w:t>, a.i.</w:t>
      </w:r>
    </w:p>
    <w:p w14:paraId="2250C783" w14:textId="77777777" w:rsidR="006A3734" w:rsidRPr="006A3734" w:rsidRDefault="006A3734" w:rsidP="006A3734">
      <w:pPr>
        <w:jc w:val="both"/>
        <w:rPr>
          <w:rFonts w:ascii="Cambria" w:hAnsi="Cambria"/>
          <w:color w:val="000000"/>
        </w:rPr>
      </w:pPr>
    </w:p>
    <w:p w14:paraId="1002A6F6" w14:textId="77777777" w:rsidR="00B330AC" w:rsidRDefault="00B330AC" w:rsidP="00B330AC">
      <w:pPr>
        <w:jc w:val="center"/>
        <w:rPr>
          <w:rFonts w:asciiTheme="majorHAnsi" w:hAnsiTheme="majorHAnsi"/>
          <w:b/>
          <w:bCs/>
        </w:rPr>
      </w:pPr>
    </w:p>
    <w:p w14:paraId="50CBF1F3" w14:textId="77777777" w:rsidR="00B330AC" w:rsidRDefault="00B330AC" w:rsidP="00B330AC">
      <w:pPr>
        <w:jc w:val="center"/>
        <w:rPr>
          <w:rFonts w:asciiTheme="majorHAnsi" w:hAnsiTheme="majorHAnsi"/>
          <w:b/>
          <w:bCs/>
        </w:rPr>
      </w:pPr>
      <w:r>
        <w:rPr>
          <w:rFonts w:asciiTheme="majorHAnsi" w:hAnsiTheme="majorHAnsi"/>
          <w:b/>
          <w:bCs/>
        </w:rPr>
        <w:t>ACUERDO DE SUPERINTENDENTE</w:t>
      </w:r>
    </w:p>
    <w:sdt>
      <w:sdtPr>
        <w:rPr>
          <w:rFonts w:asciiTheme="majorHAnsi" w:hAnsiTheme="majorHAnsi"/>
          <w:b/>
          <w:bCs/>
          <w:i/>
        </w:rPr>
        <w:alias w:val="Consecutivo"/>
        <w:tag w:val="Consecutivo"/>
        <w:id w:val="-1139954053"/>
        <w:placeholder>
          <w:docPart w:val="97094F7B7D7C42F6AC1E3038C9283B20"/>
        </w:placeholder>
        <w:showingPlcHdr/>
        <w:text/>
      </w:sdtPr>
      <w:sdtEndPr/>
      <w:sdtContent>
        <w:p w14:paraId="3B0DD52A" w14:textId="77777777" w:rsidR="00B330AC" w:rsidRPr="00522759" w:rsidRDefault="00FF3752" w:rsidP="00522759">
          <w:pPr>
            <w:jc w:val="center"/>
            <w:rPr>
              <w:b/>
              <w:i/>
            </w:rPr>
          </w:pPr>
          <w:r w:rsidRPr="00522759">
            <w:rPr>
              <w:b/>
              <w:i/>
            </w:rPr>
            <w:t>SGS-A-0058-2017</w:t>
          </w:r>
        </w:p>
      </w:sdtContent>
    </w:sdt>
    <w:p w14:paraId="1CB77697" w14:textId="77777777" w:rsidR="00744A2C" w:rsidRDefault="00744A2C" w:rsidP="007F09F5">
      <w:pPr>
        <w:jc w:val="both"/>
        <w:rPr>
          <w:rFonts w:ascii="Cambria" w:hAnsi="Cambria"/>
          <w:b/>
          <w:bCs/>
        </w:rPr>
      </w:pPr>
    </w:p>
    <w:p w14:paraId="454D3986" w14:textId="77777777" w:rsidR="003821A3" w:rsidRPr="00B239D4" w:rsidRDefault="003821A3" w:rsidP="003821A3">
      <w:pPr>
        <w:pStyle w:val="Prrafodelista"/>
        <w:ind w:left="0"/>
        <w:rPr>
          <w:rFonts w:asciiTheme="majorHAnsi" w:hAnsiTheme="majorHAnsi"/>
          <w:b/>
        </w:rPr>
      </w:pPr>
    </w:p>
    <w:p w14:paraId="3EA4AC23" w14:textId="77777777" w:rsidR="003821A3" w:rsidRPr="00B239D4" w:rsidRDefault="003821A3" w:rsidP="003821A3">
      <w:pPr>
        <w:pStyle w:val="Prrafodelista"/>
        <w:ind w:left="0"/>
        <w:jc w:val="center"/>
        <w:rPr>
          <w:rFonts w:asciiTheme="majorHAnsi" w:hAnsiTheme="majorHAnsi"/>
          <w:b/>
        </w:rPr>
      </w:pPr>
      <w:r w:rsidRPr="00B239D4">
        <w:rPr>
          <w:rFonts w:asciiTheme="majorHAnsi" w:hAnsiTheme="majorHAnsi"/>
          <w:b/>
        </w:rPr>
        <w:t xml:space="preserve">Modificación al acuerdo SGS-DES-A-021-2013 </w:t>
      </w:r>
      <w:r w:rsidRPr="00B239D4">
        <w:rPr>
          <w:rFonts w:asciiTheme="majorHAnsi" w:hAnsiTheme="majorHAnsi"/>
          <w:b/>
          <w:i/>
        </w:rPr>
        <w:t>“Disposiciones para la Remisión de la Información Contable y Estadística a la Superintendencia General de Seguros por parte de las Entidades Supervisadas”</w:t>
      </w:r>
      <w:r w:rsidRPr="00B239D4">
        <w:rPr>
          <w:rFonts w:asciiTheme="majorHAnsi" w:hAnsiTheme="majorHAnsi"/>
          <w:b/>
        </w:rPr>
        <w:t>, para la reforma del artículo 10 y la actualización de los Estándares Electrónico y de Negocio</w:t>
      </w:r>
    </w:p>
    <w:p w14:paraId="4E6C881D" w14:textId="77777777" w:rsidR="003821A3" w:rsidRPr="00B239D4" w:rsidRDefault="003821A3" w:rsidP="003821A3">
      <w:pPr>
        <w:autoSpaceDE w:val="0"/>
        <w:autoSpaceDN w:val="0"/>
        <w:jc w:val="both"/>
        <w:rPr>
          <w:rFonts w:asciiTheme="majorHAnsi" w:eastAsiaTheme="minorHAnsi" w:hAnsiTheme="majorHAnsi" w:cs="TimesNewRoman"/>
          <w:lang w:eastAsia="en-US"/>
        </w:rPr>
      </w:pPr>
    </w:p>
    <w:p w14:paraId="34AEB2BA" w14:textId="77777777" w:rsidR="003821A3" w:rsidRPr="00B239D4" w:rsidRDefault="003821A3" w:rsidP="003821A3">
      <w:pPr>
        <w:autoSpaceDE w:val="0"/>
        <w:autoSpaceDN w:val="0"/>
        <w:jc w:val="both"/>
        <w:rPr>
          <w:rFonts w:asciiTheme="majorHAnsi" w:eastAsiaTheme="minorHAnsi" w:hAnsiTheme="majorHAnsi" w:cs="TimesNewRoman"/>
          <w:lang w:eastAsia="en-US"/>
        </w:rPr>
      </w:pPr>
      <w:r w:rsidRPr="00B239D4">
        <w:rPr>
          <w:rFonts w:asciiTheme="majorHAnsi" w:eastAsiaTheme="minorHAnsi" w:hAnsiTheme="majorHAnsi" w:cs="TimesNewRoman"/>
          <w:lang w:eastAsia="en-US"/>
        </w:rPr>
        <w:t xml:space="preserve">El Superintendente General de Seguros, a las </w:t>
      </w:r>
      <w:r>
        <w:rPr>
          <w:rFonts w:asciiTheme="majorHAnsi" w:eastAsiaTheme="minorHAnsi" w:hAnsiTheme="majorHAnsi" w:cs="TimesNewRoman"/>
          <w:lang w:eastAsia="en-US"/>
        </w:rPr>
        <w:t>nueve</w:t>
      </w:r>
      <w:r w:rsidRPr="00B239D4">
        <w:rPr>
          <w:rFonts w:asciiTheme="majorHAnsi" w:eastAsiaTheme="minorHAnsi" w:hAnsiTheme="majorHAnsi" w:cs="TimesNewRoman"/>
          <w:lang w:eastAsia="en-US"/>
        </w:rPr>
        <w:t xml:space="preserve"> horas del </w:t>
      </w:r>
      <w:r>
        <w:rPr>
          <w:rFonts w:asciiTheme="majorHAnsi" w:eastAsiaTheme="minorHAnsi" w:hAnsiTheme="majorHAnsi" w:cs="TimesNewRoman"/>
          <w:lang w:eastAsia="en-US"/>
        </w:rPr>
        <w:t>cinco</w:t>
      </w:r>
      <w:r w:rsidRPr="00B239D4">
        <w:rPr>
          <w:rFonts w:asciiTheme="majorHAnsi" w:eastAsiaTheme="minorHAnsi" w:hAnsiTheme="majorHAnsi" w:cs="TimesNewRoman"/>
          <w:lang w:eastAsia="en-US"/>
        </w:rPr>
        <w:t xml:space="preserve"> de diciembre  de dos mil diecisiete</w:t>
      </w:r>
    </w:p>
    <w:p w14:paraId="2D0B5C84" w14:textId="77777777" w:rsidR="003821A3" w:rsidRPr="00B239D4" w:rsidRDefault="003821A3" w:rsidP="003821A3">
      <w:pPr>
        <w:pStyle w:val="Prrafodelista"/>
        <w:ind w:left="0"/>
        <w:jc w:val="center"/>
        <w:rPr>
          <w:rFonts w:asciiTheme="majorHAnsi" w:eastAsiaTheme="minorHAnsi" w:hAnsiTheme="majorHAnsi" w:cs="TimesNewRoman,Bold"/>
          <w:b/>
          <w:bCs/>
          <w:lang w:eastAsia="en-US"/>
        </w:rPr>
      </w:pPr>
    </w:p>
    <w:p w14:paraId="27E910B7" w14:textId="77777777" w:rsidR="003821A3" w:rsidRPr="00B239D4" w:rsidRDefault="003821A3" w:rsidP="003821A3">
      <w:pPr>
        <w:pStyle w:val="Prrafodelista"/>
        <w:ind w:left="0"/>
        <w:jc w:val="center"/>
        <w:rPr>
          <w:rFonts w:asciiTheme="majorHAnsi" w:eastAsiaTheme="minorHAnsi" w:hAnsiTheme="majorHAnsi" w:cs="TimesNewRoman,Bold"/>
          <w:b/>
          <w:bCs/>
          <w:lang w:eastAsia="en-US"/>
        </w:rPr>
      </w:pPr>
      <w:r w:rsidRPr="00B239D4">
        <w:rPr>
          <w:rFonts w:asciiTheme="majorHAnsi" w:eastAsiaTheme="minorHAnsi" w:hAnsiTheme="majorHAnsi" w:cs="TimesNewRoman,Bold"/>
          <w:b/>
          <w:bCs/>
          <w:lang w:eastAsia="en-US"/>
        </w:rPr>
        <w:t>Considerando que:</w:t>
      </w:r>
    </w:p>
    <w:p w14:paraId="33331160" w14:textId="77777777" w:rsidR="003821A3" w:rsidRPr="00B239D4" w:rsidRDefault="003821A3" w:rsidP="003821A3">
      <w:pPr>
        <w:pStyle w:val="Prrafodelista"/>
        <w:ind w:left="0"/>
        <w:jc w:val="both"/>
        <w:rPr>
          <w:rFonts w:asciiTheme="majorHAnsi" w:hAnsiTheme="majorHAnsi"/>
          <w:b/>
          <w:lang w:val="es-ES_tradnl"/>
        </w:rPr>
      </w:pPr>
    </w:p>
    <w:p w14:paraId="492E61FF" w14:textId="77777777" w:rsidR="003821A3" w:rsidRPr="00B239D4" w:rsidRDefault="003821A3" w:rsidP="003821A3">
      <w:pPr>
        <w:pStyle w:val="Prrafodelista"/>
        <w:numPr>
          <w:ilvl w:val="0"/>
          <w:numId w:val="1"/>
        </w:numPr>
        <w:ind w:left="459" w:hanging="459"/>
        <w:jc w:val="both"/>
        <w:rPr>
          <w:rFonts w:asciiTheme="majorHAnsi" w:eastAsiaTheme="minorHAnsi" w:hAnsiTheme="majorHAnsi" w:cs="TimesNewRoman"/>
          <w:lang w:eastAsia="en-US"/>
        </w:rPr>
      </w:pPr>
      <w:r w:rsidRPr="00B239D4">
        <w:rPr>
          <w:rFonts w:asciiTheme="majorHAnsi" w:eastAsiaTheme="minorHAnsi" w:hAnsiTheme="majorHAnsi" w:cs="TimesNewRoman"/>
          <w:lang w:eastAsia="en-US"/>
        </w:rPr>
        <w:t>La Superintendencia General de Seguros (en adelante Sugese) debe disponer de información, en los plazos, formatos y medios que le permita cumplir con el objetivo definido en el artículo 29, de la Ley Reguladora del Mercado de Seguros, Ley N° 8653, de “</w:t>
      </w:r>
      <w:r w:rsidRPr="00B239D4">
        <w:rPr>
          <w:rFonts w:asciiTheme="majorHAnsi" w:eastAsiaTheme="minorHAnsi" w:hAnsiTheme="majorHAnsi" w:cs="TimesNewRoman"/>
          <w:i/>
          <w:lang w:eastAsia="en-US"/>
        </w:rPr>
        <w:t>velar por la estabilidad y el eficiente funcionamiento del mercado de seguros, así como entregar la más amplia información a los asegurados</w:t>
      </w:r>
      <w:r w:rsidRPr="00B239D4">
        <w:rPr>
          <w:rFonts w:asciiTheme="majorHAnsi" w:eastAsiaTheme="minorHAnsi" w:hAnsiTheme="majorHAnsi" w:cs="TimesNewRoman"/>
          <w:lang w:eastAsia="en-US"/>
        </w:rPr>
        <w:t>”.</w:t>
      </w:r>
    </w:p>
    <w:p w14:paraId="1372507A" w14:textId="77777777" w:rsidR="003821A3" w:rsidRPr="00B239D4" w:rsidRDefault="003821A3" w:rsidP="003821A3">
      <w:pPr>
        <w:pStyle w:val="Prrafodelista"/>
        <w:ind w:left="459"/>
        <w:jc w:val="both"/>
        <w:rPr>
          <w:rFonts w:asciiTheme="majorHAnsi" w:eastAsiaTheme="minorHAnsi" w:hAnsiTheme="majorHAnsi" w:cs="TimesNewRoman"/>
          <w:lang w:eastAsia="en-US"/>
        </w:rPr>
      </w:pPr>
    </w:p>
    <w:p w14:paraId="23860DD2" w14:textId="77777777" w:rsidR="003821A3" w:rsidRPr="00B239D4" w:rsidRDefault="003821A3" w:rsidP="003821A3">
      <w:pPr>
        <w:pStyle w:val="Prrafodelista"/>
        <w:numPr>
          <w:ilvl w:val="0"/>
          <w:numId w:val="1"/>
        </w:numPr>
        <w:ind w:left="459" w:hanging="459"/>
        <w:jc w:val="both"/>
        <w:rPr>
          <w:rFonts w:asciiTheme="majorHAnsi" w:hAnsiTheme="majorHAnsi"/>
        </w:rPr>
      </w:pPr>
      <w:r w:rsidRPr="00B239D4">
        <w:rPr>
          <w:rFonts w:asciiTheme="majorHAnsi" w:hAnsiTheme="majorHAnsi"/>
        </w:rPr>
        <w:t xml:space="preserve">De conformidad con el artículo 25 incisos c), r) y t) de la Ley N° 8653, las entidades aseguradoras y reaseguradoras están obligados a proporcionar a la Superintendencia la información correcta y completa. Adicionalmente el último párrafo del artículo mencionado establece que </w:t>
      </w:r>
      <w:r w:rsidRPr="00B239D4">
        <w:rPr>
          <w:rFonts w:asciiTheme="majorHAnsi" w:hAnsiTheme="majorHAnsi"/>
          <w:i/>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68CCFF4A" w14:textId="77777777" w:rsidR="003821A3" w:rsidRPr="00B239D4" w:rsidRDefault="003821A3" w:rsidP="003821A3">
      <w:pPr>
        <w:pStyle w:val="Prrafodelista"/>
        <w:rPr>
          <w:rFonts w:asciiTheme="majorHAnsi" w:hAnsiTheme="majorHAnsi"/>
        </w:rPr>
      </w:pPr>
    </w:p>
    <w:p w14:paraId="1B6A9719" w14:textId="77777777" w:rsidR="003821A3" w:rsidRPr="00B239D4" w:rsidRDefault="003821A3" w:rsidP="003821A3">
      <w:pPr>
        <w:pStyle w:val="Prrafodelista"/>
        <w:numPr>
          <w:ilvl w:val="0"/>
          <w:numId w:val="1"/>
        </w:numPr>
        <w:ind w:left="459" w:hanging="459"/>
        <w:jc w:val="both"/>
        <w:rPr>
          <w:rFonts w:asciiTheme="majorHAnsi" w:hAnsiTheme="majorHAnsi"/>
        </w:rPr>
      </w:pPr>
      <w:r w:rsidRPr="00B239D4">
        <w:rPr>
          <w:rFonts w:asciiTheme="majorHAnsi" w:hAnsiTheme="majorHAnsi"/>
        </w:rPr>
        <w:t xml:space="preserve">La remisión de información de manera periódica, constituye una herramienta fundamental para las labores de supervisión y control desarrolladas por la Superintendencia y el objetivo de entregar la más amplia información al asegurado en cumplimiento de lo requerido por el ordenamiento jurídico.  De acuerdo con el principio 9 de IAIS, relacionado con la Revisión del supervisor, para una supervisión efectiva, la entidad supervisora debe obtener la información necesaria para llevar a cabo sus labores de supervisar y analizar a las aseguradoras y evaluar </w:t>
      </w:r>
      <w:r w:rsidRPr="00B239D4">
        <w:rPr>
          <w:rFonts w:asciiTheme="majorHAnsi" w:hAnsiTheme="majorHAnsi"/>
        </w:rPr>
        <w:lastRenderedPageBreak/>
        <w:t>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p w14:paraId="63334C0F" w14:textId="77777777" w:rsidR="003821A3" w:rsidRPr="00B239D4" w:rsidRDefault="003821A3" w:rsidP="003821A3">
      <w:pPr>
        <w:pStyle w:val="Prrafodelista"/>
        <w:ind w:left="459"/>
        <w:jc w:val="both"/>
        <w:rPr>
          <w:rFonts w:asciiTheme="majorHAnsi" w:hAnsiTheme="majorHAnsi"/>
        </w:rPr>
      </w:pPr>
    </w:p>
    <w:p w14:paraId="41F9BB35" w14:textId="77777777" w:rsidR="003821A3" w:rsidRPr="00B239D4" w:rsidRDefault="003821A3" w:rsidP="003821A3">
      <w:pPr>
        <w:pStyle w:val="Prrafodelista"/>
        <w:numPr>
          <w:ilvl w:val="0"/>
          <w:numId w:val="1"/>
        </w:numPr>
        <w:ind w:left="459" w:hanging="459"/>
        <w:jc w:val="both"/>
        <w:rPr>
          <w:rFonts w:asciiTheme="majorHAnsi" w:hAnsiTheme="majorHAnsi"/>
        </w:rPr>
      </w:pPr>
      <w:r w:rsidRPr="00B239D4">
        <w:rPr>
          <w:rFonts w:asciiTheme="majorHAnsi" w:hAnsiTheme="majorHAnsi"/>
        </w:rPr>
        <w:t xml:space="preserve">Según el artículo 29 de la Ley N° 8653, al Superintendente le será aplicable el artículo 180 de </w:t>
      </w:r>
      <w:r w:rsidRPr="00B239D4">
        <w:rPr>
          <w:rFonts w:asciiTheme="majorHAnsi" w:hAnsiTheme="majorHAnsi"/>
          <w:i/>
        </w:rPr>
        <w:t>la Ley Reguladora del Mercado de Valores</w:t>
      </w:r>
      <w:r w:rsidRPr="00B239D4">
        <w:rPr>
          <w:rFonts w:asciiTheme="majorHAnsi" w:hAnsiTheme="majorHAnsi"/>
        </w:rPr>
        <w:t>, el cual dispone a la Superintendencia General de Seguros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p w14:paraId="248FBF57" w14:textId="77777777" w:rsidR="003821A3" w:rsidRPr="00B239D4" w:rsidRDefault="003821A3" w:rsidP="003821A3">
      <w:pPr>
        <w:pStyle w:val="Prrafodelista"/>
        <w:autoSpaceDE w:val="0"/>
        <w:autoSpaceDN w:val="0"/>
        <w:ind w:left="459"/>
        <w:jc w:val="both"/>
        <w:rPr>
          <w:rFonts w:asciiTheme="majorHAnsi" w:hAnsiTheme="majorHAnsi"/>
        </w:rPr>
      </w:pPr>
    </w:p>
    <w:p w14:paraId="39AC3357" w14:textId="77777777" w:rsidR="003821A3" w:rsidRPr="00B239D4" w:rsidRDefault="003821A3" w:rsidP="003821A3">
      <w:pPr>
        <w:pStyle w:val="Prrafodelista"/>
        <w:numPr>
          <w:ilvl w:val="0"/>
          <w:numId w:val="1"/>
        </w:numPr>
        <w:autoSpaceDE w:val="0"/>
        <w:autoSpaceDN w:val="0"/>
        <w:ind w:left="459" w:hanging="459"/>
        <w:jc w:val="both"/>
        <w:rPr>
          <w:rFonts w:asciiTheme="majorHAnsi" w:hAnsiTheme="majorHAnsi"/>
        </w:rPr>
      </w:pPr>
      <w:r w:rsidRPr="00B239D4">
        <w:rPr>
          <w:rFonts w:asciiTheme="majorHAnsi" w:hAnsiTheme="majorHAnsi"/>
        </w:rPr>
        <w:t xml:space="preserve">El Superintendente de Seguros, mediante acuerdo SGS-DES-A-021-2013, de diecisiete horas del veintitrés de mayo de dos mil trece, emitió las </w:t>
      </w:r>
      <w:r w:rsidRPr="00B239D4">
        <w:rPr>
          <w:rFonts w:asciiTheme="majorHAnsi" w:hAnsiTheme="majorHAnsi"/>
          <w:i/>
        </w:rPr>
        <w:t>Disposiciones para la Remisión de la Información Contable y Estadística a la Superintendencia General de Seguros por parte de las Entidades Supervisadas</w:t>
      </w:r>
      <w:r w:rsidRPr="00B239D4">
        <w:rPr>
          <w:rFonts w:asciiTheme="majorHAnsi" w:hAnsiTheme="majorHAnsi"/>
        </w:rPr>
        <w:t>, cuyo alcance se refiere a la remisión de información contable y estadística y es aplicable a las entidades de seguros y a los intermediarios de seguros supervisados por la Superintendencia General de Seguros.</w:t>
      </w:r>
    </w:p>
    <w:p w14:paraId="1E3A5611" w14:textId="77777777" w:rsidR="003821A3" w:rsidRPr="00B239D4" w:rsidRDefault="003821A3" w:rsidP="003821A3">
      <w:pPr>
        <w:pStyle w:val="Prrafodelista"/>
        <w:ind w:left="459"/>
        <w:jc w:val="both"/>
        <w:rPr>
          <w:rFonts w:asciiTheme="majorHAnsi" w:hAnsiTheme="majorHAnsi"/>
          <w:b/>
        </w:rPr>
      </w:pPr>
    </w:p>
    <w:p w14:paraId="3F048C43" w14:textId="77777777" w:rsidR="003821A3" w:rsidRPr="00B239D4" w:rsidRDefault="003821A3" w:rsidP="003821A3">
      <w:pPr>
        <w:pStyle w:val="Prrafodelista"/>
        <w:numPr>
          <w:ilvl w:val="0"/>
          <w:numId w:val="1"/>
        </w:numPr>
        <w:ind w:left="459" w:hanging="459"/>
        <w:jc w:val="both"/>
        <w:rPr>
          <w:rFonts w:asciiTheme="majorHAnsi" w:hAnsiTheme="majorHAnsi"/>
          <w:b/>
        </w:rPr>
      </w:pPr>
      <w:r w:rsidRPr="00B239D4">
        <w:rPr>
          <w:rFonts w:asciiTheme="majorHAnsi" w:hAnsiTheme="majorHAnsi"/>
        </w:rPr>
        <w:t>La Superintendencia ha puesto a disposición de las entidades supervisadas el Estándar de Negocio y Electrónico con el propósito de suministrar el detalle de cada uno de los modelos de información solicitados a través del Sistema de Supervisión de Seguros (SSS).  El SSS es una plataforma tecnológica que permite la recepción de la información financiero contable solicitada por la Sugese a las entidades supervisadas,  con el fin de realizar sus labores de supervisión y fiscalización, así como poner a disposición del público información relevante sobre la actividad de seguros y de las entidades aseguradoras.</w:t>
      </w:r>
    </w:p>
    <w:p w14:paraId="2C85C81F" w14:textId="77777777" w:rsidR="003821A3" w:rsidRPr="00B239D4" w:rsidRDefault="003821A3" w:rsidP="003821A3">
      <w:pPr>
        <w:pStyle w:val="Prrafodelista"/>
        <w:ind w:left="459"/>
        <w:jc w:val="both"/>
        <w:rPr>
          <w:rFonts w:asciiTheme="majorHAnsi" w:hAnsiTheme="majorHAnsi"/>
          <w:b/>
        </w:rPr>
      </w:pPr>
    </w:p>
    <w:p w14:paraId="235B28AD" w14:textId="77777777" w:rsidR="003821A3" w:rsidRPr="00B239D4" w:rsidRDefault="003821A3" w:rsidP="003821A3">
      <w:pPr>
        <w:pStyle w:val="Prrafodelista"/>
        <w:numPr>
          <w:ilvl w:val="0"/>
          <w:numId w:val="1"/>
        </w:numPr>
        <w:ind w:left="459" w:hanging="459"/>
        <w:jc w:val="both"/>
        <w:rPr>
          <w:rFonts w:asciiTheme="majorHAnsi" w:hAnsiTheme="majorHAnsi"/>
          <w:b/>
        </w:rPr>
      </w:pPr>
      <w:r w:rsidRPr="00B239D4">
        <w:rPr>
          <w:rFonts w:asciiTheme="majorHAnsi" w:hAnsiTheme="majorHAnsi"/>
        </w:rPr>
        <w:t xml:space="preserve">La información contenida en los modelos solicitados a las entidades mediante el SSS, está sujeta a cambios, tanto para fortalecer las labores de la Sugese de supervisión y generación de estadísticas, como para atender las solicitudes de las entidades aseguradoras de aclarar aspectos de los diferentes modelos. </w:t>
      </w:r>
      <w:r w:rsidRPr="00B239D4">
        <w:rPr>
          <w:rFonts w:asciiTheme="majorHAnsi" w:hAnsiTheme="majorHAnsi"/>
        </w:rPr>
        <w:lastRenderedPageBreak/>
        <w:t>Adicionalmente, es necesario incorporar en forma paulatina, validaciones que permitan lograr mayor consistencia en la información remitida por las entidades.</w:t>
      </w:r>
    </w:p>
    <w:p w14:paraId="7B343F66" w14:textId="77777777" w:rsidR="003821A3" w:rsidRPr="00B239D4" w:rsidRDefault="003821A3" w:rsidP="003821A3">
      <w:pPr>
        <w:pStyle w:val="Default"/>
        <w:ind w:left="459"/>
        <w:jc w:val="both"/>
        <w:rPr>
          <w:rFonts w:asciiTheme="majorHAnsi" w:hAnsiTheme="majorHAnsi"/>
          <w:color w:val="auto"/>
        </w:rPr>
      </w:pPr>
    </w:p>
    <w:p w14:paraId="1E7121FF" w14:textId="77777777" w:rsidR="003821A3" w:rsidRPr="00B239D4" w:rsidRDefault="003821A3" w:rsidP="003821A3">
      <w:pPr>
        <w:pStyle w:val="Default"/>
        <w:numPr>
          <w:ilvl w:val="0"/>
          <w:numId w:val="1"/>
        </w:numPr>
        <w:ind w:left="459" w:hanging="459"/>
        <w:jc w:val="both"/>
        <w:rPr>
          <w:rFonts w:asciiTheme="majorHAnsi" w:hAnsiTheme="majorHAnsi"/>
          <w:color w:val="auto"/>
        </w:rPr>
      </w:pPr>
      <w:r w:rsidRPr="00B239D4">
        <w:rPr>
          <w:rFonts w:asciiTheme="majorHAnsi" w:hAnsiTheme="majorHAnsi"/>
          <w:color w:val="auto"/>
        </w:rPr>
        <w:t>Que en acatamiento de lo estipulado en el artículo 361, numeral 2, de la Ley General de Administración Pública, la Superintendencia mediante oficio SGS-0640-2017 el 30 de mayo de 2017 remitió en consulta a las entidades aseguradoras durante un plazo de diez días hábiles, las modificaciones al acuerdo SGS-DES-A-021-2013 así como al Estándar de Negocio y Electrónico que se detallan en este acuerdo, para que se manifestaran al respecto. Que una vez recibidas y analizadas las observaciones de las entidades que atendieron la consulta, lo que procede es la aprobación definitiva por parte del Superintendente de Seguros, de las modificaciones al acuerdo SGS-DES-A-021-2013.</w:t>
      </w:r>
    </w:p>
    <w:p w14:paraId="7531E383" w14:textId="77777777" w:rsidR="003821A3" w:rsidRDefault="003821A3" w:rsidP="003821A3">
      <w:pPr>
        <w:autoSpaceDE w:val="0"/>
        <w:autoSpaceDN w:val="0"/>
        <w:jc w:val="both"/>
        <w:rPr>
          <w:rFonts w:asciiTheme="majorHAnsi" w:eastAsiaTheme="minorHAnsi" w:hAnsiTheme="majorHAnsi" w:cs="TimesNewRoman,Bold"/>
          <w:b/>
          <w:bCs/>
          <w:lang w:eastAsia="en-US"/>
        </w:rPr>
      </w:pPr>
    </w:p>
    <w:p w14:paraId="15F21B6B" w14:textId="77777777" w:rsidR="003821A3" w:rsidRPr="00B239D4" w:rsidRDefault="003821A3" w:rsidP="003821A3">
      <w:pPr>
        <w:autoSpaceDE w:val="0"/>
        <w:autoSpaceDN w:val="0"/>
        <w:jc w:val="center"/>
        <w:rPr>
          <w:rFonts w:asciiTheme="majorHAnsi" w:eastAsiaTheme="minorHAnsi" w:hAnsiTheme="majorHAnsi" w:cs="TimesNewRoman,Bold"/>
          <w:b/>
          <w:bCs/>
          <w:lang w:eastAsia="en-US"/>
        </w:rPr>
      </w:pPr>
      <w:r>
        <w:rPr>
          <w:rFonts w:asciiTheme="majorHAnsi" w:eastAsiaTheme="minorHAnsi" w:hAnsiTheme="majorHAnsi" w:cs="TimesNewRoman,Bold"/>
          <w:b/>
          <w:bCs/>
          <w:lang w:eastAsia="en-US"/>
        </w:rPr>
        <w:t>D</w:t>
      </w:r>
      <w:r w:rsidRPr="00B239D4">
        <w:rPr>
          <w:rFonts w:asciiTheme="majorHAnsi" w:eastAsiaTheme="minorHAnsi" w:hAnsiTheme="majorHAnsi" w:cs="TimesNewRoman,Bold"/>
          <w:b/>
          <w:bCs/>
          <w:lang w:eastAsia="en-US"/>
        </w:rPr>
        <w:t>ispone:</w:t>
      </w:r>
    </w:p>
    <w:p w14:paraId="0412910C" w14:textId="77777777" w:rsidR="003821A3" w:rsidRDefault="003821A3" w:rsidP="003821A3">
      <w:pPr>
        <w:pStyle w:val="Default"/>
        <w:jc w:val="both"/>
        <w:rPr>
          <w:rFonts w:asciiTheme="majorHAnsi" w:hAnsiTheme="majorHAnsi"/>
          <w:b/>
        </w:rPr>
      </w:pPr>
    </w:p>
    <w:p w14:paraId="57531D2D" w14:textId="77777777" w:rsidR="003821A3" w:rsidRPr="00B239D4" w:rsidRDefault="003821A3" w:rsidP="003821A3">
      <w:pPr>
        <w:pStyle w:val="Default"/>
        <w:jc w:val="both"/>
        <w:rPr>
          <w:rFonts w:asciiTheme="majorHAnsi" w:hAnsiTheme="majorHAnsi"/>
        </w:rPr>
      </w:pPr>
      <w:r w:rsidRPr="00B239D4">
        <w:rPr>
          <w:rFonts w:asciiTheme="majorHAnsi" w:hAnsiTheme="majorHAnsi"/>
          <w:b/>
        </w:rPr>
        <w:t xml:space="preserve">Primero: </w:t>
      </w:r>
      <w:r w:rsidRPr="00B239D4">
        <w:rPr>
          <w:rFonts w:asciiTheme="majorHAnsi" w:hAnsiTheme="majorHAnsi"/>
          <w:color w:val="auto"/>
        </w:rPr>
        <w:t xml:space="preserve">Modificar el inciso e) del </w:t>
      </w:r>
      <w:r w:rsidRPr="00B239D4">
        <w:rPr>
          <w:rFonts w:asciiTheme="majorHAnsi" w:hAnsiTheme="majorHAnsi"/>
        </w:rPr>
        <w:t xml:space="preserve">artículo 10 del acuerdo SGS-DES-A-021-2013 el cual contiene las </w:t>
      </w:r>
      <w:r w:rsidRPr="00B239D4">
        <w:rPr>
          <w:rFonts w:asciiTheme="majorHAnsi" w:hAnsiTheme="majorHAnsi"/>
          <w:i/>
        </w:rPr>
        <w:t>Disposiciones para la Remisión de la Información Contable y Estadística a la Superintendencia General de Seguros por parte de las Entidades Supervisadas</w:t>
      </w:r>
      <w:r w:rsidRPr="00B239D4">
        <w:rPr>
          <w:rFonts w:asciiTheme="majorHAnsi" w:hAnsiTheme="majorHAnsi"/>
        </w:rPr>
        <w:t>, para que se lea de la siguiente manera:</w:t>
      </w:r>
    </w:p>
    <w:p w14:paraId="2A931A72" w14:textId="77777777" w:rsidR="003821A3" w:rsidRPr="00B239D4" w:rsidRDefault="003821A3" w:rsidP="003821A3">
      <w:pPr>
        <w:pStyle w:val="Default"/>
        <w:jc w:val="both"/>
        <w:rPr>
          <w:rFonts w:asciiTheme="majorHAnsi" w:hAnsiTheme="majorHAnsi"/>
        </w:rPr>
      </w:pPr>
    </w:p>
    <w:p w14:paraId="686A4BBF" w14:textId="77777777" w:rsidR="003821A3" w:rsidRPr="00B239D4" w:rsidRDefault="003821A3" w:rsidP="003821A3">
      <w:pPr>
        <w:pStyle w:val="Default"/>
        <w:jc w:val="both"/>
        <w:rPr>
          <w:rFonts w:asciiTheme="majorHAnsi" w:hAnsiTheme="majorHAnsi"/>
          <w:i/>
          <w:color w:val="auto"/>
        </w:rPr>
      </w:pPr>
      <w:r w:rsidRPr="00B239D4">
        <w:rPr>
          <w:rFonts w:asciiTheme="majorHAnsi" w:hAnsiTheme="majorHAnsi"/>
          <w:color w:val="auto"/>
        </w:rPr>
        <w:t>“</w:t>
      </w:r>
      <w:r w:rsidRPr="00B239D4">
        <w:rPr>
          <w:rFonts w:asciiTheme="majorHAnsi" w:hAnsiTheme="majorHAnsi"/>
          <w:i/>
          <w:color w:val="auto"/>
        </w:rPr>
        <w:t xml:space="preserve">e. Cuando la información recibida requiera correcciones que ameriten su sustitución o en caso de que por fuerza mayor la entidad deba sustituir información de carácter público, la cual es publicada por la entidad supervisada o por la Superintendencia, la entidad deberá comunicarlo como hecho relevante y deberá publicarlo en su página web y en un diario de circulación nacional, según solicitud de la Superintendencia, detallando las causas, los periodos y las variaciones en las cuentas.  Se considera como hecho relevante de carácter público, toda corrección que produzca o pueda producir influencia positiva o negativa en la marcha de la empresa, el resultado de las operaciones o el análisis por parte de terceros y la Superintendencia, y que además pueda ser conocido y publicado sin restricciones. </w:t>
      </w:r>
    </w:p>
    <w:p w14:paraId="50E8D167" w14:textId="77777777" w:rsidR="003821A3" w:rsidRDefault="003821A3" w:rsidP="003821A3">
      <w:pPr>
        <w:pStyle w:val="Default"/>
        <w:jc w:val="both"/>
        <w:rPr>
          <w:rFonts w:asciiTheme="majorHAnsi" w:hAnsiTheme="majorHAnsi"/>
          <w:i/>
          <w:color w:val="auto"/>
        </w:rPr>
      </w:pPr>
    </w:p>
    <w:p w14:paraId="0EB62F4B" w14:textId="77777777" w:rsidR="003821A3" w:rsidRPr="00B239D4" w:rsidRDefault="003821A3" w:rsidP="003821A3">
      <w:pPr>
        <w:pStyle w:val="Default"/>
        <w:jc w:val="both"/>
        <w:rPr>
          <w:rFonts w:asciiTheme="majorHAnsi" w:hAnsiTheme="majorHAnsi"/>
          <w:i/>
          <w:color w:val="auto"/>
        </w:rPr>
      </w:pPr>
      <w:r w:rsidRPr="00B239D4">
        <w:rPr>
          <w:rFonts w:asciiTheme="majorHAnsi" w:hAnsiTheme="majorHAnsi"/>
          <w:i/>
          <w:color w:val="auto"/>
        </w:rPr>
        <w:t>Las publicaciones indicadas deberán realizarse en un plazo máximo de cinco días hábiles luego de comunicado el hecho a la Superintendencia. De igual forma, cuando la entidad realice una sustitución de información, la Sugese publicará este hecho en su página web.”</w:t>
      </w:r>
    </w:p>
    <w:p w14:paraId="7E40FFAC" w14:textId="77777777" w:rsidR="003821A3" w:rsidRDefault="003821A3" w:rsidP="003821A3">
      <w:pPr>
        <w:jc w:val="both"/>
        <w:rPr>
          <w:rFonts w:asciiTheme="majorHAnsi" w:hAnsiTheme="majorHAnsi"/>
          <w:b/>
        </w:rPr>
      </w:pPr>
    </w:p>
    <w:p w14:paraId="1E9D68DD" w14:textId="77777777" w:rsidR="003821A3" w:rsidRPr="00B239D4" w:rsidRDefault="003821A3" w:rsidP="003821A3">
      <w:pPr>
        <w:jc w:val="both"/>
        <w:rPr>
          <w:rFonts w:asciiTheme="majorHAnsi" w:hAnsiTheme="majorHAnsi"/>
        </w:rPr>
      </w:pPr>
      <w:r w:rsidRPr="00B239D4">
        <w:rPr>
          <w:rFonts w:asciiTheme="majorHAnsi" w:hAnsiTheme="majorHAnsi"/>
          <w:b/>
        </w:rPr>
        <w:t xml:space="preserve">Segundo: </w:t>
      </w:r>
      <w:r w:rsidRPr="00B239D4">
        <w:rPr>
          <w:rFonts w:asciiTheme="majorHAnsi" w:hAnsiTheme="majorHAnsi"/>
        </w:rPr>
        <w:t>Modificar el Anexo 5 del acuerdo SGS-DES-A-021-2013 el cual contiene el Estándar de Negocio para Entidades de Seguros, de la siguiente manera:</w:t>
      </w:r>
    </w:p>
    <w:bookmarkStart w:id="0" w:name="_GoBack"/>
    <w:bookmarkEnd w:id="0"/>
    <w:bookmarkStart w:id="1" w:name="_MON_1561532166"/>
    <w:bookmarkEnd w:id="1"/>
    <w:p w14:paraId="17CCB809" w14:textId="77777777" w:rsidR="003821A3" w:rsidRPr="00B239D4" w:rsidRDefault="00522759" w:rsidP="003821A3">
      <w:pPr>
        <w:jc w:val="center"/>
        <w:rPr>
          <w:rFonts w:asciiTheme="majorHAnsi" w:hAnsiTheme="majorHAnsi"/>
        </w:rPr>
      </w:pPr>
      <w:r w:rsidRPr="00B239D4">
        <w:rPr>
          <w:rFonts w:asciiTheme="majorHAnsi" w:hAnsiTheme="majorHAnsi"/>
        </w:rPr>
        <w:object w:dxaOrig="2069" w:dyaOrig="1339" w14:anchorId="2A280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64.8pt" o:ole="">
            <v:imagedata r:id="rId13" o:title=""/>
          </v:shape>
          <o:OLEObject Type="Embed" ProgID="Word.Document.12" ShapeID="_x0000_i1025" DrawAspect="Icon" ObjectID="_1573970141" r:id="rId14">
            <o:FieldCodes>\s</o:FieldCodes>
          </o:OLEObject>
        </w:object>
      </w:r>
    </w:p>
    <w:p w14:paraId="23BCEB44" w14:textId="77777777" w:rsidR="003821A3" w:rsidRDefault="003821A3" w:rsidP="003821A3">
      <w:pPr>
        <w:pStyle w:val="Default"/>
        <w:jc w:val="both"/>
        <w:rPr>
          <w:rFonts w:asciiTheme="majorHAnsi" w:hAnsiTheme="majorHAnsi"/>
          <w:b/>
        </w:rPr>
      </w:pPr>
    </w:p>
    <w:p w14:paraId="219A59CF" w14:textId="77777777" w:rsidR="003821A3" w:rsidRDefault="003821A3" w:rsidP="003821A3">
      <w:pPr>
        <w:pStyle w:val="Default"/>
        <w:jc w:val="both"/>
        <w:rPr>
          <w:rFonts w:asciiTheme="majorHAnsi" w:hAnsiTheme="majorHAnsi"/>
          <w:b/>
        </w:rPr>
      </w:pPr>
    </w:p>
    <w:p w14:paraId="39742654" w14:textId="77777777" w:rsidR="003821A3" w:rsidRPr="00B239D4" w:rsidRDefault="003821A3" w:rsidP="003821A3">
      <w:pPr>
        <w:pStyle w:val="Default"/>
        <w:jc w:val="both"/>
        <w:rPr>
          <w:rFonts w:asciiTheme="majorHAnsi" w:hAnsiTheme="majorHAnsi"/>
        </w:rPr>
      </w:pPr>
      <w:r w:rsidRPr="00B239D4">
        <w:rPr>
          <w:rFonts w:asciiTheme="majorHAnsi" w:hAnsiTheme="majorHAnsi"/>
          <w:b/>
        </w:rPr>
        <w:t>Tercero:</w:t>
      </w:r>
      <w:r w:rsidRPr="00B239D4">
        <w:rPr>
          <w:rFonts w:asciiTheme="majorHAnsi" w:hAnsiTheme="majorHAnsi"/>
        </w:rPr>
        <w:t xml:space="preserve"> Modificar el Estándar Electrónico el cual forma parte integral del Estándar de Negocio para Entidades de Seguros requerido en el Anexo 5 del acuerdo SGS-DES-A-021-2013, para que quede de la siguiente manera:</w:t>
      </w:r>
    </w:p>
    <w:p w14:paraId="37EF2CF9" w14:textId="77777777" w:rsidR="003821A3" w:rsidRPr="00B239D4" w:rsidRDefault="003821A3" w:rsidP="003821A3">
      <w:pPr>
        <w:jc w:val="both"/>
        <w:rPr>
          <w:rFonts w:asciiTheme="majorHAnsi" w:hAnsiTheme="majorHAnsi"/>
        </w:rPr>
      </w:pPr>
    </w:p>
    <w:bookmarkStart w:id="2" w:name="_MON_1561532358"/>
    <w:bookmarkEnd w:id="2"/>
    <w:p w14:paraId="6D9D18BB" w14:textId="77777777" w:rsidR="003821A3" w:rsidRPr="00B239D4" w:rsidRDefault="00522759" w:rsidP="003821A3">
      <w:pPr>
        <w:jc w:val="center"/>
        <w:rPr>
          <w:rFonts w:asciiTheme="majorHAnsi" w:hAnsiTheme="majorHAnsi"/>
          <w:bCs/>
        </w:rPr>
      </w:pPr>
      <w:r w:rsidRPr="00B239D4">
        <w:rPr>
          <w:rFonts w:asciiTheme="majorHAnsi" w:hAnsiTheme="majorHAnsi"/>
          <w:bCs/>
        </w:rPr>
        <w:object w:dxaOrig="2069" w:dyaOrig="1339" w14:anchorId="5DC4F0C0">
          <v:shape id="_x0000_i1026" type="#_x0000_t75" style="width:100.8pt;height:64.8pt" o:ole="">
            <v:imagedata r:id="rId15" o:title=""/>
          </v:shape>
          <o:OLEObject Type="Embed" ProgID="Word.Document.12" ShapeID="_x0000_i1026" DrawAspect="Icon" ObjectID="_1573970142" r:id="rId16">
            <o:FieldCodes>\s</o:FieldCodes>
          </o:OLEObject>
        </w:object>
      </w:r>
    </w:p>
    <w:p w14:paraId="3ECABAB1" w14:textId="77777777" w:rsidR="003821A3" w:rsidRDefault="003821A3" w:rsidP="003821A3">
      <w:pPr>
        <w:rPr>
          <w:rFonts w:asciiTheme="majorHAnsi" w:hAnsiTheme="majorHAnsi"/>
          <w:b/>
          <w:bCs/>
        </w:rPr>
      </w:pPr>
    </w:p>
    <w:p w14:paraId="0268DC6A" w14:textId="77777777" w:rsidR="003821A3" w:rsidRPr="00B239D4" w:rsidRDefault="003821A3" w:rsidP="003821A3">
      <w:pPr>
        <w:rPr>
          <w:rFonts w:asciiTheme="majorHAnsi" w:hAnsiTheme="majorHAnsi"/>
          <w:b/>
          <w:bCs/>
        </w:rPr>
      </w:pPr>
    </w:p>
    <w:p w14:paraId="0BDC8642" w14:textId="77777777" w:rsidR="003821A3" w:rsidRPr="00B239D4" w:rsidRDefault="003821A3" w:rsidP="00522759">
      <w:pPr>
        <w:jc w:val="both"/>
        <w:rPr>
          <w:rFonts w:asciiTheme="majorHAnsi" w:hAnsiTheme="majorHAnsi"/>
          <w:b/>
          <w:bCs/>
        </w:rPr>
      </w:pPr>
      <w:r w:rsidRPr="00B239D4">
        <w:rPr>
          <w:rFonts w:asciiTheme="majorHAnsi" w:hAnsiTheme="majorHAnsi"/>
          <w:b/>
          <w:bCs/>
        </w:rPr>
        <w:t xml:space="preserve">Vigencia: </w:t>
      </w:r>
      <w:r w:rsidRPr="00B239D4">
        <w:rPr>
          <w:rFonts w:asciiTheme="majorHAnsi" w:hAnsiTheme="majorHAnsi"/>
          <w:bCs/>
        </w:rPr>
        <w:t>Rige a partir de la entrega de información correspondiente al cierre de enero de 2018.</w:t>
      </w:r>
    </w:p>
    <w:p w14:paraId="26174ADA" w14:textId="77777777" w:rsidR="003821A3" w:rsidRDefault="003821A3" w:rsidP="003821A3">
      <w:pPr>
        <w:jc w:val="center"/>
        <w:rPr>
          <w:rFonts w:asciiTheme="majorHAnsi" w:hAnsiTheme="majorHAnsi"/>
          <w:bCs/>
        </w:rPr>
      </w:pPr>
    </w:p>
    <w:p w14:paraId="1DB4D1A3" w14:textId="77777777" w:rsidR="00522759" w:rsidRPr="00B239D4" w:rsidRDefault="00522759" w:rsidP="003821A3">
      <w:pPr>
        <w:jc w:val="center"/>
        <w:rPr>
          <w:rFonts w:asciiTheme="majorHAnsi" w:hAnsiTheme="majorHAnsi"/>
          <w:bCs/>
        </w:rPr>
      </w:pPr>
    </w:p>
    <w:p w14:paraId="669F527E" w14:textId="77777777" w:rsidR="003821A3" w:rsidRPr="00B239D4" w:rsidRDefault="003821A3" w:rsidP="003821A3">
      <w:pPr>
        <w:jc w:val="both"/>
        <w:rPr>
          <w:rFonts w:asciiTheme="majorHAnsi" w:hAnsiTheme="majorHAnsi"/>
          <w:bCs/>
        </w:rPr>
      </w:pPr>
      <w:r w:rsidRPr="00B239D4">
        <w:rPr>
          <w:rFonts w:asciiTheme="majorHAnsi" w:hAnsiTheme="majorHAnsi"/>
          <w:noProof/>
          <w:lang w:val="es-CR" w:eastAsia="es-CR"/>
        </w:rPr>
        <w:drawing>
          <wp:inline distT="0" distB="0" distL="0" distR="0" wp14:anchorId="7B5C9F80" wp14:editId="2B5FF201">
            <wp:extent cx="2499360" cy="524291"/>
            <wp:effectExtent l="0" t="0" r="0" b="9525"/>
            <wp:docPr id="6"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C0D6D53" w14:textId="77777777" w:rsidR="00761D54" w:rsidRPr="006A3734" w:rsidRDefault="00761D54" w:rsidP="007F09F5">
      <w:pPr>
        <w:jc w:val="both"/>
        <w:rPr>
          <w:rFonts w:ascii="Cambria" w:hAnsi="Cambria"/>
        </w:rPr>
      </w:pPr>
    </w:p>
    <w:sectPr w:rsidR="00761D54" w:rsidRPr="006A3734" w:rsidSect="00A83BA5">
      <w:headerReference w:type="default" r:id="rId18"/>
      <w:footerReference w:type="default" r:id="rId19"/>
      <w:headerReference w:type="first" r:id="rId20"/>
      <w:footerReference w:type="first" r:id="rId2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2EEE4" w14:textId="77777777" w:rsidR="003821A3" w:rsidRDefault="003821A3" w:rsidP="005A1442">
      <w:r>
        <w:separator/>
      </w:r>
    </w:p>
  </w:endnote>
  <w:endnote w:type="continuationSeparator" w:id="0">
    <w:p w14:paraId="7167F59F" w14:textId="77777777" w:rsidR="003821A3" w:rsidRDefault="003821A3"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C8339" w14:textId="77777777" w:rsidR="00843EE4" w:rsidRDefault="00843EE4" w:rsidP="005A1442">
    <w:pPr>
      <w:pStyle w:val="Piedepgina"/>
      <w:pBdr>
        <w:top w:val="single" w:sz="4" w:space="1" w:color="auto"/>
      </w:pBdr>
      <w:rPr>
        <w:sz w:val="16"/>
        <w:szCs w:val="16"/>
      </w:rPr>
    </w:pPr>
  </w:p>
  <w:p w14:paraId="4852E42B" w14:textId="77777777" w:rsidR="00843EE4" w:rsidRDefault="00843EE4"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2F0823E2" w14:textId="77777777" w:rsidR="00843EE4" w:rsidRDefault="00843EE4"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66555BE8" w14:textId="77777777" w:rsidR="00843EE4" w:rsidRPr="005A1442" w:rsidRDefault="00332895" w:rsidP="005A1442">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AADC7" w14:textId="77777777" w:rsidR="00843EE4" w:rsidRDefault="00843EE4" w:rsidP="00A83BA5">
    <w:pPr>
      <w:pStyle w:val="Piedepgina"/>
      <w:pBdr>
        <w:top w:val="single" w:sz="4" w:space="1" w:color="auto"/>
      </w:pBdr>
      <w:rPr>
        <w:sz w:val="16"/>
        <w:szCs w:val="16"/>
      </w:rPr>
    </w:pPr>
  </w:p>
  <w:p w14:paraId="283956C1" w14:textId="77777777" w:rsidR="00843EE4" w:rsidRDefault="00843EE4"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3AC1EB14" w14:textId="77777777" w:rsidR="00843EE4" w:rsidRDefault="00843EE4"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3C642440" w14:textId="77777777" w:rsidR="00843EE4" w:rsidRPr="00A83BA5" w:rsidRDefault="00332895"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38C71" w14:textId="77777777" w:rsidR="003821A3" w:rsidRDefault="003821A3" w:rsidP="005A1442">
      <w:r>
        <w:separator/>
      </w:r>
    </w:p>
  </w:footnote>
  <w:footnote w:type="continuationSeparator" w:id="0">
    <w:p w14:paraId="7B30FF6D" w14:textId="77777777" w:rsidR="003821A3" w:rsidRDefault="003821A3" w:rsidP="005A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3F147" w14:textId="77777777" w:rsidR="00843EE4" w:rsidRDefault="00843EE4">
    <w:pPr>
      <w:pStyle w:val="Encabezado"/>
    </w:pPr>
    <w:r>
      <w:rPr>
        <w:noProof/>
        <w:lang w:eastAsia="es-CR"/>
      </w:rPr>
      <mc:AlternateContent>
        <mc:Choice Requires="wps">
          <w:drawing>
            <wp:anchor distT="0" distB="0" distL="114300" distR="114300" simplePos="0" relativeHeight="251659264" behindDoc="0" locked="0" layoutInCell="1" allowOverlap="1" wp14:anchorId="68396664" wp14:editId="7D1A0907">
              <wp:simplePos x="0" y="0"/>
              <wp:positionH relativeFrom="column">
                <wp:posOffset>4530725</wp:posOffset>
              </wp:positionH>
              <wp:positionV relativeFrom="paragraph">
                <wp:posOffset>-140335</wp:posOffset>
              </wp:positionV>
              <wp:extent cx="1230341" cy="1303193"/>
              <wp:effectExtent l="0" t="0" r="825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4913B110" w14:textId="77777777" w:rsidR="003821A3" w:rsidRDefault="003821A3" w:rsidP="003821A3">
                          <w:pPr>
                            <w:pStyle w:val="Encabezado"/>
                            <w:jc w:val="center"/>
                            <w:rPr>
                              <w:rFonts w:ascii="Arial" w:hAnsi="Arial" w:cs="Arial"/>
                              <w:bCs/>
                              <w:i/>
                              <w:color w:val="808080" w:themeColor="background1" w:themeShade="80"/>
                              <w:sz w:val="16"/>
                              <w:szCs w:val="16"/>
                            </w:rPr>
                          </w:pPr>
                          <w:r>
                            <w:rPr>
                              <w:noProof/>
                              <w:lang w:eastAsia="es-CR"/>
                            </w:rPr>
                            <w:drawing>
                              <wp:inline distT="0" distB="0" distL="0" distR="0" wp14:anchorId="4EDAC8AF" wp14:editId="3A51CC0C">
                                <wp:extent cx="419100" cy="762000"/>
                                <wp:effectExtent l="0" t="0" r="0" b="0"/>
                                <wp:docPr id="7" name="Imagen 7"/>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762000"/>
                                        </a:xfrm>
                                        <a:prstGeom prst="rect">
                                          <a:avLst/>
                                        </a:prstGeom>
                                        <a:noFill/>
                                        <a:ln>
                                          <a:noFill/>
                                        </a:ln>
                                      </pic:spPr>
                                    </pic:pic>
                                  </a:graphicData>
                                </a:graphic>
                              </wp:inline>
                            </w:drawing>
                          </w:r>
                        </w:p>
                        <w:p w14:paraId="137C939F" w14:textId="77777777" w:rsidR="00843EE4" w:rsidRPr="00374377" w:rsidRDefault="00843EE4"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2D380850" w14:textId="77777777" w:rsidR="00843EE4" w:rsidRPr="00374377" w:rsidRDefault="00843EE4"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8396664">
              <v:stroke joinstyle="miter"/>
              <v:path gradientshapeok="t" o:connecttype="rect"/>
            </v:shapetype>
            <v:shape id="Cuadro de texto 2" style="position:absolute;margin-left:356.75pt;margin-top:-11.05pt;width:96.9pt;height:10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XoJgIAACUEAAAOAAAAZHJzL2Uyb0RvYy54bWysU9tu2zAMfR+wfxD0vtjOZW2MOEWXLsOA&#10;7gJ0+wBGkmNhsuhJSuzu60vJaZptb8P8IJAmeXh4RK1uhtawo3Jeo614Mck5U1ag1HZf8e/ftm+u&#10;OfMBrASDVlX8UXl+s379atV3pZpig0YqxwjE+rLvKt6E0JVZ5kWjWvAT7JSlYI2uhUCu22fSQU/o&#10;rcmmef4269HJzqFQ3tPfuzHI1wm/rpUIX+raq8BMxYlbSKdL5y6e2XoF5d5B12hxogH/wKIFbanp&#10;GeoOArCD039BtVo49FiHicA2w7rWQqUZaJoi/2OahwY6lWYhcXx3lsn/P1jx+fjVMS0rPsuvOLPQ&#10;0iVtDiAdMqlYUENANo0y9Z0vKfuho/wwvMOBrjuN7Lt7FD88s7hpwO7VrXPYNwok0SxiZXZROuL4&#10;CLLrP6GkbnAImICG2rVRQ1KFETpd1+P5iogHE7HldJbP5gVngmIF2cVylnpA+VzeOR8+KGxZNCru&#10;aAcSPBzvfYh0oHxOid08Gi232pjkuP1uYxw7Au3LNn0n9N/SjGV9xZeL6SIhW4z1aZVaHWifjW4r&#10;fp3HL5ZDGeV4b2WyA2gz2sTE2JM+UZJRnDDsBkqMou1QPpJSDse9pXdGRoPuF2c97WzF/c8DOMWZ&#10;+WhJ7WUxn8clT858cTUlx11GdpcRsIKgKh44G81NSA8j8rV4S7dS66TXC5MTV9rFJOPp3cRlv/RT&#10;1svrXj8BAAD//wMAUEsDBBQABgAIAAAAIQCPl/HR4AAAAAsBAAAPAAAAZHJzL2Rvd25yZXYueG1s&#10;TI/LTsMwEEX3SPyDNUhsUOs8aNOGOBUggdi29AMmsZtExOModpv07xlWdDm6R/eeKXaz7cXFjL5z&#10;pCBeRiAM1U531Cg4fn8sNiB8QNLYOzIKrsbDrry/KzDXbqK9uRxCI7iEfI4K2hCGXEpft8aiX7rB&#10;EGcnN1oMfI6N1CNOXG57mUTRWlrsiBdaHMx7a+qfw9kqOH1NT6vtVH2GY7Z/Xr9hl1XuqtTjw/z6&#10;AiKYOfzD8KfP6lCyU+XOpL3oFWRxumJUwSJJYhBMbKMsBVExukljkGUhb38ofwEAAP//AwBQSwEC&#10;LQAUAAYACAAAACEAtoM4kv4AAADhAQAAEwAAAAAAAAAAAAAAAAAAAAAAW0NvbnRlbnRfVHlwZXNd&#10;LnhtbFBLAQItABQABgAIAAAAIQA4/SH/1gAAAJQBAAALAAAAAAAAAAAAAAAAAC8BAABfcmVscy8u&#10;cmVsc1BLAQItABQABgAIAAAAIQDXbPXoJgIAACUEAAAOAAAAAAAAAAAAAAAAAC4CAABkcnMvZTJv&#10;RG9jLnhtbFBLAQItABQABgAIAAAAIQCPl/HR4AAAAAsBAAAPAAAAAAAAAAAAAAAAAIAEAABkcnMv&#10;ZG93bnJldi54bWxQSwUGAAAAAAQABADzAAAAjQUAAAAA&#10;">
              <v:textbox>
                <w:txbxContent>
                  <w:p w:rsidR="003821A3" w:rsidP="003821A3" w:rsidRDefault="003821A3" w14:paraId="4913B110" w14:textId="77777777">
                    <w:pPr>
                      <w:pStyle w:val="Encabezado"/>
                      <w:jc w:val="center"/>
                      <w:rPr>
                        <w:rFonts w:ascii="Arial" w:hAnsi="Arial" w:cs="Arial"/>
                        <w:bCs/>
                        <w:i/>
                        <w:color w:val="808080" w:themeColor="background1" w:themeShade="80"/>
                        <w:sz w:val="16"/>
                        <w:szCs w:val="16"/>
                      </w:rPr>
                    </w:pPr>
                    <w:r>
                      <w:rPr>
                        <w:noProof/>
                        <w:lang w:eastAsia="es-CR"/>
                      </w:rPr>
                      <w:drawing>
                        <wp:inline distT="0" distB="0" distL="0" distR="0" wp14:anchorId="4EDAC8AF" wp14:editId="3A51CC0C">
                          <wp:extent cx="419100" cy="762000"/>
                          <wp:effectExtent l="0" t="0" r="0" b="0"/>
                          <wp:docPr id="7" name="Imagen 7"/>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762000"/>
                                  </a:xfrm>
                                  <a:prstGeom prst="rect">
                                    <a:avLst/>
                                  </a:prstGeom>
                                  <a:noFill/>
                                  <a:ln>
                                    <a:noFill/>
                                  </a:ln>
                                </pic:spPr>
                              </pic:pic>
                            </a:graphicData>
                          </a:graphic>
                        </wp:inline>
                      </w:drawing>
                    </w:r>
                  </w:p>
                  <w:p w:rsidRPr="00374377" w:rsidR="00843EE4" w:rsidP="00221996" w:rsidRDefault="00843EE4" w14:paraId="137C939F" w14:textId="77777777">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Pr="00374377" w:rsidR="00843EE4" w:rsidP="00221996" w:rsidRDefault="00843EE4" w14:paraId="2D380850" w14:textId="77777777">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6AD957AA" wp14:editId="2F04F3FE">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695BE1CB" w14:textId="77777777" w:rsidR="00843EE4" w:rsidRDefault="00843EE4">
    <w:pPr>
      <w:pStyle w:val="Encabezado"/>
    </w:pPr>
  </w:p>
  <w:p w14:paraId="04F22103" w14:textId="2A67A30F" w:rsidR="00761D54" w:rsidRPr="00401D4C" w:rsidRDefault="00761D54" w:rsidP="00761D54">
    <w:pPr>
      <w:jc w:val="both"/>
      <w:rPr>
        <w:rFonts w:asciiTheme="majorHAnsi" w:hAnsiTheme="majorHAnsi"/>
        <w:b/>
        <w:i/>
        <w:color w:val="000000"/>
      </w:rPr>
    </w:pPr>
    <w:r w:rsidRPr="00401D4C">
      <w:rPr>
        <w:rFonts w:asciiTheme="majorHAnsi" w:hAnsiTheme="majorHAnsi"/>
        <w:b/>
        <w:i/>
        <w:color w:val="000000"/>
      </w:rPr>
      <w:t>SGS-</w:t>
    </w:r>
    <w:r w:rsidR="003821A3">
      <w:rPr>
        <w:rFonts w:asciiTheme="majorHAnsi" w:hAnsiTheme="majorHAnsi"/>
        <w:b/>
        <w:i/>
        <w:color w:val="000000"/>
      </w:rPr>
      <w:t>A-</w:t>
    </w:r>
    <w:r w:rsidR="00522759">
      <w:rPr>
        <w:rFonts w:asciiTheme="majorHAnsi" w:hAnsiTheme="majorHAnsi"/>
        <w:b/>
        <w:i/>
        <w:color w:val="000000"/>
      </w:rPr>
      <w:t>0058</w:t>
    </w:r>
    <w:r w:rsidRPr="00401D4C">
      <w:rPr>
        <w:rFonts w:asciiTheme="majorHAnsi" w:hAnsiTheme="majorHAnsi"/>
        <w:b/>
        <w:i/>
        <w:color w:val="000000"/>
      </w:rPr>
      <w:t>-201</w:t>
    </w:r>
    <w:r w:rsidR="003821A3">
      <w:rPr>
        <w:rFonts w:asciiTheme="majorHAnsi" w:hAnsiTheme="majorHAnsi"/>
        <w:b/>
        <w:i/>
        <w:color w:val="000000"/>
      </w:rPr>
      <w:t>7</w:t>
    </w:r>
  </w:p>
  <w:p w14:paraId="57E928A9" w14:textId="77777777" w:rsidR="00843EE4" w:rsidRPr="00221460" w:rsidRDefault="00843EE4" w:rsidP="005B70A7">
    <w:pPr>
      <w:pStyle w:val="Encabezado"/>
      <w:rPr>
        <w:rFonts w:asciiTheme="majorHAnsi" w:hAnsiTheme="majorHAnsi"/>
        <w:i/>
        <w:lang w:val="es-MX"/>
      </w:rPr>
    </w:pPr>
    <w:r w:rsidRPr="00221460">
      <w:rPr>
        <w:rFonts w:asciiTheme="majorHAnsi" w:hAnsiTheme="majorHAnsi"/>
        <w:i/>
        <w:lang w:val="es-MX"/>
      </w:rPr>
      <w:t xml:space="preserve">Página | </w:t>
    </w:r>
    <w:r w:rsidRPr="00221460">
      <w:rPr>
        <w:rFonts w:asciiTheme="majorHAnsi" w:hAnsiTheme="majorHAnsi"/>
        <w:i/>
        <w:lang w:val="es-MX"/>
      </w:rPr>
      <w:fldChar w:fldCharType="begin"/>
    </w:r>
    <w:r w:rsidRPr="00221460">
      <w:rPr>
        <w:rFonts w:asciiTheme="majorHAnsi" w:hAnsiTheme="majorHAnsi"/>
        <w:i/>
        <w:lang w:val="es-MX"/>
      </w:rPr>
      <w:instrText xml:space="preserve"> PAGE   \* MERGEFORMAT </w:instrText>
    </w:r>
    <w:r w:rsidRPr="00221460">
      <w:rPr>
        <w:rFonts w:asciiTheme="majorHAnsi" w:hAnsiTheme="majorHAnsi"/>
        <w:i/>
        <w:lang w:val="es-MX"/>
      </w:rPr>
      <w:fldChar w:fldCharType="separate"/>
    </w:r>
    <w:r w:rsidR="00332895">
      <w:rPr>
        <w:rFonts w:asciiTheme="majorHAnsi" w:hAnsiTheme="majorHAnsi"/>
        <w:i/>
        <w:noProof/>
        <w:lang w:val="es-MX"/>
      </w:rPr>
      <w:t>4</w:t>
    </w:r>
    <w:r w:rsidRPr="00221460">
      <w:rPr>
        <w:rFonts w:asciiTheme="majorHAnsi" w:hAnsiTheme="majorHAnsi"/>
        <w:i/>
        <w:lang w:val="es-MX"/>
      </w:rPr>
      <w:fldChar w:fldCharType="end"/>
    </w:r>
  </w:p>
  <w:p w14:paraId="26C9BA8E" w14:textId="77777777" w:rsidR="00843EE4" w:rsidRPr="005B70A7" w:rsidRDefault="00843EE4">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284DE" w14:textId="77777777" w:rsidR="00843EE4" w:rsidRDefault="00843EE4" w:rsidP="00A83BA5">
    <w:pPr>
      <w:pStyle w:val="Encabezado"/>
    </w:pPr>
    <w:r>
      <w:rPr>
        <w:noProof/>
        <w:lang w:eastAsia="es-CR"/>
      </w:rPr>
      <mc:AlternateContent>
        <mc:Choice Requires="wps">
          <w:drawing>
            <wp:anchor distT="0" distB="0" distL="114300" distR="114300" simplePos="0" relativeHeight="251661312" behindDoc="0" locked="0" layoutInCell="1" allowOverlap="1" wp14:anchorId="6C112C04" wp14:editId="69D28000">
              <wp:simplePos x="0" y="0"/>
              <wp:positionH relativeFrom="column">
                <wp:posOffset>4530956</wp:posOffset>
              </wp:positionH>
              <wp:positionV relativeFrom="paragraph">
                <wp:posOffset>-283325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79DC95B7" w14:textId="77777777" w:rsidR="00BE1D1E" w:rsidRDefault="00BE1D1E" w:rsidP="00A83BA5">
                          <w:pPr>
                            <w:pStyle w:val="Encabezado"/>
                            <w:jc w:val="center"/>
                            <w:rPr>
                              <w:rFonts w:ascii="Arial" w:hAnsi="Arial" w:cs="Arial"/>
                              <w:bCs/>
                              <w:i/>
                              <w:color w:val="808080" w:themeColor="background1" w:themeShade="80"/>
                              <w:sz w:val="16"/>
                              <w:szCs w:val="16"/>
                            </w:rPr>
                          </w:pPr>
                        </w:p>
                        <w:p w14:paraId="1E68915B" w14:textId="77777777" w:rsidR="00BE1D1E" w:rsidRDefault="00BE1D1E" w:rsidP="00A83BA5">
                          <w:pPr>
                            <w:pStyle w:val="Encabezado"/>
                            <w:jc w:val="center"/>
                            <w:rPr>
                              <w:rFonts w:ascii="Arial" w:hAnsi="Arial" w:cs="Arial"/>
                              <w:bCs/>
                              <w:i/>
                              <w:color w:val="808080" w:themeColor="background1" w:themeShade="80"/>
                              <w:sz w:val="16"/>
                              <w:szCs w:val="16"/>
                            </w:rPr>
                          </w:pPr>
                        </w:p>
                        <w:p w14:paraId="2C9D1DE9" w14:textId="77777777" w:rsidR="00843EE4" w:rsidRDefault="00BE1D1E" w:rsidP="00A83BA5">
                          <w:pPr>
                            <w:pStyle w:val="Encabezado"/>
                            <w:jc w:val="center"/>
                            <w:rPr>
                              <w:rFonts w:ascii="Arial" w:hAnsi="Arial" w:cs="Arial"/>
                              <w:bCs/>
                              <w:i/>
                              <w:color w:val="808080" w:themeColor="background1" w:themeShade="80"/>
                              <w:sz w:val="16"/>
                              <w:szCs w:val="16"/>
                            </w:rPr>
                          </w:pPr>
                          <w:r>
                            <w:rPr>
                              <w:noProof/>
                              <w:lang w:eastAsia="es-CR"/>
                            </w:rPr>
                            <w:drawing>
                              <wp:inline distT="0" distB="0" distL="0" distR="0" wp14:anchorId="61F68393" wp14:editId="49228E6B">
                                <wp:extent cx="419100" cy="762000"/>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762000"/>
                                        </a:xfrm>
                                        <a:prstGeom prst="rect">
                                          <a:avLst/>
                                        </a:prstGeom>
                                        <a:noFill/>
                                        <a:ln>
                                          <a:noFill/>
                                        </a:ln>
                                      </pic:spPr>
                                    </pic:pic>
                                  </a:graphicData>
                                </a:graphic>
                              </wp:inline>
                            </w:drawing>
                          </w:r>
                        </w:p>
                        <w:p w14:paraId="229142EC" w14:textId="77777777" w:rsidR="00843EE4" w:rsidRPr="00374377" w:rsidRDefault="00843EE4"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39C111F4" w14:textId="77777777" w:rsidR="00843EE4" w:rsidRPr="00374377" w:rsidRDefault="00843EE4"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C112C04">
              <v:stroke joinstyle="miter"/>
              <v:path gradientshapeok="t" o:connecttype="rect"/>
            </v:shapetype>
            <v:shape id="_x0000_s1027" style="position:absolute;margin-left:356.75pt;margin-top:-22.3pt;width:96.9pt;height:10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CF/OrxJwIAACoEAAAOAAAAAAAAAAAAAAAAAC4CAABkcnMvZTJv&#10;RG9jLnhtbFBLAQItABQABgAIAAAAIQAYCww03wAAAAsBAAAPAAAAAAAAAAAAAAAAAIEEAABkcnMv&#10;ZG93bnJldi54bWxQSwUGAAAAAAQABADzAAAAjQUAAAAA&#10;">
              <v:textbox>
                <w:txbxContent>
                  <w:p w:rsidR="00BE1D1E" w:rsidP="00A83BA5" w:rsidRDefault="00BE1D1E" w14:paraId="79DC95B7" w14:textId="77777777">
                    <w:pPr>
                      <w:pStyle w:val="Encabezado"/>
                      <w:jc w:val="center"/>
                      <w:rPr>
                        <w:rFonts w:ascii="Arial" w:hAnsi="Arial" w:cs="Arial"/>
                        <w:bCs/>
                        <w:i/>
                        <w:color w:val="808080" w:themeColor="background1" w:themeShade="80"/>
                        <w:sz w:val="16"/>
                        <w:szCs w:val="16"/>
                      </w:rPr>
                    </w:pPr>
                  </w:p>
                  <w:p w:rsidR="00BE1D1E" w:rsidP="00A83BA5" w:rsidRDefault="00BE1D1E" w14:paraId="1E68915B" w14:textId="77777777">
                    <w:pPr>
                      <w:pStyle w:val="Encabezado"/>
                      <w:jc w:val="center"/>
                      <w:rPr>
                        <w:rFonts w:ascii="Arial" w:hAnsi="Arial" w:cs="Arial"/>
                        <w:bCs/>
                        <w:i/>
                        <w:color w:val="808080" w:themeColor="background1" w:themeShade="80"/>
                        <w:sz w:val="16"/>
                        <w:szCs w:val="16"/>
                      </w:rPr>
                    </w:pPr>
                  </w:p>
                  <w:p w:rsidR="00843EE4" w:rsidP="00A83BA5" w:rsidRDefault="00BE1D1E" w14:paraId="2C9D1DE9" w14:textId="77777777">
                    <w:pPr>
                      <w:pStyle w:val="Encabezado"/>
                      <w:jc w:val="center"/>
                      <w:rPr>
                        <w:rFonts w:ascii="Arial" w:hAnsi="Arial" w:cs="Arial"/>
                        <w:bCs/>
                        <w:i/>
                        <w:color w:val="808080" w:themeColor="background1" w:themeShade="80"/>
                        <w:sz w:val="16"/>
                        <w:szCs w:val="16"/>
                      </w:rPr>
                    </w:pPr>
                    <w:r>
                      <w:rPr>
                        <w:noProof/>
                        <w:lang w:eastAsia="es-CR"/>
                      </w:rPr>
                      <w:drawing>
                        <wp:inline distT="0" distB="0" distL="0" distR="0" wp14:anchorId="61F68393" wp14:editId="49228E6B">
                          <wp:extent cx="419100" cy="762000"/>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762000"/>
                                  </a:xfrm>
                                  <a:prstGeom prst="rect">
                                    <a:avLst/>
                                  </a:prstGeom>
                                  <a:noFill/>
                                  <a:ln>
                                    <a:noFill/>
                                  </a:ln>
                                </pic:spPr>
                              </pic:pic>
                            </a:graphicData>
                          </a:graphic>
                        </wp:inline>
                      </w:drawing>
                    </w:r>
                  </w:p>
                  <w:p w:rsidRPr="00374377" w:rsidR="00843EE4" w:rsidP="00A83BA5" w:rsidRDefault="00843EE4" w14:paraId="229142EC" w14:textId="77777777">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Pr="00374377" w:rsidR="00843EE4" w:rsidP="00A83BA5" w:rsidRDefault="00843EE4" w14:paraId="39C111F4" w14:textId="77777777">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4B85653A" wp14:editId="57894B1E">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0B701AE2" w14:textId="77777777" w:rsidR="00843EE4" w:rsidRDefault="00843E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136CB"/>
    <w:multiLevelType w:val="hybridMultilevel"/>
    <w:tmpl w:val="0D9C756A"/>
    <w:lvl w:ilvl="0" w:tplc="07B860A2">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1A3"/>
    <w:rsid w:val="00003EEF"/>
    <w:rsid w:val="000076D1"/>
    <w:rsid w:val="000105FD"/>
    <w:rsid w:val="00015CC4"/>
    <w:rsid w:val="0002274F"/>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7380"/>
    <w:rsid w:val="00112325"/>
    <w:rsid w:val="00133DA2"/>
    <w:rsid w:val="00135FBF"/>
    <w:rsid w:val="00140B90"/>
    <w:rsid w:val="00145DE7"/>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440B8"/>
    <w:rsid w:val="00247E9E"/>
    <w:rsid w:val="0026145C"/>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2895"/>
    <w:rsid w:val="00333BA8"/>
    <w:rsid w:val="00336659"/>
    <w:rsid w:val="00343523"/>
    <w:rsid w:val="00343D0D"/>
    <w:rsid w:val="003623F7"/>
    <w:rsid w:val="0036475D"/>
    <w:rsid w:val="00366016"/>
    <w:rsid w:val="003758F1"/>
    <w:rsid w:val="00376DE7"/>
    <w:rsid w:val="003821A3"/>
    <w:rsid w:val="00385D10"/>
    <w:rsid w:val="00391C88"/>
    <w:rsid w:val="00393A97"/>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2759"/>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C2F23"/>
    <w:rsid w:val="00BC5BBE"/>
    <w:rsid w:val="00BD18FF"/>
    <w:rsid w:val="00BE08B6"/>
    <w:rsid w:val="00BE1D1E"/>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D5BAA"/>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611D6"/>
    <w:rsid w:val="00F615EE"/>
    <w:rsid w:val="00F6508B"/>
    <w:rsid w:val="00F84235"/>
    <w:rsid w:val="00F87AC4"/>
    <w:rsid w:val="00F952FA"/>
    <w:rsid w:val="00FA4D98"/>
    <w:rsid w:val="00FA56C0"/>
    <w:rsid w:val="00FB6C78"/>
    <w:rsid w:val="00FC2DDB"/>
    <w:rsid w:val="00FC5636"/>
    <w:rsid w:val="00FC7C8A"/>
    <w:rsid w:val="00FD0685"/>
    <w:rsid w:val="00FE165F"/>
    <w:rsid w:val="00FE1C22"/>
    <w:rsid w:val="00FE3A47"/>
    <w:rsid w:val="00FF04DB"/>
    <w:rsid w:val="00FF375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0DC677"/>
  <w15:docId w15:val="{109922D8-8BFC-4681-A94E-BF93FB251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FF3752"/>
    <w:rPr>
      <w:color w:val="808080"/>
    </w:rPr>
  </w:style>
  <w:style w:type="paragraph" w:styleId="Prrafodelista">
    <w:name w:val="List Paragraph"/>
    <w:basedOn w:val="Normal"/>
    <w:link w:val="PrrafodelistaCar"/>
    <w:uiPriority w:val="34"/>
    <w:qFormat/>
    <w:rsid w:val="003821A3"/>
    <w:pPr>
      <w:ind w:left="720"/>
      <w:contextualSpacing/>
    </w:pPr>
  </w:style>
  <w:style w:type="character" w:styleId="Refdecomentario">
    <w:name w:val="annotation reference"/>
    <w:basedOn w:val="Fuentedeprrafopredeter"/>
    <w:uiPriority w:val="99"/>
    <w:semiHidden/>
    <w:unhideWhenUsed/>
    <w:rsid w:val="003821A3"/>
    <w:rPr>
      <w:sz w:val="16"/>
      <w:szCs w:val="16"/>
    </w:rPr>
  </w:style>
  <w:style w:type="paragraph" w:styleId="Textocomentario">
    <w:name w:val="annotation text"/>
    <w:basedOn w:val="Normal"/>
    <w:link w:val="TextocomentarioCar"/>
    <w:uiPriority w:val="99"/>
    <w:semiHidden/>
    <w:unhideWhenUsed/>
    <w:rsid w:val="003821A3"/>
    <w:rPr>
      <w:sz w:val="20"/>
      <w:szCs w:val="20"/>
    </w:rPr>
  </w:style>
  <w:style w:type="character" w:customStyle="1" w:styleId="TextocomentarioCar">
    <w:name w:val="Texto comentario Car"/>
    <w:basedOn w:val="Fuentedeprrafopredeter"/>
    <w:link w:val="Textocomentario"/>
    <w:uiPriority w:val="99"/>
    <w:semiHidden/>
    <w:rsid w:val="003821A3"/>
    <w:rPr>
      <w:rFonts w:ascii="Times New Roman" w:eastAsia="Times New Roman" w:hAnsi="Times New Roman" w:cs="Times New Roman"/>
      <w:sz w:val="20"/>
      <w:szCs w:val="20"/>
      <w:lang w:val="es-ES" w:eastAsia="es-ES"/>
    </w:rPr>
  </w:style>
  <w:style w:type="character" w:customStyle="1" w:styleId="PrrafodelistaCar">
    <w:name w:val="Párrafo de lista Car"/>
    <w:link w:val="Prrafodelista"/>
    <w:uiPriority w:val="34"/>
    <w:locked/>
    <w:rsid w:val="003821A3"/>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package" Target="embeddings/Documento_de_Microsoft_Word2.docx"/><Relationship Id="rId20" Type="http://schemas.openxmlformats.org/officeDocument/2006/relationships/header" Target="header2.xml"/><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footnotes" Target="footnotes.xml"/><Relationship Id="rId23" Type="http://schemas.openxmlformats.org/officeDocument/2006/relationships/glossaryDocument" Target="glossary/document.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footer" Target="footer1.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package" Target="embeddings/Documento_de_Microsoft_Word1.docx"/></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0.wmf"/><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0.wmf"/><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PlantillasExternas/Plantilla-SGS-A-1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094F7B7D7C42F6AC1E3038C9283B20"/>
        <w:category>
          <w:name w:val="General"/>
          <w:gallery w:val="placeholder"/>
        </w:category>
        <w:types>
          <w:type w:val="bbPlcHdr"/>
        </w:types>
        <w:behaviors>
          <w:behavior w:val="content"/>
        </w:behaviors>
        <w:guid w:val="{821B1609-E815-4019-87F0-B3A3C4E65BFB}"/>
      </w:docPartPr>
      <w:docPartBody>
        <w:p w:rsidR="00257911" w:rsidRDefault="00257911">
          <w:pPr>
            <w:pStyle w:val="97094F7B7D7C42F6AC1E3038C9283B20"/>
          </w:pPr>
          <w:r>
            <w:rPr>
              <w:rStyle w:val="Textodelmarcadordeposicin"/>
              <w:rFonts w:eastAsiaTheme="minorHAnsi"/>
            </w:rPr>
            <w:t>SGS-A-0000-AÑO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911"/>
    <w:rsid w:val="0025791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7094F7B7D7C42F6AC1E3038C9283B20">
    <w:name w:val="97094F7B7D7C42F6AC1E3038C9283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jigbLUoqungnzumbXLKgSG7JzIthxoyQGbZQ/z8lZVI=</DigestValue>
    </Reference>
    <Reference Type="http://www.w3.org/2000/09/xmldsig#Object" URI="#idOfficeObject">
      <DigestMethod Algorithm="http://www.w3.org/2001/04/xmlenc#sha256"/>
      <DigestValue>ESS4lzHxogDShkxZTRcR1fL61J9UuPWN6loEDL0dNz8=</DigestValue>
    </Reference>
    <Reference Type="http://uri.etsi.org/01903#SignedProperties" URI="#idSignedProperties">
      <Transforms>
        <Transform Algorithm="http://www.w3.org/TR/2001/REC-xml-c14n-20010315"/>
      </Transforms>
      <DigestMethod Algorithm="http://www.w3.org/2001/04/xmlenc#sha256"/>
      <DigestValue>2AubX1SjvP+B5JYqNWYOOra3MSrG9jgAu6unG4qSTck=</DigestValue>
    </Reference>
  </SignedInfo>
  <SignatureValue>QOfMK8aKMmdQnVBFwa5Zlm3hIiNEQtfiuDN3SPIQp+XFbRl2Jbc1jfwPGPTl8M8sVU0CSWLhJHhi
T8vSWofFkI58nvVZ6jlufmdCTZSQESWcBjTYNGUKv2aD2J8hnvQhLSqH9Jru2ElvVvgCs6bcRAEY
NMNQ48ReQHblXKK+i4dRtl2kiWLAIxkQ8Ugmqm+8+8BImGeUtGXfbMt3Eem0Uf202iLnITdqWmbM
/YCFvbeaJ9Zml+bvtUnYSK3RusCZaOGUfNrr9ir1LWAwWpIHXKomoJrrKOShAfBuI4ITlhg/5bQk
H5bmNQ6Y664xteStKs3vUQcdJyuNIPmSxxYdfg==</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NOFuII0emUfwaXatuwWU5oq1eOQSr7pXPtpear7uQYk=</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LPclciF4KXIO8t48Ur6YQkk3Z3y+G5ZIG4uqaAY7Dno=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LPclciF4KXIO8t48Ur6YQkk3Z3y+G5ZIG4uqaAY7Dno=</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0vDSaeFjNZPV4o5t8L3wJcNlhADhKrTW1me2HRwXqPc=</DigestValue>
      </Reference>
      <Reference URI="/word/document.xml?ContentType=application/vnd.openxmlformats-officedocument.wordprocessingml.document.main+xml">
        <DigestMethod Algorithm="http://www.w3.org/2001/04/xmlenc#sha256"/>
        <DigestValue>Uslq1b9jA3kLEbwpzn+ca7Nvc5tpXs90TtvOiNjeYXs=</DigestValue>
      </Reference>
      <Reference URI="/word/embeddings/Documento_de_Microsoft_Word1.docx?ContentType=application/vnd.openxmlformats-officedocument.wordprocessingml.document">
        <DigestMethod Algorithm="http://www.w3.org/2001/04/xmlenc#sha256"/>
        <DigestValue>FsaTjU/Zo7JTgtqxhWHx3eJvGtd+eHs32BYVea94LPI=</DigestValue>
      </Reference>
      <Reference URI="/word/embeddings/Documento_de_Microsoft_Word2.docx?ContentType=application/vnd.openxmlformats-officedocument.wordprocessingml.document">
        <DigestMethod Algorithm="http://www.w3.org/2001/04/xmlenc#sha256"/>
        <DigestValue>yEDEDSBjNkWLIzWlW73qceRj6tK6kxFwa/iy0AR2748=</DigestValue>
      </Reference>
      <Reference URI="/word/endnotes.xml?ContentType=application/vnd.openxmlformats-officedocument.wordprocessingml.endnotes+xml">
        <DigestMethod Algorithm="http://www.w3.org/2001/04/xmlenc#sha256"/>
        <DigestValue>LYLMMU9MsxXqfjtk5BIP014yUw3HDUxqB444z1V7a84=</DigestValue>
      </Reference>
      <Reference URI="/word/fontTable.xml?ContentType=application/vnd.openxmlformats-officedocument.wordprocessingml.fontTable+xml">
        <DigestMethod Algorithm="http://www.w3.org/2001/04/xmlenc#sha256"/>
        <DigestValue>u1XQdBMEh/LqlLl2U/6hDP7pkfBx6PAoA1W+DDn57Gc=</DigestValue>
      </Reference>
      <Reference URI="/word/footer1.xml?ContentType=application/vnd.openxmlformats-officedocument.wordprocessingml.footer+xml">
        <DigestMethod Algorithm="http://www.w3.org/2001/04/xmlenc#sha256"/>
        <DigestValue>2filYDW5OnVhkYarpng2tIzT66Jl8juiTLyaNtmuFjs=</DigestValue>
      </Reference>
      <Reference URI="/word/footer2.xml?ContentType=application/vnd.openxmlformats-officedocument.wordprocessingml.footer+xml">
        <DigestMethod Algorithm="http://www.w3.org/2001/04/xmlenc#sha256"/>
        <DigestValue>irtlK2j18yhRUvg4VAHTFVU+ARHYAwbUI6bWsVbfS8U=</DigestValue>
      </Reference>
      <Reference URI="/word/footnotes.xml?ContentType=application/vnd.openxmlformats-officedocument.wordprocessingml.footnotes+xml">
        <DigestMethod Algorithm="http://www.w3.org/2001/04/xmlenc#sha256"/>
        <DigestValue>SvE+UuIO1BBRSQ5V3rBTxq7CF5SnWhK4JVza63VgNpk=</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puxj+fcHfV8wFYGjO9fqLNBFG9vIQjtMWzYpedtA12g=</DigestValue>
      </Reference>
      <Reference URI="/word/glossary/fontTable.xml?ContentType=application/vnd.openxmlformats-officedocument.wordprocessingml.fontTable+xml">
        <DigestMethod Algorithm="http://www.w3.org/2001/04/xmlenc#sha256"/>
        <DigestValue>U8p3zFrvlFMPXH7+dt56PVn/AV7ln4U9wz3RxIvNw1o=</DigestValue>
      </Reference>
      <Reference URI="/word/glossary/settings.xml?ContentType=application/vnd.openxmlformats-officedocument.wordprocessingml.settings+xml">
        <DigestMethod Algorithm="http://www.w3.org/2001/04/xmlenc#sha256"/>
        <DigestValue>N1h34JXA5RaIa2nUJX/SAnpsGGZfNwdDHQazUZYabrQ=</DigestValue>
      </Reference>
      <Reference URI="/word/glossary/styles.xml?ContentType=application/vnd.openxmlformats-officedocument.wordprocessingml.styles+xml">
        <DigestMethod Algorithm="http://www.w3.org/2001/04/xmlenc#sha256"/>
        <DigestValue>W09jbIxifitJks2Xa/HBzUgfgzi2Ib2pTNSaKQrSGvY=</DigestValue>
      </Reference>
      <Reference URI="/word/glossary/webSettings.xml?ContentType=application/vnd.openxmlformats-officedocument.wordprocessingml.webSettings+xml">
        <DigestMethod Algorithm="http://www.w3.org/2001/04/xmlenc#sha256"/>
        <DigestValue>4R6+CInr/wXTFIZEF6UJNO/PGXNJ2fOomAK+MHb6KnM=</DigestValue>
      </Reference>
      <Reference URI="/word/header1.xml?ContentType=application/vnd.openxmlformats-officedocument.wordprocessingml.header+xml">
        <DigestMethod Algorithm="http://www.w3.org/2001/04/xmlenc#sha256"/>
        <DigestValue>ECTqFeoJhp6onysHJlB18h6gfACJRJPY5powIF3fMTo=</DigestValue>
      </Reference>
      <Reference URI="/word/header2.xml?ContentType=application/vnd.openxmlformats-officedocument.wordprocessingml.header+xml">
        <DigestMethod Algorithm="http://www.w3.org/2001/04/xmlenc#sha256"/>
        <DigestValue>xnWc1V+CsveW824/6I1sJe0PlMik39XT41Omcch7uD0=</DigestValue>
      </Reference>
      <Reference URI="/word/media/image1.emf?ContentType=image/x-emf">
        <DigestMethod Algorithm="http://www.w3.org/2001/04/xmlenc#sha256"/>
        <DigestValue>bqhZrtzeZfYLAE32K74vuVxWNcyK+pxQvZStnu4kqEI=</DigestValue>
      </Reference>
      <Reference URI="/word/media/image2.emf?ContentType=image/x-emf">
        <DigestMethod Algorithm="http://www.w3.org/2001/04/xmlenc#sha256"/>
        <DigestValue>GA6mMMBJZN6PJufmf6mITxS1QDr3/MHmwRHcq2kQUWk=</DigestValue>
      </Reference>
      <Reference URI="/word/media/image3.png?ContentType=image/png">
        <DigestMethod Algorithm="http://www.w3.org/2001/04/xmlenc#sha256"/>
        <DigestValue>8ow0IbLvIuBewu4WCsfpgILO/EmmHhLyHA30uNxvsQ8=</DigestValue>
      </Reference>
      <Reference URI="/word/media/image4.wmf?ContentType=image/x-wmf">
        <DigestMethod Algorithm="http://www.w3.org/2001/04/xmlenc#sha256"/>
        <DigestValue>GoNPgj+lJ6aYUabPyQDM9x9pnj3oDnuArbVXOUCy3jU=</DigestValue>
      </Reference>
      <Reference URI="/word/media/image40.wmf?ContentType=image/x-wmf">
        <DigestMethod Algorithm="http://www.w3.org/2001/04/xmlenc#sha256"/>
        <DigestValue>GoNPgj+lJ6aYUabPyQDM9x9pnj3oDnuArbVXOUCy3jU=</DigestValue>
      </Reference>
      <Reference URI="/word/media/image5.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xoNlMREmFEredPBmsTAH2CkvbLMyupKvW9Om9wXNNDI=</DigestValue>
      </Reference>
      <Reference URI="/word/settings.xml?ContentType=application/vnd.openxmlformats-officedocument.wordprocessingml.settings+xml">
        <DigestMethod Algorithm="http://www.w3.org/2001/04/xmlenc#sha256"/>
        <DigestValue>UbjNOY832FiDaskFAo0g2rHLRZ228lKUGaFaNn+J7wM=</DigestValue>
      </Reference>
      <Reference URI="/word/styles.xml?ContentType=application/vnd.openxmlformats-officedocument.wordprocessingml.styles+xml">
        <DigestMethod Algorithm="http://www.w3.org/2001/04/xmlenc#sha256"/>
        <DigestValue>MhbTRBThaOlhJHcO+EVBwYUmXRY9fgwysfpL7/8ldAA=</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6nmSxbFw8mM+9fE3wuJZo6coJOoxo5lAnbgkWURN9t0=</DigestValue>
      </Reference>
    </Manifest>
    <SignatureProperties>
      <SignatureProperty Id="idSignatureTime" Target="#idPackageSignature">
        <mdssi:SignatureTime xmlns:mdssi="http://schemas.openxmlformats.org/package/2006/digital-signature">
          <mdssi:Format>YYYY-MM-DDThh:mm:ssTZD</mdssi:Format>
          <mdssi:Value>2017-12-05T15:09:51Z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2017-12-05T15:09:51Z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ZcbDxcHoOBdjfqPNWkVyJClPvldVm3DiQ6yzZdoIJMCBAIF4cQYDzIwMTcxMjA1MTUwOTU4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TIwNTE1MDk1OFowLwYJKoZIhvcNAQkEMSIEIDi8Ka2fEc1XoUrr0XQddV0Bo9rD8ckEHn1TBFyzK6FlMDcGCyqGSIb3DQEJEAIvMSgwJjAkMCIEIP1uHh4Iw1TLh2iN1LoO7B9R37kzSzskFPkvwf2+mtW1MA0GCSqGSIb3DQEBAQUABIIBAEEa1fBwUCc7iLApGFPf5GC3rExW7I7bk8/M83e+FyzGtrYpPU1fnxLc7H9fA3cI0IKiV2RAiD2s3TJ+s4KFFzozDepAR6wf+BF31IyjL4ab8y/Jl0sWDtr05xFIctREyQViPsbBybAUPUvlydf5smBVGvfOtms2WQg2q9muRr+/3PT2xLPx8RGfustlHNyos/gU/Z47l8pTv4p9ZDdRcWJ/6Izm2Fr5WNU6rWQsRM4S9An5jQy+/aF7m6ypl3eFNU2ST29eHwGvOwYUIqOrT6b6+U9P8jmTMc5BrVY1bCIWaUbYIGjr71+z0nwpbzXJ1Z9uKIVO/+Fo8zV0jsaP528=</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cxMDIzMTYzNzAyWhcNMTcxMjI0MDQ1NzAyWqBfMF0wHwYDVR0jBBgwFoAUsLvgCC5LE2jw0IBEA2ekP/8lY/YwEAYJKwYBBAGCNxUBBAMCAQAwCgYDVR0UBAMCARMwHAYJKwYBBAGCNxUEBA8XDTE3MTIyMzE2NDcwMlowDQYJKoZIhvcNAQENBQADggIBADg6Ou3cKwzTzqokw8KvKm+5q93g0z+rICtNAbSNtBXAaB4yrInYRvQ7WA2V03I3OpoUiD2CZLbVUh6zHA+lU93eatRmZ47WhIb4LC/JToXa8TurE8kty136BbyMr7zkkhgGwtBJgtzlqRpReaP8NEVeeGpzf8zxDIxnMJtGYl9AT9HO9nr9t6ojWsgGZl8ZCRhh6GYRLY/9uE4AiKObZQATm574GXPN6iKwnIcgGgySoN/yIP5l8va9gtYbKRFCbYyUhrPeG8gDa84vxIwYT2HTiBfBGa96OypKB4wQCvSDv1UFvHFDlFfLVmMJZqcc0wia49WR5RgYWakxATH0FrkjF8dO+WPA5RwiPxPcvN0JbtoWLXDC63zznm5mrFiszGXwrvcl5EhurK2ujBnJJYMZHyEQBas9siefwJabd9NwTJlvGzjIwkmzTB6RBgo0XXUVGDEBZjHqKZni0Bh4+Wj1DKrKNEtOyZ/qAcmv3iB5d06bHteYQRCVbCeUejNUJgkcNNrqiF4sZfyP/PdRDgjlLm/87jbgWc8QIrGvHpUPIAgqtqlEThMIBGtCkfc8bJy/GhgozHyh5ifmAnqp910nBLkBnXlswMQh4VBj0tSXvapVCFoXIjOBqBN9mFTsLWrqFpRadFXJqNGqAA4eLh2oeB8vOC+Kd1w3makTdzAN</xd:EncapsulatedCRLValue>
                <xd:EncapsulatedCRLValue>MIIDHjCCAQYCAQEwDQYJKoZIhvcNAQENBQAwczEZMBcGA1UEBRMQQ1BKLTItMTAwLTA5ODMxMTENMAsGA1UECxMERENGRDEPMA0GA1UEChMGTUlDSVRUMQswCQYDVQQGEwJDUjEpMCcGA1UEAxMgQ0EgUkFJWiBOQUNJT05BTCAtIENPU1RBIFJJQ0EgdjIXDTE3MDgzMDIwNTkzOFoXDTE3MTIzMTA5MTkzOFqgXzBdMB8GA1UdIwQYMBaAFODy/n3ERE5Q5DX9CImPToQZRDNAMBAGCSsGAQQBgjcVAQQDAgEAMAoGA1UdFAQDAgEKMBwGCSsGAQQBgjcVBAQPFw0xNzEyMzAyMTA5MzhaMA0GCSqGSIb3DQEBDQUAA4ICAQB2Q0yWNEp3ZsjdjRAwzrGgL3Wxf6cqx/kirwEuoiAYUkCGUnWCblMOLPKhXOlXJcAdxwW42VD7p1jqz4rtwJpxsYaKHD6BNkUSgeRMIWqrmn8dgd2RCM8EaRCX77bvgx1Ol8nTT0VbfEBJyrmkYPWovTGj25MLgeNFl1Obk1OzNbNdyhLQ7ebyqiuj6vKlU2VQsoM9Ae+ILuez24PuhnsH2UErKVJQJe0INAWvQC1EL743OSudnY8xSCcxaxiC66QyXkccreIghzKH6lXn0AZrUtmwrocbaWHqOynqgF3bqGP/Y7AJGub9wyixG2YkqSERJITLLQ9QganiY41wT+BlgWMd2QwlpuG9h9ndoTQwrLNvk4JXxcs67o8ffwcc8ZiTSbWix/JS4g5BCivWFd7EcvVetdfLI4PSuDpviP/srYotjFd5BjN/JkramOOydWv2IupGU0+BTB//cJ5knFZJiyIH8Ji8sWT5H9l+legWJ8GNGwvo09rxeUTu6YLMfHslr+Hoe54u4zcWpGo/HUMxf+VKymB8iL2c/fq9fxh7Aiy6yFSMllXRXuN0RE+Xw1+zt7ZpPvAwqNb8/9PKoVYsmyq0Ydai8w/XM8wYatfxUgGHC1A5yyfOgfNYnWVWfjG3T3bXRYnKDi5M5ZxuppBmVS3pHlw564/kByJEC1bmA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4PEquWlKYCNdEdcElnlCtsOe65g=</xd:ByKey>
                  </xd:ResponderID>
                  <xd:ProducedAt>2017-12-04T17:52:24Z</xd:ProducedAt>
                </xd:OCSPIdentifier>
                <xd:DigestAlgAndValue>
                  <DigestMethod Algorithm="http://www.w3.org/2001/04/xmlenc#sha256"/>
                  <DigestValue>PpTZBS3PSeOp3mpy/QuITkUk5h7Kgrqlea8JtO8kGHs=</DigestValue>
                </xd:DigestAlgAndValue>
              </xd:OCSPRef>
            </xd:OCSPRefs>
            <xd:CRLRefs>
              <xd:CRLRef>
                <xd:DigestAlgAndValue>
                  <DigestMethod Algorithm="http://www.w3.org/2001/04/xmlenc#sha256"/>
                  <DigestValue>flHS5qxBbrQmb78H4mQ6LFvkAI3kt9QlR8tymTQSpAo=</DigestValue>
                </xd:DigestAlgAndValue>
                <xd:CRLIdentifier>
                  <xd:Issuer>CN=CA POLITICA PERSONA FISICA - COSTA RICA v2, OU=DCFD, O=MICITT, C=CR, SERIALNUMBER=CPJ-2-100-098311</xd:Issuer>
                  <xd:IssueTime>2017-10-23T16:11:07Z</xd:IssueTime>
                </xd:CRLIdentifier>
              </xd:CRLRef>
              <xd:CRLRef>
                <xd:DigestAlgAndValue>
                  <DigestMethod Algorithm="http://www.w3.org/2001/04/xmlenc#sha256"/>
                  <DigestValue>T6OjZ0a9CZLMNu+TY6WMd3YLvzJWSUV0wZxgrGjwpCg=</DigestValue>
                </xd:DigestAlgAndValue>
                <xd:CRLIdentifier>
                  <xd:Issuer>CN=CA RAIZ NACIONAL - COSTA RICA v2, C=CR, O=MICITT, OU=DCFD, SERIALNUMBER=CPJ-2-100-098311</xd:Issuer>
                  <xd:IssueTime>2017-08-30T20:59:38Z</xd:IssueTime>
                </xd:CRLIdentifier>
              </xd:CRLRef>
            </xd:CRLRefs>
          </xd:CompleteRevocationRefs>
          <xd:RevocationValues>
            <xd:OCSPValues>
              <xd:EncapsulatedOCSPValue>MIIGOQoBAKCCBjIwggYuBgkrBgEFBQcwAQEEggYfMIIGGzCBxaIWBBTg8Sq5aUpgI10R1wSWeUK2w57rmBgPMjAxNzEyMDQxNzUyMjRaMIGZMIGWMEwwCQYFKw4DAhoFAAQUzgxHzN03kqP+e9oD7BphnZQwSGIEFLR0i6ue23bwf6Uo45StMcxy8LMpAhMUAACGN34DLuhkyxmoAAAAAIY3gAAYDzIwMTcxMjA0MTcwMjIzWqARGA8yMDE3MTIwNjA1MjIyM1qhIDAeMBwGCSsGAQQBgjcVBAQPFw0xNzEyMDUxNzEyMjNaMA0GCSqGSIb3DQEBBQUAA4IBAQA1jYJYRn3R3HBVoa42SEsufwqYJV0CzZllsACNpuW5kQm/FQgt3WJ3sk1GE6RKKRjxYOyiaMeirABpFVDbxQq/Nh9aC21zIh2krZap7hXR///avGRIYFBmoGgG8a362/fbzPiobwEn4YnoDJRa4URs4mzpH/cS0rUriYL3X02KC3a07e2gsfgRFSG9CKQobQJUjFr+tYjVDOfwx7ol3hghVyEaLSselt7mWNLzBArMBgfk83xM/5bpoWtKSIFPSzfMSjQJ9uaiJgA0A70etxIW9OwwVYL6DSOyfsQ8KAsXzCW8FhI5EtHGTMAU5w72KTYXztM2ky1qu9LkLwrdPh2ToIIEOzCCBDcwggQzMIIDG6ADAgECAhMUAAKnjLAHfY9QJ2itAAAAAqeMMA0GCSqGSIb3DQEBCwUAMIGZMRkwFwYDVQQFExBDUEotNC0wMDAtMDA0MDE3MQswCQYDVQQGEwJDUjEkMCIGA1UEChMbQkFOQ08gQ0VOVFJBTCBERSBDT1NUQSBSSUNBMSIwIAYDVQQLExlESVZJU0lPTiBTSVNURU1BUyBERSBQQUdPMSUwIwYDVQQDExxDQSBTSU5QRSAtIFBFUlNPTkEgRklTSUNBIHYyMB4XDTE3MTIwMjA4NDQxOFoXDTE3MTIxNjA4NDQxOFowGjEYMBYGA1UEAxMPUExBVEFOQVIuZmRpLmNyMIIBIjANBgkqhkiG9w0BAQEFAAOCAQ8AMIIBCgKCAQEA5QmwH1OX+WyBYmr3h/IK22c3x8Gl9HPDKVIZckopH4XAXh0WcAW2K5t0LkzNNMRljbDpm8mZ5k0KWENtoP5k8A9scTIfvO0CHiTOF0Ih8J+24SGRwa3K6zfTvLaZnT8rmZqlt1keJWsP3SwdapfT0M5R2AcWeUXgfvlGj/lm6IEl9KPLSXoAr3gIrqvzp7Jm5lVPiUl2pTHds67lcT3q96A0cCR5FVq8yTc0HlmYeVgYVwtsoeERmAsyTyFTjJPIPzKG5RrqG81rCpcm9/O2zPc2yD6G55z6rfvSGC+GDx1O7MRCorVaqJVeNaRss1P6zJUYgW3MdJ7q159AkquJ1wIDAQABo4HxMIHuMD0GCSsGAQQBgjcVBwQwMC4GJisGAQQBgjcVCIXE6luC0eM1lZEbgvmXGIaly2uBf4P2/HeBuPEzAgFkAgEBMBMGA1UdJQQMMAoGCCsGAQUFBwMJMA4GA1UdDwEB/wQEAwIHgDAbBgkrBgEEAYI3FQoEDjAMMAoGCCsGAQUFBwMJMA8GCSsGAQUFBzABBQQCBQAwHwYDVR0jBBgwFoAUtHSLq57bdvB/pSjjlK0xzHLwsykwHQYDVR0OBBYEFODxKrlpSmAjXRHXBJZ5QrbDnuuYMBoGA1UdEQQTMBGCD1BMQVRBTkFSLmZkaS5jcjANBgkqhkiG9w0BAQsFAAOCAQEAVB66Q9aGvyme96aLUjZIYlMHGTtuz2N1Bxygip5qrNqRDJNAt14ujI4J9QXBTPi3R1P+4RJ1WlS1pS3+x7q0WcbGvvt3scTzghRxe1HUsN1BpCpaUAJbHGr/O7EERHHYVnwE4uaBdI9/CErcDA0erhDYKwhlxx5pKTq3Ds3nXqurvnOpnOxUKv1AujgKWXtLX8/nFqChAClN6sa/G8E+87jem7RzllyrW3KzOCyWCMIhXjkVyHEuT5l0Dblc5heLdfWCIT4cCsiJk9xXNDnBgiJayX5j30lrupGBMvkN4LBFeSYaIII6NtFmOXkBncd4DUPj0clNvimFj6XorGzkwg==</xd:EncapsulatedOCSPValue>
            </xd:OCSPValues>
            <xd:CRLValues>
              <xd:EncapsulatedCRLValue>MIIDKDCCARACAQEwDQYJKoZIhvcNAQENBQAwfTEZMBcGA1UEBRMQQ1BKLTItMTAwLTA5ODMxMTELMAkGA1UEBhMCQ1IxDzANBgNVBAoTBk1JQ0lUVDENMAsGA1UECxMERENGRDEzMDEGA1UEAxMqQ0EgUE9MSVRJQ0EgUEVSU09OQSBGSVNJQ0EgLSBDT1NUQSBSSUNBIHYyFw0xNzEwMjMxNjExMDdaFw0xNzEyMjQwNDMxMDdaoF8wXTAfBgNVHSMEGDAWgBRonWk2y4Rue+qTYRn/WDAd1f9cyzAQBgkrBgEEAYI3FQEEAwIBADAKBgNVHRQEAwIBEzAcBgkrBgEEAYI3FQQEDxcNMTcxMjIzMTYyMTA3WjANBgkqhkiG9w0BAQ0FAAOCAgEAFCMi9fu/eL75f6jT620V3qnwgzZe2BfUI1dpZ5N60/pj7Mq0BAjuACPSii5os25RS9La3Fa34eIyaejxJXgxdUo4BRwHVupZ9cqHqqFYDox/BIjKPvbdszTBo0wk1DpicXFyR1DVUacIF6HXDO1v/4HA2+/IV1VJ3QwHPs5CC/nZWmfE2+qVYF4/Eb7tIis1Y96//YqGuKphtMYdqXoNTL5ps3c/dbtnOHdjJblZecLAIb5aN6Yh861mt+BQlumVtYmz1jes3OQdGeSISd5g6nL/07uIfeh0XvgBBa8iBLVTeSt9bCBdS0Sf4znxhvHYR2GzDiQdiOcEI3Ekcr3tdAEGkFkXjvXUEIpPgG31KWq3bI7Ln6pyrVV5oE1NqVPO0szPVqqAOtourR6bGaqHE3HnZ9kxRfPL3LSNmqu+rldZCr4wqqhH50VdL0dJQQQl1etYjcdhCCouO4Q5FdH7G8kG+LYCmuNwWWpYmiaqAad9RmDVyVNCcYb1MtENTwGK1LmGCRy7w2m510hTQvK1/sfWyGpBEjcHUYRyz7K40Nc91AHSXt9anVa3gnJZ115IyYJMEjd9DyNQjGHs0cislgmMDbGK9zII796dp2buIbdBReZ4DcS4S8k8eD0lgnpeB/Z8K0r9LJnJCAVZprNb8TfNy3ySY2QSQthea39hEI0=</xd:EncapsulatedCRLValue>
              <xd:EncapsulatedCRLValue>MIIDHjCCAQYCAQEwDQYJKoZIhvcNAQENBQAwczEZMBcGA1UEBRMQQ1BKLTItMTAwLTA5ODMxMTENMAsGA1UECxMERENGRDEPMA0GA1UEChMGTUlDSVRUMQswCQYDVQQGEwJDUjEpMCcGA1UEAxMgQ0EgUkFJWiBOQUNJT05BTCAtIENPU1RBIFJJQ0EgdjIXDTE3MDgzMDIwNTkzOFoXDTE3MTIzMTA5MTkzOFqgXzBdMB8GA1UdIwQYMBaAFODy/n3ERE5Q5DX9CImPToQZRDNAMBAGCSsGAQQBgjcVAQQDAgEAMAoGA1UdFAQDAgEKMBwGCSsGAQQBgjcVBAQPFw0xNzEyMzAyMTA5MzhaMA0GCSqGSIb3DQEBDQUAA4ICAQB2Q0yWNEp3ZsjdjRAwzrGgL3Wxf6cqx/kirwEuoiAYUkCGUnWCblMOLPKhXOlXJcAdxwW42VD7p1jqz4rtwJpxsYaKHD6BNkUSgeRMIWqrmn8dgd2RCM8EaRCX77bvgx1Ol8nTT0VbfEBJyrmkYPWovTGj25MLgeNFl1Obk1OzNbNdyhLQ7ebyqiuj6vKlU2VQsoM9Ae+ILuez24PuhnsH2UErKVJQJe0INAWvQC1EL743OSudnY8xSCcxaxiC66QyXkccreIghzKH6lXn0AZrUtmwrocbaWHqOynqgF3bqGP/Y7AJGub9wyixG2YkqSERJITLLQ9QganiY41wT+BlgWMd2QwlpuG9h9ndoTQwrLNvk4JXxcs67o8ffwcc8ZiTSbWix/JS4g5BCivWFd7EcvVetdfLI4PSuDpviP/srYotjFd5BjN/JkramOOydWv2IupGU0+BTB//cJ5knFZJiyIH8Ji8sWT5H9l+legWJ8GNGwvo09rxeUTu6YLMfHslr+Hoe54u4zcWpGo/HUMxf+VKymB8iL2c/fq9fxh7Aiy6yFSMllXRXuN0RE+Xw1+zt7ZpPvAwqNb8/9PKoVYsmyq0Ydai8w/XM8wYatfxUgGHC1A5yyfOgfNYnWVWfjG3T3bXRYnKDi5M5ZxuppBmVS3pHlw564/kByJEC1bmAg==</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0d8aJXFoUXOsZY+jKqK9CtSoGN4+WVCszDa5aODYvmgCBAIF4cUYDzIwMTcxMjA1MTUwOTU4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TIwNTE1MDk1OFowLwYJKoZIhvcNAQkEMSIEILrL1HX0IqeCCZ9NWcjN1FRVc+JvC1j34N9VPlSg3jauMDcGCyqGSIb3DQEJEAIvMSgwJjAkMCIEIP1uHh4Iw1TLh2iN1LoO7B9R37kzSzskFPkvwf2+mtW1MA0GCSqGSIb3DQEBAQUABIIBALnJy+ttbFgI/CeVRO0qu3e6Gilc7wafIoMXDYK1FzpJ7ffand22K8XX/9HsFvs4yAKgdq5au8aqnlbFP7tClj/+eSpgTS7MZzPkItFxBLuB6IfoKWNV0nC+SUge09RjKW5bCgBLWFt5Ybbx9/69DF5E9D8cLKScbIRJUwWV5hhgHPYw9k0X+YIQ59m7X3IX86HDtVmVirD11PUfHkaIepKla+Nn8mlkSYLhi6pQdYXluHG0k2BlWlwmDFhg/HI7/zrjeAv4BWL1lBKZ31Rj+lzJFnXOGXyu6VmA/JPHf4swNQ0oZj8no3T91KmOq+q9nb9/pM5dLJYbM+nEccwu6Hk=</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3cf69e93-d6cf-46d1-ad99-f32edf94c28f">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5</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52" ma:contentTypeDescription="Crear nuevo documento." ma:contentTypeScope="" ma:versionID="e1e87f4c46b73e54f8b93628c7853d6d">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6da411ab0e45fb0a04136283feaa359c"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oe70cbf463ba4d19a6203d9e6cd457e4" minOccurs="0"/>
                <xsd:element ref="ns2:OtraEntidadExterna" minOccurs="0"/>
                <xsd:element ref="ns1:_dlc_Exempt" minOccurs="0"/>
                <xsd:element ref="ns1:_dlc_ExpireDateSaved" minOccurs="0"/>
                <xsd:element ref="ns1:_dlc_ExpireDate" minOccurs="0"/>
                <xsd:element ref="ns3:h924ef3e1de042ccb3dddc0bf72d8fc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7" nillable="true" ma:displayName="Excluir de la directiva" ma:hidden="true" ma:internalName="_dlc_Exempt" ma:readOnly="true">
      <xsd:simpleType>
        <xsd:restriction base="dms:Unknown"/>
      </xsd:simpleType>
    </xsd:element>
    <xsd:element name="_dlc_ExpireDateSaved" ma:index="38" nillable="true" ma:displayName="Fecha de expiración original" ma:hidden="true" ma:internalName="_dlc_ExpireDateSaved" ma:readOnly="true">
      <xsd:simpleType>
        <xsd:restriction base="dms:DateTime"/>
      </xsd:simpleType>
    </xsd:element>
    <xsd:element name="_dlc_ExpireDate" ma:index="39"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default="2017"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nillable="true" ma:taxonomy="true" ma:internalName="i59047726d7740049efd9a6f532367cb" ma:taxonomyFieldName="Integridad" ma:displayName="Integridad" ma:default="2;#Media|7c263feb-a1d7-4b26-9b28-09e7514882c1"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nillable="true" ma:taxonomy="true" ma:internalName="c7a4f14da8a146089ab80d380d2664ad" ma:taxonomyFieldName="Disponibilidad" ma:displayName="Disponibilidad" ma:default="3;#Media|3f3debfe-f918-4d91-ad3c-df12ce43024d"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oe70cbf463ba4d19a6203d9e6cd457e4" ma:index="34"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41" nillable="true" ma:taxonomy="true" ma:internalName="h924ef3e1de042ccb3dddc0bf72d8fc0" ma:taxonomyFieldName="Confidencialidad" ma:displayName="Confidencialidad"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4E47D-7F14-4727-A48E-59229298CCF2}"/>
</file>

<file path=customXml/itemProps2.xml><?xml version="1.0" encoding="utf-8"?>
<ds:datastoreItem xmlns:ds="http://schemas.openxmlformats.org/officeDocument/2006/customXml" ds:itemID="{92DA0871-357A-4746-90F9-F34AD770C455}"/>
</file>

<file path=customXml/itemProps3.xml><?xml version="1.0" encoding="utf-8"?>
<ds:datastoreItem xmlns:ds="http://schemas.openxmlformats.org/officeDocument/2006/customXml" ds:itemID="{0B2CCEEA-5295-40A3-ABAE-A96E8909E229}"/>
</file>

<file path=customXml/itemProps4.xml><?xml version="1.0" encoding="utf-8"?>
<ds:datastoreItem xmlns:ds="http://schemas.openxmlformats.org/officeDocument/2006/customXml" ds:itemID="{92DA0871-357A-4746-90F9-F34AD770C455}"/>
</file>

<file path=customXml/itemProps5.xml><?xml version="1.0" encoding="utf-8"?>
<ds:datastoreItem xmlns:ds="http://schemas.openxmlformats.org/officeDocument/2006/customXml" ds:itemID="{48567EEF-4062-4109-9942-03EDBD84382D}"/>
</file>

<file path=customXml/itemProps6.xml><?xml version="1.0" encoding="utf-8"?>
<ds:datastoreItem xmlns:ds="http://schemas.openxmlformats.org/officeDocument/2006/customXml" ds:itemID="{7FC0BE9D-43BB-403B-8548-40C5C164ACE3}"/>
</file>

<file path=docProps/app.xml><?xml version="1.0" encoding="utf-8"?>
<Properties xmlns="http://schemas.openxmlformats.org/officeDocument/2006/extended-properties" xmlns:vt="http://schemas.openxmlformats.org/officeDocument/2006/docPropsVTypes">
  <Template>Plantilla-SGS-A-13</Template>
  <TotalTime>7</TotalTime>
  <Pages>4</Pages>
  <Words>1155</Words>
  <Characters>6354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SGS-A-0058-2017   </dc:title>
  <dc:creator>CASTILLO SOLIS LAURA</dc:creator>
  <cp:lastModifiedBy>SOLEY PEREZ TOMAS</cp:lastModifiedBy>
  <cp:revision>3</cp:revision>
  <dcterms:created xsi:type="dcterms:W3CDTF">2017-12-05T14:57:00Z</dcterms:created>
  <dcterms:modified xsi:type="dcterms:W3CDTF">2017-12-05T15:09:00Z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5&lt;/number&gt;&lt;property&gt;FechaEnvio&lt;/property&gt;&lt;propertyId&gt;a851f67a-48e1-46a4-b6e7-ff517d02f96d&lt;/propertyId&gt;&lt;period&gt;days&lt;/period&gt;&lt;/formula&gt;</vt:lpwstr>
  </property>
  <property fmtid="{D5CDD505-2E9C-101B-9397-08002B2CF9AE}" pid="5" name="Confidencialidad">
    <vt:lpwstr>1;#Público|99c2402f-8ec3-4ca8-8024-be52e4e7f629</vt:lpwstr>
  </property>
  <property fmtid="{D5CDD505-2E9C-101B-9397-08002B2CF9AE}" pid="6" name="Integridad">
    <vt:lpwstr>2;#Media|7c263feb-a1d7-4b26-9b28-09e7514882c1</vt:lpwstr>
  </property>
  <property fmtid="{D5CDD505-2E9C-101B-9397-08002B2CF9AE}" pid="7" name="Tipo Documental">
    <vt:lpwstr>126;#Oficio|417b7e3a-1426-4267-afb3-20be5f4d6412</vt:lpwstr>
  </property>
  <property fmtid="{D5CDD505-2E9C-101B-9397-08002B2CF9AE}" pid="8" name="Dirigido a (entidad externa)">
    <vt:lpwstr>292;#Aseguradoras|84cf61bd-265e-4fe1-82e5-e22fa019a8e8</vt:lpwstr>
  </property>
  <property fmtid="{D5CDD505-2E9C-101B-9397-08002B2CF9AE}" pid="9" name="Unidad de Destino">
    <vt:lpwstr/>
  </property>
  <property fmtid="{D5CDD505-2E9C-101B-9397-08002B2CF9AE}" pid="10" name="Disponibilidad">
    <vt:lpwstr>3;#Media|3f3debfe-f918-4d91-ad3c-df12ce43024d</vt:lpwstr>
  </property>
  <property fmtid="{D5CDD505-2E9C-101B-9397-08002B2CF9AE}" pid="11" name="Unidad Remitente">
    <vt:lpwstr>257;#SUGESE - Acuerdos|a4c1ee5f-324a-443d-88a9-d7759c9d5e33</vt:lpwstr>
  </property>
  <property fmtid="{D5CDD505-2E9C-101B-9397-08002B2CF9AE}" pid="12" name="WorkflowChangePath">
    <vt:lpwstr>68371979-ef7c-4881-b882-163a0ec9412a,3;d0adcf11-c98d-4cfe-9b74-1ed177b2f346,8;d0adcf11-c98d-4cfe-9b74-1ed177b2f346,8;8cb0537f-192b-40f6-8581-7f0a4e07e99a,9;</vt:lpwstr>
  </property>
  <property fmtid="{D5CDD505-2E9C-101B-9397-08002B2CF9AE}" pid="13" name="_MarkAsFinal">
    <vt:bool>true</vt:bool>
  </property>
  <property fmtid="{D5CDD505-2E9C-101B-9397-08002B2CF9AE}" pid="14" name="Order">
    <vt:r8>354400</vt:r8>
  </property>
  <property fmtid="{D5CDD505-2E9C-101B-9397-08002B2CF9AE}" pid="15" name="xd_Signature">
    <vt:bool>false</vt:bool>
  </property>
  <property fmtid="{D5CDD505-2E9C-101B-9397-08002B2CF9AE}" pid="16" name="xd_ProgID">
    <vt:lpwstr/>
  </property>
  <property fmtid="{D5CDD505-2E9C-101B-9397-08002B2CF9AE}" pid="17" name="DocumentSetDescription">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